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47" w:rsidRPr="00E531CC" w:rsidRDefault="00623447" w:rsidP="00623447">
      <w:pPr>
        <w:rPr>
          <w:rFonts w:asciiTheme="majorBidi" w:hAnsiTheme="majorBidi" w:cstheme="majorBidi"/>
          <w:lang w:bidi="ar-JO"/>
        </w:rPr>
      </w:pPr>
      <w:r w:rsidRPr="00E531CC">
        <w:rPr>
          <w:rFonts w:asciiTheme="majorBidi" w:hAnsiTheme="majorBidi" w:cstheme="majorBidi"/>
          <w:lang w:bidi="ar-JO"/>
        </w:rPr>
        <w:t>No: 10/1/</w:t>
      </w:r>
      <w:r>
        <w:rPr>
          <w:rFonts w:asciiTheme="majorBidi" w:hAnsiTheme="majorBidi" w:cstheme="majorBidi"/>
          <w:lang w:bidi="ar-JO"/>
        </w:rPr>
        <w:t>5669</w:t>
      </w:r>
    </w:p>
    <w:p w:rsidR="00623447" w:rsidRPr="00E531CC" w:rsidRDefault="00623447" w:rsidP="00623447">
      <w:pPr>
        <w:rPr>
          <w:rFonts w:asciiTheme="majorBidi" w:hAnsiTheme="majorBidi" w:cstheme="majorBidi"/>
          <w:lang w:bidi="ar-JO"/>
        </w:rPr>
      </w:pPr>
      <w:r w:rsidRPr="00E531CC">
        <w:rPr>
          <w:rFonts w:asciiTheme="majorBidi" w:hAnsiTheme="majorBidi" w:cstheme="majorBidi"/>
          <w:lang w:bidi="ar-JO"/>
        </w:rPr>
        <w:t xml:space="preserve">Date: </w:t>
      </w:r>
      <w:r>
        <w:rPr>
          <w:rFonts w:asciiTheme="majorBidi" w:hAnsiTheme="majorBidi" w:cstheme="majorBidi"/>
          <w:lang w:bidi="ar-JO"/>
        </w:rPr>
        <w:t>23</w:t>
      </w:r>
      <w:r w:rsidRPr="00E531CC">
        <w:rPr>
          <w:rFonts w:asciiTheme="majorBidi" w:hAnsiTheme="majorBidi" w:cstheme="majorBidi"/>
          <w:lang w:bidi="ar-JO"/>
        </w:rPr>
        <w:t>/</w:t>
      </w:r>
      <w:r>
        <w:rPr>
          <w:rFonts w:asciiTheme="majorBidi" w:hAnsiTheme="majorBidi" w:cstheme="majorBidi"/>
          <w:lang w:bidi="ar-JO"/>
        </w:rPr>
        <w:t>8</w:t>
      </w:r>
      <w:r w:rsidRPr="00E531CC">
        <w:rPr>
          <w:rFonts w:asciiTheme="majorBidi" w:hAnsiTheme="majorBidi" w:cstheme="majorBidi"/>
          <w:lang w:bidi="ar-JO"/>
        </w:rPr>
        <w:t>/</w:t>
      </w:r>
      <w:r>
        <w:rPr>
          <w:rFonts w:asciiTheme="majorBidi" w:hAnsiTheme="majorBidi" w:cstheme="majorBidi"/>
          <w:lang w:bidi="ar-JO"/>
        </w:rPr>
        <w:t>1442</w:t>
      </w:r>
      <w:r w:rsidRPr="00E531CC">
        <w:rPr>
          <w:rFonts w:asciiTheme="majorBidi" w:hAnsiTheme="majorBidi" w:cstheme="majorBidi"/>
          <w:lang w:bidi="ar-JO"/>
        </w:rPr>
        <w:t xml:space="preserve"> AH</w:t>
      </w:r>
    </w:p>
    <w:p w:rsidR="00623447" w:rsidRPr="00E531CC" w:rsidRDefault="00623447" w:rsidP="00623447">
      <w:pPr>
        <w:tabs>
          <w:tab w:val="left" w:pos="1710"/>
        </w:tabs>
        <w:rPr>
          <w:rFonts w:asciiTheme="majorBidi" w:hAnsiTheme="majorBidi" w:cstheme="majorBidi"/>
          <w:lang w:bidi="ar-JO"/>
        </w:rPr>
      </w:pPr>
      <w:r w:rsidRPr="00E531CC">
        <w:rPr>
          <w:rFonts w:asciiTheme="majorBidi" w:hAnsiTheme="majorBidi" w:cstheme="majorBidi"/>
          <w:lang w:bidi="ar-JO"/>
        </w:rPr>
        <w:t>Corresponding to:</w:t>
      </w:r>
      <w:r w:rsidRPr="00E531CC">
        <w:rPr>
          <w:rFonts w:asciiTheme="majorBidi" w:hAnsiTheme="majorBidi" w:cstheme="majorBidi"/>
          <w:lang w:bidi="ar-JO"/>
        </w:rPr>
        <w:tab/>
      </w:r>
      <w:r>
        <w:rPr>
          <w:rFonts w:asciiTheme="majorBidi" w:hAnsiTheme="majorBidi" w:cstheme="majorBidi"/>
          <w:lang w:bidi="ar-JO"/>
        </w:rPr>
        <w:t>6</w:t>
      </w:r>
      <w:r w:rsidRPr="00E531CC">
        <w:rPr>
          <w:rFonts w:asciiTheme="majorBidi" w:hAnsiTheme="majorBidi" w:cstheme="majorBidi"/>
          <w:lang w:bidi="ar-JO"/>
        </w:rPr>
        <w:t>/</w:t>
      </w:r>
      <w:r>
        <w:rPr>
          <w:rFonts w:asciiTheme="majorBidi" w:hAnsiTheme="majorBidi" w:cstheme="majorBidi"/>
          <w:lang w:bidi="ar-JO"/>
        </w:rPr>
        <w:t>4</w:t>
      </w:r>
      <w:r w:rsidRPr="00E531CC">
        <w:rPr>
          <w:rFonts w:asciiTheme="majorBidi" w:hAnsiTheme="majorBidi" w:cstheme="majorBidi"/>
          <w:lang w:bidi="ar-JO"/>
        </w:rPr>
        <w:t>/</w:t>
      </w:r>
      <w:r>
        <w:rPr>
          <w:rFonts w:asciiTheme="majorBidi" w:hAnsiTheme="majorBidi" w:cstheme="majorBidi"/>
          <w:lang w:bidi="ar-JO"/>
        </w:rPr>
        <w:t>2021</w:t>
      </w:r>
      <w:r w:rsidRPr="00E531CC">
        <w:rPr>
          <w:rFonts w:asciiTheme="majorBidi" w:hAnsiTheme="majorBidi" w:cstheme="majorBidi"/>
          <w:lang w:bidi="ar-JO"/>
        </w:rPr>
        <w:t xml:space="preserve"> AD</w:t>
      </w:r>
    </w:p>
    <w:p w:rsidR="00623447" w:rsidRPr="00E531CC" w:rsidRDefault="00623447" w:rsidP="00623447">
      <w:pPr>
        <w:jc w:val="center"/>
        <w:rPr>
          <w:lang w:bidi="ar-JO"/>
        </w:rPr>
      </w:pPr>
    </w:p>
    <w:p w:rsidR="00623447" w:rsidRPr="00E531CC" w:rsidRDefault="00623447" w:rsidP="00623447">
      <w:pPr>
        <w:jc w:val="center"/>
        <w:rPr>
          <w:lang w:bidi="ar-JO"/>
        </w:rPr>
      </w:pPr>
    </w:p>
    <w:p w:rsidR="00623447" w:rsidRPr="00E531CC" w:rsidRDefault="00623447" w:rsidP="006234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531CC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Instructions 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for</w:t>
      </w:r>
      <w:r w:rsidRPr="00E531CC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Banks’ Owning of Stocks and Capital Shares in Companies</w:t>
      </w:r>
    </w:p>
    <w:p w:rsidR="00623447" w:rsidRDefault="00623447" w:rsidP="006234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E531CC">
        <w:rPr>
          <w:rFonts w:asciiTheme="majorBidi" w:hAnsiTheme="majorBidi" w:cstheme="majorBidi"/>
          <w:b/>
          <w:bCs/>
          <w:sz w:val="32"/>
          <w:szCs w:val="32"/>
          <w:lang w:bidi="ar-JO"/>
        </w:rPr>
        <w:t>No. (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5</w:t>
      </w:r>
      <w:r w:rsidRPr="00E531CC">
        <w:rPr>
          <w:rFonts w:asciiTheme="majorBidi" w:hAnsiTheme="majorBidi" w:cstheme="majorBidi"/>
          <w:b/>
          <w:bCs/>
          <w:sz w:val="32"/>
          <w:szCs w:val="32"/>
          <w:lang w:bidi="ar-JO"/>
        </w:rPr>
        <w:t>/20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21</w:t>
      </w:r>
      <w:r w:rsidRPr="00E531CC">
        <w:rPr>
          <w:rFonts w:asciiTheme="majorBidi" w:hAnsiTheme="majorBidi" w:cstheme="majorBidi"/>
          <w:b/>
          <w:bCs/>
          <w:sz w:val="32"/>
          <w:szCs w:val="32"/>
          <w:lang w:bidi="ar-JO"/>
        </w:rPr>
        <w:t>)</w:t>
      </w:r>
    </w:p>
    <w:p w:rsidR="00623447" w:rsidRPr="00481C5C" w:rsidRDefault="00623447" w:rsidP="00623447">
      <w:pPr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23447" w:rsidRPr="00E531CC" w:rsidRDefault="00623447" w:rsidP="006234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531CC">
        <w:rPr>
          <w:rFonts w:asciiTheme="majorBidi" w:hAnsiTheme="majorBidi" w:cstheme="majorBidi"/>
          <w:b/>
          <w:bCs/>
          <w:sz w:val="24"/>
          <w:szCs w:val="24"/>
          <w:lang w:bidi="ar-JO"/>
        </w:rPr>
        <w:t>Greetings</w:t>
      </w:r>
      <w:proofErr w:type="gramStart"/>
      <w:r w:rsidRPr="00E531CC">
        <w:rPr>
          <w:rFonts w:asciiTheme="majorBidi" w:hAnsiTheme="majorBidi" w:cstheme="majorBidi"/>
          <w:b/>
          <w:bCs/>
          <w:sz w:val="24"/>
          <w:szCs w:val="24"/>
          <w:lang w:bidi="ar-JO"/>
        </w:rPr>
        <w:t>,,,</w:t>
      </w:r>
      <w:proofErr w:type="gramEnd"/>
    </w:p>
    <w:p w:rsidR="00623447" w:rsidRDefault="00623447" w:rsidP="00365831">
      <w:pPr>
        <w:jc w:val="both"/>
      </w:pPr>
      <w:proofErr w:type="gramStart"/>
      <w:r>
        <w:t xml:space="preserve">Pursuant to the provisions of Article (99/B) of the </w:t>
      </w:r>
      <w:r w:rsidRPr="008063A8">
        <w:t xml:space="preserve">Banking Law </w:t>
      </w:r>
      <w:r w:rsidRPr="005812B9">
        <w:t xml:space="preserve">No. </w:t>
      </w:r>
      <w:r w:rsidR="005116A4">
        <w:t>(</w:t>
      </w:r>
      <w:r w:rsidRPr="005812B9">
        <w:t>28</w:t>
      </w:r>
      <w:r w:rsidR="005116A4">
        <w:t>)</w:t>
      </w:r>
      <w:r w:rsidRPr="005812B9">
        <w:t xml:space="preserve"> </w:t>
      </w:r>
      <w:r w:rsidRPr="008063A8">
        <w:t>of 2000</w:t>
      </w:r>
      <w:r>
        <w:t xml:space="preserve"> </w:t>
      </w:r>
      <w:r w:rsidRPr="005812B9">
        <w:t>and its amendments</w:t>
      </w:r>
      <w:r>
        <w:t xml:space="preserve">, and for the purposes of controlling the risks of available investments for banks and their subsidiaries </w:t>
      </w:r>
      <w:r w:rsidRPr="005812B9">
        <w:t>inside the Kingdom</w:t>
      </w:r>
      <w:r>
        <w:t xml:space="preserve"> as well as their </w:t>
      </w:r>
      <w:r w:rsidR="00365831">
        <w:t>locations</w:t>
      </w:r>
      <w:r w:rsidR="00365831">
        <w:t xml:space="preserve"> abroad</w:t>
      </w:r>
      <w:r>
        <w:t xml:space="preserve">, with the aim of preserving banks’ financial solvency, and pursuant to the provisions of Articles (37/B, 38, 39) of the </w:t>
      </w:r>
      <w:r w:rsidRPr="008063A8">
        <w:t xml:space="preserve">Banking Law </w:t>
      </w:r>
      <w:r>
        <w:t xml:space="preserve">regarding </w:t>
      </w:r>
      <w:r w:rsidRPr="004004E5">
        <w:t>Banks’ owning of stocks and capital shares in companies</w:t>
      </w:r>
      <w:r>
        <w:t>, I hereby decide the following:</w:t>
      </w:r>
      <w:proofErr w:type="gramEnd"/>
    </w:p>
    <w:p w:rsidR="00623447" w:rsidRDefault="00623447" w:rsidP="00623447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 xml:space="preserve">The bank </w:t>
      </w:r>
      <w:proofErr w:type="gramStart"/>
      <w:r>
        <w:rPr>
          <w:lang w:bidi="ar-JO"/>
        </w:rPr>
        <w:t>is prohibited</w:t>
      </w:r>
      <w:proofErr w:type="gramEnd"/>
      <w:r>
        <w:rPr>
          <w:lang w:bidi="ar-JO"/>
        </w:rPr>
        <w:t xml:space="preserve"> from owning any non- financial subsidiary company either directly or indirectly.</w:t>
      </w:r>
    </w:p>
    <w:p w:rsidR="00623447" w:rsidRDefault="00623447" w:rsidP="00365831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 xml:space="preserve">The bank </w:t>
      </w:r>
      <w:proofErr w:type="gramStart"/>
      <w:r>
        <w:rPr>
          <w:lang w:bidi="ar-JO"/>
        </w:rPr>
        <w:t>is prohibited</w:t>
      </w:r>
      <w:proofErr w:type="gramEnd"/>
      <w:r>
        <w:rPr>
          <w:lang w:bidi="ar-JO"/>
        </w:rPr>
        <w:t xml:space="preserve"> – either through its local or </w:t>
      </w:r>
      <w:r w:rsidR="00365831" w:rsidRPr="00365831">
        <w:rPr>
          <w:lang w:bidi="ar-JO"/>
        </w:rPr>
        <w:t xml:space="preserve">abroad </w:t>
      </w:r>
      <w:r w:rsidR="00365831">
        <w:rPr>
          <w:lang w:bidi="ar-JO"/>
        </w:rPr>
        <w:t>locations</w:t>
      </w:r>
      <w:r w:rsidR="00365831" w:rsidRPr="00365831">
        <w:rPr>
          <w:lang w:bidi="ar-JO"/>
        </w:rPr>
        <w:t xml:space="preserve"> </w:t>
      </w:r>
      <w:r>
        <w:rPr>
          <w:lang w:bidi="ar-JO"/>
        </w:rPr>
        <w:t xml:space="preserve">- from establishing or owning any subsidiary companies (or subsidiary companies of a bank’s subsidiary) </w:t>
      </w:r>
      <w:r>
        <w:t xml:space="preserve">without the Central Bank's </w:t>
      </w:r>
      <w:r w:rsidRPr="00F94539">
        <w:rPr>
          <w:lang w:bidi="ar-JO"/>
        </w:rPr>
        <w:t>prior consent in writing.</w:t>
      </w:r>
    </w:p>
    <w:p w:rsidR="00623447" w:rsidRDefault="00623447" w:rsidP="00365831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 xml:space="preserve">The banks’ subsidiary companies (or subsidiary companies of </w:t>
      </w:r>
      <w:r w:rsidR="00365831">
        <w:rPr>
          <w:lang w:bidi="ar-JO"/>
        </w:rPr>
        <w:t>the</w:t>
      </w:r>
      <w:r>
        <w:rPr>
          <w:lang w:bidi="ar-JO"/>
        </w:rPr>
        <w:t xml:space="preserve"> bank’s subsidiary) </w:t>
      </w:r>
      <w:proofErr w:type="gramStart"/>
      <w:r>
        <w:rPr>
          <w:lang w:bidi="ar-JO"/>
        </w:rPr>
        <w:t>are prohibited</w:t>
      </w:r>
      <w:proofErr w:type="gramEnd"/>
      <w:r>
        <w:rPr>
          <w:lang w:bidi="ar-JO"/>
        </w:rPr>
        <w:t xml:space="preserve"> from contributing to the bank’s capital.</w:t>
      </w:r>
    </w:p>
    <w:p w:rsidR="00623447" w:rsidRDefault="00623447" w:rsidP="00365831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 xml:space="preserve"> When raising the capital of foreign branches, subsidiary companies, or subsidiary companies of </w:t>
      </w:r>
      <w:r w:rsidR="00365831">
        <w:rPr>
          <w:lang w:bidi="ar-JO"/>
        </w:rPr>
        <w:t>the</w:t>
      </w:r>
      <w:r>
        <w:rPr>
          <w:lang w:bidi="ar-JO"/>
        </w:rPr>
        <w:t xml:space="preserve"> bank’s subsidiary, or </w:t>
      </w:r>
      <w:r w:rsidR="00365831" w:rsidRPr="00365831">
        <w:rPr>
          <w:lang w:bidi="ar-JO"/>
        </w:rPr>
        <w:t xml:space="preserve">allied </w:t>
      </w:r>
      <w:r>
        <w:rPr>
          <w:lang w:bidi="ar-JO"/>
        </w:rPr>
        <w:t xml:space="preserve">companies, the bank commits to getting the </w:t>
      </w:r>
      <w:r>
        <w:t xml:space="preserve">Central Bank's </w:t>
      </w:r>
      <w:r w:rsidRPr="00F94539">
        <w:rPr>
          <w:lang w:bidi="ar-JO"/>
        </w:rPr>
        <w:t xml:space="preserve">prior </w:t>
      </w:r>
      <w:r w:rsidR="00144237">
        <w:rPr>
          <w:lang w:bidi="ar-JO"/>
        </w:rPr>
        <w:t xml:space="preserve">written </w:t>
      </w:r>
      <w:r w:rsidRPr="00F94539">
        <w:rPr>
          <w:lang w:bidi="ar-JO"/>
        </w:rPr>
        <w:t>consent</w:t>
      </w:r>
      <w:r>
        <w:rPr>
          <w:lang w:bidi="ar-JO"/>
        </w:rPr>
        <w:t>.</w:t>
      </w:r>
    </w:p>
    <w:p w:rsidR="00623447" w:rsidRPr="00146DB5" w:rsidRDefault="00623447" w:rsidP="00146DB5">
      <w:pPr>
        <w:pStyle w:val="ListParagraph"/>
        <w:numPr>
          <w:ilvl w:val="0"/>
          <w:numId w:val="1"/>
        </w:numPr>
        <w:jc w:val="both"/>
        <w:rPr>
          <w:lang w:bidi="ar-JO"/>
        </w:rPr>
      </w:pPr>
      <w:r w:rsidRPr="00146DB5">
        <w:rPr>
          <w:lang w:bidi="ar-JO"/>
        </w:rPr>
        <w:t>The bank</w:t>
      </w:r>
      <w:r w:rsidR="00146DB5" w:rsidRPr="00146DB5">
        <w:rPr>
          <w:lang w:bidi="ar-JO"/>
        </w:rPr>
        <w:t>’s ownership stake shall not exceed, whether individually or in agreement with others directly or indirectly,</w:t>
      </w:r>
      <w:r w:rsidRPr="00146DB5">
        <w:rPr>
          <w:lang w:bidi="ar-JO"/>
        </w:rPr>
        <w:t xml:space="preserve"> </w:t>
      </w:r>
      <w:r w:rsidR="00146DB5" w:rsidRPr="00146DB5">
        <w:rPr>
          <w:lang w:bidi="ar-JO"/>
        </w:rPr>
        <w:t>(10%) of the subscribed capital of any company whose objectives does not include the</w:t>
      </w:r>
      <w:r w:rsidRPr="00146DB5">
        <w:rPr>
          <w:lang w:bidi="ar-JO"/>
        </w:rPr>
        <w:t xml:space="preserve"> acceptance of deposits</w:t>
      </w:r>
      <w:r w:rsidR="00146DB5" w:rsidRPr="00146DB5">
        <w:rPr>
          <w:lang w:bidi="ar-JO"/>
        </w:rPr>
        <w:t>. It is for</w:t>
      </w:r>
      <w:r w:rsidRPr="00146DB5">
        <w:rPr>
          <w:lang w:bidi="ar-JO"/>
        </w:rPr>
        <w:t xml:space="preserve"> the Central Bank </w:t>
      </w:r>
      <w:r w:rsidR="00146DB5" w:rsidRPr="00146DB5">
        <w:rPr>
          <w:lang w:bidi="ar-JO"/>
        </w:rPr>
        <w:t xml:space="preserve">to approve the </w:t>
      </w:r>
      <w:r w:rsidRPr="00146DB5">
        <w:rPr>
          <w:lang w:bidi="ar-JO"/>
        </w:rPr>
        <w:t xml:space="preserve">percentage </w:t>
      </w:r>
      <w:r w:rsidR="00146DB5" w:rsidRPr="00146DB5">
        <w:rPr>
          <w:lang w:bidi="ar-JO"/>
        </w:rPr>
        <w:t>increase to</w:t>
      </w:r>
      <w:r w:rsidRPr="00146DB5">
        <w:rPr>
          <w:lang w:bidi="ar-JO"/>
        </w:rPr>
        <w:t xml:space="preserve"> a maximum of </w:t>
      </w:r>
      <w:r w:rsidR="00A1257C">
        <w:rPr>
          <w:lang w:bidi="ar-JO"/>
        </w:rPr>
        <w:t>(</w:t>
      </w:r>
      <w:r w:rsidRPr="00146DB5">
        <w:rPr>
          <w:lang w:bidi="ar-JO"/>
        </w:rPr>
        <w:t>20%</w:t>
      </w:r>
      <w:r w:rsidR="00A1257C">
        <w:rPr>
          <w:lang w:bidi="ar-JO"/>
        </w:rPr>
        <w:t>)</w:t>
      </w:r>
      <w:r w:rsidRPr="00146DB5">
        <w:rPr>
          <w:lang w:bidi="ar-JO"/>
        </w:rPr>
        <w:t xml:space="preserve"> of the subscribed capital in activities </w:t>
      </w:r>
      <w:r w:rsidR="00146DB5" w:rsidRPr="00146DB5">
        <w:rPr>
          <w:lang w:bidi="ar-JO"/>
        </w:rPr>
        <w:t>that</w:t>
      </w:r>
      <w:r w:rsidRPr="00146DB5">
        <w:rPr>
          <w:lang w:bidi="ar-JO"/>
        </w:rPr>
        <w:t xml:space="preserve"> the Central Bank </w:t>
      </w:r>
      <w:r w:rsidR="00146DB5" w:rsidRPr="00146DB5">
        <w:rPr>
          <w:lang w:bidi="ar-JO"/>
        </w:rPr>
        <w:t>deems</w:t>
      </w:r>
      <w:r w:rsidRPr="00146DB5">
        <w:rPr>
          <w:lang w:bidi="ar-JO"/>
        </w:rPr>
        <w:t xml:space="preserve"> supportive of the financial and banking activity, such as </w:t>
      </w:r>
      <w:r w:rsidR="00146DB5" w:rsidRPr="00146DB5">
        <w:rPr>
          <w:lang w:bidi="ar-JO"/>
        </w:rPr>
        <w:t>financial</w:t>
      </w:r>
      <w:r w:rsidRPr="00146DB5">
        <w:rPr>
          <w:lang w:bidi="ar-JO"/>
        </w:rPr>
        <w:t xml:space="preserve"> technology, investment funds, as well as real estate ownership and marketing companies.</w:t>
      </w:r>
    </w:p>
    <w:p w:rsidR="00623447" w:rsidRDefault="00623447" w:rsidP="00535631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 xml:space="preserve">The bank </w:t>
      </w:r>
      <w:proofErr w:type="gramStart"/>
      <w:r>
        <w:rPr>
          <w:lang w:bidi="ar-JO"/>
        </w:rPr>
        <w:t>is prohibited</w:t>
      </w:r>
      <w:proofErr w:type="gramEnd"/>
      <w:r>
        <w:rPr>
          <w:lang w:bidi="ar-JO"/>
        </w:rPr>
        <w:t xml:space="preserve"> from o</w:t>
      </w:r>
      <w:r w:rsidRPr="0033421A">
        <w:rPr>
          <w:lang w:bidi="ar-JO"/>
        </w:rPr>
        <w:t>wning shares</w:t>
      </w:r>
      <w:r>
        <w:rPr>
          <w:lang w:bidi="ar-JO"/>
        </w:rPr>
        <w:t>, either directly or indirectly,</w:t>
      </w:r>
      <w:r w:rsidRPr="0033421A">
        <w:rPr>
          <w:lang w:bidi="ar-JO"/>
        </w:rPr>
        <w:t xml:space="preserve"> without a prior written </w:t>
      </w:r>
      <w:r w:rsidR="00535631">
        <w:rPr>
          <w:lang w:bidi="ar-JO"/>
        </w:rPr>
        <w:t>consent</w:t>
      </w:r>
      <w:r w:rsidRPr="0033421A">
        <w:rPr>
          <w:lang w:bidi="ar-JO"/>
        </w:rPr>
        <w:t xml:space="preserve"> </w:t>
      </w:r>
      <w:r w:rsidR="00535631">
        <w:rPr>
          <w:lang w:bidi="ar-JO"/>
        </w:rPr>
        <w:t>from</w:t>
      </w:r>
      <w:r w:rsidRPr="0033421A">
        <w:rPr>
          <w:lang w:bidi="ar-JO"/>
        </w:rPr>
        <w:t xml:space="preserve"> the Central Bank, in any other bank or company that accepts deposits. </w:t>
      </w:r>
      <w:r w:rsidR="00144237">
        <w:rPr>
          <w:lang w:bidi="ar-JO"/>
        </w:rPr>
        <w:t xml:space="preserve">The bank’s </w:t>
      </w:r>
      <w:r w:rsidR="00144237">
        <w:rPr>
          <w:lang w:bidi="ar-JO"/>
        </w:rPr>
        <w:lastRenderedPageBreak/>
        <w:t>share</w:t>
      </w:r>
      <w:r w:rsidRPr="0033421A">
        <w:rPr>
          <w:lang w:bidi="ar-JO"/>
        </w:rPr>
        <w:t xml:space="preserve"> shall not</w:t>
      </w:r>
      <w:r w:rsidR="00144237">
        <w:rPr>
          <w:lang w:bidi="ar-JO"/>
        </w:rPr>
        <w:t>,</w:t>
      </w:r>
      <w:r w:rsidRPr="0033421A">
        <w:rPr>
          <w:lang w:bidi="ar-JO"/>
        </w:rPr>
        <w:t xml:space="preserve"> in any case</w:t>
      </w:r>
      <w:r w:rsidR="00144237">
        <w:rPr>
          <w:lang w:bidi="ar-JO"/>
        </w:rPr>
        <w:t>,</w:t>
      </w:r>
      <w:r w:rsidRPr="0033421A">
        <w:rPr>
          <w:lang w:bidi="ar-JO"/>
        </w:rPr>
        <w:t xml:space="preserve"> exceed </w:t>
      </w:r>
      <w:r w:rsidR="006B2915">
        <w:rPr>
          <w:lang w:bidi="ar-JO"/>
        </w:rPr>
        <w:t>(</w:t>
      </w:r>
      <w:r w:rsidRPr="0033421A">
        <w:rPr>
          <w:lang w:bidi="ar-JO"/>
        </w:rPr>
        <w:t>10 %</w:t>
      </w:r>
      <w:r w:rsidR="006B2915">
        <w:rPr>
          <w:lang w:bidi="ar-JO"/>
        </w:rPr>
        <w:t>)</w:t>
      </w:r>
      <w:r w:rsidRPr="0033421A">
        <w:rPr>
          <w:lang w:bidi="ar-JO"/>
        </w:rPr>
        <w:t xml:space="preserve"> of </w:t>
      </w:r>
      <w:proofErr w:type="gramStart"/>
      <w:r w:rsidRPr="0033421A">
        <w:rPr>
          <w:lang w:bidi="ar-JO"/>
        </w:rPr>
        <w:t>either</w:t>
      </w:r>
      <w:proofErr w:type="gramEnd"/>
      <w:r w:rsidRPr="0033421A">
        <w:rPr>
          <w:lang w:bidi="ar-JO"/>
        </w:rPr>
        <w:t xml:space="preserve"> its own subscribed capital or of the subscribed capital of the bank </w:t>
      </w:r>
      <w:r w:rsidR="006B2915">
        <w:rPr>
          <w:lang w:bidi="ar-JO"/>
        </w:rPr>
        <w:t>(</w:t>
      </w:r>
      <w:r w:rsidRPr="0033421A">
        <w:rPr>
          <w:lang w:bidi="ar-JO"/>
        </w:rPr>
        <w:t>or company</w:t>
      </w:r>
      <w:r w:rsidR="006B2915">
        <w:rPr>
          <w:lang w:bidi="ar-JO"/>
        </w:rPr>
        <w:t>)</w:t>
      </w:r>
      <w:r w:rsidRPr="0033421A">
        <w:rPr>
          <w:lang w:bidi="ar-JO"/>
        </w:rPr>
        <w:t xml:space="preserve"> in which the bank owns shares</w:t>
      </w:r>
      <w:r w:rsidR="006B2915">
        <w:rPr>
          <w:lang w:bidi="ar-JO"/>
        </w:rPr>
        <w:t>, whichever is lower</w:t>
      </w:r>
      <w:r w:rsidRPr="0033421A">
        <w:rPr>
          <w:lang w:bidi="ar-JO"/>
        </w:rPr>
        <w:t xml:space="preserve">. This prohibition shall not apply to shares already owned by banks in excess of this percentage </w:t>
      </w:r>
      <w:r>
        <w:rPr>
          <w:lang w:bidi="ar-JO"/>
        </w:rPr>
        <w:t xml:space="preserve">on August </w:t>
      </w:r>
      <w:proofErr w:type="gramStart"/>
      <w:r>
        <w:rPr>
          <w:lang w:bidi="ar-JO"/>
        </w:rPr>
        <w:t>2</w:t>
      </w:r>
      <w:r w:rsidRPr="00137326">
        <w:rPr>
          <w:vertAlign w:val="superscript"/>
          <w:lang w:bidi="ar-JO"/>
        </w:rPr>
        <w:t>nd</w:t>
      </w:r>
      <w:proofErr w:type="gramEnd"/>
      <w:r>
        <w:rPr>
          <w:lang w:bidi="ar-JO"/>
        </w:rPr>
        <w:t>, 2000</w:t>
      </w:r>
      <w:r w:rsidRPr="0033421A">
        <w:rPr>
          <w:lang w:bidi="ar-JO"/>
        </w:rPr>
        <w:t>.</w:t>
      </w:r>
    </w:p>
    <w:p w:rsidR="00623447" w:rsidRDefault="00623447" w:rsidP="00144237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>The bank is allowed</w:t>
      </w:r>
      <w:r w:rsidR="00144237">
        <w:rPr>
          <w:lang w:bidi="ar-JO"/>
        </w:rPr>
        <w:t>, upon prior written consent from the Central Bank,</w:t>
      </w:r>
      <w:r>
        <w:rPr>
          <w:lang w:bidi="ar-JO"/>
        </w:rPr>
        <w:t xml:space="preserve"> to establish or own a subsidiary insurance company or companies, in accordance with the provisions of the </w:t>
      </w:r>
      <w:r w:rsidRPr="00E546A3">
        <w:rPr>
          <w:lang w:bidi="ar-JO"/>
        </w:rPr>
        <w:t>Insurance Regulatory Act</w:t>
      </w:r>
      <w:r>
        <w:rPr>
          <w:lang w:bidi="ar-JO"/>
        </w:rPr>
        <w:t xml:space="preserve"> and any related laws, provided that the ban</w:t>
      </w:r>
      <w:r w:rsidR="006B2915">
        <w:rPr>
          <w:lang w:bidi="ar-JO"/>
        </w:rPr>
        <w:t>k</w:t>
      </w:r>
      <w:r w:rsidR="00144237">
        <w:rPr>
          <w:lang w:bidi="ar-JO"/>
        </w:rPr>
        <w:t xml:space="preserve"> commits to the following</w:t>
      </w:r>
      <w:r>
        <w:rPr>
          <w:lang w:bidi="ar-JO"/>
        </w:rPr>
        <w:t>:</w:t>
      </w:r>
    </w:p>
    <w:p w:rsidR="00623447" w:rsidRPr="002F6C0F" w:rsidRDefault="00623447" w:rsidP="00623447">
      <w:pPr>
        <w:pStyle w:val="ListParagraph"/>
        <w:numPr>
          <w:ilvl w:val="0"/>
          <w:numId w:val="2"/>
        </w:numPr>
        <w:jc w:val="both"/>
        <w:rPr>
          <w:rStyle w:val="jlqj4b"/>
        </w:rPr>
      </w:pPr>
      <w:r>
        <w:rPr>
          <w:lang w:bidi="ar-JO"/>
        </w:rPr>
        <w:t xml:space="preserve">Submitting an application to the Central Bank to approve the ownership process supported by the </w:t>
      </w:r>
      <w:r>
        <w:rPr>
          <w:rStyle w:val="jlqj4b"/>
        </w:rPr>
        <w:t xml:space="preserve">feasibility </w:t>
      </w:r>
      <w:r>
        <w:rPr>
          <w:lang w:bidi="ar-JO"/>
        </w:rPr>
        <w:t>study t</w:t>
      </w:r>
      <w:r w:rsidRPr="002F6C0F">
        <w:rPr>
          <w:rStyle w:val="jlqj4b"/>
        </w:rPr>
        <w:t>hat justifies the ownership of the insurance company.</w:t>
      </w:r>
    </w:p>
    <w:p w:rsidR="00623447" w:rsidRDefault="00144237" w:rsidP="00144237">
      <w:pPr>
        <w:pStyle w:val="ListParagraph"/>
        <w:numPr>
          <w:ilvl w:val="0"/>
          <w:numId w:val="2"/>
        </w:numPr>
        <w:jc w:val="both"/>
        <w:rPr>
          <w:lang w:bidi="ar-JO"/>
        </w:rPr>
      </w:pPr>
      <w:r>
        <w:rPr>
          <w:rStyle w:val="jlqj4b"/>
        </w:rPr>
        <w:t>Not causing, by company’s ownership,</w:t>
      </w:r>
      <w:r w:rsidR="00623447">
        <w:rPr>
          <w:lang w:bidi="ar-JO"/>
        </w:rPr>
        <w:t xml:space="preserve"> a decline in the capital adequacy ratio below the minimum ratio required by the Central Bank.</w:t>
      </w:r>
    </w:p>
    <w:p w:rsidR="00623447" w:rsidRDefault="00623447" w:rsidP="00623447">
      <w:pPr>
        <w:pStyle w:val="ListParagraph"/>
        <w:numPr>
          <w:ilvl w:val="0"/>
          <w:numId w:val="2"/>
        </w:numPr>
        <w:jc w:val="both"/>
        <w:rPr>
          <w:lang w:bidi="ar-JO"/>
        </w:rPr>
      </w:pPr>
      <w:r>
        <w:rPr>
          <w:lang w:bidi="ar-JO"/>
        </w:rPr>
        <w:t>Fulfilling the Central Bank’s requirements regarding the sufficiency of reserves and provisions.</w:t>
      </w:r>
    </w:p>
    <w:p w:rsidR="00623447" w:rsidRDefault="00623447" w:rsidP="00623447">
      <w:pPr>
        <w:pStyle w:val="ListParagraph"/>
        <w:numPr>
          <w:ilvl w:val="0"/>
          <w:numId w:val="2"/>
        </w:numPr>
        <w:jc w:val="both"/>
        <w:rPr>
          <w:lang w:bidi="ar-JO"/>
        </w:rPr>
      </w:pPr>
      <w:r>
        <w:rPr>
          <w:lang w:bidi="ar-JO"/>
        </w:rPr>
        <w:t xml:space="preserve">Decision regarding the ownership </w:t>
      </w:r>
      <w:proofErr w:type="gramStart"/>
      <w:r>
        <w:rPr>
          <w:lang w:bidi="ar-JO"/>
        </w:rPr>
        <w:t>shall be made</w:t>
      </w:r>
      <w:proofErr w:type="gramEnd"/>
      <w:r>
        <w:rPr>
          <w:lang w:bidi="ar-JO"/>
        </w:rPr>
        <w:t xml:space="preserve"> by the general assembly in an </w:t>
      </w:r>
      <w:r w:rsidRPr="00D951A3">
        <w:rPr>
          <w:lang w:bidi="ar-JO"/>
        </w:rPr>
        <w:t xml:space="preserve">unordinary </w:t>
      </w:r>
      <w:r>
        <w:rPr>
          <w:lang w:bidi="ar-JO"/>
        </w:rPr>
        <w:t>meeting.</w:t>
      </w:r>
    </w:p>
    <w:p w:rsidR="00623447" w:rsidRDefault="00623447" w:rsidP="00144237">
      <w:pPr>
        <w:pStyle w:val="ListParagraph"/>
        <w:numPr>
          <w:ilvl w:val="0"/>
          <w:numId w:val="1"/>
        </w:numPr>
        <w:jc w:val="both"/>
        <w:rPr>
          <w:lang w:bidi="ar-JO"/>
        </w:rPr>
      </w:pPr>
      <w:r>
        <w:rPr>
          <w:lang w:bidi="ar-JO"/>
        </w:rPr>
        <w:t xml:space="preserve">In case the Central Bank approves the ownership process in accordance </w:t>
      </w:r>
      <w:r w:rsidR="005B0CF8">
        <w:rPr>
          <w:lang w:bidi="ar-JO"/>
        </w:rPr>
        <w:t>with Clause (7) above, the bank</w:t>
      </w:r>
      <w:r>
        <w:rPr>
          <w:lang w:bidi="ar-JO"/>
        </w:rPr>
        <w:t xml:space="preserve"> </w:t>
      </w:r>
      <w:r w:rsidR="00144237">
        <w:rPr>
          <w:lang w:bidi="ar-JO"/>
        </w:rPr>
        <w:t xml:space="preserve">shall </w:t>
      </w:r>
      <w:r>
        <w:rPr>
          <w:lang w:bidi="ar-JO"/>
        </w:rPr>
        <w:t>commit to the following:</w:t>
      </w:r>
    </w:p>
    <w:p w:rsidR="00623447" w:rsidRDefault="00623447" w:rsidP="00623447">
      <w:pPr>
        <w:pStyle w:val="ListParagraph"/>
        <w:numPr>
          <w:ilvl w:val="0"/>
          <w:numId w:val="3"/>
        </w:numPr>
        <w:jc w:val="both"/>
        <w:rPr>
          <w:lang w:bidi="ar-JO"/>
        </w:rPr>
      </w:pPr>
      <w:r>
        <w:rPr>
          <w:lang w:bidi="ar-JO"/>
        </w:rPr>
        <w:t>Direct and indirect credit facilities extended to the company must not exceed the ratio specified in the Central Bank’s instructions.</w:t>
      </w:r>
    </w:p>
    <w:p w:rsidR="00623447" w:rsidRDefault="00623447" w:rsidP="00623447">
      <w:pPr>
        <w:pStyle w:val="ListParagraph"/>
        <w:numPr>
          <w:ilvl w:val="0"/>
          <w:numId w:val="3"/>
        </w:numPr>
        <w:jc w:val="both"/>
        <w:rPr>
          <w:lang w:bidi="ar-JO"/>
        </w:rPr>
      </w:pPr>
      <w:r>
        <w:rPr>
          <w:lang w:bidi="ar-JO"/>
        </w:rPr>
        <w:t xml:space="preserve">The company </w:t>
      </w:r>
      <w:proofErr w:type="gramStart"/>
      <w:r>
        <w:rPr>
          <w:lang w:bidi="ar-JO"/>
        </w:rPr>
        <w:t>is prohibited</w:t>
      </w:r>
      <w:proofErr w:type="gramEnd"/>
      <w:r>
        <w:rPr>
          <w:lang w:bidi="ar-JO"/>
        </w:rPr>
        <w:t xml:space="preserve"> from contributing to the bank’s capital; furthermore, its manager must not be a member at the Board of Directors.</w:t>
      </w:r>
    </w:p>
    <w:p w:rsidR="00623447" w:rsidRDefault="00623447" w:rsidP="00623447">
      <w:pPr>
        <w:pStyle w:val="ListParagraph"/>
        <w:numPr>
          <w:ilvl w:val="0"/>
          <w:numId w:val="3"/>
        </w:numPr>
        <w:jc w:val="both"/>
        <w:rPr>
          <w:lang w:bidi="ar-JO"/>
        </w:rPr>
      </w:pPr>
      <w:r>
        <w:rPr>
          <w:lang w:bidi="ar-JO"/>
        </w:rPr>
        <w:t>Provide the Central Bank with any amendments that may occur to the establishment agreement as well as the company’s internal by-law and its business activities, which must be in line with the relevant laws and regulations.</w:t>
      </w:r>
    </w:p>
    <w:p w:rsidR="00623447" w:rsidRDefault="001179C1" w:rsidP="00144237">
      <w:pPr>
        <w:pStyle w:val="ListParagraph"/>
        <w:numPr>
          <w:ilvl w:val="0"/>
          <w:numId w:val="3"/>
        </w:numPr>
        <w:jc w:val="both"/>
        <w:rPr>
          <w:lang w:bidi="ar-J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4B7B5" wp14:editId="5D286202">
                <wp:simplePos x="0" y="0"/>
                <wp:positionH relativeFrom="column">
                  <wp:posOffset>135890</wp:posOffset>
                </wp:positionH>
                <wp:positionV relativeFrom="page">
                  <wp:posOffset>5772150</wp:posOffset>
                </wp:positionV>
                <wp:extent cx="375285" cy="2952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447" w:rsidRDefault="00623447" w:rsidP="00623447">
                            <w: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B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pt;margin-top:454.5pt;width:29.5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i8sg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" filled="f" stroked="f">
                <v:textbox>
                  <w:txbxContent>
                    <w:p w:rsidR="00623447" w:rsidRDefault="00623447" w:rsidP="00623447">
                      <w:r>
                        <w:t>9.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3447">
        <w:rPr>
          <w:lang w:bidi="ar-JO"/>
        </w:rPr>
        <w:t xml:space="preserve">Regularly provide the Central Bank with the external auditor’s report </w:t>
      </w:r>
      <w:r w:rsidR="00144237">
        <w:rPr>
          <w:lang w:bidi="ar-JO"/>
        </w:rPr>
        <w:t>on</w:t>
      </w:r>
      <w:r w:rsidR="00623447">
        <w:rPr>
          <w:lang w:bidi="ar-JO"/>
        </w:rPr>
        <w:t xml:space="preserve"> activities of the subsidiary insurance companies.</w:t>
      </w:r>
    </w:p>
    <w:p w:rsidR="00623447" w:rsidRDefault="00623447" w:rsidP="005B0CF8">
      <w:pPr>
        <w:pStyle w:val="ListParagraph"/>
        <w:ind w:left="1080" w:hanging="360"/>
        <w:jc w:val="both"/>
        <w:rPr>
          <w:lang w:bidi="ar-JO"/>
        </w:rPr>
      </w:pPr>
      <w:r>
        <w:rPr>
          <w:lang w:bidi="ar-JO"/>
        </w:rPr>
        <w:t xml:space="preserve">A. Bank’s total ownership of stocks and </w:t>
      </w:r>
      <w:r w:rsidR="005B0CF8">
        <w:rPr>
          <w:lang w:bidi="ar-JO"/>
        </w:rPr>
        <w:t xml:space="preserve">capital </w:t>
      </w:r>
      <w:r>
        <w:rPr>
          <w:lang w:bidi="ar-JO"/>
        </w:rPr>
        <w:t>shares of all companies must not exceed a ratio of (50%) of its subscribed capital.</w:t>
      </w:r>
    </w:p>
    <w:p w:rsidR="00623447" w:rsidRDefault="00623447" w:rsidP="007C1857">
      <w:pPr>
        <w:pStyle w:val="ListParagraph"/>
        <w:numPr>
          <w:ilvl w:val="0"/>
          <w:numId w:val="4"/>
        </w:numPr>
        <w:jc w:val="both"/>
        <w:rPr>
          <w:lang w:bidi="ar-JO"/>
        </w:rPr>
      </w:pPr>
      <w:r>
        <w:rPr>
          <w:lang w:bidi="ar-JO"/>
        </w:rPr>
        <w:t>The Governor of the central Bank may allow the bank which exceeded the ratio indicated in Clause (</w:t>
      </w:r>
      <w:proofErr w:type="gramStart"/>
      <w:r>
        <w:rPr>
          <w:lang w:bidi="ar-JO"/>
        </w:rPr>
        <w:t>9/</w:t>
      </w:r>
      <w:proofErr w:type="gramEnd"/>
      <w:r>
        <w:rPr>
          <w:lang w:bidi="ar-JO"/>
        </w:rPr>
        <w:t xml:space="preserve">A) above </w:t>
      </w:r>
      <w:r w:rsidR="00144237">
        <w:rPr>
          <w:lang w:bidi="ar-JO"/>
        </w:rPr>
        <w:t>to raise</w:t>
      </w:r>
      <w:r>
        <w:rPr>
          <w:lang w:bidi="ar-JO"/>
        </w:rPr>
        <w:t xml:space="preserve"> its </w:t>
      </w:r>
      <w:r w:rsidR="007C1857">
        <w:rPr>
          <w:lang w:bidi="ar-JO"/>
        </w:rPr>
        <w:t>contribution</w:t>
      </w:r>
      <w:r>
        <w:rPr>
          <w:lang w:bidi="ar-JO"/>
        </w:rPr>
        <w:t xml:space="preserve"> to the companies’ capital </w:t>
      </w:r>
      <w:r w:rsidR="00144237">
        <w:rPr>
          <w:lang w:bidi="ar-JO"/>
        </w:rPr>
        <w:t>without</w:t>
      </w:r>
      <w:r>
        <w:rPr>
          <w:lang w:bidi="ar-JO"/>
        </w:rPr>
        <w:t xml:space="preserve"> exceed</w:t>
      </w:r>
      <w:r w:rsidR="00144237">
        <w:rPr>
          <w:lang w:bidi="ar-JO"/>
        </w:rPr>
        <w:t>ing,</w:t>
      </w:r>
      <w:r>
        <w:rPr>
          <w:lang w:bidi="ar-JO"/>
        </w:rPr>
        <w:t xml:space="preserve"> in any case</w:t>
      </w:r>
      <w:r w:rsidR="00144237">
        <w:rPr>
          <w:lang w:bidi="ar-JO"/>
        </w:rPr>
        <w:t>,</w:t>
      </w:r>
      <w:r>
        <w:rPr>
          <w:lang w:bidi="ar-JO"/>
        </w:rPr>
        <w:t xml:space="preserve"> (50%) of the bank’s regulatory capital.</w:t>
      </w:r>
    </w:p>
    <w:p w:rsidR="00623447" w:rsidRDefault="00623447" w:rsidP="00623447">
      <w:pPr>
        <w:pStyle w:val="ListParagraph"/>
        <w:numPr>
          <w:ilvl w:val="0"/>
          <w:numId w:val="4"/>
        </w:numPr>
        <w:jc w:val="both"/>
        <w:rPr>
          <w:lang w:bidi="ar-JO"/>
        </w:rPr>
      </w:pPr>
      <w:r>
        <w:rPr>
          <w:lang w:bidi="ar-JO"/>
        </w:rPr>
        <w:t>The ratio above includes the following:</w:t>
      </w:r>
    </w:p>
    <w:p w:rsidR="00623447" w:rsidRDefault="00623447" w:rsidP="00623447">
      <w:pPr>
        <w:pStyle w:val="ListParagraph"/>
        <w:numPr>
          <w:ilvl w:val="0"/>
          <w:numId w:val="5"/>
        </w:numPr>
        <w:jc w:val="both"/>
        <w:rPr>
          <w:lang w:bidi="ar-JO"/>
        </w:rPr>
      </w:pPr>
      <w:r>
        <w:rPr>
          <w:lang w:bidi="ar-JO"/>
        </w:rPr>
        <w:t>Stocks and shares owned by the same bank.</w:t>
      </w:r>
    </w:p>
    <w:p w:rsidR="00623447" w:rsidRDefault="00623447" w:rsidP="005B0CF8">
      <w:pPr>
        <w:pStyle w:val="ListParagraph"/>
        <w:numPr>
          <w:ilvl w:val="0"/>
          <w:numId w:val="5"/>
        </w:numPr>
        <w:jc w:val="both"/>
        <w:rPr>
          <w:lang w:bidi="ar-JO"/>
        </w:rPr>
      </w:pPr>
      <w:r>
        <w:rPr>
          <w:lang w:bidi="ar-JO"/>
        </w:rPr>
        <w:t>Stocks and shares owned by subsidiary companies in an</w:t>
      </w:r>
      <w:r w:rsidR="00392763">
        <w:rPr>
          <w:lang w:bidi="ar-JO"/>
        </w:rPr>
        <w:t xml:space="preserve"> amount equivalent to the ratio</w:t>
      </w:r>
      <w:r>
        <w:rPr>
          <w:lang w:bidi="ar-JO"/>
        </w:rPr>
        <w:t xml:space="preserve"> of the bank’s </w:t>
      </w:r>
      <w:r w:rsidR="005B0CF8">
        <w:rPr>
          <w:lang w:bidi="ar-JO"/>
        </w:rPr>
        <w:t>contribution</w:t>
      </w:r>
      <w:r>
        <w:rPr>
          <w:lang w:bidi="ar-JO"/>
        </w:rPr>
        <w:t xml:space="preserve"> to those companies’ capital.</w:t>
      </w:r>
    </w:p>
    <w:p w:rsidR="00623447" w:rsidRDefault="00623447" w:rsidP="00623447">
      <w:pPr>
        <w:pStyle w:val="ListParagraph"/>
        <w:numPr>
          <w:ilvl w:val="0"/>
          <w:numId w:val="5"/>
        </w:numPr>
        <w:jc w:val="both"/>
        <w:rPr>
          <w:lang w:bidi="ar-JO"/>
        </w:rPr>
      </w:pPr>
      <w:r>
        <w:rPr>
          <w:lang w:bidi="ar-JO"/>
        </w:rPr>
        <w:t>Stocks and shares owned by companies that are subsidiary of the bank’s subsidiary in those companies’ capital.</w:t>
      </w:r>
    </w:p>
    <w:p w:rsidR="00623447" w:rsidRDefault="00623447" w:rsidP="00623447">
      <w:pPr>
        <w:pStyle w:val="ListParagraph"/>
        <w:numPr>
          <w:ilvl w:val="0"/>
          <w:numId w:val="4"/>
        </w:numPr>
        <w:jc w:val="both"/>
        <w:rPr>
          <w:lang w:bidi="ar-JO"/>
        </w:rPr>
      </w:pPr>
      <w:proofErr w:type="gramStart"/>
      <w:r>
        <w:rPr>
          <w:lang w:bidi="ar-JO"/>
        </w:rPr>
        <w:t>For the purpose of</w:t>
      </w:r>
      <w:proofErr w:type="gramEnd"/>
      <w:r>
        <w:rPr>
          <w:lang w:bidi="ar-JO"/>
        </w:rPr>
        <w:t xml:space="preserve"> calculating the ratio mentioned in (A, B) above exclusively, the value of stocks and shares are calculated at cost upon purchase.</w:t>
      </w:r>
    </w:p>
    <w:p w:rsidR="00DC4A67" w:rsidRDefault="00DC4A67" w:rsidP="00DC4A67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>The following items are not included in calculating the ratios mentioned in Paragraphs (5, 6, 7, 9):</w:t>
      </w:r>
    </w:p>
    <w:p w:rsidR="00DC4A67" w:rsidRDefault="00DC4A67" w:rsidP="00DC4A67">
      <w:pPr>
        <w:pStyle w:val="ListParagraph"/>
        <w:numPr>
          <w:ilvl w:val="0"/>
          <w:numId w:val="7"/>
        </w:numPr>
        <w:jc w:val="both"/>
        <w:rPr>
          <w:lang w:bidi="ar-JO"/>
        </w:rPr>
      </w:pPr>
      <w:r>
        <w:rPr>
          <w:lang w:bidi="ar-JO"/>
        </w:rPr>
        <w:t>Stocks and shares owned due to debt repayment for a period of two years from the date of their ownership.</w:t>
      </w:r>
    </w:p>
    <w:p w:rsidR="00DC4A67" w:rsidRDefault="00DC4A67" w:rsidP="00DC4A67">
      <w:pPr>
        <w:pStyle w:val="ListParagraph"/>
        <w:numPr>
          <w:ilvl w:val="0"/>
          <w:numId w:val="7"/>
        </w:numPr>
        <w:jc w:val="both"/>
        <w:rPr>
          <w:lang w:bidi="ar-JO"/>
        </w:rPr>
      </w:pPr>
      <w:r>
        <w:rPr>
          <w:lang w:bidi="ar-JO"/>
        </w:rPr>
        <w:lastRenderedPageBreak/>
        <w:t xml:space="preserve">Stocks and shares registered in the bank’s name if </w:t>
      </w:r>
      <w:proofErr w:type="gramStart"/>
      <w:r>
        <w:rPr>
          <w:lang w:bidi="ar-JO"/>
        </w:rPr>
        <w:t>they were owned by one or more of the bank’s client</w:t>
      </w:r>
      <w:r w:rsidR="005C4491">
        <w:rPr>
          <w:lang w:bidi="ar-JO"/>
        </w:rPr>
        <w:t>s</w:t>
      </w:r>
      <w:proofErr w:type="gramEnd"/>
      <w:r w:rsidR="005C4491">
        <w:rPr>
          <w:lang w:bidi="ar-JO"/>
        </w:rPr>
        <w:t xml:space="preserve">. These stocks and shares </w:t>
      </w:r>
      <w:proofErr w:type="gramStart"/>
      <w:r w:rsidR="005C4491">
        <w:rPr>
          <w:lang w:bidi="ar-JO"/>
        </w:rPr>
        <w:t>are not considered</w:t>
      </w:r>
      <w:proofErr w:type="gramEnd"/>
      <w:r w:rsidR="005C4491">
        <w:rPr>
          <w:lang w:bidi="ar-JO"/>
        </w:rPr>
        <w:t xml:space="preserve"> as bank’s assets</w:t>
      </w:r>
      <w:r w:rsidR="003E479D">
        <w:rPr>
          <w:lang w:bidi="ar-JO"/>
        </w:rPr>
        <w:t>.</w:t>
      </w:r>
    </w:p>
    <w:p w:rsidR="003E479D" w:rsidRDefault="003E479D" w:rsidP="00DC4A67">
      <w:pPr>
        <w:pStyle w:val="ListParagraph"/>
        <w:numPr>
          <w:ilvl w:val="0"/>
          <w:numId w:val="7"/>
        </w:numPr>
        <w:jc w:val="both"/>
        <w:rPr>
          <w:lang w:bidi="ar-JO"/>
        </w:rPr>
      </w:pPr>
      <w:r>
        <w:rPr>
          <w:lang w:bidi="ar-JO"/>
        </w:rPr>
        <w:t>Stocks and shares in any subsidiary company whether it is a bank or a financial company.</w:t>
      </w:r>
    </w:p>
    <w:p w:rsidR="003E479D" w:rsidRDefault="003E479D" w:rsidP="005C150D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 xml:space="preserve">The bank, which owns stocks or shares as debt repayment, </w:t>
      </w:r>
      <w:r w:rsidR="00EF0D5A">
        <w:rPr>
          <w:lang w:bidi="ar-JO"/>
        </w:rPr>
        <w:t>shall</w:t>
      </w:r>
      <w:r>
        <w:rPr>
          <w:lang w:bidi="ar-JO"/>
        </w:rPr>
        <w:t xml:space="preserve"> dispose these stocks and shares within two years </w:t>
      </w:r>
      <w:r w:rsidR="005C150D">
        <w:rPr>
          <w:lang w:bidi="ar-JO"/>
        </w:rPr>
        <w:t>from</w:t>
      </w:r>
      <w:r>
        <w:rPr>
          <w:lang w:bidi="ar-JO"/>
        </w:rPr>
        <w:t xml:space="preserve"> the date of their ownership acquisition. The Central Bank </w:t>
      </w:r>
      <w:proofErr w:type="gramStart"/>
      <w:r>
        <w:rPr>
          <w:lang w:bidi="ar-JO"/>
        </w:rPr>
        <w:t>may,</w:t>
      </w:r>
      <w:r w:rsidR="00D31710">
        <w:rPr>
          <w:lang w:bidi="ar-JO"/>
        </w:rPr>
        <w:t xml:space="preserve"> </w:t>
      </w:r>
      <w:r>
        <w:rPr>
          <w:lang w:bidi="ar-JO"/>
        </w:rPr>
        <w:t>in exceptional cases, extend</w:t>
      </w:r>
      <w:proofErr w:type="gramEnd"/>
      <w:r>
        <w:rPr>
          <w:lang w:bidi="ar-JO"/>
        </w:rPr>
        <w:t xml:space="preserve"> this period to two consecutive years at most.</w:t>
      </w:r>
    </w:p>
    <w:p w:rsidR="003E479D" w:rsidRDefault="00CA43F0" w:rsidP="005C150D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 xml:space="preserve">Each bank that owns a minimum of (5%) of the stocks and shares in any company’s capital </w:t>
      </w:r>
      <w:r w:rsidR="00EF0D5A">
        <w:rPr>
          <w:lang w:bidi="ar-JO"/>
        </w:rPr>
        <w:t>shall</w:t>
      </w:r>
      <w:r>
        <w:rPr>
          <w:lang w:bidi="ar-JO"/>
        </w:rPr>
        <w:t xml:space="preserve"> report to the Central Bank regarding such ownership of these stocks and shares within fifteen days </w:t>
      </w:r>
      <w:r w:rsidR="005C150D">
        <w:rPr>
          <w:lang w:bidi="ar-JO"/>
        </w:rPr>
        <w:t>from</w:t>
      </w:r>
      <w:r>
        <w:rPr>
          <w:lang w:bidi="ar-JO"/>
        </w:rPr>
        <w:t xml:space="preserve"> the date of their ownership acquisition.</w:t>
      </w:r>
    </w:p>
    <w:p w:rsidR="00CA43F0" w:rsidRDefault="00CA43F0" w:rsidP="00CA43F0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>The Central Bank may place any additional terms it deems appropriate for owning stocks and shares in companies’ capital.</w:t>
      </w:r>
    </w:p>
    <w:p w:rsidR="00CA43F0" w:rsidRDefault="00D31710" w:rsidP="005C150D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 xml:space="preserve">Each bank </w:t>
      </w:r>
      <w:r w:rsidR="00EF0D5A">
        <w:rPr>
          <w:lang w:bidi="ar-JO"/>
        </w:rPr>
        <w:t>shall</w:t>
      </w:r>
      <w:r>
        <w:rPr>
          <w:lang w:bidi="ar-JO"/>
        </w:rPr>
        <w:t xml:space="preserve"> provide the Central Bank with statements (according to the annexed forms) as hardcopies as of the first quarter of 2021, then upload them later on the off-site supervision system on a quarterly basis, </w:t>
      </w:r>
      <w:r w:rsidR="005C150D">
        <w:rPr>
          <w:lang w:bidi="ar-JO"/>
        </w:rPr>
        <w:t xml:space="preserve">no later than </w:t>
      </w:r>
      <w:r>
        <w:rPr>
          <w:lang w:bidi="ar-JO"/>
        </w:rPr>
        <w:t>on the fifteenth of the month following the quarter which these data belong to, as follows:</w:t>
      </w:r>
    </w:p>
    <w:p w:rsidR="00D31710" w:rsidRDefault="00D31710" w:rsidP="00D31710">
      <w:pPr>
        <w:pStyle w:val="ListParagraph"/>
        <w:numPr>
          <w:ilvl w:val="0"/>
          <w:numId w:val="8"/>
        </w:numPr>
        <w:jc w:val="both"/>
        <w:rPr>
          <w:lang w:bidi="ar-JO"/>
        </w:rPr>
      </w:pPr>
      <w:r>
        <w:rPr>
          <w:lang w:bidi="ar-JO"/>
        </w:rPr>
        <w:t>Branches in Jordan and subsidiary companies.</w:t>
      </w:r>
    </w:p>
    <w:p w:rsidR="00D31710" w:rsidRDefault="00E75F45" w:rsidP="005C150D">
      <w:pPr>
        <w:pStyle w:val="ListParagraph"/>
        <w:numPr>
          <w:ilvl w:val="0"/>
          <w:numId w:val="8"/>
        </w:numPr>
        <w:jc w:val="both"/>
        <w:rPr>
          <w:lang w:bidi="ar-JO"/>
        </w:rPr>
      </w:pPr>
      <w:r>
        <w:rPr>
          <w:lang w:bidi="ar-JO"/>
        </w:rPr>
        <w:t xml:space="preserve">The bank </w:t>
      </w:r>
      <w:r w:rsidR="005C150D">
        <w:rPr>
          <w:lang w:bidi="ar-JO"/>
        </w:rPr>
        <w:t>consolidated</w:t>
      </w:r>
      <w:r>
        <w:rPr>
          <w:lang w:bidi="ar-JO"/>
        </w:rPr>
        <w:t xml:space="preserve"> (branches in Jordan, foreign branches, local subsidiary companies, and foreign subsidiary companies*).</w:t>
      </w:r>
    </w:p>
    <w:p w:rsidR="002E1B7A" w:rsidRDefault="002E1B7A" w:rsidP="002077D5">
      <w:pPr>
        <w:pStyle w:val="ListParagraph"/>
        <w:ind w:left="900" w:hanging="180"/>
        <w:jc w:val="both"/>
        <w:rPr>
          <w:lang w:bidi="ar-JO"/>
        </w:rPr>
      </w:pPr>
      <w:r>
        <w:rPr>
          <w:lang w:bidi="ar-JO"/>
        </w:rPr>
        <w:t xml:space="preserve">*Statements of </w:t>
      </w:r>
      <w:r w:rsidR="002077D5">
        <w:rPr>
          <w:lang w:bidi="ar-JO"/>
        </w:rPr>
        <w:t>foreign</w:t>
      </w:r>
      <w:r>
        <w:rPr>
          <w:lang w:bidi="ar-JO"/>
        </w:rPr>
        <w:t xml:space="preserve"> subsidiary companies </w:t>
      </w:r>
      <w:proofErr w:type="gramStart"/>
      <w:r>
        <w:rPr>
          <w:lang w:bidi="ar-JO"/>
        </w:rPr>
        <w:t>are uploaded</w:t>
      </w:r>
      <w:proofErr w:type="gramEnd"/>
      <w:r>
        <w:rPr>
          <w:lang w:bidi="ar-JO"/>
        </w:rPr>
        <w:t xml:space="preserve"> to the off-site supervision system semiannually.</w:t>
      </w:r>
    </w:p>
    <w:p w:rsidR="002E1B7A" w:rsidRDefault="0044678B" w:rsidP="005C150D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 xml:space="preserve">In case of conflict between these instructions and other instructions issued by </w:t>
      </w:r>
      <w:proofErr w:type="gramStart"/>
      <w:r>
        <w:rPr>
          <w:lang w:bidi="ar-JO"/>
        </w:rPr>
        <w:t>parties which</w:t>
      </w:r>
      <w:proofErr w:type="gramEnd"/>
      <w:r>
        <w:rPr>
          <w:lang w:bidi="ar-JO"/>
        </w:rPr>
        <w:t xml:space="preserve"> the bank</w:t>
      </w:r>
      <w:r w:rsidR="005C150D">
        <w:rPr>
          <w:lang w:bidi="ar-JO"/>
        </w:rPr>
        <w:t>,</w:t>
      </w:r>
      <w:r>
        <w:rPr>
          <w:lang w:bidi="ar-JO"/>
        </w:rPr>
        <w:t xml:space="preserve"> its subsidiary company, and the subsidiary’s subsidiary are subject to, the bank </w:t>
      </w:r>
      <w:r w:rsidR="00EF0D5A">
        <w:rPr>
          <w:lang w:bidi="ar-JO"/>
        </w:rPr>
        <w:t>shall</w:t>
      </w:r>
      <w:r>
        <w:rPr>
          <w:lang w:bidi="ar-JO"/>
        </w:rPr>
        <w:t xml:space="preserve"> notify the Central Bank about such conflict and its handling procedure for this conflict.</w:t>
      </w:r>
    </w:p>
    <w:p w:rsidR="0044678B" w:rsidRDefault="009B60C9" w:rsidP="00FC4FAF">
      <w:pPr>
        <w:pStyle w:val="ListParagraph"/>
        <w:numPr>
          <w:ilvl w:val="0"/>
          <w:numId w:val="6"/>
        </w:numPr>
        <w:jc w:val="both"/>
        <w:rPr>
          <w:lang w:bidi="ar-JO"/>
        </w:rPr>
      </w:pPr>
      <w:r>
        <w:rPr>
          <w:lang w:bidi="ar-JO"/>
        </w:rPr>
        <w:t xml:space="preserve">The following regulations </w:t>
      </w:r>
      <w:r w:rsidR="00FC4FAF">
        <w:rPr>
          <w:lang w:bidi="ar-JO"/>
        </w:rPr>
        <w:t>shall not be valid</w:t>
      </w:r>
      <w:r>
        <w:rPr>
          <w:lang w:bidi="ar-JO"/>
        </w:rPr>
        <w:t>:</w:t>
      </w:r>
    </w:p>
    <w:p w:rsidR="009B60C9" w:rsidRDefault="002077D5" w:rsidP="002077D5">
      <w:pPr>
        <w:pStyle w:val="ListParagraph"/>
        <w:numPr>
          <w:ilvl w:val="0"/>
          <w:numId w:val="9"/>
        </w:numPr>
        <w:jc w:val="both"/>
        <w:rPr>
          <w:lang w:bidi="ar-JO"/>
        </w:rPr>
      </w:pPr>
      <w:r>
        <w:rPr>
          <w:lang w:bidi="ar-JO"/>
        </w:rPr>
        <w:t>Circular No. (10/2/1909) dated 14/ 2/ 2010.</w:t>
      </w:r>
    </w:p>
    <w:p w:rsidR="002077D5" w:rsidRDefault="002077D5" w:rsidP="005C150D">
      <w:pPr>
        <w:pStyle w:val="ListParagraph"/>
        <w:numPr>
          <w:ilvl w:val="0"/>
          <w:numId w:val="9"/>
        </w:numPr>
        <w:jc w:val="both"/>
        <w:rPr>
          <w:lang w:bidi="ar-JO"/>
        </w:rPr>
      </w:pPr>
      <w:r w:rsidRPr="002077D5">
        <w:rPr>
          <w:lang w:bidi="ar-JO"/>
        </w:rPr>
        <w:t>Instructions for Banks’ Owning of Stocks and Capital Shares in Companies</w:t>
      </w:r>
      <w:r>
        <w:rPr>
          <w:lang w:bidi="ar-JO"/>
        </w:rPr>
        <w:t xml:space="preserve"> No. (12/ 2002) dated March </w:t>
      </w:r>
      <w:proofErr w:type="gramStart"/>
      <w:r>
        <w:rPr>
          <w:lang w:bidi="ar-JO"/>
        </w:rPr>
        <w:t>27</w:t>
      </w:r>
      <w:r w:rsidRPr="002077D5">
        <w:rPr>
          <w:vertAlign w:val="superscript"/>
          <w:lang w:bidi="ar-JO"/>
        </w:rPr>
        <w:t>th</w:t>
      </w:r>
      <w:proofErr w:type="gramEnd"/>
      <w:r>
        <w:rPr>
          <w:lang w:bidi="ar-JO"/>
        </w:rPr>
        <w:t>, 2002</w:t>
      </w:r>
      <w:r w:rsidR="005C150D">
        <w:rPr>
          <w:lang w:bidi="ar-JO"/>
        </w:rPr>
        <w:t>.</w:t>
      </w:r>
    </w:p>
    <w:p w:rsidR="002077D5" w:rsidRDefault="002077D5" w:rsidP="002077D5">
      <w:pPr>
        <w:pStyle w:val="ListParagraph"/>
        <w:numPr>
          <w:ilvl w:val="0"/>
          <w:numId w:val="9"/>
        </w:numPr>
        <w:jc w:val="both"/>
        <w:rPr>
          <w:lang w:bidi="ar-JO"/>
        </w:rPr>
      </w:pPr>
      <w:r>
        <w:rPr>
          <w:lang w:bidi="ar-JO"/>
        </w:rPr>
        <w:t xml:space="preserve">Instructions of bank’ ownership of insurance companies </w:t>
      </w:r>
      <w:proofErr w:type="gramStart"/>
      <w:r>
        <w:rPr>
          <w:lang w:bidi="ar-JO"/>
        </w:rPr>
        <w:t>No</w:t>
      </w:r>
      <w:proofErr w:type="gramEnd"/>
      <w:r>
        <w:rPr>
          <w:lang w:bidi="ar-JO"/>
        </w:rPr>
        <w:t>. (5 /2000) dated 5/12/2000.</w:t>
      </w:r>
    </w:p>
    <w:p w:rsidR="00623447" w:rsidRPr="001C271D" w:rsidRDefault="00623447" w:rsidP="00623447">
      <w:pPr>
        <w:ind w:left="360"/>
        <w:jc w:val="both"/>
        <w:rPr>
          <w:lang w:bidi="ar-JO"/>
        </w:rPr>
      </w:pPr>
      <w:r>
        <w:rPr>
          <w:lang w:bidi="ar-JO"/>
        </w:rPr>
        <w:t>17. These instructions shall be effective as of their issuance date.</w:t>
      </w:r>
    </w:p>
    <w:p w:rsidR="00623447" w:rsidRDefault="00623447" w:rsidP="00623447">
      <w:pPr>
        <w:pStyle w:val="ListParagraph"/>
        <w:jc w:val="both"/>
        <w:rPr>
          <w:lang w:bidi="ar-JO"/>
        </w:rPr>
      </w:pPr>
    </w:p>
    <w:p w:rsidR="00215242" w:rsidRDefault="00215242" w:rsidP="00D31710">
      <w:pPr>
        <w:pStyle w:val="ListParagraph"/>
        <w:jc w:val="both"/>
        <w:rPr>
          <w:b/>
          <w:bCs/>
          <w:lang w:bidi="ar-JO"/>
        </w:rPr>
      </w:pPr>
    </w:p>
    <w:p w:rsidR="00215242" w:rsidRDefault="00215242" w:rsidP="00D31710">
      <w:pPr>
        <w:pStyle w:val="ListParagraph"/>
        <w:jc w:val="both"/>
        <w:rPr>
          <w:b/>
          <w:bCs/>
          <w:lang w:bidi="ar-JO"/>
        </w:rPr>
      </w:pPr>
    </w:p>
    <w:p w:rsidR="00215242" w:rsidRPr="00103F10" w:rsidRDefault="00215242" w:rsidP="00215242">
      <w:pPr>
        <w:pStyle w:val="ListParagraph"/>
        <w:bidi/>
        <w:jc w:val="both"/>
        <w:rPr>
          <w:b/>
          <w:bCs/>
          <w:lang w:bidi="ar-JO"/>
        </w:rPr>
      </w:pPr>
      <w:r w:rsidRPr="00103F10">
        <w:rPr>
          <w:b/>
          <w:bCs/>
          <w:lang w:bidi="ar-JO"/>
        </w:rPr>
        <w:t>Governor</w:t>
      </w:r>
      <w:r w:rsidRPr="00103F10">
        <w:rPr>
          <w:b/>
          <w:bCs/>
          <w:lang w:bidi="ar-JO"/>
        </w:rPr>
        <w:br/>
        <w:t xml:space="preserve">Dr. </w:t>
      </w:r>
      <w:proofErr w:type="spellStart"/>
      <w:r w:rsidRPr="00103F10">
        <w:rPr>
          <w:b/>
          <w:bCs/>
          <w:lang w:bidi="ar-JO"/>
        </w:rPr>
        <w:t>Ziad</w:t>
      </w:r>
      <w:proofErr w:type="spellEnd"/>
      <w:r w:rsidRPr="00103F10">
        <w:rPr>
          <w:b/>
          <w:bCs/>
          <w:lang w:bidi="ar-JO"/>
        </w:rPr>
        <w:t xml:space="preserve"> </w:t>
      </w:r>
      <w:proofErr w:type="spellStart"/>
      <w:r w:rsidRPr="00103F10">
        <w:rPr>
          <w:b/>
          <w:bCs/>
          <w:lang w:bidi="ar-JO"/>
        </w:rPr>
        <w:t>Fariz</w:t>
      </w:r>
      <w:proofErr w:type="spellEnd"/>
    </w:p>
    <w:p w:rsidR="00215242" w:rsidRDefault="00215242" w:rsidP="00D31710">
      <w:pPr>
        <w:pStyle w:val="ListParagraph"/>
        <w:jc w:val="both"/>
        <w:rPr>
          <w:b/>
          <w:bCs/>
          <w:lang w:bidi="ar-JO"/>
        </w:rPr>
      </w:pPr>
    </w:p>
    <w:p w:rsidR="00215242" w:rsidRDefault="00215242" w:rsidP="00D31710">
      <w:pPr>
        <w:pStyle w:val="ListParagraph"/>
        <w:jc w:val="both"/>
        <w:rPr>
          <w:b/>
          <w:bCs/>
          <w:lang w:bidi="ar-JO"/>
        </w:rPr>
      </w:pPr>
    </w:p>
    <w:p w:rsidR="00623447" w:rsidRPr="00215242" w:rsidRDefault="00623447" w:rsidP="00D31710">
      <w:pPr>
        <w:pStyle w:val="ListParagraph"/>
        <w:jc w:val="both"/>
        <w:rPr>
          <w:b/>
          <w:bCs/>
          <w:lang w:bidi="ar-JO"/>
        </w:rPr>
      </w:pPr>
      <w:r w:rsidRPr="00215242">
        <w:rPr>
          <w:b/>
          <w:bCs/>
          <w:lang w:bidi="ar-JO"/>
        </w:rPr>
        <w:t xml:space="preserve">Statements </w:t>
      </w:r>
      <w:proofErr w:type="gramStart"/>
      <w:r w:rsidRPr="00215242">
        <w:rPr>
          <w:b/>
          <w:bCs/>
          <w:lang w:bidi="ar-JO"/>
        </w:rPr>
        <w:t xml:space="preserve">are </w:t>
      </w:r>
      <w:r w:rsidR="00D31710" w:rsidRPr="00215242">
        <w:rPr>
          <w:b/>
          <w:bCs/>
          <w:lang w:bidi="ar-JO"/>
        </w:rPr>
        <w:t>annexed</w:t>
      </w:r>
      <w:proofErr w:type="gramEnd"/>
      <w:r w:rsidRPr="00215242">
        <w:rPr>
          <w:b/>
          <w:bCs/>
          <w:lang w:bidi="ar-JO"/>
        </w:rPr>
        <w:t>:</w:t>
      </w:r>
    </w:p>
    <w:p w:rsidR="00651192" w:rsidRDefault="00E46D30"/>
    <w:p w:rsidR="004213F9" w:rsidRDefault="004213F9"/>
    <w:p w:rsidR="004213F9" w:rsidRDefault="004213F9">
      <w:pPr>
        <w:sectPr w:rsidR="004213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1149"/>
        <w:gridCol w:w="1131"/>
        <w:gridCol w:w="1040"/>
        <w:gridCol w:w="1040"/>
        <w:gridCol w:w="1202"/>
        <w:gridCol w:w="920"/>
        <w:gridCol w:w="920"/>
        <w:gridCol w:w="1202"/>
        <w:gridCol w:w="1202"/>
        <w:gridCol w:w="1323"/>
        <w:gridCol w:w="916"/>
        <w:gridCol w:w="1009"/>
        <w:gridCol w:w="1009"/>
        <w:gridCol w:w="996"/>
      </w:tblGrid>
      <w:tr w:rsidR="00DC149E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149E" w:rsidRDefault="00DC149E" w:rsidP="00DC149E">
            <w:pPr>
              <w:jc w:val="center"/>
            </w:pPr>
            <w:r w:rsidRPr="00DC149E">
              <w:rPr>
                <w:b/>
                <w:bCs/>
              </w:rPr>
              <w:lastRenderedPageBreak/>
              <w:t>Stock Investments Statement for a bank/ for the bank……………………… on ……</w:t>
            </w:r>
            <w:proofErr w:type="gramStart"/>
            <w:r w:rsidRPr="00DC149E">
              <w:rPr>
                <w:b/>
                <w:bCs/>
              </w:rPr>
              <w:t>…(</w:t>
            </w:r>
            <w:proofErr w:type="gramEnd"/>
            <w:r w:rsidRPr="00DC149E">
              <w:rPr>
                <w:b/>
                <w:bCs/>
              </w:rPr>
              <w:t>Date)……….</w:t>
            </w:r>
          </w:p>
        </w:tc>
      </w:tr>
      <w:tr w:rsidR="00DC149E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49E" w:rsidRPr="00DC149E" w:rsidRDefault="00DC149E" w:rsidP="00D848AE">
            <w:pPr>
              <w:rPr>
                <w:b/>
                <w:bCs/>
              </w:rPr>
            </w:pPr>
            <w:r w:rsidRPr="00DC149E">
              <w:rPr>
                <w:b/>
                <w:bCs/>
              </w:rPr>
              <w:t xml:space="preserve">First: Financial assets </w:t>
            </w:r>
            <w:r w:rsidR="00D848AE">
              <w:rPr>
                <w:b/>
                <w:bCs/>
              </w:rPr>
              <w:t>at</w:t>
            </w:r>
            <w:r w:rsidRPr="00DC149E">
              <w:rPr>
                <w:b/>
                <w:bCs/>
              </w:rPr>
              <w:t xml:space="preserve"> fair value from the </w:t>
            </w:r>
            <w:r w:rsidR="007772F9">
              <w:rPr>
                <w:b/>
                <w:bCs/>
              </w:rPr>
              <w:t>Profit or Loss</w:t>
            </w:r>
            <w:r w:rsidRPr="00DC149E">
              <w:rPr>
                <w:b/>
                <w:bCs/>
              </w:rPr>
              <w:t xml:space="preserve"> Statement (P/L)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(In Jordanian Dinar)</w:t>
            </w:r>
          </w:p>
        </w:tc>
      </w:tr>
      <w:tr w:rsidR="00BE6CFB" w:rsidTr="00076B63">
        <w:trPr>
          <w:trHeight w:val="539"/>
        </w:trPr>
        <w:tc>
          <w:tcPr>
            <w:tcW w:w="1161" w:type="dxa"/>
            <w:tcBorders>
              <w:top w:val="single" w:sz="4" w:space="0" w:color="auto"/>
            </w:tcBorders>
          </w:tcPr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 Name</w:t>
            </w:r>
          </w:p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Company’s Subscribed Capital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Company’s Stocks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Stocks owned by the bank directly invested in the company’s capital</w:t>
            </w:r>
          </w:p>
          <w:p w:rsidR="00DC149E" w:rsidRPr="00DC149E" w:rsidRDefault="00DC149E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DC149E" w:rsidRDefault="001A04C2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indirectly owned by the bank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1A04C2" w:rsidRPr="00DC149E" w:rsidRDefault="001A04C2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DC149E" w:rsidRDefault="001A04C2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directly and indirectly owned by the bank</w:t>
            </w:r>
          </w:p>
          <w:p w:rsidR="001A04C2" w:rsidRDefault="001A04C2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(3)+(4)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P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DC149E" w:rsidRDefault="001A04C2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company’s capital %</w:t>
            </w:r>
          </w:p>
          <w:p w:rsidR="001A04C2" w:rsidRDefault="001A04C2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=(5/2)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P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1A04C2" w:rsidRDefault="001A04C2" w:rsidP="001A04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bank’s capital %</w:t>
            </w:r>
          </w:p>
          <w:p w:rsidR="00DC149E" w:rsidRDefault="001A04C2" w:rsidP="001A04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=(5/bank’s capital)</w:t>
            </w:r>
          </w:p>
          <w:p w:rsidR="005A2873" w:rsidRDefault="005A2873" w:rsidP="001A04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1A04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1A04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Pr="00DC149E" w:rsidRDefault="005A2873" w:rsidP="001A04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(7)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Currency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P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cost of buying the stocks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P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(9)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fair value recorded in the bank’s ledger at the beginning of the current period (beginning of the year)</w:t>
            </w:r>
          </w:p>
          <w:p w:rsidR="005A2873" w:rsidRP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5A2873" w:rsidRDefault="005A2873" w:rsidP="000B395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fair value recorded in the bank’s ledger at the </w:t>
            </w:r>
            <w:r w:rsidR="000B3953">
              <w:rPr>
                <w:b/>
                <w:bCs/>
                <w:sz w:val="18"/>
                <w:szCs w:val="18"/>
              </w:rPr>
              <w:t>end</w:t>
            </w:r>
            <w:r>
              <w:rPr>
                <w:b/>
                <w:bCs/>
                <w:sz w:val="18"/>
                <w:szCs w:val="18"/>
              </w:rPr>
              <w:t xml:space="preserve"> of the current period (</w:t>
            </w:r>
            <w:r w:rsidR="000B3953">
              <w:rPr>
                <w:b/>
                <w:bCs/>
                <w:sz w:val="18"/>
                <w:szCs w:val="18"/>
              </w:rPr>
              <w:t>end</w:t>
            </w:r>
            <w:r>
              <w:rPr>
                <w:b/>
                <w:bCs/>
                <w:sz w:val="18"/>
                <w:szCs w:val="18"/>
              </w:rPr>
              <w:t xml:space="preserve"> of the year)</w:t>
            </w:r>
          </w:p>
          <w:p w:rsidR="00DC149E" w:rsidRPr="00DC149E" w:rsidRDefault="005A2873" w:rsidP="005A287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A2873" w:rsidRPr="00DC149E" w:rsidRDefault="005A2873" w:rsidP="00DC14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(12)</w:t>
            </w:r>
          </w:p>
        </w:tc>
      </w:tr>
      <w:tr w:rsidR="00BE6CFB" w:rsidTr="00076B63">
        <w:trPr>
          <w:trHeight w:val="555"/>
        </w:trPr>
        <w:tc>
          <w:tcPr>
            <w:tcW w:w="1161" w:type="dxa"/>
          </w:tcPr>
          <w:p w:rsidR="00DC149E" w:rsidRPr="00360927" w:rsidRDefault="00360927" w:rsidP="003609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Branches in Jordan and their subsidiaries</w:t>
            </w:r>
          </w:p>
        </w:tc>
        <w:tc>
          <w:tcPr>
            <w:tcW w:w="92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6CFB" w:rsidTr="00076B63">
        <w:trPr>
          <w:trHeight w:val="287"/>
        </w:trPr>
        <w:tc>
          <w:tcPr>
            <w:tcW w:w="1161" w:type="dxa"/>
          </w:tcPr>
          <w:p w:rsidR="00DC149E" w:rsidRPr="00360927" w:rsidRDefault="00DC149E" w:rsidP="00360927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6CFB" w:rsidTr="00076B63">
        <w:trPr>
          <w:trHeight w:val="332"/>
        </w:trPr>
        <w:tc>
          <w:tcPr>
            <w:tcW w:w="1161" w:type="dxa"/>
          </w:tcPr>
          <w:p w:rsidR="00DC149E" w:rsidRPr="00360927" w:rsidRDefault="00360927" w:rsidP="003609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 w:rsidRPr="00360927">
              <w:rPr>
                <w:sz w:val="18"/>
                <w:szCs w:val="18"/>
              </w:rPr>
              <w:t>Foreign Branches</w:t>
            </w:r>
          </w:p>
        </w:tc>
        <w:tc>
          <w:tcPr>
            <w:tcW w:w="92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6CFB" w:rsidTr="00076B63">
        <w:trPr>
          <w:trHeight w:val="350"/>
        </w:trPr>
        <w:tc>
          <w:tcPr>
            <w:tcW w:w="1161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6CFB" w:rsidTr="00076B63">
        <w:trPr>
          <w:trHeight w:val="323"/>
        </w:trPr>
        <w:tc>
          <w:tcPr>
            <w:tcW w:w="1161" w:type="dxa"/>
          </w:tcPr>
          <w:p w:rsidR="00DC149E" w:rsidRPr="00DC149E" w:rsidRDefault="00360927" w:rsidP="00360927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 (A+B)</w:t>
            </w:r>
          </w:p>
        </w:tc>
        <w:tc>
          <w:tcPr>
            <w:tcW w:w="92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DC149E" w:rsidRPr="00DC149E" w:rsidRDefault="00DC149E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Tr="00076B63">
        <w:trPr>
          <w:trHeight w:val="323"/>
        </w:trPr>
        <w:tc>
          <w:tcPr>
            <w:tcW w:w="1161" w:type="dxa"/>
          </w:tcPr>
          <w:p w:rsidR="00360927" w:rsidRDefault="00360927" w:rsidP="00360927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60927" w:rsidTr="00076B63">
        <w:trPr>
          <w:trHeight w:val="539"/>
        </w:trPr>
        <w:tc>
          <w:tcPr>
            <w:tcW w:w="1161" w:type="dxa"/>
          </w:tcPr>
          <w:p w:rsidR="00360927" w:rsidRDefault="00360927" w:rsidP="003609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Subsidiary Companies</w:t>
            </w:r>
          </w:p>
        </w:tc>
        <w:tc>
          <w:tcPr>
            <w:tcW w:w="92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Tr="00076B63">
        <w:trPr>
          <w:trHeight w:val="170"/>
        </w:trPr>
        <w:tc>
          <w:tcPr>
            <w:tcW w:w="1161" w:type="dxa"/>
          </w:tcPr>
          <w:p w:rsidR="00360927" w:rsidRDefault="00360927" w:rsidP="00360927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360927" w:rsidRPr="00DC149E" w:rsidRDefault="00360927" w:rsidP="00DC14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Tr="00076B63">
        <w:trPr>
          <w:trHeight w:val="539"/>
        </w:trPr>
        <w:tc>
          <w:tcPr>
            <w:tcW w:w="1161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 (A+B</w:t>
            </w:r>
            <w:r w:rsidR="000B3953">
              <w:rPr>
                <w:sz w:val="18"/>
                <w:szCs w:val="18"/>
              </w:rPr>
              <w:t>+C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60927" w:rsidRPr="00DC149E" w:rsidRDefault="00360927" w:rsidP="0036092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08A0" w:rsidTr="00076B63">
        <w:trPr>
          <w:trHeight w:val="539"/>
        </w:trPr>
        <w:tc>
          <w:tcPr>
            <w:tcW w:w="146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8A0" w:rsidRPr="00B87F51" w:rsidRDefault="004008A0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 Distributed according to the sectors approved in the financial market.</w:t>
            </w:r>
          </w:p>
          <w:p w:rsidR="004008A0" w:rsidRDefault="004008A0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**According to the bank’s shareholding ratio in its subsidiary companies (inside and outside the kingdom) x the number of shares owned by the bank’s subsidiary company in the invested company’s capital, the same is applicable on the companies that are subsidiaries to the subsidiary.</w:t>
            </w:r>
          </w:p>
          <w:p w:rsidR="00B87F51" w:rsidRDefault="00B87F51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Signature of an Authorized Signatory:</w:t>
            </w:r>
          </w:p>
          <w:p w:rsidR="00B87F51" w:rsidRDefault="00B87F51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Official Seal:</w:t>
            </w:r>
          </w:p>
          <w:p w:rsidR="00B87F51" w:rsidRPr="00B87F51" w:rsidRDefault="00B87F51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Date:</w:t>
            </w:r>
          </w:p>
          <w:p w:rsidR="004008A0" w:rsidRPr="004008A0" w:rsidRDefault="004008A0" w:rsidP="004008A0">
            <w:pPr>
              <w:pStyle w:val="ListParagraph"/>
              <w:spacing w:after="0" w:line="240" w:lineRule="auto"/>
              <w:ind w:left="1440"/>
              <w:rPr>
                <w:sz w:val="28"/>
                <w:szCs w:val="28"/>
                <w:vertAlign w:val="superscript"/>
              </w:rPr>
            </w:pPr>
          </w:p>
        </w:tc>
      </w:tr>
      <w:tr w:rsidR="00F4726E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4726E" w:rsidRDefault="00F4726E" w:rsidP="00521B8C">
            <w:pPr>
              <w:jc w:val="center"/>
            </w:pPr>
            <w:r w:rsidRPr="00DC149E">
              <w:rPr>
                <w:b/>
                <w:bCs/>
              </w:rPr>
              <w:lastRenderedPageBreak/>
              <w:t>Stock Investments Statement for a bank/ for the bank……………………… on ……</w:t>
            </w:r>
            <w:proofErr w:type="gramStart"/>
            <w:r w:rsidRPr="00DC149E">
              <w:rPr>
                <w:b/>
                <w:bCs/>
              </w:rPr>
              <w:t>…(</w:t>
            </w:r>
            <w:proofErr w:type="gramEnd"/>
            <w:r w:rsidRPr="00DC149E">
              <w:rPr>
                <w:b/>
                <w:bCs/>
              </w:rPr>
              <w:t>Date)……….</w:t>
            </w:r>
          </w:p>
        </w:tc>
      </w:tr>
      <w:tr w:rsidR="00F4726E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26E" w:rsidRPr="00DC149E" w:rsidRDefault="00F4726E" w:rsidP="00D848AE">
            <w:pPr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Pr="00DC149E">
              <w:rPr>
                <w:b/>
                <w:bCs/>
              </w:rPr>
              <w:t xml:space="preserve">: Financial assets </w:t>
            </w:r>
            <w:r w:rsidR="00D848AE">
              <w:rPr>
                <w:b/>
                <w:bCs/>
              </w:rPr>
              <w:t>at</w:t>
            </w:r>
            <w:r w:rsidRPr="00DC149E">
              <w:rPr>
                <w:b/>
                <w:bCs/>
              </w:rPr>
              <w:t xml:space="preserve"> fair value </w:t>
            </w:r>
            <w:r>
              <w:rPr>
                <w:b/>
                <w:bCs/>
              </w:rPr>
              <w:t>through the Other Comprehensive Income Statement</w:t>
            </w:r>
            <w:r w:rsidRPr="00DC149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OCI</w:t>
            </w:r>
            <w:r w:rsidRPr="00DC149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                                                                       (In Jordanian Dinar)</w:t>
            </w:r>
          </w:p>
        </w:tc>
      </w:tr>
      <w:tr w:rsidR="00ED0F03" w:rsidTr="00076B63">
        <w:trPr>
          <w:trHeight w:val="539"/>
        </w:trPr>
        <w:tc>
          <w:tcPr>
            <w:tcW w:w="1161" w:type="dxa"/>
            <w:tcBorders>
              <w:top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 Name</w:t>
            </w: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Company’s Subscribed Capital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Company’s Stocks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Stocks owned by the bank directly invested in the company’s capital</w:t>
            </w: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indirectly owned by the bank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directly and indirectly owned by the bank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(3)+(4)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company’s capital %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=(5/2)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bank’s capital %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=(5/bank’s capital)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(7)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Currency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cost of buying the stocks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(9)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fair value recorded in the bank’s ledger at the beginning of the current period (beginning of the year)</w:t>
            </w: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F4726E" w:rsidRDefault="00F4726E" w:rsidP="000B395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fair value recorded in the bank’s ledger at the </w:t>
            </w:r>
            <w:r w:rsidR="000B3953">
              <w:rPr>
                <w:b/>
                <w:bCs/>
                <w:sz w:val="18"/>
                <w:szCs w:val="18"/>
              </w:rPr>
              <w:t>end</w:t>
            </w:r>
            <w:r>
              <w:rPr>
                <w:b/>
                <w:bCs/>
                <w:sz w:val="18"/>
                <w:szCs w:val="18"/>
              </w:rPr>
              <w:t xml:space="preserve"> of the current period (</w:t>
            </w:r>
            <w:r w:rsidR="000B3953">
              <w:rPr>
                <w:b/>
                <w:bCs/>
                <w:sz w:val="18"/>
                <w:szCs w:val="18"/>
              </w:rPr>
              <w:t>end</w:t>
            </w:r>
            <w:r>
              <w:rPr>
                <w:b/>
                <w:bCs/>
                <w:sz w:val="18"/>
                <w:szCs w:val="18"/>
              </w:rPr>
              <w:t xml:space="preserve"> of the year)</w:t>
            </w: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4726E" w:rsidRPr="00DC149E" w:rsidRDefault="00F4726E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(12)</w:t>
            </w:r>
          </w:p>
        </w:tc>
      </w:tr>
      <w:tr w:rsidR="00ED0F03" w:rsidTr="00076B63">
        <w:trPr>
          <w:trHeight w:val="555"/>
        </w:trPr>
        <w:tc>
          <w:tcPr>
            <w:tcW w:w="1161" w:type="dxa"/>
          </w:tcPr>
          <w:p w:rsidR="00F4726E" w:rsidRPr="00360927" w:rsidRDefault="00F4726E" w:rsidP="00D53A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Branches in Jordan and their subsidiaries</w:t>
            </w: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170"/>
        </w:trPr>
        <w:tc>
          <w:tcPr>
            <w:tcW w:w="1161" w:type="dxa"/>
          </w:tcPr>
          <w:p w:rsidR="00F4726E" w:rsidRPr="00360927" w:rsidRDefault="00F4726E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422"/>
        </w:trPr>
        <w:tc>
          <w:tcPr>
            <w:tcW w:w="1161" w:type="dxa"/>
          </w:tcPr>
          <w:p w:rsidR="00F4726E" w:rsidRPr="00360927" w:rsidRDefault="00F4726E" w:rsidP="00D53A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 w:rsidRPr="00360927">
              <w:rPr>
                <w:sz w:val="18"/>
                <w:szCs w:val="18"/>
              </w:rPr>
              <w:t>Foreign Branches</w:t>
            </w: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350"/>
        </w:trPr>
        <w:tc>
          <w:tcPr>
            <w:tcW w:w="1161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413"/>
        </w:trPr>
        <w:tc>
          <w:tcPr>
            <w:tcW w:w="1161" w:type="dxa"/>
          </w:tcPr>
          <w:p w:rsidR="00F4726E" w:rsidRPr="00DC149E" w:rsidRDefault="00F4726E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 (A+B)</w:t>
            </w: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323"/>
        </w:trPr>
        <w:tc>
          <w:tcPr>
            <w:tcW w:w="1161" w:type="dxa"/>
          </w:tcPr>
          <w:p w:rsidR="00F4726E" w:rsidRDefault="00F4726E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539"/>
        </w:trPr>
        <w:tc>
          <w:tcPr>
            <w:tcW w:w="1161" w:type="dxa"/>
          </w:tcPr>
          <w:p w:rsidR="00F4726E" w:rsidRDefault="00F4726E" w:rsidP="00D53A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Subsidiary Companies</w:t>
            </w: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260"/>
        </w:trPr>
        <w:tc>
          <w:tcPr>
            <w:tcW w:w="1161" w:type="dxa"/>
          </w:tcPr>
          <w:p w:rsidR="00F4726E" w:rsidRDefault="00F4726E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539"/>
        </w:trPr>
        <w:tc>
          <w:tcPr>
            <w:tcW w:w="1161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 (A+B</w:t>
            </w:r>
            <w:r w:rsidR="000B3953">
              <w:rPr>
                <w:sz w:val="18"/>
                <w:szCs w:val="18"/>
              </w:rPr>
              <w:t>+C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4726E" w:rsidRPr="00DC149E" w:rsidRDefault="00F4726E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4726E" w:rsidTr="00076B63">
        <w:trPr>
          <w:trHeight w:val="539"/>
        </w:trPr>
        <w:tc>
          <w:tcPr>
            <w:tcW w:w="146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26E" w:rsidRPr="00B87F51" w:rsidRDefault="00F4726E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 Distributed according to the sectors approved in the financial market.</w:t>
            </w:r>
          </w:p>
          <w:p w:rsidR="00F4726E" w:rsidRDefault="00F4726E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**According to the bank’s shareholding ratio in its subsidiary companies (inside and outside the kingdom) x the number of shares owned by the bank’s subsidiary company in the invested company’s capital, the same is applicable on the companies that are subsidiaries to the subsidiary.</w:t>
            </w:r>
          </w:p>
          <w:p w:rsidR="00F4726E" w:rsidRDefault="00F4726E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Signature of an Authorized Signatory:</w:t>
            </w:r>
          </w:p>
          <w:p w:rsidR="00F4726E" w:rsidRDefault="00F4726E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Official Seal:</w:t>
            </w:r>
          </w:p>
          <w:p w:rsidR="00F4726E" w:rsidRPr="00B87F51" w:rsidRDefault="00F4726E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Date:</w:t>
            </w:r>
          </w:p>
          <w:p w:rsidR="00F4726E" w:rsidRPr="004008A0" w:rsidRDefault="00F4726E" w:rsidP="00D53A92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</w:p>
        </w:tc>
      </w:tr>
      <w:tr w:rsidR="005668D5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668D5" w:rsidRDefault="005668D5" w:rsidP="00521B8C">
            <w:pPr>
              <w:jc w:val="center"/>
            </w:pPr>
            <w:r w:rsidRPr="00DC149E">
              <w:rPr>
                <w:b/>
                <w:bCs/>
              </w:rPr>
              <w:lastRenderedPageBreak/>
              <w:t>Investments</w:t>
            </w:r>
            <w:r>
              <w:rPr>
                <w:b/>
                <w:bCs/>
              </w:rPr>
              <w:t>/ Investment Funds</w:t>
            </w:r>
            <w:r w:rsidRPr="00DC149E">
              <w:rPr>
                <w:b/>
                <w:bCs/>
              </w:rPr>
              <w:t xml:space="preserve"> Statement for a bank/ for the bank……………………… on ……</w:t>
            </w:r>
            <w:proofErr w:type="gramStart"/>
            <w:r w:rsidRPr="00DC149E">
              <w:rPr>
                <w:b/>
                <w:bCs/>
              </w:rPr>
              <w:t>…(</w:t>
            </w:r>
            <w:proofErr w:type="gramEnd"/>
            <w:r w:rsidRPr="00DC149E">
              <w:rPr>
                <w:b/>
                <w:bCs/>
              </w:rPr>
              <w:t>Date)……….</w:t>
            </w:r>
          </w:p>
        </w:tc>
      </w:tr>
      <w:tr w:rsidR="005668D5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8D5" w:rsidRPr="00DC149E" w:rsidRDefault="005668D5" w:rsidP="005668D5">
            <w:pPr>
              <w:rPr>
                <w:b/>
                <w:bCs/>
              </w:rPr>
            </w:pPr>
            <w:r>
              <w:rPr>
                <w:b/>
                <w:bCs/>
              </w:rPr>
              <w:t>Third</w:t>
            </w:r>
            <w:r w:rsidRPr="00DC149E">
              <w:rPr>
                <w:b/>
                <w:bCs/>
              </w:rPr>
              <w:t xml:space="preserve">: Financial assets </w:t>
            </w:r>
            <w:r>
              <w:rPr>
                <w:b/>
                <w:bCs/>
              </w:rPr>
              <w:t>at</w:t>
            </w:r>
            <w:r w:rsidRPr="00DC149E">
              <w:rPr>
                <w:b/>
                <w:bCs/>
              </w:rPr>
              <w:t xml:space="preserve"> fair value from the </w:t>
            </w:r>
            <w:r>
              <w:rPr>
                <w:b/>
                <w:bCs/>
              </w:rPr>
              <w:t>Profit or Loss</w:t>
            </w:r>
            <w:r w:rsidRPr="00DC149E">
              <w:rPr>
                <w:b/>
                <w:bCs/>
              </w:rPr>
              <w:t xml:space="preserve"> Statement (P/L)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(In Jordanian Dinar)</w:t>
            </w:r>
          </w:p>
        </w:tc>
      </w:tr>
      <w:tr w:rsidR="00ED0F03" w:rsidTr="00076B63">
        <w:trPr>
          <w:trHeight w:val="539"/>
        </w:trPr>
        <w:tc>
          <w:tcPr>
            <w:tcW w:w="1161" w:type="dxa"/>
            <w:tcBorders>
              <w:top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 Name</w:t>
            </w: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Company’s Subscribed Capital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Company’s Stocks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Stocks owned by the bank directly invested in the company’s capital</w:t>
            </w: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indirectly owned by the bank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directly and indirectly owned by the bank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(3)+(4)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company’s capital %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=(5/2)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bank’s capital %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=(5/bank’s capital)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(7)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Currency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cost of buying the stocks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(9)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fair value recorded in the bank’s ledger at the beginning of the current period (beginning of the year)</w:t>
            </w: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fair value recorded in the bank’s ledger at the beginning of the current period (beginning of the year)</w:t>
            </w: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668D5" w:rsidRPr="00DC149E" w:rsidRDefault="005668D5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(12)</w:t>
            </w:r>
          </w:p>
        </w:tc>
      </w:tr>
      <w:tr w:rsidR="00ED0F03" w:rsidTr="00076B63">
        <w:trPr>
          <w:trHeight w:val="555"/>
        </w:trPr>
        <w:tc>
          <w:tcPr>
            <w:tcW w:w="1161" w:type="dxa"/>
          </w:tcPr>
          <w:p w:rsidR="005668D5" w:rsidRPr="00360927" w:rsidRDefault="005668D5" w:rsidP="00D53A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Branches in Jordan and their subsidiaries</w:t>
            </w: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287"/>
        </w:trPr>
        <w:tc>
          <w:tcPr>
            <w:tcW w:w="1161" w:type="dxa"/>
          </w:tcPr>
          <w:p w:rsidR="005668D5" w:rsidRPr="00360927" w:rsidRDefault="005668D5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422"/>
        </w:trPr>
        <w:tc>
          <w:tcPr>
            <w:tcW w:w="1161" w:type="dxa"/>
          </w:tcPr>
          <w:p w:rsidR="005668D5" w:rsidRPr="00360927" w:rsidRDefault="005668D5" w:rsidP="00D53A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 w:rsidRPr="00360927">
              <w:rPr>
                <w:sz w:val="18"/>
                <w:szCs w:val="18"/>
              </w:rPr>
              <w:t>Foreign Branches</w:t>
            </w: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350"/>
        </w:trPr>
        <w:tc>
          <w:tcPr>
            <w:tcW w:w="1161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323"/>
        </w:trPr>
        <w:tc>
          <w:tcPr>
            <w:tcW w:w="1161" w:type="dxa"/>
          </w:tcPr>
          <w:p w:rsidR="005668D5" w:rsidRPr="00DC149E" w:rsidRDefault="005668D5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 (A+B)</w:t>
            </w: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323"/>
        </w:trPr>
        <w:tc>
          <w:tcPr>
            <w:tcW w:w="1161" w:type="dxa"/>
          </w:tcPr>
          <w:p w:rsidR="005668D5" w:rsidRDefault="005668D5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539"/>
        </w:trPr>
        <w:tc>
          <w:tcPr>
            <w:tcW w:w="1161" w:type="dxa"/>
          </w:tcPr>
          <w:p w:rsidR="005668D5" w:rsidRDefault="005668D5" w:rsidP="00D53A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Subsidiary Companies</w:t>
            </w: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215"/>
        </w:trPr>
        <w:tc>
          <w:tcPr>
            <w:tcW w:w="1161" w:type="dxa"/>
          </w:tcPr>
          <w:p w:rsidR="005668D5" w:rsidRDefault="005668D5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0F03" w:rsidTr="00076B63">
        <w:trPr>
          <w:trHeight w:val="539"/>
        </w:trPr>
        <w:tc>
          <w:tcPr>
            <w:tcW w:w="1161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 (A+B</w:t>
            </w:r>
            <w:r w:rsidR="000B3953">
              <w:rPr>
                <w:sz w:val="18"/>
                <w:szCs w:val="18"/>
              </w:rPr>
              <w:t>+C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668D5" w:rsidRPr="00DC149E" w:rsidRDefault="005668D5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D5" w:rsidTr="00076B63">
        <w:trPr>
          <w:trHeight w:val="539"/>
        </w:trPr>
        <w:tc>
          <w:tcPr>
            <w:tcW w:w="146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8D5" w:rsidRPr="00B87F51" w:rsidRDefault="005668D5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 Distributed according to the sectors approved in the financial market.</w:t>
            </w:r>
          </w:p>
          <w:p w:rsidR="005668D5" w:rsidRDefault="005668D5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**According to the bank’s shareholding ratio in its subsidiary companies (inside and outside the kingdom) x the number of shares owned by the bank’s subsidiary company in the invested company’s capital, the same is applicable on the companies that are subsidiaries to the subsidiary.</w:t>
            </w:r>
          </w:p>
          <w:p w:rsidR="005668D5" w:rsidRDefault="005668D5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Signature of an Authorized Signatory:</w:t>
            </w:r>
          </w:p>
          <w:p w:rsidR="005668D5" w:rsidRDefault="005668D5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Official Seal:</w:t>
            </w:r>
          </w:p>
          <w:p w:rsidR="005668D5" w:rsidRPr="00B87F51" w:rsidRDefault="005668D5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Date:</w:t>
            </w:r>
          </w:p>
          <w:p w:rsidR="005668D5" w:rsidRPr="004008A0" w:rsidRDefault="005668D5" w:rsidP="00521B8C">
            <w:pPr>
              <w:pStyle w:val="ListParagraph"/>
              <w:spacing w:after="0" w:line="240" w:lineRule="auto"/>
              <w:ind w:left="1440"/>
              <w:rPr>
                <w:sz w:val="28"/>
                <w:szCs w:val="28"/>
                <w:vertAlign w:val="superscript"/>
              </w:rPr>
            </w:pPr>
          </w:p>
        </w:tc>
      </w:tr>
      <w:tr w:rsidR="00076B63" w:rsidTr="00521B8C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6B63" w:rsidRDefault="00076B63" w:rsidP="00521B8C">
            <w:pPr>
              <w:jc w:val="center"/>
            </w:pPr>
            <w:r>
              <w:lastRenderedPageBreak/>
              <w:br w:type="page"/>
            </w:r>
            <w:r w:rsidRPr="00DC149E">
              <w:rPr>
                <w:b/>
                <w:bCs/>
              </w:rPr>
              <w:t>Investments</w:t>
            </w:r>
            <w:r>
              <w:rPr>
                <w:b/>
                <w:bCs/>
              </w:rPr>
              <w:t>/ Investment Funds</w:t>
            </w:r>
            <w:r w:rsidRPr="00DC149E">
              <w:rPr>
                <w:b/>
                <w:bCs/>
              </w:rPr>
              <w:t xml:space="preserve"> Statement for a bank/ for the bank……………………… on ……</w:t>
            </w:r>
            <w:proofErr w:type="gramStart"/>
            <w:r w:rsidRPr="00DC149E">
              <w:rPr>
                <w:b/>
                <w:bCs/>
              </w:rPr>
              <w:t>…(</w:t>
            </w:r>
            <w:proofErr w:type="gramEnd"/>
            <w:r w:rsidRPr="00DC149E">
              <w:rPr>
                <w:b/>
                <w:bCs/>
              </w:rPr>
              <w:t>Date)……….</w:t>
            </w:r>
          </w:p>
        </w:tc>
      </w:tr>
      <w:tr w:rsidR="00076B63" w:rsidRPr="00DC149E" w:rsidTr="00521B8C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B63" w:rsidRPr="00DC149E" w:rsidRDefault="00076B63" w:rsidP="00076B63">
            <w:pPr>
              <w:rPr>
                <w:b/>
                <w:bCs/>
              </w:rPr>
            </w:pPr>
            <w:r>
              <w:rPr>
                <w:b/>
                <w:bCs/>
              </w:rPr>
              <w:t>Fourth</w:t>
            </w:r>
            <w:r w:rsidRPr="00DC149E">
              <w:rPr>
                <w:b/>
                <w:bCs/>
              </w:rPr>
              <w:t xml:space="preserve">: Financial assets </w:t>
            </w:r>
            <w:r>
              <w:rPr>
                <w:b/>
                <w:bCs/>
              </w:rPr>
              <w:t>at</w:t>
            </w:r>
            <w:r w:rsidRPr="00DC149E">
              <w:rPr>
                <w:b/>
                <w:bCs/>
              </w:rPr>
              <w:t xml:space="preserve"> fair value </w:t>
            </w:r>
            <w:r>
              <w:rPr>
                <w:b/>
                <w:bCs/>
              </w:rPr>
              <w:t>through the Other Comprehensive Income Statement</w:t>
            </w:r>
            <w:r w:rsidRPr="00DC149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OCI</w:t>
            </w:r>
            <w:r w:rsidRPr="00DC149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                                                                       (In Jordanian Dinar)</w:t>
            </w:r>
          </w:p>
        </w:tc>
      </w:tr>
      <w:tr w:rsidR="00076B63" w:rsidRPr="00DC149E" w:rsidTr="00521B8C">
        <w:trPr>
          <w:trHeight w:val="539"/>
        </w:trPr>
        <w:tc>
          <w:tcPr>
            <w:tcW w:w="1161" w:type="dxa"/>
            <w:tcBorders>
              <w:top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 Name</w:t>
            </w: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Company’s Subscribed Capital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Company’s Stocks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Stocks owned by the bank directly invested in the company’s capital</w:t>
            </w: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indirectly owned by the bank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stocks directly and indirectly owned by the bank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(3)+(4)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company’s capital %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=(5/2)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bank’s capital %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=(5/bank’s capital)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(7)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Currency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cost of buying the stocks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(9)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fair value recorded in the bank’s ledger at the beginning of the current period (beginning of the year)</w:t>
            </w: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fair value recorded in the bank’s ledger at the beginning of the current period (beginning of the year)</w:t>
            </w: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6B63" w:rsidRPr="00DC149E" w:rsidRDefault="00076B63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(12)</w:t>
            </w:r>
          </w:p>
        </w:tc>
      </w:tr>
      <w:tr w:rsidR="00076B63" w:rsidRPr="00DC149E" w:rsidTr="00521B8C">
        <w:trPr>
          <w:trHeight w:val="555"/>
        </w:trPr>
        <w:tc>
          <w:tcPr>
            <w:tcW w:w="1161" w:type="dxa"/>
          </w:tcPr>
          <w:p w:rsidR="00076B63" w:rsidRPr="00360927" w:rsidRDefault="00076B63" w:rsidP="000B39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Branches in Jordan and their subsidiaries</w:t>
            </w: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287"/>
        </w:trPr>
        <w:tc>
          <w:tcPr>
            <w:tcW w:w="1161" w:type="dxa"/>
          </w:tcPr>
          <w:p w:rsidR="00076B63" w:rsidRPr="00360927" w:rsidRDefault="00076B63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422"/>
        </w:trPr>
        <w:tc>
          <w:tcPr>
            <w:tcW w:w="1161" w:type="dxa"/>
          </w:tcPr>
          <w:p w:rsidR="00076B63" w:rsidRPr="00360927" w:rsidRDefault="00076B63" w:rsidP="000B39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 w:rsidRPr="00360927">
              <w:rPr>
                <w:sz w:val="18"/>
                <w:szCs w:val="18"/>
              </w:rPr>
              <w:t>Foreign Branches</w:t>
            </w: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350"/>
        </w:trPr>
        <w:tc>
          <w:tcPr>
            <w:tcW w:w="1161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323"/>
        </w:trPr>
        <w:tc>
          <w:tcPr>
            <w:tcW w:w="1161" w:type="dxa"/>
          </w:tcPr>
          <w:p w:rsidR="00076B63" w:rsidRPr="00DC149E" w:rsidRDefault="00076B63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 (A+B)</w:t>
            </w: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323"/>
        </w:trPr>
        <w:tc>
          <w:tcPr>
            <w:tcW w:w="1161" w:type="dxa"/>
          </w:tcPr>
          <w:p w:rsidR="00076B63" w:rsidRDefault="00076B63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539"/>
        </w:trPr>
        <w:tc>
          <w:tcPr>
            <w:tcW w:w="1161" w:type="dxa"/>
          </w:tcPr>
          <w:p w:rsidR="00076B63" w:rsidRDefault="00076B63" w:rsidP="000B39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Subsidiary Companies</w:t>
            </w: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215"/>
        </w:trPr>
        <w:tc>
          <w:tcPr>
            <w:tcW w:w="1161" w:type="dxa"/>
          </w:tcPr>
          <w:p w:rsidR="00076B63" w:rsidRDefault="00076B63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DC149E" w:rsidTr="00521B8C">
        <w:trPr>
          <w:trHeight w:val="539"/>
        </w:trPr>
        <w:tc>
          <w:tcPr>
            <w:tcW w:w="1161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 (A+B</w:t>
            </w:r>
            <w:r w:rsidR="000B3953">
              <w:rPr>
                <w:sz w:val="18"/>
                <w:szCs w:val="18"/>
              </w:rPr>
              <w:t>+C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76B63" w:rsidRPr="00DC149E" w:rsidRDefault="00076B63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4008A0" w:rsidTr="00521B8C">
        <w:trPr>
          <w:trHeight w:val="539"/>
        </w:trPr>
        <w:tc>
          <w:tcPr>
            <w:tcW w:w="146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B63" w:rsidRPr="00B87F51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 Distributed according to the sectors approved in the financial market.</w:t>
            </w:r>
          </w:p>
          <w:p w:rsidR="00076B63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**According to the bank’s shareholding ratio in its subsidiary companies (inside and outside the kingdom) x the number of shares owned by the bank’s subsidiary company in the invested company’s capital, the same is applicable on the companies that are subsidiaries to the subsidiary.</w:t>
            </w:r>
          </w:p>
          <w:p w:rsidR="00076B63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Signature of an Authorized Signatory:</w:t>
            </w:r>
          </w:p>
          <w:p w:rsidR="00076B63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Official Seal:</w:t>
            </w:r>
          </w:p>
          <w:p w:rsidR="00076B63" w:rsidRPr="00B87F51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Date:</w:t>
            </w:r>
          </w:p>
          <w:p w:rsidR="00076B63" w:rsidRPr="004008A0" w:rsidRDefault="00076B63" w:rsidP="00521B8C">
            <w:pPr>
              <w:pStyle w:val="ListParagraph"/>
              <w:spacing w:after="0" w:line="240" w:lineRule="auto"/>
              <w:ind w:left="1440"/>
              <w:rPr>
                <w:sz w:val="28"/>
                <w:szCs w:val="28"/>
                <w:vertAlign w:val="superscript"/>
              </w:rPr>
            </w:pPr>
          </w:p>
        </w:tc>
      </w:tr>
      <w:tr w:rsidR="00C8193C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193C" w:rsidRDefault="00C8193C" w:rsidP="00BD081B">
            <w:pPr>
              <w:jc w:val="center"/>
            </w:pPr>
            <w:r w:rsidRPr="00DC149E">
              <w:rPr>
                <w:b/>
                <w:bCs/>
              </w:rPr>
              <w:lastRenderedPageBreak/>
              <w:t>Investments Statement for a bank/ for the bank……………………… on ……</w:t>
            </w:r>
            <w:proofErr w:type="gramStart"/>
            <w:r w:rsidRPr="00DC149E">
              <w:rPr>
                <w:b/>
                <w:bCs/>
              </w:rPr>
              <w:t>…(</w:t>
            </w:r>
            <w:proofErr w:type="gramEnd"/>
            <w:r w:rsidRPr="00DC149E">
              <w:rPr>
                <w:b/>
                <w:bCs/>
              </w:rPr>
              <w:t>Date)……….</w:t>
            </w:r>
          </w:p>
        </w:tc>
      </w:tr>
      <w:tr w:rsidR="00C8193C" w:rsidRPr="00DC149E" w:rsidTr="00076B63">
        <w:trPr>
          <w:trHeight w:val="555"/>
        </w:trPr>
        <w:tc>
          <w:tcPr>
            <w:tcW w:w="14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93C" w:rsidRPr="00DC149E" w:rsidRDefault="00C8193C" w:rsidP="00BD081B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BD081B">
              <w:rPr>
                <w:b/>
                <w:bCs/>
              </w:rPr>
              <w:t>if</w:t>
            </w:r>
            <w:r>
              <w:rPr>
                <w:b/>
                <w:bCs/>
              </w:rPr>
              <w:t>th</w:t>
            </w:r>
            <w:r w:rsidRPr="00DC149E">
              <w:rPr>
                <w:b/>
                <w:bCs/>
              </w:rPr>
              <w:t xml:space="preserve">: </w:t>
            </w:r>
            <w:r w:rsidR="00BD081B">
              <w:rPr>
                <w:b/>
                <w:bCs/>
              </w:rPr>
              <w:t xml:space="preserve">Bank’s investments in the subsidiary companies capital/ investments in subsidiary companies of the subsidiary                                   </w:t>
            </w:r>
            <w:r>
              <w:rPr>
                <w:b/>
                <w:bCs/>
              </w:rPr>
              <w:t>(In Jordanian Dinar)</w:t>
            </w:r>
          </w:p>
        </w:tc>
      </w:tr>
      <w:tr w:rsidR="00AE629B" w:rsidRPr="00DC149E" w:rsidTr="00A631D4">
        <w:trPr>
          <w:trHeight w:val="1095"/>
        </w:trPr>
        <w:tc>
          <w:tcPr>
            <w:tcW w:w="1161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 Name</w:t>
            </w: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Company’s Subscribed Capital</w:t>
            </w:r>
          </w:p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E629B" w:rsidRDefault="00AE629B" w:rsidP="00BE6CF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Stocks owned by the bank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AE629B" w:rsidRDefault="00AE629B" w:rsidP="00247EE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Shareholding Ratio to the company’s capital </w:t>
            </w:r>
            <w:r w:rsidR="00E46D30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%</w:t>
            </w:r>
            <w:r w:rsidR="00E46D30">
              <w:rPr>
                <w:b/>
                <w:bCs/>
                <w:sz w:val="18"/>
                <w:szCs w:val="18"/>
              </w:rPr>
              <w:t>)</w:t>
            </w: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AE629B" w:rsidRDefault="00AE629B" w:rsidP="00247EE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Currency</w:t>
            </w: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AE629B" w:rsidRPr="00DC149E" w:rsidRDefault="00AE629B" w:rsidP="00ED0F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Facilities Extended to the Company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AE629B" w:rsidRPr="00DC149E" w:rsidRDefault="00E46D30" w:rsidP="00ED0F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6D30">
              <w:rPr>
                <w:b/>
                <w:bCs/>
                <w:sz w:val="18"/>
                <w:szCs w:val="18"/>
              </w:rPr>
              <w:t xml:space="preserve">Administrative </w:t>
            </w:r>
            <w:bookmarkStart w:id="0" w:name="_GoBack"/>
            <w:bookmarkEnd w:id="0"/>
            <w:r w:rsidR="00AE629B">
              <w:rPr>
                <w:b/>
                <w:bCs/>
                <w:sz w:val="18"/>
                <w:szCs w:val="18"/>
              </w:rPr>
              <w:t>relationship with the company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and date of Central Bank’s Consent*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Notes**</w:t>
            </w:r>
          </w:p>
        </w:tc>
      </w:tr>
      <w:tr w:rsidR="00AE629B" w:rsidRPr="00DC149E" w:rsidTr="00A631D4">
        <w:trPr>
          <w:trHeight w:val="440"/>
        </w:trPr>
        <w:tc>
          <w:tcPr>
            <w:tcW w:w="1161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AE629B" w:rsidRDefault="00AE629B" w:rsidP="00247EE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E629B" w:rsidRDefault="00AE629B" w:rsidP="00247EE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1113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Merge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629B" w:rsidRPr="00DC149E" w:rsidTr="00412763">
        <w:trPr>
          <w:trHeight w:val="143"/>
        </w:trPr>
        <w:tc>
          <w:tcPr>
            <w:tcW w:w="1161" w:type="dxa"/>
          </w:tcPr>
          <w:p w:rsidR="00AE629B" w:rsidRPr="00BE6CFB" w:rsidRDefault="00AE629B" w:rsidP="00BE6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F364D6">
        <w:trPr>
          <w:trHeight w:val="260"/>
        </w:trPr>
        <w:tc>
          <w:tcPr>
            <w:tcW w:w="1161" w:type="dxa"/>
          </w:tcPr>
          <w:p w:rsidR="00AE629B" w:rsidRPr="00360927" w:rsidRDefault="00AE629B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971829">
        <w:trPr>
          <w:trHeight w:val="539"/>
        </w:trPr>
        <w:tc>
          <w:tcPr>
            <w:tcW w:w="1161" w:type="dxa"/>
          </w:tcPr>
          <w:p w:rsidR="00AE629B" w:rsidRPr="00360927" w:rsidRDefault="00AE629B" w:rsidP="00BE6CFB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E46D30" w:rsidP="00521B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of Subsidiaries</w:t>
            </w: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071308">
        <w:trPr>
          <w:trHeight w:val="242"/>
        </w:trPr>
        <w:tc>
          <w:tcPr>
            <w:tcW w:w="1161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B009D9">
        <w:trPr>
          <w:trHeight w:val="242"/>
        </w:trPr>
        <w:tc>
          <w:tcPr>
            <w:tcW w:w="1161" w:type="dxa"/>
          </w:tcPr>
          <w:p w:rsidR="00AE629B" w:rsidRPr="00DC149E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274DC6">
        <w:trPr>
          <w:trHeight w:val="323"/>
        </w:trPr>
        <w:tc>
          <w:tcPr>
            <w:tcW w:w="1161" w:type="dxa"/>
          </w:tcPr>
          <w:p w:rsidR="00AE629B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E46D30" w:rsidP="00521B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of Subsidiaries’ Subsidiaries</w:t>
            </w: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D70FB9">
        <w:trPr>
          <w:trHeight w:val="305"/>
        </w:trPr>
        <w:tc>
          <w:tcPr>
            <w:tcW w:w="1161" w:type="dxa"/>
          </w:tcPr>
          <w:p w:rsidR="00AE629B" w:rsidRDefault="00AE629B" w:rsidP="00BE6CFB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D66453">
        <w:trPr>
          <w:trHeight w:val="260"/>
        </w:trPr>
        <w:tc>
          <w:tcPr>
            <w:tcW w:w="1161" w:type="dxa"/>
          </w:tcPr>
          <w:p w:rsidR="00AE629B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F855E3">
        <w:trPr>
          <w:trHeight w:val="539"/>
        </w:trPr>
        <w:tc>
          <w:tcPr>
            <w:tcW w:w="1161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46D30" w:rsidRDefault="00E46D30" w:rsidP="00E46D30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</w:t>
            </w:r>
          </w:p>
          <w:p w:rsidR="00AE629B" w:rsidRPr="00DC149E" w:rsidRDefault="00E46D30" w:rsidP="00E46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8193C" w:rsidRPr="004008A0" w:rsidTr="00076B63">
        <w:trPr>
          <w:trHeight w:val="539"/>
        </w:trPr>
        <w:tc>
          <w:tcPr>
            <w:tcW w:w="146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93C" w:rsidRPr="00B87F51" w:rsidRDefault="00C8193C" w:rsidP="00E46D30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 xml:space="preserve">* </w:t>
            </w:r>
            <w:r w:rsidR="00BE6CFB">
              <w:rPr>
                <w:sz w:val="28"/>
                <w:szCs w:val="28"/>
                <w:vertAlign w:val="superscript"/>
              </w:rPr>
              <w:t xml:space="preserve">Mention the No. of Central Banks’ letter of Consent </w:t>
            </w:r>
            <w:r w:rsidR="00E46D30">
              <w:rPr>
                <w:sz w:val="28"/>
                <w:szCs w:val="28"/>
                <w:vertAlign w:val="superscript"/>
              </w:rPr>
              <w:t>on</w:t>
            </w:r>
            <w:r w:rsidR="00BE6CFB">
              <w:rPr>
                <w:sz w:val="28"/>
                <w:szCs w:val="28"/>
                <w:vertAlign w:val="superscript"/>
              </w:rPr>
              <w:t xml:space="preserve"> the investment/ Date of the Central Bank’s consent.</w:t>
            </w:r>
          </w:p>
          <w:p w:rsidR="00C8193C" w:rsidRDefault="00C8193C" w:rsidP="00BE6CFB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 w:rsidRPr="00B87F51">
              <w:rPr>
                <w:sz w:val="28"/>
                <w:szCs w:val="28"/>
                <w:vertAlign w:val="superscript"/>
              </w:rPr>
              <w:t>**</w:t>
            </w:r>
            <w:r w:rsidR="00BE6CFB">
              <w:rPr>
                <w:sz w:val="28"/>
                <w:szCs w:val="28"/>
                <w:vertAlign w:val="superscript"/>
              </w:rPr>
              <w:t>Indicate investments in a subsidiary company of the subsidiary.</w:t>
            </w:r>
          </w:p>
          <w:p w:rsidR="00C8193C" w:rsidRDefault="00C8193C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Signature of an Authorized Signatory:</w:t>
            </w:r>
          </w:p>
          <w:p w:rsidR="00C8193C" w:rsidRDefault="00C8193C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Official Seal:</w:t>
            </w:r>
          </w:p>
          <w:p w:rsidR="00C8193C" w:rsidRPr="00B87F51" w:rsidRDefault="00C8193C" w:rsidP="00247EE3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Date:</w:t>
            </w:r>
          </w:p>
          <w:p w:rsidR="00C8193C" w:rsidRPr="004008A0" w:rsidRDefault="00C8193C" w:rsidP="00521B8C">
            <w:pPr>
              <w:pStyle w:val="ListParagraph"/>
              <w:spacing w:after="0" w:line="240" w:lineRule="auto"/>
              <w:ind w:left="1440"/>
              <w:rPr>
                <w:sz w:val="28"/>
                <w:szCs w:val="28"/>
                <w:vertAlign w:val="superscript"/>
              </w:rPr>
            </w:pPr>
          </w:p>
        </w:tc>
      </w:tr>
    </w:tbl>
    <w:p w:rsidR="004213F9" w:rsidRDefault="004213F9"/>
    <w:p w:rsidR="00DC149E" w:rsidRDefault="00DC149E"/>
    <w:p w:rsidR="00DC149E" w:rsidRDefault="00DC149E"/>
    <w:p w:rsidR="00DC149E" w:rsidRDefault="00DC149E"/>
    <w:p w:rsidR="00DC149E" w:rsidRDefault="00DC149E"/>
    <w:p w:rsidR="00DC149E" w:rsidRDefault="00DC149E"/>
    <w:tbl>
      <w:tblPr>
        <w:tblStyle w:val="TableGrid"/>
        <w:tblW w:w="14468" w:type="dxa"/>
        <w:tblLook w:val="04A0" w:firstRow="1" w:lastRow="0" w:firstColumn="1" w:lastColumn="0" w:noHBand="0" w:noVBand="1"/>
      </w:tblPr>
      <w:tblGrid>
        <w:gridCol w:w="1135"/>
        <w:gridCol w:w="938"/>
        <w:gridCol w:w="1040"/>
        <w:gridCol w:w="1012"/>
        <w:gridCol w:w="1202"/>
        <w:gridCol w:w="934"/>
        <w:gridCol w:w="903"/>
        <w:gridCol w:w="1152"/>
        <w:gridCol w:w="1164"/>
        <w:gridCol w:w="1323"/>
        <w:gridCol w:w="3665"/>
      </w:tblGrid>
      <w:tr w:rsidR="00076B63" w:rsidTr="00521B8C">
        <w:trPr>
          <w:trHeight w:val="555"/>
        </w:trPr>
        <w:tc>
          <w:tcPr>
            <w:tcW w:w="144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6B63" w:rsidRDefault="00076B63" w:rsidP="00521B8C">
            <w:pPr>
              <w:jc w:val="center"/>
            </w:pPr>
            <w:r w:rsidRPr="00DC149E">
              <w:rPr>
                <w:b/>
                <w:bCs/>
              </w:rPr>
              <w:lastRenderedPageBreak/>
              <w:t>Investments Statement for a bank/ for the bank……………………… on ……</w:t>
            </w:r>
            <w:proofErr w:type="gramStart"/>
            <w:r w:rsidRPr="00DC149E">
              <w:rPr>
                <w:b/>
                <w:bCs/>
              </w:rPr>
              <w:t>…(</w:t>
            </w:r>
            <w:proofErr w:type="gramEnd"/>
            <w:r w:rsidRPr="00DC149E">
              <w:rPr>
                <w:b/>
                <w:bCs/>
              </w:rPr>
              <w:t>Date)……….</w:t>
            </w:r>
          </w:p>
        </w:tc>
      </w:tr>
      <w:tr w:rsidR="00076B63" w:rsidRPr="00DC149E" w:rsidTr="00521B8C">
        <w:trPr>
          <w:trHeight w:val="555"/>
        </w:trPr>
        <w:tc>
          <w:tcPr>
            <w:tcW w:w="144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B63" w:rsidRPr="00DC149E" w:rsidRDefault="00AE629B" w:rsidP="00AE629B">
            <w:pPr>
              <w:rPr>
                <w:b/>
                <w:bCs/>
              </w:rPr>
            </w:pPr>
            <w:r>
              <w:rPr>
                <w:b/>
                <w:bCs/>
              </w:rPr>
              <w:t>Six</w:t>
            </w:r>
            <w:r w:rsidR="00076B63">
              <w:rPr>
                <w:b/>
                <w:bCs/>
              </w:rPr>
              <w:t>th</w:t>
            </w:r>
            <w:r w:rsidR="00076B63" w:rsidRPr="00DC149E">
              <w:rPr>
                <w:b/>
                <w:bCs/>
              </w:rPr>
              <w:t xml:space="preserve">: </w:t>
            </w:r>
            <w:r w:rsidR="00076B63">
              <w:rPr>
                <w:b/>
                <w:bCs/>
              </w:rPr>
              <w:t xml:space="preserve">Bank’s investments in </w:t>
            </w:r>
            <w:r>
              <w:rPr>
                <w:b/>
                <w:bCs/>
              </w:rPr>
              <w:t xml:space="preserve">allies </w:t>
            </w:r>
            <w:r w:rsidR="00076B63">
              <w:rPr>
                <w:b/>
                <w:bCs/>
              </w:rPr>
              <w:t>companies capital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</w:t>
            </w:r>
            <w:r w:rsidR="00076B63">
              <w:rPr>
                <w:b/>
                <w:bCs/>
              </w:rPr>
              <w:t xml:space="preserve"> (In Jordanian Dinar)</w:t>
            </w:r>
          </w:p>
        </w:tc>
      </w:tr>
      <w:tr w:rsidR="00AE629B" w:rsidRPr="00DC149E" w:rsidTr="00A22DC4">
        <w:trPr>
          <w:trHeight w:val="1095"/>
        </w:trPr>
        <w:tc>
          <w:tcPr>
            <w:tcW w:w="1161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 Name</w:t>
            </w: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Company’s Subscribed Capital</w:t>
            </w:r>
          </w:p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E629B" w:rsidRDefault="00AE629B" w:rsidP="00521B8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C149E">
              <w:rPr>
                <w:b/>
                <w:bCs/>
                <w:sz w:val="18"/>
                <w:szCs w:val="18"/>
              </w:rPr>
              <w:t>No. of Stocks owned by the bank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Shareholding Ratio to the company’s capital %</w:t>
            </w: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</w:tcBorders>
          </w:tcPr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Currency</w:t>
            </w:r>
          </w:p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Facilities Extended to the Company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AE629B" w:rsidRPr="00DC149E" w:rsidRDefault="00E46D30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6D30">
              <w:rPr>
                <w:b/>
                <w:bCs/>
                <w:sz w:val="18"/>
                <w:szCs w:val="18"/>
              </w:rPr>
              <w:t xml:space="preserve">Administrative </w:t>
            </w:r>
            <w:r w:rsidR="00AE629B">
              <w:rPr>
                <w:b/>
                <w:bCs/>
                <w:sz w:val="18"/>
                <w:szCs w:val="18"/>
              </w:rPr>
              <w:t>relationship with the company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AE629B" w:rsidRPr="00DC149E" w:rsidTr="00A22DC4">
        <w:trPr>
          <w:trHeight w:val="440"/>
        </w:trPr>
        <w:tc>
          <w:tcPr>
            <w:tcW w:w="1161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AE629B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1113" w:type="dxa"/>
            <w:vMerge/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629B" w:rsidRPr="00DC149E" w:rsidTr="0040221F">
        <w:trPr>
          <w:trHeight w:val="143"/>
        </w:trPr>
        <w:tc>
          <w:tcPr>
            <w:tcW w:w="1161" w:type="dxa"/>
          </w:tcPr>
          <w:p w:rsidR="00AE629B" w:rsidRPr="00BE6CFB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AF72B0">
        <w:trPr>
          <w:trHeight w:val="260"/>
        </w:trPr>
        <w:tc>
          <w:tcPr>
            <w:tcW w:w="1161" w:type="dxa"/>
          </w:tcPr>
          <w:p w:rsidR="00AE629B" w:rsidRPr="00360927" w:rsidRDefault="00AE629B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E54C02">
        <w:trPr>
          <w:trHeight w:val="539"/>
        </w:trPr>
        <w:tc>
          <w:tcPr>
            <w:tcW w:w="1161" w:type="dxa"/>
          </w:tcPr>
          <w:p w:rsidR="00AE629B" w:rsidRPr="00360927" w:rsidRDefault="00AE629B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1A7DCC">
        <w:trPr>
          <w:trHeight w:val="242"/>
        </w:trPr>
        <w:tc>
          <w:tcPr>
            <w:tcW w:w="1161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2738E5">
        <w:trPr>
          <w:trHeight w:val="242"/>
        </w:trPr>
        <w:tc>
          <w:tcPr>
            <w:tcW w:w="1161" w:type="dxa"/>
          </w:tcPr>
          <w:p w:rsidR="00AE629B" w:rsidRPr="00DC149E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067C17">
        <w:trPr>
          <w:trHeight w:val="323"/>
        </w:trPr>
        <w:tc>
          <w:tcPr>
            <w:tcW w:w="1161" w:type="dxa"/>
          </w:tcPr>
          <w:p w:rsidR="00AE629B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77521E">
        <w:trPr>
          <w:trHeight w:val="305"/>
        </w:trPr>
        <w:tc>
          <w:tcPr>
            <w:tcW w:w="1161" w:type="dxa"/>
          </w:tcPr>
          <w:p w:rsidR="00AE629B" w:rsidRDefault="00AE629B" w:rsidP="00521B8C">
            <w:pPr>
              <w:pStyle w:val="ListParagraph"/>
              <w:spacing w:after="0" w:line="240" w:lineRule="auto"/>
              <w:ind w:left="75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4E3DAD">
        <w:trPr>
          <w:trHeight w:val="260"/>
        </w:trPr>
        <w:tc>
          <w:tcPr>
            <w:tcW w:w="1161" w:type="dxa"/>
          </w:tcPr>
          <w:p w:rsidR="00AE629B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629B" w:rsidRPr="00DC149E" w:rsidTr="00CC591A">
        <w:trPr>
          <w:trHeight w:val="539"/>
        </w:trPr>
        <w:tc>
          <w:tcPr>
            <w:tcW w:w="1161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E46D30" w:rsidRDefault="00E46D30" w:rsidP="00E46D30">
            <w:pPr>
              <w:tabs>
                <w:tab w:val="left" w:pos="7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</w:t>
            </w:r>
          </w:p>
          <w:p w:rsidR="00AE629B" w:rsidRPr="00DC149E" w:rsidRDefault="00E46D30" w:rsidP="00E46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AE629B" w:rsidRPr="00DC149E" w:rsidRDefault="00AE629B" w:rsidP="00521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6B63" w:rsidRPr="004008A0" w:rsidTr="00521B8C">
        <w:trPr>
          <w:trHeight w:val="539"/>
        </w:trPr>
        <w:tc>
          <w:tcPr>
            <w:tcW w:w="144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B63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Signature of an Authorized Signatory:</w:t>
            </w:r>
          </w:p>
          <w:p w:rsidR="00076B63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Official Seal:</w:t>
            </w:r>
          </w:p>
          <w:p w:rsidR="00076B63" w:rsidRPr="00B87F51" w:rsidRDefault="00076B63" w:rsidP="00521B8C">
            <w:pPr>
              <w:pStyle w:val="ListParagraph"/>
              <w:spacing w:after="0" w:line="216" w:lineRule="auto"/>
              <w:ind w:left="144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Date:</w:t>
            </w:r>
          </w:p>
          <w:p w:rsidR="00076B63" w:rsidRPr="004008A0" w:rsidRDefault="00076B63" w:rsidP="00521B8C">
            <w:pPr>
              <w:pStyle w:val="ListParagraph"/>
              <w:spacing w:after="0" w:line="240" w:lineRule="auto"/>
              <w:ind w:left="1440"/>
              <w:rPr>
                <w:sz w:val="28"/>
                <w:szCs w:val="28"/>
                <w:vertAlign w:val="superscript"/>
              </w:rPr>
            </w:pPr>
          </w:p>
        </w:tc>
      </w:tr>
    </w:tbl>
    <w:p w:rsidR="00DC149E" w:rsidRDefault="00DC149E"/>
    <w:p w:rsidR="00DC149E" w:rsidRDefault="00DC149E"/>
    <w:p w:rsidR="00DC149E" w:rsidRDefault="00DC149E"/>
    <w:p w:rsidR="00DC149E" w:rsidRDefault="00DC149E"/>
    <w:p w:rsidR="00DC149E" w:rsidRDefault="00DC149E"/>
    <w:p w:rsidR="00DC149E" w:rsidRDefault="00DC149E"/>
    <w:p w:rsidR="00DC149E" w:rsidRDefault="00DC149E"/>
    <w:p w:rsidR="00DC149E" w:rsidRDefault="00DC149E"/>
    <w:sectPr w:rsidR="00DC149E" w:rsidSect="00DC14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718"/>
    <w:multiLevelType w:val="hybridMultilevel"/>
    <w:tmpl w:val="E0A840BC"/>
    <w:lvl w:ilvl="0" w:tplc="A14A1D5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2012"/>
    <w:multiLevelType w:val="hybridMultilevel"/>
    <w:tmpl w:val="5E1E151E"/>
    <w:lvl w:ilvl="0" w:tplc="ECE6B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567D3"/>
    <w:multiLevelType w:val="hybridMultilevel"/>
    <w:tmpl w:val="D2D60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90F1F"/>
    <w:multiLevelType w:val="hybridMultilevel"/>
    <w:tmpl w:val="803A9694"/>
    <w:lvl w:ilvl="0" w:tplc="47D402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189E"/>
    <w:multiLevelType w:val="hybridMultilevel"/>
    <w:tmpl w:val="A460A192"/>
    <w:lvl w:ilvl="0" w:tplc="E89657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031B"/>
    <w:multiLevelType w:val="hybridMultilevel"/>
    <w:tmpl w:val="9D601190"/>
    <w:lvl w:ilvl="0" w:tplc="ECE6B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170EB"/>
    <w:multiLevelType w:val="hybridMultilevel"/>
    <w:tmpl w:val="803A9694"/>
    <w:lvl w:ilvl="0" w:tplc="47D402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3D18"/>
    <w:multiLevelType w:val="hybridMultilevel"/>
    <w:tmpl w:val="803A9694"/>
    <w:lvl w:ilvl="0" w:tplc="47D402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966C2"/>
    <w:multiLevelType w:val="hybridMultilevel"/>
    <w:tmpl w:val="5566B73E"/>
    <w:lvl w:ilvl="0" w:tplc="561015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54C35"/>
    <w:multiLevelType w:val="hybridMultilevel"/>
    <w:tmpl w:val="803A9694"/>
    <w:lvl w:ilvl="0" w:tplc="47D402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16830"/>
    <w:multiLevelType w:val="hybridMultilevel"/>
    <w:tmpl w:val="A460A192"/>
    <w:lvl w:ilvl="0" w:tplc="E89657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19D5"/>
    <w:multiLevelType w:val="hybridMultilevel"/>
    <w:tmpl w:val="CF82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B28DC"/>
    <w:multiLevelType w:val="hybridMultilevel"/>
    <w:tmpl w:val="685ACA90"/>
    <w:lvl w:ilvl="0" w:tplc="AD16B78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47"/>
    <w:rsid w:val="00006C9B"/>
    <w:rsid w:val="00076B63"/>
    <w:rsid w:val="000B3953"/>
    <w:rsid w:val="001179C1"/>
    <w:rsid w:val="00144237"/>
    <w:rsid w:val="00146DB5"/>
    <w:rsid w:val="001A04C2"/>
    <w:rsid w:val="001B261F"/>
    <w:rsid w:val="002077D5"/>
    <w:rsid w:val="00215242"/>
    <w:rsid w:val="00247EE3"/>
    <w:rsid w:val="00291C73"/>
    <w:rsid w:val="002E1B7A"/>
    <w:rsid w:val="00360927"/>
    <w:rsid w:val="00365831"/>
    <w:rsid w:val="00392763"/>
    <w:rsid w:val="003E479D"/>
    <w:rsid w:val="004008A0"/>
    <w:rsid w:val="004213F9"/>
    <w:rsid w:val="0044678B"/>
    <w:rsid w:val="005116A4"/>
    <w:rsid w:val="00535631"/>
    <w:rsid w:val="00544EA6"/>
    <w:rsid w:val="005668D5"/>
    <w:rsid w:val="005A2873"/>
    <w:rsid w:val="005B0CF8"/>
    <w:rsid w:val="005C150D"/>
    <w:rsid w:val="005C4491"/>
    <w:rsid w:val="00623447"/>
    <w:rsid w:val="00624B59"/>
    <w:rsid w:val="006B2915"/>
    <w:rsid w:val="007772F9"/>
    <w:rsid w:val="007A4FF1"/>
    <w:rsid w:val="007C1857"/>
    <w:rsid w:val="009B60C9"/>
    <w:rsid w:val="00A1257C"/>
    <w:rsid w:val="00AE629B"/>
    <w:rsid w:val="00B87F51"/>
    <w:rsid w:val="00BD081B"/>
    <w:rsid w:val="00BE6CFB"/>
    <w:rsid w:val="00C8193C"/>
    <w:rsid w:val="00CA43F0"/>
    <w:rsid w:val="00D31710"/>
    <w:rsid w:val="00D53A92"/>
    <w:rsid w:val="00D848AE"/>
    <w:rsid w:val="00DC149E"/>
    <w:rsid w:val="00DC4A67"/>
    <w:rsid w:val="00E46D30"/>
    <w:rsid w:val="00E75F45"/>
    <w:rsid w:val="00ED0F03"/>
    <w:rsid w:val="00EF0D5A"/>
    <w:rsid w:val="00F4726E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67CA"/>
  <w15:chartTrackingRefBased/>
  <w15:docId w15:val="{A45C660B-3607-4015-BBD7-69AA7EBE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4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47"/>
    <w:pPr>
      <w:ind w:left="720"/>
      <w:contextualSpacing/>
    </w:pPr>
  </w:style>
  <w:style w:type="character" w:customStyle="1" w:styleId="jlqj4b">
    <w:name w:val="jlqj4b"/>
    <w:basedOn w:val="DefaultParagraphFont"/>
    <w:rsid w:val="00623447"/>
  </w:style>
  <w:style w:type="table" w:styleId="TableGrid">
    <w:name w:val="Table Grid"/>
    <w:basedOn w:val="TableNormal"/>
    <w:uiPriority w:val="39"/>
    <w:rsid w:val="00DC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M. MADFAI</dc:creator>
  <cp:keywords/>
  <dc:description/>
  <cp:lastModifiedBy>DINA M. MADFAI</cp:lastModifiedBy>
  <cp:revision>51</cp:revision>
  <dcterms:created xsi:type="dcterms:W3CDTF">2022-03-28T18:51:00Z</dcterms:created>
  <dcterms:modified xsi:type="dcterms:W3CDTF">2022-03-29T07:11:00Z</dcterms:modified>
</cp:coreProperties>
</file>