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5721" w:rsidRDefault="00695721" w:rsidP="00695721">
      <w:pPr>
        <w:ind w:left="56" w:hanging="13"/>
        <w:jc w:val="lowKashida"/>
        <w:rPr>
          <w:rFonts w:cs="Simplified Arabic"/>
          <w:b/>
          <w:bCs/>
          <w:sz w:val="24"/>
          <w:szCs w:val="24"/>
          <w:rtl/>
          <w:lang w:eastAsia="en-US"/>
        </w:rPr>
      </w:pPr>
    </w:p>
    <w:p w:rsidR="00695721" w:rsidRDefault="00695721" w:rsidP="00FB295E">
      <w:pPr>
        <w:bidi w:val="0"/>
        <w:ind w:left="56" w:hanging="13"/>
        <w:jc w:val="lowKashida"/>
        <w:rPr>
          <w:rFonts w:cs="Times New Roman"/>
          <w:sz w:val="28"/>
          <w:szCs w:val="28"/>
          <w:u w:val="single"/>
          <w:rtl/>
          <w:lang w:eastAsia="en-US"/>
        </w:rPr>
      </w:pPr>
      <w:r w:rsidRPr="00485818">
        <w:rPr>
          <w:rFonts w:cs="Times New Roman"/>
          <w:sz w:val="28"/>
          <w:szCs w:val="28"/>
          <w:u w:val="single"/>
          <w:lang w:eastAsia="en-US"/>
        </w:rPr>
        <w:t xml:space="preserve">Circular No. (10/3/6682) dated </w:t>
      </w:r>
      <w:r w:rsidR="00FB295E">
        <w:rPr>
          <w:rFonts w:cs="Times New Roman"/>
          <w:sz w:val="28"/>
          <w:szCs w:val="28"/>
          <w:u w:val="single"/>
          <w:lang w:eastAsia="en-US"/>
        </w:rPr>
        <w:t>14/6</w:t>
      </w:r>
      <w:r w:rsidRPr="00485818">
        <w:rPr>
          <w:rFonts w:cs="Times New Roman"/>
          <w:sz w:val="28"/>
          <w:szCs w:val="28"/>
          <w:u w:val="single"/>
          <w:lang w:eastAsia="en-US"/>
        </w:rPr>
        <w:t>/2012</w:t>
      </w:r>
    </w:p>
    <w:p w:rsidR="00485818" w:rsidRPr="00485818" w:rsidRDefault="00485818" w:rsidP="00485818">
      <w:pPr>
        <w:bidi w:val="0"/>
        <w:ind w:left="56" w:hanging="13"/>
        <w:jc w:val="lowKashida"/>
        <w:rPr>
          <w:rFonts w:cs="Times New Roman"/>
          <w:sz w:val="28"/>
          <w:szCs w:val="28"/>
          <w:u w:val="single"/>
          <w:rtl/>
          <w:lang w:eastAsia="en-US"/>
        </w:rPr>
      </w:pPr>
    </w:p>
    <w:p w:rsidR="00695721" w:rsidRPr="00485818" w:rsidRDefault="00695721" w:rsidP="00485818">
      <w:pPr>
        <w:bidi w:val="0"/>
        <w:spacing w:line="276" w:lineRule="auto"/>
        <w:ind w:left="56" w:hanging="13"/>
        <w:jc w:val="lowKashida"/>
        <w:rPr>
          <w:rFonts w:cs="Times New Roman"/>
          <w:sz w:val="28"/>
          <w:szCs w:val="28"/>
          <w:lang w:eastAsia="en-US"/>
        </w:rPr>
      </w:pPr>
      <w:r w:rsidRPr="00485818">
        <w:rPr>
          <w:rFonts w:cs="Times New Roman"/>
          <w:sz w:val="28"/>
          <w:szCs w:val="28"/>
          <w:lang w:eastAsia="en-US"/>
        </w:rPr>
        <w:t>It has recently been noted, through the off-site and on-site supervision of the bank’s business, that some banks are inaccurate in the information and data that are provided to the Central Ban</w:t>
      </w:r>
      <w:bookmarkStart w:id="0" w:name="_GoBack"/>
      <w:bookmarkEnd w:id="0"/>
      <w:r w:rsidRPr="00485818">
        <w:rPr>
          <w:rFonts w:cs="Times New Roman"/>
          <w:sz w:val="28"/>
          <w:szCs w:val="28"/>
          <w:lang w:eastAsia="en-US"/>
        </w:rPr>
        <w:t>k, which indicates a weakness in the internal control systems and the ineffectiveness of the information systems in place for those banks. which Consequently leads to wastes a lot of time and effort to modify such inaccurate information and data by the Central Bank and banks, and prevents the necessary decision being taken in a timely manner.</w:t>
      </w:r>
    </w:p>
    <w:p w:rsidR="00695721" w:rsidRPr="00485818" w:rsidRDefault="00B44EDD" w:rsidP="00B44EDD">
      <w:pPr>
        <w:bidi w:val="0"/>
        <w:spacing w:line="276" w:lineRule="auto"/>
        <w:ind w:left="56" w:hanging="13"/>
        <w:jc w:val="lowKashida"/>
        <w:rPr>
          <w:rFonts w:cs="Times New Roman"/>
          <w:sz w:val="28"/>
          <w:szCs w:val="28"/>
          <w:lang w:eastAsia="en-US"/>
        </w:rPr>
      </w:pPr>
      <w:r w:rsidRPr="00B44EDD">
        <w:rPr>
          <w:rFonts w:cs="Times New Roman"/>
          <w:sz w:val="28"/>
          <w:szCs w:val="28"/>
          <w:lang w:eastAsia="en-US"/>
        </w:rPr>
        <w:t xml:space="preserve">Whereas, providing the supervisory authority with quality information is the responsibility of the board of directors and the </w:t>
      </w:r>
      <w:r w:rsidRPr="00485818">
        <w:rPr>
          <w:rFonts w:cs="Times New Roman"/>
          <w:sz w:val="28"/>
          <w:szCs w:val="28"/>
          <w:lang w:eastAsia="en-US"/>
        </w:rPr>
        <w:t xml:space="preserve">executive </w:t>
      </w:r>
      <w:r w:rsidRPr="00B44EDD">
        <w:rPr>
          <w:rFonts w:cs="Times New Roman"/>
          <w:sz w:val="28"/>
          <w:szCs w:val="28"/>
          <w:lang w:eastAsia="en-US"/>
        </w:rPr>
        <w:t>management of the</w:t>
      </w:r>
      <w:r>
        <w:rPr>
          <w:rFonts w:cs="Times New Roman"/>
          <w:sz w:val="28"/>
          <w:szCs w:val="28"/>
          <w:lang w:eastAsia="en-US"/>
        </w:rPr>
        <w:t xml:space="preserve"> bank, </w:t>
      </w:r>
      <w:r w:rsidR="00695721" w:rsidRPr="00485818">
        <w:rPr>
          <w:rFonts w:cs="Times New Roman"/>
          <w:sz w:val="28"/>
          <w:szCs w:val="28"/>
          <w:lang w:eastAsia="en-US"/>
        </w:rPr>
        <w:t>we emphazis the need to give this matter the required importance, and take all necessary measures to address the deficiencies related to this matter. Otherwise we will unfortunately have to apply the provisions of Article (88/b) of the Banking Law No. (28) of 2000 and its amendments, including the imposition of Financial penalties.</w:t>
      </w:r>
    </w:p>
    <w:p w:rsidR="00D52287" w:rsidRPr="00695721" w:rsidRDefault="00FB295E">
      <w:pPr>
        <w:rPr>
          <w:rFonts w:cs="Times New Roman"/>
          <w:sz w:val="28"/>
          <w:szCs w:val="28"/>
        </w:rPr>
      </w:pPr>
    </w:p>
    <w:sectPr w:rsidR="00D52287" w:rsidRPr="0069572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imes New Roman"/>
    <w:charset w:val="00"/>
    <w:family w:val="roman"/>
    <w:pitch w:val="variable"/>
    <w:sig w:usb0="00002003" w:usb1="80000000" w:usb2="00000008" w:usb3="00000000" w:csb0="00000041" w:csb1="00000000"/>
  </w:font>
  <w:font w:name="Simplified Arabic">
    <w:altName w:val="Times New Roman"/>
    <w:charset w:val="00"/>
    <w:family w:val="roman"/>
    <w:pitch w:val="variable"/>
    <w:sig w:usb0="00002003" w:usb1="80000000" w:usb2="00000008" w:usb3="00000000" w:csb0="00000041"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95721"/>
    <w:rsid w:val="00485818"/>
    <w:rsid w:val="00695721"/>
    <w:rsid w:val="00720984"/>
    <w:rsid w:val="008A20EB"/>
    <w:rsid w:val="00B44EDD"/>
    <w:rsid w:val="00F47214"/>
    <w:rsid w:val="00FB295E"/>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615DDEA"/>
  <w15:chartTrackingRefBased/>
  <w15:docId w15:val="{BB95CA3F-10A0-47F1-B85E-8B8A08F398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95721"/>
    <w:pPr>
      <w:bidi/>
      <w:spacing w:after="0" w:line="240" w:lineRule="auto"/>
    </w:pPr>
    <w:rPr>
      <w:rFonts w:ascii="Times New Roman" w:eastAsia="Times New Roman" w:hAnsi="Times New Roman" w:cs="Traditional Arabic"/>
      <w:noProof/>
      <w:sz w:val="20"/>
      <w:szCs w:val="20"/>
      <w:lang w:eastAsia="ar-SA"/>
    </w:rPr>
  </w:style>
  <w:style w:type="paragraph" w:styleId="Heading2">
    <w:name w:val="heading 2"/>
    <w:basedOn w:val="Normal"/>
    <w:next w:val="Normal"/>
    <w:link w:val="Heading2Char"/>
    <w:qFormat/>
    <w:rsid w:val="00695721"/>
    <w:pPr>
      <w:keepNext/>
      <w:outlineLvl w:val="1"/>
    </w:pPr>
    <w:rPr>
      <w:b/>
      <w:bCs/>
      <w:noProof w:val="0"/>
      <w:snapToGrid w:val="0"/>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695721"/>
    <w:rPr>
      <w:rFonts w:ascii="Times New Roman" w:eastAsia="Times New Roman" w:hAnsi="Times New Roman" w:cs="Traditional Arabic"/>
      <w:b/>
      <w:bCs/>
      <w:snapToGrid w:val="0"/>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160</Words>
  <Characters>915</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Raneem T. Hussein</dc:creator>
  <cp:keywords/>
  <dc:description/>
  <cp:lastModifiedBy>Leena A. Hamad</cp:lastModifiedBy>
  <cp:revision>3</cp:revision>
  <cp:lastPrinted>2022-04-06T11:40:00Z</cp:lastPrinted>
  <dcterms:created xsi:type="dcterms:W3CDTF">2022-04-06T11:40:00Z</dcterms:created>
  <dcterms:modified xsi:type="dcterms:W3CDTF">2022-04-06T11:41:00Z</dcterms:modified>
</cp:coreProperties>
</file>