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D6" w:rsidRPr="009E62B4" w:rsidRDefault="00B107D6" w:rsidP="009E62B4">
      <w:pPr>
        <w:keepNext/>
        <w:bidi w:val="0"/>
        <w:spacing w:after="60" w:line="360" w:lineRule="exact"/>
        <w:outlineLvl w:val="0"/>
        <w:rPr>
          <w:rFonts w:ascii="Simplified Arabic" w:hAnsi="Simplified Arabic" w:cs="Simplified Arabic"/>
          <w:b/>
          <w:bCs/>
          <w:lang w:val="en"/>
        </w:rPr>
      </w:pPr>
      <w:bookmarkStart w:id="0" w:name="_GoBack"/>
      <w:bookmarkEnd w:id="0"/>
      <w:r w:rsidRPr="009E62B4">
        <w:rPr>
          <w:rFonts w:ascii="Simplified Arabic" w:hAnsi="Simplified Arabic" w:cs="Simplified Arabic"/>
          <w:b/>
          <w:bCs/>
          <w:lang w:val="en"/>
        </w:rPr>
        <w:t>Ref. No.: 10/1/7702</w:t>
      </w:r>
    </w:p>
    <w:p w:rsidR="00B107D6" w:rsidRPr="009E62B4" w:rsidRDefault="00B107D6" w:rsidP="009E62B4">
      <w:pPr>
        <w:keepNext/>
        <w:bidi w:val="0"/>
        <w:spacing w:after="60" w:line="360" w:lineRule="exact"/>
        <w:outlineLvl w:val="0"/>
        <w:rPr>
          <w:rFonts w:ascii="Simplified Arabic" w:hAnsi="Simplified Arabic" w:cs="Simplified Arabic"/>
          <w:b/>
          <w:bCs/>
          <w:lang w:val="en"/>
        </w:rPr>
      </w:pPr>
      <w:r w:rsidRPr="009E62B4">
        <w:rPr>
          <w:rFonts w:ascii="Simplified Arabic" w:hAnsi="Simplified Arabic" w:cs="Simplified Arabic"/>
          <w:b/>
          <w:bCs/>
          <w:lang w:val="en"/>
        </w:rPr>
        <w:t>Date: 6/6/2018</w:t>
      </w:r>
    </w:p>
    <w:p w:rsidR="00B107D6" w:rsidRDefault="00B107D6" w:rsidP="00B107D6">
      <w:pPr>
        <w:keepNext/>
        <w:bidi w:val="0"/>
        <w:spacing w:after="60" w:line="360" w:lineRule="exact"/>
        <w:jc w:val="center"/>
        <w:outlineLvl w:val="0"/>
        <w:rPr>
          <w:rFonts w:ascii="Simplified Arabic" w:hAnsi="Simplified Arabic" w:cs="Simplified Arabic"/>
          <w:b/>
          <w:bCs/>
          <w:sz w:val="30"/>
          <w:szCs w:val="30"/>
          <w:lang w:val="en"/>
        </w:rPr>
      </w:pPr>
    </w:p>
    <w:p w:rsidR="009E62B4" w:rsidRDefault="009E62B4" w:rsidP="00B107D6">
      <w:pPr>
        <w:keepNext/>
        <w:bidi w:val="0"/>
        <w:spacing w:after="60" w:line="360" w:lineRule="exact"/>
        <w:jc w:val="center"/>
        <w:outlineLvl w:val="0"/>
        <w:rPr>
          <w:rFonts w:ascii="Simplified Arabic" w:hAnsi="Simplified Arabic" w:cs="Simplified Arabic"/>
          <w:b/>
          <w:bCs/>
          <w:sz w:val="30"/>
          <w:szCs w:val="30"/>
          <w:lang w:val="en"/>
        </w:rPr>
      </w:pPr>
    </w:p>
    <w:p w:rsidR="00223A08" w:rsidRPr="008605FD" w:rsidRDefault="00B107D6" w:rsidP="009E62B4">
      <w:pPr>
        <w:keepNext/>
        <w:bidi w:val="0"/>
        <w:spacing w:after="60" w:line="360" w:lineRule="exact"/>
        <w:jc w:val="center"/>
        <w:outlineLvl w:val="0"/>
        <w:rPr>
          <w:rFonts w:ascii="Simplified Arabic" w:hAnsi="Simplified Arabic" w:cs="Simplified Arabic"/>
          <w:b/>
          <w:bCs/>
          <w:sz w:val="30"/>
          <w:szCs w:val="30"/>
          <w:lang w:val="en"/>
        </w:rPr>
      </w:pPr>
      <w:r>
        <w:rPr>
          <w:rFonts w:ascii="Simplified Arabic" w:hAnsi="Simplified Arabic" w:cs="Simplified Arabic"/>
          <w:b/>
          <w:bCs/>
          <w:sz w:val="30"/>
          <w:szCs w:val="30"/>
          <w:lang w:val="en"/>
        </w:rPr>
        <w:t>Instructions for Implementing I</w:t>
      </w:r>
      <w:r w:rsidR="00223A08" w:rsidRPr="008605FD">
        <w:rPr>
          <w:rFonts w:ascii="Simplified Arabic" w:hAnsi="Simplified Arabic" w:cs="Simplified Arabic"/>
          <w:b/>
          <w:bCs/>
          <w:sz w:val="30"/>
          <w:szCs w:val="30"/>
          <w:lang w:val="en"/>
        </w:rPr>
        <w:t xml:space="preserve">FRS </w:t>
      </w:r>
      <w:r w:rsidR="00E545C6">
        <w:rPr>
          <w:rFonts w:ascii="Simplified Arabic" w:hAnsi="Simplified Arabic" w:cs="Simplified Arabic"/>
          <w:b/>
          <w:bCs/>
          <w:sz w:val="30"/>
          <w:szCs w:val="30"/>
          <w:lang w:val="en"/>
        </w:rPr>
        <w:t>(</w:t>
      </w:r>
      <w:r w:rsidR="00223A08" w:rsidRPr="008605FD">
        <w:rPr>
          <w:rFonts w:ascii="Simplified Arabic" w:hAnsi="Simplified Arabic" w:cs="Simplified Arabic"/>
          <w:b/>
          <w:bCs/>
          <w:sz w:val="30"/>
          <w:szCs w:val="30"/>
          <w:lang w:val="en"/>
        </w:rPr>
        <w:t>9</w:t>
      </w:r>
      <w:r w:rsidR="00E545C6">
        <w:rPr>
          <w:rFonts w:ascii="Simplified Arabic" w:hAnsi="Simplified Arabic" w:cs="Simplified Arabic"/>
          <w:b/>
          <w:bCs/>
          <w:sz w:val="30"/>
          <w:szCs w:val="30"/>
          <w:lang w:val="en"/>
        </w:rPr>
        <w:t>)</w:t>
      </w:r>
      <w:r w:rsidR="00E545C6" w:rsidRPr="00E545C6">
        <w:rPr>
          <w:rFonts w:ascii="Simplified Arabic" w:hAnsi="Simplified Arabic" w:cs="Simplified Arabic"/>
          <w:b/>
          <w:bCs/>
          <w:sz w:val="30"/>
          <w:szCs w:val="30"/>
          <w:lang w:val="en"/>
        </w:rPr>
        <w:t xml:space="preserve"> </w:t>
      </w:r>
    </w:p>
    <w:p w:rsidR="001E69D9" w:rsidRPr="008605FD" w:rsidRDefault="00223A08" w:rsidP="008605FD">
      <w:pPr>
        <w:keepNext/>
        <w:spacing w:line="360" w:lineRule="exact"/>
        <w:jc w:val="center"/>
        <w:outlineLvl w:val="0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605FD">
        <w:rPr>
          <w:rFonts w:ascii="Simplified Arabic" w:hAnsi="Simplified Arabic" w:cs="Simplified Arabic"/>
          <w:b/>
          <w:bCs/>
          <w:sz w:val="30"/>
          <w:szCs w:val="30"/>
          <w:lang w:val="en"/>
        </w:rPr>
        <w:t>No. (</w:t>
      </w:r>
      <w:r w:rsidRPr="008605FD">
        <w:rPr>
          <w:rFonts w:ascii="Simplified Arabic" w:hAnsi="Simplified Arabic" w:cs="Simplified Arabic"/>
          <w:b/>
          <w:bCs/>
          <w:sz w:val="30"/>
          <w:szCs w:val="30"/>
        </w:rPr>
        <w:t>13</w:t>
      </w:r>
      <w:r w:rsidRPr="008605FD">
        <w:rPr>
          <w:rFonts w:ascii="Simplified Arabic" w:hAnsi="Simplified Arabic" w:cs="Simplified Arabic"/>
          <w:b/>
          <w:bCs/>
          <w:sz w:val="30"/>
          <w:szCs w:val="30"/>
          <w:lang w:val="en"/>
        </w:rPr>
        <w:t>/2018)</w:t>
      </w:r>
    </w:p>
    <w:p w:rsidR="00740141" w:rsidRPr="002D457B" w:rsidRDefault="00740141" w:rsidP="00924925">
      <w:pPr>
        <w:keepNext/>
        <w:spacing w:line="360" w:lineRule="exact"/>
        <w:jc w:val="center"/>
        <w:outlineLvl w:val="0"/>
        <w:rPr>
          <w:rFonts w:ascii="Simplified Arabic" w:hAnsi="Simplified Arabic" w:cs="Simplified Arabic"/>
          <w:b/>
          <w:bCs/>
          <w:kern w:val="32"/>
          <w:sz w:val="32"/>
          <w:szCs w:val="32"/>
          <w:u w:val="single"/>
          <w:rtl/>
          <w:lang w:bidi="ar-JO"/>
        </w:rPr>
      </w:pPr>
      <w:r w:rsidRPr="002D457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</w:t>
      </w:r>
    </w:p>
    <w:p w:rsidR="00B812AE" w:rsidRPr="008605FD" w:rsidRDefault="00B812AE" w:rsidP="009E62B4">
      <w:pPr>
        <w:shd w:val="clear" w:color="auto" w:fill="FFFFFF" w:themeFill="background1"/>
        <w:bidi w:val="0"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Based on the provisions of Article (99/b) and Article (42/a - 2, 3) of Banking Law No. (28) for the year 2000 and its amendments, and with reference to 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>CBJ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circular No. (10/1/7037) dated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18/5/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2016 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>regarding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require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>ments of the general framework f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or the implementation of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IFRS (9)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>, and C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ircular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>s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No. (10/1/15583) dated 11/23/2017 and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No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. (10/1/1359) dated 25/1/2018 (through which the 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draft instructions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of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implementing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>the S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tandard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are attached</w:t>
      </w:r>
      <w:r w:rsidR="00E545C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, and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banks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’ comments on this draft we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re requested), and following to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meeting held on 12/14/2017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(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in the presence of the 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banks chairmen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and 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CEOs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)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, and the meeting held on 24/12/2017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(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in the presence of risk managers and financial managers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of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the 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banks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)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to discuss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 xml:space="preserve">implementation of the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>S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tandard 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and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related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requirements, we enclose herewith a CD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that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includes instructions of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 xml:space="preserve">implementing the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>S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tandard. Furthermore, it should be noted that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:</w:t>
      </w:r>
    </w:p>
    <w:p w:rsidR="005E7355" w:rsidRDefault="00B812AE" w:rsidP="009E62B4">
      <w:pPr>
        <w:bidi w:val="0"/>
        <w:spacing w:line="360" w:lineRule="exact"/>
        <w:ind w:left="426" w:hanging="426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" w:bidi="ar-JO"/>
        </w:rPr>
      </w:pPr>
      <w:r w:rsidRPr="008605FD">
        <w:rPr>
          <w:rFonts w:ascii="Simplified Arabic" w:hAnsi="Simplified Arabic" w:cs="Simplified Arabic"/>
          <w:b/>
          <w:bCs/>
          <w:sz w:val="28"/>
          <w:szCs w:val="28"/>
          <w:u w:val="single"/>
          <w:lang w:val="en" w:bidi="ar-JO"/>
        </w:rPr>
        <w:t>First:</w:t>
      </w:r>
    </w:p>
    <w:p w:rsidR="005E7355" w:rsidRDefault="00B812AE" w:rsidP="009E62B4">
      <w:pPr>
        <w:bidi w:val="0"/>
        <w:spacing w:line="360" w:lineRule="exact"/>
        <w:ind w:left="426"/>
        <w:jc w:val="lowKashida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The 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implementation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of IFRS 9 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>implie</w:t>
      </w:r>
      <w:r w:rsidR="009348EB">
        <w:rPr>
          <w:rFonts w:ascii="Simplified Arabic" w:hAnsi="Simplified Arabic" w:cs="Simplified Arabic"/>
          <w:sz w:val="28"/>
          <w:szCs w:val="28"/>
          <w:lang w:val="en" w:bidi="ar-JO"/>
        </w:rPr>
        <w:t>s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in its content (in addition to the accounting framework)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 risk management methodology -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specifically credit risk management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>-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to maintain the soundness of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bank’s financial 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lastRenderedPageBreak/>
        <w:t>position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. This would 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require the bank’s 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>BoD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and relevant committees 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to verify the 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presence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and 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>implementation</w:t>
      </w:r>
      <w:r w:rsidR="00EF08A6">
        <w:rPr>
          <w:rFonts w:ascii="Simplified Arabic" w:hAnsi="Simplified Arabic" w:cs="Simplified Arabic"/>
          <w:sz w:val="28"/>
          <w:szCs w:val="28"/>
          <w:lang w:val="en" w:bidi="ar-JO"/>
        </w:rPr>
        <w:t>/ functioning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of appropriate policies 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>of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credit risk management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 xml:space="preserve">, which in turn require 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>effective internal control systems, internal credit rating systems, automated systems for calculating expected credit losses</w:t>
      </w:r>
      <w:r w:rsidR="00560056">
        <w:rPr>
          <w:rFonts w:ascii="Simplified Arabic" w:hAnsi="Simplified Arabic" w:cs="Simplified Arabic"/>
          <w:sz w:val="28"/>
          <w:szCs w:val="28"/>
          <w:lang w:val="en" w:bidi="ar-JO"/>
        </w:rPr>
        <w:t>,</w:t>
      </w:r>
      <w:r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and appropriate examination and verification procedures</w:t>
      </w:r>
      <w:r w:rsidR="008F2B5A">
        <w:rPr>
          <w:rFonts w:ascii="Simplified Arabic" w:hAnsi="Simplified Arabic" w:cs="Simplified Arabic"/>
          <w:sz w:val="28"/>
          <w:szCs w:val="28"/>
          <w:lang w:val="en" w:bidi="ar-JO"/>
        </w:rPr>
        <w:t xml:space="preserve">. </w:t>
      </w:r>
    </w:p>
    <w:p w:rsidR="00073B08" w:rsidRPr="008605FD" w:rsidRDefault="008F2B5A" w:rsidP="009E62B4">
      <w:pPr>
        <w:bidi w:val="0"/>
        <w:spacing w:line="360" w:lineRule="exact"/>
        <w:ind w:left="426"/>
        <w:jc w:val="lowKashida"/>
        <w:rPr>
          <w:rFonts w:ascii="Simplified Arabic" w:hAnsi="Simplified Arabic" w:cs="Simplified Arabic"/>
          <w:sz w:val="28"/>
          <w:szCs w:val="28"/>
          <w:lang w:val="en" w:bidi="ar-JO"/>
        </w:rPr>
      </w:pPr>
      <w:r>
        <w:rPr>
          <w:rFonts w:ascii="Simplified Arabic" w:hAnsi="Simplified Arabic" w:cs="Simplified Arabic"/>
          <w:sz w:val="28"/>
          <w:szCs w:val="28"/>
          <w:lang w:val="en" w:bidi="ar-JO"/>
        </w:rPr>
        <w:t>Where such mechanism shall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ensure the 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bank’s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ability to come up with the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results 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>that are necessary to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hedg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e against expected 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credit risks. 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>Hence, BoD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shall 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>ensure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appropriate governance structure 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>for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 w:rsid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the 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proper </w:t>
      </w:r>
      <w:r w:rsidR="005E7355">
        <w:rPr>
          <w:rFonts w:ascii="Simplified Arabic" w:hAnsi="Simplified Arabic" w:cs="Simplified Arabic"/>
          <w:sz w:val="28"/>
          <w:szCs w:val="28"/>
          <w:lang w:val="en" w:bidi="ar-JO"/>
        </w:rPr>
        <w:t>implementation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of the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>S</w:t>
      </w:r>
      <w:r w:rsidR="00B812AE" w:rsidRPr="008605FD">
        <w:rPr>
          <w:rFonts w:ascii="Simplified Arabic" w:hAnsi="Simplified Arabic" w:cs="Simplified Arabic"/>
          <w:sz w:val="28"/>
          <w:szCs w:val="28"/>
          <w:lang w:val="en" w:bidi="ar-JO"/>
        </w:rPr>
        <w:t>tandard.</w:t>
      </w:r>
    </w:p>
    <w:p w:rsidR="009E62B4" w:rsidRDefault="009E62B4" w:rsidP="009E62B4">
      <w:pPr>
        <w:bidi w:val="0"/>
        <w:spacing w:line="360" w:lineRule="exact"/>
        <w:ind w:left="426" w:hanging="426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" w:bidi="ar-JO"/>
        </w:rPr>
      </w:pPr>
    </w:p>
    <w:p w:rsidR="009E62B4" w:rsidRDefault="009E62B4" w:rsidP="009E62B4">
      <w:pPr>
        <w:bidi w:val="0"/>
        <w:spacing w:line="360" w:lineRule="exact"/>
        <w:ind w:left="426" w:hanging="426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" w:bidi="ar-JO"/>
        </w:rPr>
      </w:pPr>
    </w:p>
    <w:p w:rsidR="00073B08" w:rsidRPr="008605FD" w:rsidRDefault="009E62B4" w:rsidP="009E62B4">
      <w:pPr>
        <w:bidi w:val="0"/>
        <w:spacing w:line="360" w:lineRule="exact"/>
        <w:ind w:left="426" w:hanging="426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lang w:val="en"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lang w:val="en" w:bidi="ar-JO"/>
        </w:rPr>
        <w:t>S</w:t>
      </w:r>
      <w:r w:rsidR="00B812AE" w:rsidRPr="008605FD">
        <w:rPr>
          <w:rFonts w:ascii="Simplified Arabic" w:hAnsi="Simplified Arabic" w:cs="Simplified Arabic"/>
          <w:b/>
          <w:bCs/>
          <w:sz w:val="28"/>
          <w:szCs w:val="28"/>
          <w:u w:val="single"/>
          <w:lang w:val="en" w:bidi="ar-JO"/>
        </w:rPr>
        <w:t>econd:</w:t>
      </w:r>
    </w:p>
    <w:p w:rsidR="00B812AE" w:rsidRPr="00560056" w:rsidRDefault="005E7355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>Banks shall record</w:t>
      </w:r>
      <w:r w:rsidR="00B812AE"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material impact resulting from the </w:t>
      </w: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first- time implementation of the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>S</w:t>
      </w:r>
      <w:r w:rsidR="00B812AE"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tandard on the opening balance of the equity </w:t>
      </w: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>(</w:t>
      </w:r>
      <w:r w:rsidR="00B812AE" w:rsidRPr="00560056">
        <w:rPr>
          <w:rFonts w:ascii="Simplified Arabic" w:hAnsi="Simplified Arabic" w:cs="Simplified Arabic"/>
          <w:sz w:val="28"/>
          <w:szCs w:val="28"/>
          <w:lang w:val="en" w:bidi="ar-JO"/>
        </w:rPr>
        <w:t>retained earnings</w:t>
      </w: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item)</w:t>
      </w:r>
      <w:r w:rsidR="00B812AE"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as on 1/1/2018.</w:t>
      </w:r>
    </w:p>
    <w:p w:rsidR="00B812AE" w:rsidRPr="00560056" w:rsidRDefault="005E7355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>Banks shall transfer</w:t>
      </w:r>
      <w:r w:rsidR="00B812AE"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accumulated balance of the general banking risk reserve as on 31/12/2017 to the retained earnings item, as </w:t>
      </w:r>
      <w:r w:rsidR="008605FD"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follows: </w:t>
      </w:r>
    </w:p>
    <w:p w:rsidR="00B812AE" w:rsidRPr="00560056" w:rsidRDefault="00B812AE" w:rsidP="009E62B4">
      <w:pPr>
        <w:pStyle w:val="ListParagraph"/>
        <w:numPr>
          <w:ilvl w:val="0"/>
          <w:numId w:val="19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Keeping the surplus balance of the general banking risks reserve (if any) restricted and may not be distributed as </w:t>
      </w:r>
      <w:r w:rsidR="00560056">
        <w:rPr>
          <w:rFonts w:ascii="Simplified Arabic" w:hAnsi="Simplified Arabic" w:cs="Simplified Arabic"/>
          <w:sz w:val="28"/>
          <w:szCs w:val="28"/>
          <w:lang w:val="en" w:bidi="ar-JO"/>
        </w:rPr>
        <w:t>profit</w:t>
      </w: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to shareholders, and may not be used for any other purposes without a prior approval of the CB</w:t>
      </w:r>
      <w:r w:rsidR="00560056">
        <w:rPr>
          <w:rFonts w:ascii="Simplified Arabic" w:hAnsi="Simplified Arabic" w:cs="Simplified Arabic"/>
          <w:sz w:val="28"/>
          <w:szCs w:val="28"/>
          <w:lang w:val="en" w:bidi="ar-JO"/>
        </w:rPr>
        <w:t>J</w:t>
      </w:r>
      <w:r w:rsidRPr="00560056">
        <w:rPr>
          <w:rFonts w:ascii="Simplified Arabic" w:hAnsi="Simplified Arabic" w:cs="Simplified Arabic"/>
          <w:sz w:val="28"/>
          <w:szCs w:val="28"/>
          <w:lang w:val="en" w:bidi="ar-JO"/>
        </w:rPr>
        <w:t>.</w:t>
      </w:r>
    </w:p>
    <w:p w:rsidR="00B812AE" w:rsidRPr="00560056" w:rsidRDefault="00B812AE" w:rsidP="009E62B4">
      <w:pPr>
        <w:pStyle w:val="ListParagraph"/>
        <w:numPr>
          <w:ilvl w:val="0"/>
          <w:numId w:val="19"/>
        </w:num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lowKashida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560056">
        <w:rPr>
          <w:rFonts w:ascii="Simplified Arabic" w:hAnsi="Simplified Arabic" w:cs="Simplified Arabic"/>
          <w:sz w:val="28"/>
          <w:szCs w:val="28"/>
          <w:lang w:bidi="ar-JO"/>
        </w:rPr>
        <w:t>For the purpose of calculating the regulatory capital (Tier 2),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 xml:space="preserve"> it 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>is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 xml:space="preserve"> taken into account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 the equivalent balance of the required provisions 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lastRenderedPageBreak/>
        <w:t xml:space="preserve">against debt instruments/ credit exposures 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>classified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>as (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>Stage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>-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>1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>) exposures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, provided that it does not exceed (1.25%) of the total credit risk-weighted assets calculated according to 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>t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he </w:t>
      </w:r>
      <w:r w:rsidR="002E4CA3">
        <w:rPr>
          <w:rFonts w:ascii="Simplified Arabic" w:hAnsi="Simplified Arabic" w:cs="Simplified Arabic"/>
          <w:sz w:val="28"/>
          <w:szCs w:val="28"/>
          <w:lang w:bidi="ar-JO"/>
        </w:rPr>
        <w:t>s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>tandard</w:t>
      </w:r>
      <w:r w:rsidR="00560056">
        <w:rPr>
          <w:rFonts w:ascii="Simplified Arabic" w:hAnsi="Simplified Arabic" w:cs="Simplified Arabic"/>
          <w:sz w:val="28"/>
          <w:szCs w:val="28"/>
          <w:lang w:bidi="ar-JO"/>
        </w:rPr>
        <w:t>ized approach. Such balance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 xml:space="preserve"> shall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 not subtracted from the amount of credit exposures (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 xml:space="preserve">in 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the denominator of 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>CAR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), 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>unless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 the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 xml:space="preserve"> remainder 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amount 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>exceeding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 (1.25%) </w:t>
      </w:r>
      <w:r w:rsidR="00961C73" w:rsidRPr="00560056">
        <w:rPr>
          <w:rFonts w:ascii="Simplified Arabic" w:hAnsi="Simplified Arabic" w:cs="Simplified Arabic"/>
          <w:sz w:val="28"/>
          <w:szCs w:val="28"/>
          <w:lang w:bidi="ar-JO"/>
        </w:rPr>
        <w:t xml:space="preserve">of the total credit risk-weighted assets calculated according to 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>t</w:t>
      </w:r>
      <w:r w:rsidR="00961C73" w:rsidRPr="00560056">
        <w:rPr>
          <w:rFonts w:ascii="Simplified Arabic" w:hAnsi="Simplified Arabic" w:cs="Simplified Arabic"/>
          <w:sz w:val="28"/>
          <w:szCs w:val="28"/>
          <w:lang w:bidi="ar-JO"/>
        </w:rPr>
        <w:t>he standard</w:t>
      </w:r>
      <w:r w:rsidR="00961C73">
        <w:rPr>
          <w:rFonts w:ascii="Simplified Arabic" w:hAnsi="Simplified Arabic" w:cs="Simplified Arabic"/>
          <w:sz w:val="28"/>
          <w:szCs w:val="28"/>
          <w:lang w:bidi="ar-JO"/>
        </w:rPr>
        <w:t>ized approach</w:t>
      </w:r>
      <w:r w:rsidRPr="00560056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:rsidR="00B812AE" w:rsidRPr="00961C73" w:rsidRDefault="00846696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>
        <w:rPr>
          <w:rFonts w:ascii="Simplified Arabic" w:hAnsi="Simplified Arabic" w:cs="Simplified Arabic"/>
          <w:sz w:val="28"/>
          <w:szCs w:val="28"/>
          <w:lang w:val="en" w:bidi="ar-JO"/>
        </w:rPr>
        <w:t>Sharia’ compliant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banks are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required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to apply the above to finances and receivables (credit exposures) financed from the bank's own funds.</w:t>
      </w:r>
    </w:p>
    <w:p w:rsidR="00B812AE" w:rsidRPr="008605FD" w:rsidRDefault="00846696" w:rsidP="009E62B4">
      <w:pPr>
        <w:pStyle w:val="ListParagraph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However, for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>finances and receivables (credit exposures) financed by th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e joint investment accounts, banks shall calculate the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expected credit losses and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submit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>C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BJ with the results of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calculation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in order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>to take the appropriate decision.</w:t>
      </w:r>
    </w:p>
    <w:p w:rsidR="00AE296B" w:rsidRPr="00D91035" w:rsidRDefault="00D91035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>
        <w:rPr>
          <w:rFonts w:ascii="Simplified Arabic" w:hAnsi="Simplified Arabic" w:cs="Simplified Arabic"/>
          <w:sz w:val="28"/>
          <w:szCs w:val="28"/>
          <w:lang w:val="en" w:bidi="ar-JO"/>
        </w:rPr>
        <w:t>I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>nstructions No. (47/2009) dated 10/12/2009 and its amendments shall continue to be implemented, and the results sh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all be taken into consideration,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 booking 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whichever is more stringent 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>[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where 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the results are compared 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>at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each of the second and third 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>stage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>s separately (the total of each stage)</w:t>
      </w:r>
      <w:r w:rsidR="0044098B" w:rsidRPr="00D91035">
        <w:rPr>
          <w:rFonts w:ascii="Simplified Arabic" w:hAnsi="Simplified Arabic" w:cs="Simplified Arabic"/>
          <w:sz w:val="28"/>
          <w:szCs w:val="28"/>
          <w:lang w:bidi="ar-JO"/>
        </w:rPr>
        <w:t>]</w:t>
      </w:r>
      <w:r>
        <w:rPr>
          <w:rFonts w:ascii="Simplified Arabic" w:hAnsi="Simplified Arabic" w:cs="Simplified Arabic"/>
          <w:sz w:val="28"/>
          <w:szCs w:val="28"/>
          <w:lang w:bidi="ar-JO"/>
        </w:rPr>
        <w:t>. S</w:t>
      </w:r>
      <w:r w:rsidR="0044098B" w:rsidRPr="00D91035">
        <w:rPr>
          <w:rFonts w:ascii="Simplified Arabic" w:hAnsi="Simplified Arabic" w:cs="Simplified Arabic"/>
          <w:sz w:val="28"/>
          <w:szCs w:val="28"/>
          <w:lang w:bidi="ar-JO"/>
        </w:rPr>
        <w:t>uch procedure is done by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>m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>apping the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results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calculated based on IFRS (9) requirements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(of the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second stage and the third stage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>)</w:t>
      </w:r>
      <w:r w:rsidR="00B812AE"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with </w:t>
      </w:r>
      <w:r w:rsidR="0044098B" w:rsidRPr="00D91035">
        <w:rPr>
          <w:rFonts w:ascii="Simplified Arabic" w:hAnsi="Simplified Arabic" w:cs="Simplified Arabic"/>
          <w:sz w:val="28"/>
          <w:szCs w:val="28"/>
          <w:lang w:val="en" w:bidi="ar-JO"/>
        </w:rPr>
        <w:t>the provision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s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calculated based on the above mentioned instructions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(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of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the 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>watch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-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list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credits 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>and NPLs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,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respectively,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)</w:t>
      </w:r>
      <w:r w:rsidRPr="00D91035">
        <w:rPr>
          <w:rFonts w:ascii="Simplified Arabic" w:hAnsi="Simplified Arabic" w:cs="Simplified Arabic"/>
          <w:sz w:val="28"/>
          <w:szCs w:val="28"/>
          <w:lang w:val="en" w:bidi="ar-JO"/>
        </w:rPr>
        <w:t>.</w:t>
      </w:r>
    </w:p>
    <w:p w:rsidR="002E4CA3" w:rsidRDefault="00B812AE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lastRenderedPageBreak/>
        <w:t>Reclassifications of financial instruments between</w:t>
      </w:r>
      <w:r w:rsid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three categories specified by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 w:rsid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IFRS 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>(9) [</w:t>
      </w:r>
      <w:r w:rsidR="00D91035">
        <w:rPr>
          <w:rFonts w:ascii="Simplified Arabic" w:hAnsi="Simplified Arabic" w:cs="Simplified Arabic"/>
          <w:sz w:val="28"/>
          <w:szCs w:val="28"/>
          <w:lang w:val="en" w:bidi="ar-JO"/>
        </w:rPr>
        <w:t>at amortized cost, FVOCI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, </w:t>
      </w:r>
      <w:r w:rsidR="00D91035">
        <w:rPr>
          <w:rFonts w:ascii="Simplified Arabic" w:hAnsi="Simplified Arabic" w:cs="Simplified Arabic"/>
          <w:sz w:val="28"/>
          <w:szCs w:val="28"/>
          <w:lang w:val="en" w:bidi="ar-JO"/>
        </w:rPr>
        <w:t>FVPL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>] may be carried out for one time at the beginning of 2018</w:t>
      </w:r>
      <w:r w:rsidR="00D91035">
        <w:rPr>
          <w:rFonts w:ascii="Simplified Arabic" w:hAnsi="Simplified Arabic" w:cs="Simplified Arabic"/>
          <w:sz w:val="28"/>
          <w:szCs w:val="28"/>
          <w:lang w:val="en" w:bidi="ar-JO"/>
        </w:rPr>
        <w:t xml:space="preserve">. This is 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to achieve proper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implementation of the Standard. </w:t>
      </w:r>
    </w:p>
    <w:p w:rsidR="00B812AE" w:rsidRPr="008605FD" w:rsidRDefault="002E4CA3" w:rsidP="009E62B4">
      <w:pPr>
        <w:pStyle w:val="ListParagraph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>
        <w:rPr>
          <w:rFonts w:ascii="Simplified Arabic" w:hAnsi="Simplified Arabic" w:cs="Simplified Arabic"/>
          <w:sz w:val="28"/>
          <w:szCs w:val="28"/>
          <w:lang w:val="en" w:bidi="ar-JO"/>
        </w:rPr>
        <w:t>T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>hen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 banks shall abide to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requirements of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the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>Standard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and as stated in CBJ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instructions regarding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transfers and reclassifications.</w:t>
      </w:r>
    </w:p>
    <w:p w:rsidR="00B812AE" w:rsidRPr="00961C73" w:rsidRDefault="00B812AE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Any adjustment in the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>ECL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balance resulting from a change in the methodology and systems applied at the bank, the difference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shall be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recorded </w:t>
      </w:r>
      <w:r w:rsidR="002E4CA3">
        <w:rPr>
          <w:rFonts w:ascii="Simplified Arabic" w:hAnsi="Simplified Arabic" w:cs="Simplified Arabic"/>
          <w:sz w:val="28"/>
          <w:szCs w:val="28"/>
          <w:lang w:val="en" w:bidi="ar-JO"/>
        </w:rPr>
        <w:t>within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retained earnings/equity balance.</w:t>
      </w:r>
    </w:p>
    <w:p w:rsidR="00B812AE" w:rsidRPr="008605FD" w:rsidRDefault="00B812AE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>It is the responsibility of the external auditor to verify the soundness of the</w:t>
      </w:r>
      <w:r w:rsidRPr="008605FD">
        <w:rPr>
          <w:rFonts w:ascii="Simplified Arabic" w:hAnsi="Simplified Arabic" w:cs="Simplified Arabic"/>
          <w:sz w:val="28"/>
          <w:szCs w:val="28"/>
          <w:lang w:bidi="ar-JO"/>
        </w:rPr>
        <w:t xml:space="preserve"> bank’s procedures regarding the me</w:t>
      </w:r>
      <w:r w:rsidR="002E4CA3">
        <w:rPr>
          <w:rFonts w:ascii="Simplified Arabic" w:hAnsi="Simplified Arabic" w:cs="Simplified Arabic"/>
          <w:sz w:val="28"/>
          <w:szCs w:val="28"/>
          <w:lang w:bidi="ar-JO"/>
        </w:rPr>
        <w:t>thodology and calculation of ECL, and to provide</w:t>
      </w:r>
      <w:r w:rsidRPr="008605FD">
        <w:rPr>
          <w:rFonts w:ascii="Simplified Arabic" w:hAnsi="Simplified Arabic" w:cs="Simplified Arabic"/>
          <w:sz w:val="28"/>
          <w:szCs w:val="28"/>
          <w:lang w:bidi="ar-JO"/>
        </w:rPr>
        <w:t xml:space="preserve"> CB</w:t>
      </w:r>
      <w:r w:rsidR="002E4CA3">
        <w:rPr>
          <w:rFonts w:ascii="Simplified Arabic" w:hAnsi="Simplified Arabic" w:cs="Simplified Arabic"/>
          <w:sz w:val="28"/>
          <w:szCs w:val="28"/>
          <w:lang w:bidi="ar-JO"/>
        </w:rPr>
        <w:t xml:space="preserve">J with a certificate </w:t>
      </w:r>
      <w:r w:rsidRPr="008605FD">
        <w:rPr>
          <w:rFonts w:ascii="Simplified Arabic" w:hAnsi="Simplified Arabic" w:cs="Simplified Arabic"/>
          <w:sz w:val="28"/>
          <w:szCs w:val="28"/>
          <w:lang w:bidi="ar-JO"/>
        </w:rPr>
        <w:t xml:space="preserve">regarding the soundness of the procedures and the adequacy of </w:t>
      </w:r>
      <w:r w:rsidR="002E4CA3">
        <w:rPr>
          <w:rFonts w:ascii="Simplified Arabic" w:hAnsi="Simplified Arabic" w:cs="Simplified Arabic"/>
          <w:sz w:val="28"/>
          <w:szCs w:val="28"/>
          <w:lang w:bidi="ar-JO"/>
        </w:rPr>
        <w:t>the</w:t>
      </w:r>
      <w:r w:rsidRPr="008605FD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2E4CA3">
        <w:rPr>
          <w:rFonts w:ascii="Simplified Arabic" w:hAnsi="Simplified Arabic" w:cs="Simplified Arabic"/>
          <w:sz w:val="28"/>
          <w:szCs w:val="28"/>
          <w:lang w:bidi="ar-JO"/>
        </w:rPr>
        <w:t>ECL</w:t>
      </w:r>
      <w:r w:rsidRPr="008605FD">
        <w:rPr>
          <w:rFonts w:ascii="Simplified Arabic" w:hAnsi="Simplified Arabic" w:cs="Simplified Arabic"/>
          <w:sz w:val="28"/>
          <w:szCs w:val="28"/>
          <w:lang w:bidi="ar-JO"/>
        </w:rPr>
        <w:t xml:space="preserve"> calculated by the bank </w:t>
      </w:r>
      <w:r w:rsidR="002E4CA3">
        <w:rPr>
          <w:rFonts w:ascii="Simplified Arabic" w:hAnsi="Simplified Arabic" w:cs="Simplified Arabic"/>
          <w:sz w:val="28"/>
          <w:szCs w:val="28"/>
          <w:lang w:bidi="ar-JO"/>
        </w:rPr>
        <w:t xml:space="preserve">along-side </w:t>
      </w:r>
      <w:r w:rsidRPr="008605FD">
        <w:rPr>
          <w:rFonts w:ascii="Simplified Arabic" w:hAnsi="Simplified Arabic" w:cs="Simplified Arabic"/>
          <w:sz w:val="28"/>
          <w:szCs w:val="28"/>
          <w:lang w:bidi="ar-JO"/>
        </w:rPr>
        <w:t xml:space="preserve">with each financial </w:t>
      </w:r>
      <w:r w:rsidR="00E15C78">
        <w:rPr>
          <w:rFonts w:ascii="Simplified Arabic" w:hAnsi="Simplified Arabic" w:cs="Simplified Arabic"/>
          <w:sz w:val="28"/>
          <w:szCs w:val="28"/>
          <w:lang w:bidi="ar-JO"/>
        </w:rPr>
        <w:t>statements</w:t>
      </w:r>
      <w:r w:rsidR="00C36144" w:rsidRPr="008605FD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:rsidR="00B812AE" w:rsidRPr="00961C73" w:rsidRDefault="002E4CA3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 w:rsidRPr="008605FD">
        <w:rPr>
          <w:rFonts w:ascii="Simplified Arabic" w:hAnsi="Simplified Arabic" w:cs="Simplified Arabic"/>
          <w:sz w:val="28"/>
          <w:szCs w:val="28"/>
          <w:lang w:bidi="ar-JO"/>
        </w:rPr>
        <w:t>CB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J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will take the necessary measures to verify the soundness of the methodologies and mechanisms applied by banks to calculate </w:t>
      </w:r>
      <w:r w:rsidR="00E15C78">
        <w:rPr>
          <w:rFonts w:ascii="Simplified Arabic" w:hAnsi="Simplified Arabic" w:cs="Simplified Arabic"/>
          <w:sz w:val="28"/>
          <w:szCs w:val="28"/>
          <w:lang w:val="en" w:bidi="ar-JO"/>
        </w:rPr>
        <w:t xml:space="preserve">ECL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>through field visits to banks, where each bank will be informed of the</w:t>
      </w:r>
      <w:r w:rsidR="00E15C78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subsequent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arrangements.</w:t>
      </w:r>
    </w:p>
    <w:p w:rsidR="00B812AE" w:rsidRPr="008605FD" w:rsidRDefault="00E15C78" w:rsidP="009E62B4">
      <w:pPr>
        <w:pStyle w:val="ListParagraph"/>
        <w:numPr>
          <w:ilvl w:val="0"/>
          <w:numId w:val="18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exact"/>
        <w:jc w:val="both"/>
        <w:rPr>
          <w:rFonts w:ascii="Simplified Arabic" w:hAnsi="Simplified Arabic" w:cs="Simplified Arabic"/>
          <w:sz w:val="28"/>
          <w:szCs w:val="28"/>
          <w:lang w:val="en" w:bidi="ar-JO"/>
        </w:rPr>
      </w:pPr>
      <w:r>
        <w:rPr>
          <w:rFonts w:ascii="Simplified Arabic" w:hAnsi="Simplified Arabic" w:cs="Simplified Arabic"/>
          <w:sz w:val="28"/>
          <w:szCs w:val="28"/>
          <w:lang w:val="en" w:bidi="ar-JO"/>
        </w:rPr>
        <w:t>Banks shall abide to the requirements of q</w:t>
      </w:r>
      <w:r w:rsidRPr="00961C73">
        <w:rPr>
          <w:rFonts w:ascii="Simplified Arabic" w:hAnsi="Simplified Arabic" w:cs="Simplified Arabic"/>
          <w:sz w:val="28"/>
          <w:szCs w:val="28"/>
          <w:lang w:val="en" w:bidi="ar-JO"/>
        </w:rPr>
        <w:t>uantitative and qualitative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 xml:space="preserve"> disclosures 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attached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to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the instructions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,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to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any other disclosures required under the IF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R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S,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and to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provid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e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CB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J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with the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sheets</w:t>
      </w:r>
      <w:r w:rsidR="00B107D6">
        <w:rPr>
          <w:rFonts w:ascii="Simplified Arabic" w:hAnsi="Simplified Arabic" w:cs="Simplified Arabic"/>
          <w:sz w:val="28"/>
          <w:szCs w:val="28"/>
          <w:lang w:val="en" w:bidi="ar-JO"/>
        </w:rPr>
        <w:t>/ statements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 xml:space="preserve"> attached to the instructions with each financial </w:t>
      </w:r>
      <w:r>
        <w:rPr>
          <w:rFonts w:ascii="Simplified Arabic" w:hAnsi="Simplified Arabic" w:cs="Simplified Arabic"/>
          <w:sz w:val="28"/>
          <w:szCs w:val="28"/>
          <w:lang w:val="en" w:bidi="ar-JO"/>
        </w:rPr>
        <w:t>statements</w:t>
      </w:r>
      <w:r w:rsidR="00B812AE" w:rsidRPr="00961C73">
        <w:rPr>
          <w:rFonts w:ascii="Simplified Arabic" w:hAnsi="Simplified Arabic" w:cs="Simplified Arabic"/>
          <w:sz w:val="28"/>
          <w:szCs w:val="28"/>
          <w:lang w:val="en" w:bidi="ar-JO"/>
        </w:rPr>
        <w:t>.</w:t>
      </w:r>
    </w:p>
    <w:p w:rsidR="001E69D9" w:rsidRPr="00E15C78" w:rsidRDefault="001E69D9" w:rsidP="009E62B4">
      <w:pPr>
        <w:spacing w:line="360" w:lineRule="exact"/>
        <w:ind w:left="158" w:firstLine="562"/>
        <w:jc w:val="lowKashida"/>
        <w:rPr>
          <w:rFonts w:ascii="Simplified Arabic" w:hAnsi="Simplified Arabic" w:cs="Simplified Arabic"/>
          <w:sz w:val="28"/>
          <w:szCs w:val="28"/>
          <w:rtl/>
          <w:lang w:val="en" w:bidi="ar-JO"/>
        </w:rPr>
      </w:pPr>
    </w:p>
    <w:p w:rsidR="009E62B4" w:rsidRDefault="00B812AE" w:rsidP="009E62B4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sz w:val="28"/>
          <w:szCs w:val="28"/>
          <w:lang w:eastAsia="ar-SA" w:bidi="ar-JO"/>
        </w:rPr>
      </w:pPr>
      <w:r w:rsidRPr="00785E65">
        <w:rPr>
          <w:rFonts w:ascii="Simplified Arabic" w:hAnsi="Simplified Arabic" w:cs="Simplified Arabic"/>
          <w:b/>
          <w:bCs/>
          <w:sz w:val="28"/>
          <w:szCs w:val="28"/>
          <w:u w:val="single"/>
          <w:lang w:eastAsia="ar-SA" w:bidi="ar-JO"/>
        </w:rPr>
        <w:t>Third:</w:t>
      </w:r>
      <w:r w:rsidR="00785E65" w:rsidRPr="009E62B4">
        <w:rPr>
          <w:rFonts w:ascii="Simplified Arabic" w:hAnsi="Simplified Arabic" w:cs="Simplified Arabic"/>
          <w:sz w:val="28"/>
          <w:szCs w:val="28"/>
          <w:lang w:eastAsia="ar-SA" w:bidi="ar-JO"/>
        </w:rPr>
        <w:t xml:space="preserve"> </w:t>
      </w:r>
    </w:p>
    <w:p w:rsidR="001E69D9" w:rsidRDefault="00B812AE" w:rsidP="009E62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</w:tabs>
        <w:spacing w:line="360" w:lineRule="exact"/>
        <w:ind w:left="1" w:hanging="1"/>
        <w:jc w:val="lowKashida"/>
        <w:rPr>
          <w:rFonts w:ascii="Simplified Arabic" w:hAnsi="Simplified Arabic" w:cs="Simplified Arabic"/>
          <w:sz w:val="27"/>
          <w:szCs w:val="27"/>
          <w:lang w:eastAsia="ar-SA" w:bidi="ar-JO"/>
        </w:rPr>
      </w:pPr>
      <w:r w:rsidRPr="008605FD">
        <w:rPr>
          <w:rFonts w:ascii="Simplified Arabic" w:hAnsi="Simplified Arabic" w:cs="Simplified Arabic"/>
          <w:sz w:val="28"/>
          <w:szCs w:val="28"/>
          <w:lang w:eastAsia="ar-SA" w:bidi="ar-JO"/>
        </w:rPr>
        <w:lastRenderedPageBreak/>
        <w:t>Circular</w:t>
      </w:r>
      <w:r w:rsidR="009E62B4">
        <w:rPr>
          <w:rFonts w:ascii="Simplified Arabic" w:hAnsi="Simplified Arabic" w:cs="Simplified Arabic"/>
          <w:sz w:val="28"/>
          <w:szCs w:val="28"/>
          <w:lang w:eastAsia="ar-SA" w:bidi="ar-JO"/>
        </w:rPr>
        <w:t>s</w:t>
      </w:r>
      <w:r w:rsidRPr="008605FD">
        <w:rPr>
          <w:rFonts w:ascii="Simplified Arabic" w:hAnsi="Simplified Arabic" w:cs="Simplified Arabic"/>
          <w:sz w:val="28"/>
          <w:szCs w:val="28"/>
          <w:lang w:eastAsia="ar-SA" w:bidi="ar-JO"/>
        </w:rPr>
        <w:t xml:space="preserve"> No. (10/1/1359) dated 25/1/2018 and No. (10/1/15583) dated 11/23/2017 </w:t>
      </w:r>
      <w:r w:rsidR="00E15C78">
        <w:rPr>
          <w:rFonts w:ascii="Simplified Arabic" w:hAnsi="Simplified Arabic" w:cs="Simplified Arabic"/>
          <w:sz w:val="28"/>
          <w:szCs w:val="28"/>
          <w:lang w:eastAsia="ar-SA" w:bidi="ar-JO"/>
        </w:rPr>
        <w:t xml:space="preserve">are </w:t>
      </w:r>
      <w:r w:rsidRPr="008605FD">
        <w:rPr>
          <w:rFonts w:ascii="Simplified Arabic" w:hAnsi="Simplified Arabic" w:cs="Simplified Arabic"/>
          <w:sz w:val="28"/>
          <w:szCs w:val="28"/>
          <w:lang w:eastAsia="ar-SA" w:bidi="ar-JO"/>
        </w:rPr>
        <w:t>cancelled</w:t>
      </w:r>
      <w:r w:rsidRPr="008605FD">
        <w:rPr>
          <w:rFonts w:ascii="Simplified Arabic" w:hAnsi="Simplified Arabic" w:cs="Simplified Arabic"/>
          <w:sz w:val="27"/>
          <w:szCs w:val="27"/>
          <w:lang w:eastAsia="ar-SA" w:bidi="ar-JO"/>
        </w:rPr>
        <w:t>.</w:t>
      </w:r>
    </w:p>
    <w:p w:rsidR="00E15C78" w:rsidRDefault="00E15C78" w:rsidP="009E62B4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sz w:val="27"/>
          <w:szCs w:val="27"/>
          <w:rtl/>
          <w:lang w:val="en" w:eastAsia="ar-SA" w:bidi="ar-JO"/>
        </w:rPr>
      </w:pPr>
    </w:p>
    <w:p w:rsidR="00E15C78" w:rsidRDefault="00E15C78" w:rsidP="009E62B4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sz w:val="27"/>
          <w:szCs w:val="27"/>
          <w:lang w:val="en" w:eastAsia="ar-SA" w:bidi="ar-JO"/>
        </w:rPr>
      </w:pPr>
    </w:p>
    <w:p w:rsidR="00E15C78" w:rsidRDefault="00E15C78" w:rsidP="009E62B4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sz w:val="27"/>
          <w:szCs w:val="27"/>
          <w:lang w:val="en" w:eastAsia="ar-SA" w:bidi="ar-JO"/>
        </w:rPr>
      </w:pPr>
    </w:p>
    <w:p w:rsidR="00E15C78" w:rsidRPr="00E15C78" w:rsidRDefault="00F62E7D" w:rsidP="009E62B4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b/>
          <w:bCs/>
          <w:sz w:val="27"/>
          <w:szCs w:val="27"/>
          <w:lang w:val="en" w:eastAsia="ar-SA" w:bidi="ar-JO"/>
        </w:rPr>
      </w:pPr>
      <w:r>
        <w:rPr>
          <w:rFonts w:ascii="Simplified Arabic" w:hAnsi="Simplified Arabic" w:cs="Simplified Arabic"/>
          <w:b/>
          <w:bCs/>
          <w:sz w:val="27"/>
          <w:szCs w:val="27"/>
          <w:lang w:val="en" w:eastAsia="ar-SA" w:bidi="ar-JO"/>
        </w:rPr>
        <w:t xml:space="preserve">  </w:t>
      </w:r>
      <w:r w:rsidR="00E15C78" w:rsidRPr="00E15C78">
        <w:rPr>
          <w:rFonts w:ascii="Simplified Arabic" w:hAnsi="Simplified Arabic" w:cs="Simplified Arabic"/>
          <w:b/>
          <w:bCs/>
          <w:sz w:val="27"/>
          <w:szCs w:val="27"/>
          <w:lang w:val="en" w:eastAsia="ar-SA" w:bidi="ar-JO"/>
        </w:rPr>
        <w:t>Governor</w:t>
      </w:r>
    </w:p>
    <w:p w:rsidR="00E15C78" w:rsidRDefault="00E15C78" w:rsidP="009E62B4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b/>
          <w:bCs/>
          <w:sz w:val="27"/>
          <w:szCs w:val="27"/>
          <w:lang w:val="en" w:eastAsia="ar-SA" w:bidi="ar-JO"/>
        </w:rPr>
      </w:pPr>
      <w:r w:rsidRPr="00E15C78">
        <w:rPr>
          <w:rFonts w:ascii="Simplified Arabic" w:hAnsi="Simplified Arabic" w:cs="Simplified Arabic"/>
          <w:b/>
          <w:bCs/>
          <w:sz w:val="27"/>
          <w:szCs w:val="27"/>
          <w:lang w:val="en" w:eastAsia="ar-SA" w:bidi="ar-JO"/>
        </w:rPr>
        <w:t>Dr. Ziad Fariz</w:t>
      </w:r>
    </w:p>
    <w:p w:rsidR="00B107D6" w:rsidRDefault="00B107D6" w:rsidP="00E15C78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b/>
          <w:bCs/>
          <w:sz w:val="27"/>
          <w:szCs w:val="27"/>
          <w:lang w:val="en" w:eastAsia="ar-SA" w:bidi="ar-JO"/>
        </w:rPr>
      </w:pPr>
    </w:p>
    <w:p w:rsidR="00B107D6" w:rsidRDefault="00B107D6" w:rsidP="00E15C78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b/>
          <w:bCs/>
          <w:sz w:val="27"/>
          <w:szCs w:val="27"/>
          <w:lang w:val="en" w:eastAsia="ar-SA" w:bidi="ar-JO"/>
        </w:rPr>
      </w:pPr>
    </w:p>
    <w:p w:rsidR="00B107D6" w:rsidRPr="00E15C78" w:rsidRDefault="00B107D6" w:rsidP="00E15C78">
      <w:pPr>
        <w:pStyle w:val="HTMLPreformatted"/>
        <w:tabs>
          <w:tab w:val="clear" w:pos="916"/>
          <w:tab w:val="clear" w:pos="1832"/>
          <w:tab w:val="clear" w:pos="2748"/>
        </w:tabs>
        <w:spacing w:line="360" w:lineRule="exact"/>
        <w:ind w:left="567" w:hanging="568"/>
        <w:jc w:val="lowKashida"/>
        <w:rPr>
          <w:rFonts w:ascii="Simplified Arabic" w:hAnsi="Simplified Arabic" w:cs="Simplified Arabic"/>
          <w:b/>
          <w:bCs/>
          <w:sz w:val="27"/>
          <w:szCs w:val="27"/>
          <w:rtl/>
          <w:lang w:val="en" w:eastAsia="ar-SA" w:bidi="ar-JO"/>
        </w:rPr>
      </w:pPr>
    </w:p>
    <w:p w:rsidR="00F62E7D" w:rsidRDefault="00F62E7D" w:rsidP="00B107D6">
      <w:pPr>
        <w:pStyle w:val="ListParagraph"/>
        <w:numPr>
          <w:ilvl w:val="0"/>
          <w:numId w:val="20"/>
        </w:numPr>
        <w:bidi w:val="0"/>
        <w:spacing w:line="240" w:lineRule="exact"/>
        <w:ind w:hanging="177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F62E7D"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Attached</w:t>
      </w:r>
      <w:r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:</w:t>
      </w:r>
    </w:p>
    <w:p w:rsidR="00B107D6" w:rsidRDefault="00B107D6" w:rsidP="00B107D6">
      <w:pPr>
        <w:pStyle w:val="ListParagraph"/>
        <w:numPr>
          <w:ilvl w:val="0"/>
          <w:numId w:val="22"/>
        </w:numPr>
        <w:bidi w:val="0"/>
        <w:spacing w:after="120" w:line="240" w:lineRule="exact"/>
        <w:ind w:left="5670"/>
        <w:contextualSpacing/>
        <w:rPr>
          <w:b/>
          <w:bCs/>
          <w:spacing w:val="5"/>
          <w:sz w:val="20"/>
          <w:szCs w:val="20"/>
        </w:rPr>
      </w:pPr>
      <w:r w:rsidRPr="00B107D6">
        <w:rPr>
          <w:b/>
          <w:bCs/>
          <w:spacing w:val="5"/>
          <w:sz w:val="20"/>
          <w:szCs w:val="20"/>
        </w:rPr>
        <w:t>Instructions for Implementing (IFRS 9).</w:t>
      </w:r>
    </w:p>
    <w:p w:rsidR="00B107D6" w:rsidRDefault="00B107D6" w:rsidP="00B107D6">
      <w:pPr>
        <w:pStyle w:val="ListParagraph"/>
        <w:numPr>
          <w:ilvl w:val="0"/>
          <w:numId w:val="22"/>
        </w:numPr>
        <w:bidi w:val="0"/>
        <w:spacing w:after="120" w:line="240" w:lineRule="exact"/>
        <w:ind w:left="5670"/>
        <w:contextualSpacing/>
        <w:rPr>
          <w:b/>
          <w:bCs/>
          <w:spacing w:val="5"/>
          <w:sz w:val="20"/>
          <w:szCs w:val="20"/>
        </w:rPr>
      </w:pPr>
      <w:r w:rsidRPr="00B107D6">
        <w:rPr>
          <w:b/>
          <w:bCs/>
          <w:spacing w:val="5"/>
          <w:sz w:val="20"/>
          <w:szCs w:val="20"/>
        </w:rPr>
        <w:t>Required Quantitative and Qualitative Disclosures</w:t>
      </w:r>
      <w:r>
        <w:rPr>
          <w:b/>
          <w:bCs/>
          <w:spacing w:val="5"/>
          <w:sz w:val="20"/>
          <w:szCs w:val="20"/>
        </w:rPr>
        <w:t>.</w:t>
      </w:r>
      <w:r w:rsidRPr="00B107D6">
        <w:rPr>
          <w:b/>
          <w:bCs/>
          <w:spacing w:val="5"/>
          <w:sz w:val="20"/>
          <w:szCs w:val="20"/>
        </w:rPr>
        <w:t xml:space="preserve"> </w:t>
      </w:r>
    </w:p>
    <w:p w:rsidR="00B107D6" w:rsidRPr="00B107D6" w:rsidRDefault="00B107D6" w:rsidP="00B107D6">
      <w:pPr>
        <w:pStyle w:val="ListParagraph"/>
        <w:numPr>
          <w:ilvl w:val="0"/>
          <w:numId w:val="22"/>
        </w:numPr>
        <w:bidi w:val="0"/>
        <w:spacing w:after="120" w:line="240" w:lineRule="exact"/>
        <w:ind w:left="5670"/>
        <w:contextualSpacing/>
        <w:rPr>
          <w:b/>
          <w:bCs/>
          <w:spacing w:val="5"/>
          <w:sz w:val="20"/>
          <w:szCs w:val="20"/>
        </w:rPr>
      </w:pPr>
      <w:r>
        <w:rPr>
          <w:b/>
          <w:bCs/>
          <w:spacing w:val="5"/>
          <w:sz w:val="20"/>
          <w:szCs w:val="20"/>
        </w:rPr>
        <w:t>Sheets/Statements for the CB</w:t>
      </w:r>
      <w:r w:rsidRPr="00B107D6">
        <w:rPr>
          <w:b/>
          <w:bCs/>
          <w:spacing w:val="5"/>
          <w:sz w:val="20"/>
          <w:szCs w:val="20"/>
        </w:rPr>
        <w:t>J</w:t>
      </w:r>
      <w:r>
        <w:rPr>
          <w:b/>
          <w:bCs/>
          <w:spacing w:val="5"/>
          <w:sz w:val="20"/>
          <w:szCs w:val="20"/>
        </w:rPr>
        <w:t xml:space="preserve"> </w:t>
      </w:r>
      <w:r w:rsidRPr="00B107D6">
        <w:rPr>
          <w:b/>
          <w:bCs/>
          <w:spacing w:val="5"/>
          <w:sz w:val="20"/>
          <w:szCs w:val="20"/>
        </w:rPr>
        <w:t>Purposes</w:t>
      </w:r>
      <w:r>
        <w:rPr>
          <w:b/>
          <w:bCs/>
          <w:spacing w:val="5"/>
          <w:sz w:val="20"/>
          <w:szCs w:val="20"/>
        </w:rPr>
        <w:t>.</w:t>
      </w:r>
    </w:p>
    <w:p w:rsidR="00B107D6" w:rsidRPr="00B107D6" w:rsidRDefault="00B107D6" w:rsidP="00B107D6">
      <w:pPr>
        <w:bidi w:val="0"/>
        <w:spacing w:after="120" w:line="240" w:lineRule="exact"/>
        <w:ind w:left="5217"/>
        <w:contextualSpacing/>
        <w:jc w:val="both"/>
        <w:rPr>
          <w:b/>
          <w:bCs/>
          <w:spacing w:val="5"/>
          <w:sz w:val="20"/>
          <w:szCs w:val="20"/>
        </w:rPr>
      </w:pPr>
    </w:p>
    <w:sectPr w:rsidR="00B107D6" w:rsidRPr="00B107D6" w:rsidSect="008605FD">
      <w:pgSz w:w="12240" w:h="15840" w:code="1"/>
      <w:pgMar w:top="1702" w:right="1418" w:bottom="1418" w:left="1418" w:header="709" w:footer="709" w:gutter="0"/>
      <w:paperSrc w:firs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74" w:rsidRDefault="00905274" w:rsidP="00C460DD">
      <w:r>
        <w:separator/>
      </w:r>
    </w:p>
  </w:endnote>
  <w:endnote w:type="continuationSeparator" w:id="0">
    <w:p w:rsidR="00905274" w:rsidRDefault="00905274" w:rsidP="00C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74" w:rsidRDefault="00905274" w:rsidP="00C460DD">
      <w:r>
        <w:separator/>
      </w:r>
    </w:p>
  </w:footnote>
  <w:footnote w:type="continuationSeparator" w:id="0">
    <w:p w:rsidR="00905274" w:rsidRDefault="00905274" w:rsidP="00C4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CB5"/>
    <w:multiLevelType w:val="hybridMultilevel"/>
    <w:tmpl w:val="FE7C8B30"/>
    <w:lvl w:ilvl="0" w:tplc="11B2160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6043"/>
    <w:multiLevelType w:val="hybridMultilevel"/>
    <w:tmpl w:val="17B4CD0E"/>
    <w:lvl w:ilvl="0" w:tplc="D5E8BF50">
      <w:start w:val="1"/>
      <w:numFmt w:val="decimal"/>
      <w:lvlText w:val="%1&gt;"/>
      <w:lvlJc w:val="left"/>
      <w:pPr>
        <w:ind w:left="55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97" w:hanging="360"/>
      </w:pPr>
    </w:lvl>
    <w:lvl w:ilvl="2" w:tplc="0409001B" w:tentative="1">
      <w:start w:val="1"/>
      <w:numFmt w:val="lowerRoman"/>
      <w:lvlText w:val="%3."/>
      <w:lvlJc w:val="right"/>
      <w:pPr>
        <w:ind w:left="7017" w:hanging="180"/>
      </w:pPr>
    </w:lvl>
    <w:lvl w:ilvl="3" w:tplc="0409000F" w:tentative="1">
      <w:start w:val="1"/>
      <w:numFmt w:val="decimal"/>
      <w:lvlText w:val="%4."/>
      <w:lvlJc w:val="left"/>
      <w:pPr>
        <w:ind w:left="7737" w:hanging="360"/>
      </w:pPr>
    </w:lvl>
    <w:lvl w:ilvl="4" w:tplc="04090019" w:tentative="1">
      <w:start w:val="1"/>
      <w:numFmt w:val="lowerLetter"/>
      <w:lvlText w:val="%5."/>
      <w:lvlJc w:val="left"/>
      <w:pPr>
        <w:ind w:left="8457" w:hanging="360"/>
      </w:pPr>
    </w:lvl>
    <w:lvl w:ilvl="5" w:tplc="0409001B" w:tentative="1">
      <w:start w:val="1"/>
      <w:numFmt w:val="lowerRoman"/>
      <w:lvlText w:val="%6."/>
      <w:lvlJc w:val="right"/>
      <w:pPr>
        <w:ind w:left="9177" w:hanging="180"/>
      </w:pPr>
    </w:lvl>
    <w:lvl w:ilvl="6" w:tplc="0409000F" w:tentative="1">
      <w:start w:val="1"/>
      <w:numFmt w:val="decimal"/>
      <w:lvlText w:val="%7."/>
      <w:lvlJc w:val="left"/>
      <w:pPr>
        <w:ind w:left="9897" w:hanging="360"/>
      </w:pPr>
    </w:lvl>
    <w:lvl w:ilvl="7" w:tplc="04090019" w:tentative="1">
      <w:start w:val="1"/>
      <w:numFmt w:val="lowerLetter"/>
      <w:lvlText w:val="%8."/>
      <w:lvlJc w:val="left"/>
      <w:pPr>
        <w:ind w:left="10617" w:hanging="360"/>
      </w:pPr>
    </w:lvl>
    <w:lvl w:ilvl="8" w:tplc="0409001B" w:tentative="1">
      <w:start w:val="1"/>
      <w:numFmt w:val="lowerRoman"/>
      <w:lvlText w:val="%9."/>
      <w:lvlJc w:val="right"/>
      <w:pPr>
        <w:ind w:left="11337" w:hanging="180"/>
      </w:pPr>
    </w:lvl>
  </w:abstractNum>
  <w:abstractNum w:abstractNumId="2" w15:restartNumberingAfterBreak="0">
    <w:nsid w:val="177470A9"/>
    <w:multiLevelType w:val="hybridMultilevel"/>
    <w:tmpl w:val="FC0E2B1A"/>
    <w:lvl w:ilvl="0" w:tplc="C8D89D6C">
      <w:start w:val="1"/>
      <w:numFmt w:val="decimal"/>
      <w:lvlText w:val="%1."/>
      <w:lvlJc w:val="left"/>
      <w:pPr>
        <w:ind w:left="386" w:hanging="360"/>
      </w:pPr>
      <w:rPr>
        <w:rFonts w:ascii="Simplified Arabic" w:eastAsia="Times New Roman" w:hAnsi="Simplified Arabic" w:cs="Simplified Arabic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195C186C"/>
    <w:multiLevelType w:val="hybridMultilevel"/>
    <w:tmpl w:val="13C60D40"/>
    <w:lvl w:ilvl="0" w:tplc="0652CCC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1532"/>
    <w:multiLevelType w:val="hybridMultilevel"/>
    <w:tmpl w:val="EDA2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13C7"/>
    <w:multiLevelType w:val="hybridMultilevel"/>
    <w:tmpl w:val="1312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44F1D"/>
    <w:multiLevelType w:val="hybridMultilevel"/>
    <w:tmpl w:val="DFD48C5E"/>
    <w:lvl w:ilvl="0" w:tplc="B3C29A24">
      <w:start w:val="1"/>
      <w:numFmt w:val="arabicAlpha"/>
      <w:lvlText w:val="%1.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7" w15:restartNumberingAfterBreak="0">
    <w:nsid w:val="1AF26013"/>
    <w:multiLevelType w:val="hybridMultilevel"/>
    <w:tmpl w:val="536CA81E"/>
    <w:lvl w:ilvl="0" w:tplc="02306CAA">
      <w:numFmt w:val="bullet"/>
      <w:lvlText w:val="-"/>
      <w:lvlJc w:val="left"/>
      <w:pPr>
        <w:ind w:left="5217" w:hanging="360"/>
      </w:pPr>
      <w:rPr>
        <w:rFonts w:ascii="Simplified Arabic" w:eastAsia="Times New Roman" w:hAnsi="Simplified Arabic" w:cs="Simplified Arabic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77" w:hanging="360"/>
      </w:pPr>
      <w:rPr>
        <w:rFonts w:ascii="Wingdings" w:hAnsi="Wingdings" w:hint="default"/>
      </w:rPr>
    </w:lvl>
  </w:abstractNum>
  <w:abstractNum w:abstractNumId="8" w15:restartNumberingAfterBreak="0">
    <w:nsid w:val="2E065169"/>
    <w:multiLevelType w:val="hybridMultilevel"/>
    <w:tmpl w:val="7D6C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3893"/>
    <w:multiLevelType w:val="hybridMultilevel"/>
    <w:tmpl w:val="6054CA9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63A91"/>
    <w:multiLevelType w:val="hybridMultilevel"/>
    <w:tmpl w:val="A43E786A"/>
    <w:lvl w:ilvl="0" w:tplc="0EB6AD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1" w15:restartNumberingAfterBreak="0">
    <w:nsid w:val="35E83F62"/>
    <w:multiLevelType w:val="hybridMultilevel"/>
    <w:tmpl w:val="463E07C0"/>
    <w:lvl w:ilvl="0" w:tplc="D6D2C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3C6125"/>
    <w:multiLevelType w:val="hybridMultilevel"/>
    <w:tmpl w:val="F04E66AE"/>
    <w:lvl w:ilvl="0" w:tplc="51BE4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B20"/>
    <w:multiLevelType w:val="hybridMultilevel"/>
    <w:tmpl w:val="1E8AEA44"/>
    <w:lvl w:ilvl="0" w:tplc="F6AE080C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75" w:hanging="360"/>
      </w:pPr>
    </w:lvl>
    <w:lvl w:ilvl="2" w:tplc="0409001B" w:tentative="1">
      <w:start w:val="1"/>
      <w:numFmt w:val="lowerRoman"/>
      <w:lvlText w:val="%3."/>
      <w:lvlJc w:val="right"/>
      <w:pPr>
        <w:ind w:left="5595" w:hanging="180"/>
      </w:pPr>
    </w:lvl>
    <w:lvl w:ilvl="3" w:tplc="0409000F" w:tentative="1">
      <w:start w:val="1"/>
      <w:numFmt w:val="decimal"/>
      <w:lvlText w:val="%4."/>
      <w:lvlJc w:val="left"/>
      <w:pPr>
        <w:ind w:left="6315" w:hanging="360"/>
      </w:pPr>
    </w:lvl>
    <w:lvl w:ilvl="4" w:tplc="04090019" w:tentative="1">
      <w:start w:val="1"/>
      <w:numFmt w:val="lowerLetter"/>
      <w:lvlText w:val="%5."/>
      <w:lvlJc w:val="left"/>
      <w:pPr>
        <w:ind w:left="7035" w:hanging="360"/>
      </w:pPr>
    </w:lvl>
    <w:lvl w:ilvl="5" w:tplc="0409001B" w:tentative="1">
      <w:start w:val="1"/>
      <w:numFmt w:val="lowerRoman"/>
      <w:lvlText w:val="%6."/>
      <w:lvlJc w:val="right"/>
      <w:pPr>
        <w:ind w:left="7755" w:hanging="180"/>
      </w:pPr>
    </w:lvl>
    <w:lvl w:ilvl="6" w:tplc="0409000F" w:tentative="1">
      <w:start w:val="1"/>
      <w:numFmt w:val="decimal"/>
      <w:lvlText w:val="%7."/>
      <w:lvlJc w:val="left"/>
      <w:pPr>
        <w:ind w:left="8475" w:hanging="360"/>
      </w:pPr>
    </w:lvl>
    <w:lvl w:ilvl="7" w:tplc="04090019" w:tentative="1">
      <w:start w:val="1"/>
      <w:numFmt w:val="lowerLetter"/>
      <w:lvlText w:val="%8."/>
      <w:lvlJc w:val="left"/>
      <w:pPr>
        <w:ind w:left="9195" w:hanging="360"/>
      </w:pPr>
    </w:lvl>
    <w:lvl w:ilvl="8" w:tplc="040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4" w15:restartNumberingAfterBreak="0">
    <w:nsid w:val="520B2F55"/>
    <w:multiLevelType w:val="hybridMultilevel"/>
    <w:tmpl w:val="411AD404"/>
    <w:lvl w:ilvl="0" w:tplc="6BE4632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5" w15:restartNumberingAfterBreak="0">
    <w:nsid w:val="5298630A"/>
    <w:multiLevelType w:val="hybridMultilevel"/>
    <w:tmpl w:val="99A8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DAEF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022CF"/>
    <w:multiLevelType w:val="hybridMultilevel"/>
    <w:tmpl w:val="4DE8244A"/>
    <w:lvl w:ilvl="0" w:tplc="DCAEA804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D5952"/>
    <w:multiLevelType w:val="hybridMultilevel"/>
    <w:tmpl w:val="3A96D90E"/>
    <w:lvl w:ilvl="0" w:tplc="4F34D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996399"/>
    <w:multiLevelType w:val="hybridMultilevel"/>
    <w:tmpl w:val="076CF6E0"/>
    <w:lvl w:ilvl="0" w:tplc="F02C5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15F24"/>
    <w:multiLevelType w:val="hybridMultilevel"/>
    <w:tmpl w:val="20C8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E5DCA"/>
    <w:multiLevelType w:val="hybridMultilevel"/>
    <w:tmpl w:val="D00601BA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ED87B30"/>
    <w:multiLevelType w:val="hybridMultilevel"/>
    <w:tmpl w:val="661A9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17"/>
  </w:num>
  <w:num w:numId="16">
    <w:abstractNumId w:val="20"/>
  </w:num>
  <w:num w:numId="17">
    <w:abstractNumId w:val="16"/>
  </w:num>
  <w:num w:numId="18">
    <w:abstractNumId w:val="15"/>
  </w:num>
  <w:num w:numId="19">
    <w:abstractNumId w:val="9"/>
  </w:num>
  <w:num w:numId="20">
    <w:abstractNumId w:val="7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11"/>
    <w:rsid w:val="00030F5E"/>
    <w:rsid w:val="00032240"/>
    <w:rsid w:val="00033700"/>
    <w:rsid w:val="000343E1"/>
    <w:rsid w:val="00043661"/>
    <w:rsid w:val="00060861"/>
    <w:rsid w:val="0006385E"/>
    <w:rsid w:val="0006514C"/>
    <w:rsid w:val="00073B08"/>
    <w:rsid w:val="00086126"/>
    <w:rsid w:val="00090996"/>
    <w:rsid w:val="000934AA"/>
    <w:rsid w:val="00097EB6"/>
    <w:rsid w:val="000B3825"/>
    <w:rsid w:val="000C1C0A"/>
    <w:rsid w:val="000C433A"/>
    <w:rsid w:val="000C7E0C"/>
    <w:rsid w:val="001104A2"/>
    <w:rsid w:val="00120C92"/>
    <w:rsid w:val="00153A06"/>
    <w:rsid w:val="001542CF"/>
    <w:rsid w:val="0016073F"/>
    <w:rsid w:val="001617AC"/>
    <w:rsid w:val="00161E06"/>
    <w:rsid w:val="001720E2"/>
    <w:rsid w:val="001837D6"/>
    <w:rsid w:val="00195D43"/>
    <w:rsid w:val="0019779A"/>
    <w:rsid w:val="001A1A1E"/>
    <w:rsid w:val="001C1388"/>
    <w:rsid w:val="001D799F"/>
    <w:rsid w:val="001E1BE0"/>
    <w:rsid w:val="001E69D9"/>
    <w:rsid w:val="001F30EB"/>
    <w:rsid w:val="002044A8"/>
    <w:rsid w:val="00206D2B"/>
    <w:rsid w:val="00211BA5"/>
    <w:rsid w:val="00216A4E"/>
    <w:rsid w:val="00217554"/>
    <w:rsid w:val="00223A08"/>
    <w:rsid w:val="00226713"/>
    <w:rsid w:val="002316C9"/>
    <w:rsid w:val="00234510"/>
    <w:rsid w:val="002355C1"/>
    <w:rsid w:val="0023574B"/>
    <w:rsid w:val="00242586"/>
    <w:rsid w:val="0024765C"/>
    <w:rsid w:val="00266D84"/>
    <w:rsid w:val="002707E2"/>
    <w:rsid w:val="00280439"/>
    <w:rsid w:val="002935F2"/>
    <w:rsid w:val="002C3B5A"/>
    <w:rsid w:val="002D457B"/>
    <w:rsid w:val="002E2D2B"/>
    <w:rsid w:val="002E398E"/>
    <w:rsid w:val="002E4CA3"/>
    <w:rsid w:val="002E571F"/>
    <w:rsid w:val="002E7F85"/>
    <w:rsid w:val="003258B9"/>
    <w:rsid w:val="003368B0"/>
    <w:rsid w:val="00340E8D"/>
    <w:rsid w:val="00344E77"/>
    <w:rsid w:val="003D732F"/>
    <w:rsid w:val="003F1393"/>
    <w:rsid w:val="00400D73"/>
    <w:rsid w:val="00420286"/>
    <w:rsid w:val="004236A5"/>
    <w:rsid w:val="0044098B"/>
    <w:rsid w:val="00444A99"/>
    <w:rsid w:val="0046284D"/>
    <w:rsid w:val="00463CD6"/>
    <w:rsid w:val="00472545"/>
    <w:rsid w:val="004742FE"/>
    <w:rsid w:val="00476B6A"/>
    <w:rsid w:val="004864B1"/>
    <w:rsid w:val="00491610"/>
    <w:rsid w:val="00492E31"/>
    <w:rsid w:val="004A2DAD"/>
    <w:rsid w:val="004B253F"/>
    <w:rsid w:val="004B42EA"/>
    <w:rsid w:val="004B5868"/>
    <w:rsid w:val="004D3836"/>
    <w:rsid w:val="004E03A3"/>
    <w:rsid w:val="004E33FA"/>
    <w:rsid w:val="004F0339"/>
    <w:rsid w:val="00523620"/>
    <w:rsid w:val="00524F21"/>
    <w:rsid w:val="005259DF"/>
    <w:rsid w:val="00526919"/>
    <w:rsid w:val="00526C74"/>
    <w:rsid w:val="00560056"/>
    <w:rsid w:val="00562F11"/>
    <w:rsid w:val="00577399"/>
    <w:rsid w:val="00593091"/>
    <w:rsid w:val="005941A0"/>
    <w:rsid w:val="00595C4C"/>
    <w:rsid w:val="005A29C5"/>
    <w:rsid w:val="005B485D"/>
    <w:rsid w:val="005C3C07"/>
    <w:rsid w:val="005E7355"/>
    <w:rsid w:val="005F5FEF"/>
    <w:rsid w:val="006034FA"/>
    <w:rsid w:val="00612EF1"/>
    <w:rsid w:val="00630560"/>
    <w:rsid w:val="006310CB"/>
    <w:rsid w:val="00635D8E"/>
    <w:rsid w:val="0064163F"/>
    <w:rsid w:val="00644E76"/>
    <w:rsid w:val="00661F1E"/>
    <w:rsid w:val="00675E8D"/>
    <w:rsid w:val="00677236"/>
    <w:rsid w:val="006900CD"/>
    <w:rsid w:val="00692D86"/>
    <w:rsid w:val="00693B61"/>
    <w:rsid w:val="006A0274"/>
    <w:rsid w:val="006A3014"/>
    <w:rsid w:val="006B24D7"/>
    <w:rsid w:val="006C3512"/>
    <w:rsid w:val="006C548C"/>
    <w:rsid w:val="006D10ED"/>
    <w:rsid w:val="006D4CC2"/>
    <w:rsid w:val="006E6F73"/>
    <w:rsid w:val="006F660E"/>
    <w:rsid w:val="00700349"/>
    <w:rsid w:val="00701875"/>
    <w:rsid w:val="00702A5D"/>
    <w:rsid w:val="007131F0"/>
    <w:rsid w:val="00715A34"/>
    <w:rsid w:val="00740141"/>
    <w:rsid w:val="00751753"/>
    <w:rsid w:val="007564CE"/>
    <w:rsid w:val="00761A31"/>
    <w:rsid w:val="00765A5C"/>
    <w:rsid w:val="00785E65"/>
    <w:rsid w:val="00786A20"/>
    <w:rsid w:val="007A2198"/>
    <w:rsid w:val="007A566E"/>
    <w:rsid w:val="007B4BB0"/>
    <w:rsid w:val="007D156B"/>
    <w:rsid w:val="007D513E"/>
    <w:rsid w:val="007E187F"/>
    <w:rsid w:val="007E684E"/>
    <w:rsid w:val="007F634A"/>
    <w:rsid w:val="00803A75"/>
    <w:rsid w:val="008107CD"/>
    <w:rsid w:val="008148DC"/>
    <w:rsid w:val="00833397"/>
    <w:rsid w:val="00833CF4"/>
    <w:rsid w:val="00837BE4"/>
    <w:rsid w:val="00846696"/>
    <w:rsid w:val="0085152D"/>
    <w:rsid w:val="008605FD"/>
    <w:rsid w:val="0089242C"/>
    <w:rsid w:val="0089371E"/>
    <w:rsid w:val="008A3151"/>
    <w:rsid w:val="008B7F85"/>
    <w:rsid w:val="008D17B5"/>
    <w:rsid w:val="008D240E"/>
    <w:rsid w:val="008D67D0"/>
    <w:rsid w:val="008E0E15"/>
    <w:rsid w:val="008E1671"/>
    <w:rsid w:val="008F21F7"/>
    <w:rsid w:val="008F2B5A"/>
    <w:rsid w:val="009024DF"/>
    <w:rsid w:val="00902E19"/>
    <w:rsid w:val="0090449D"/>
    <w:rsid w:val="00905274"/>
    <w:rsid w:val="00905D90"/>
    <w:rsid w:val="00905EA4"/>
    <w:rsid w:val="00907574"/>
    <w:rsid w:val="0091266A"/>
    <w:rsid w:val="00924925"/>
    <w:rsid w:val="00927820"/>
    <w:rsid w:val="009348EB"/>
    <w:rsid w:val="00944951"/>
    <w:rsid w:val="009535E4"/>
    <w:rsid w:val="00961C73"/>
    <w:rsid w:val="00966D7C"/>
    <w:rsid w:val="00977F3E"/>
    <w:rsid w:val="009836AF"/>
    <w:rsid w:val="00996E8C"/>
    <w:rsid w:val="009B0433"/>
    <w:rsid w:val="009B7108"/>
    <w:rsid w:val="009C17C8"/>
    <w:rsid w:val="009C1BF6"/>
    <w:rsid w:val="009C666E"/>
    <w:rsid w:val="009C79D2"/>
    <w:rsid w:val="009D4867"/>
    <w:rsid w:val="009E62B4"/>
    <w:rsid w:val="009F6C59"/>
    <w:rsid w:val="00A00509"/>
    <w:rsid w:val="00A00968"/>
    <w:rsid w:val="00A2144E"/>
    <w:rsid w:val="00A34D66"/>
    <w:rsid w:val="00A44BCC"/>
    <w:rsid w:val="00A71273"/>
    <w:rsid w:val="00A7201B"/>
    <w:rsid w:val="00A913C7"/>
    <w:rsid w:val="00AA24EA"/>
    <w:rsid w:val="00AA3E9F"/>
    <w:rsid w:val="00AA6B07"/>
    <w:rsid w:val="00AA6CED"/>
    <w:rsid w:val="00AC53B9"/>
    <w:rsid w:val="00AE296B"/>
    <w:rsid w:val="00AF0F6A"/>
    <w:rsid w:val="00AF30E5"/>
    <w:rsid w:val="00AF4C7D"/>
    <w:rsid w:val="00AF5526"/>
    <w:rsid w:val="00B107D6"/>
    <w:rsid w:val="00B11343"/>
    <w:rsid w:val="00B12669"/>
    <w:rsid w:val="00B128AE"/>
    <w:rsid w:val="00B31283"/>
    <w:rsid w:val="00B573E2"/>
    <w:rsid w:val="00B61220"/>
    <w:rsid w:val="00B812AE"/>
    <w:rsid w:val="00B840B7"/>
    <w:rsid w:val="00B96EA5"/>
    <w:rsid w:val="00BA582C"/>
    <w:rsid w:val="00BA7B89"/>
    <w:rsid w:val="00BC60B6"/>
    <w:rsid w:val="00BD08B3"/>
    <w:rsid w:val="00C05220"/>
    <w:rsid w:val="00C355CF"/>
    <w:rsid w:val="00C36144"/>
    <w:rsid w:val="00C37EF4"/>
    <w:rsid w:val="00C460DD"/>
    <w:rsid w:val="00C64A0E"/>
    <w:rsid w:val="00CA3B02"/>
    <w:rsid w:val="00CC059C"/>
    <w:rsid w:val="00CD547F"/>
    <w:rsid w:val="00CD7043"/>
    <w:rsid w:val="00CF4C06"/>
    <w:rsid w:val="00CF7BDF"/>
    <w:rsid w:val="00D0212D"/>
    <w:rsid w:val="00D027A6"/>
    <w:rsid w:val="00D3327F"/>
    <w:rsid w:val="00D33D5E"/>
    <w:rsid w:val="00D540F2"/>
    <w:rsid w:val="00D6312E"/>
    <w:rsid w:val="00D72C1D"/>
    <w:rsid w:val="00D73CB5"/>
    <w:rsid w:val="00D8037B"/>
    <w:rsid w:val="00D859B2"/>
    <w:rsid w:val="00D91035"/>
    <w:rsid w:val="00D927A2"/>
    <w:rsid w:val="00DA1788"/>
    <w:rsid w:val="00DC0110"/>
    <w:rsid w:val="00DD4BD4"/>
    <w:rsid w:val="00DE0CA3"/>
    <w:rsid w:val="00DF7390"/>
    <w:rsid w:val="00E10C00"/>
    <w:rsid w:val="00E152CA"/>
    <w:rsid w:val="00E1569D"/>
    <w:rsid w:val="00E15C78"/>
    <w:rsid w:val="00E1681C"/>
    <w:rsid w:val="00E2757B"/>
    <w:rsid w:val="00E27ECF"/>
    <w:rsid w:val="00E31E8E"/>
    <w:rsid w:val="00E51C84"/>
    <w:rsid w:val="00E545C6"/>
    <w:rsid w:val="00E57DB8"/>
    <w:rsid w:val="00E617F0"/>
    <w:rsid w:val="00E61F15"/>
    <w:rsid w:val="00E62DAA"/>
    <w:rsid w:val="00E64582"/>
    <w:rsid w:val="00E963D2"/>
    <w:rsid w:val="00EA537A"/>
    <w:rsid w:val="00EA6BF6"/>
    <w:rsid w:val="00EA7892"/>
    <w:rsid w:val="00EB5A0D"/>
    <w:rsid w:val="00EC6D63"/>
    <w:rsid w:val="00EF08A6"/>
    <w:rsid w:val="00EF092E"/>
    <w:rsid w:val="00EF604A"/>
    <w:rsid w:val="00F15852"/>
    <w:rsid w:val="00F20216"/>
    <w:rsid w:val="00F4130A"/>
    <w:rsid w:val="00F53715"/>
    <w:rsid w:val="00F62E7D"/>
    <w:rsid w:val="00F674E2"/>
    <w:rsid w:val="00F728CE"/>
    <w:rsid w:val="00F80730"/>
    <w:rsid w:val="00F9560A"/>
    <w:rsid w:val="00FC4384"/>
    <w:rsid w:val="00FD73D6"/>
    <w:rsid w:val="00FE3F1D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F4068-6447-46D6-9BF7-CFD06C6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ED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935F2"/>
    <w:pPr>
      <w:keepNext/>
      <w:bidi w:val="0"/>
      <w:ind w:left="-540" w:right="-334"/>
      <w:jc w:val="center"/>
      <w:outlineLvl w:val="0"/>
    </w:pPr>
    <w:rPr>
      <w:rFonts w:cs="Arabic Transparent"/>
      <w:b/>
      <w:bCs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108"/>
    <w:pPr>
      <w:ind w:left="720"/>
    </w:pPr>
  </w:style>
  <w:style w:type="table" w:styleId="TableGrid">
    <w:name w:val="Table Grid"/>
    <w:basedOn w:val="TableNormal"/>
    <w:uiPriority w:val="59"/>
    <w:rsid w:val="005B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0D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460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460D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460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60D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1Char">
    <w:name w:val="Heading 1 Char"/>
    <w:link w:val="Heading1"/>
    <w:rsid w:val="002935F2"/>
    <w:rPr>
      <w:rFonts w:ascii="Times New Roman" w:eastAsia="Times New Roman" w:hAnsi="Times New Roman" w:cs="Arabic Transparent"/>
      <w:b/>
      <w:bCs/>
      <w:sz w:val="32"/>
      <w:szCs w:val="32"/>
    </w:rPr>
  </w:style>
  <w:style w:type="character" w:styleId="Strong">
    <w:name w:val="Strong"/>
    <w:qFormat/>
    <w:rsid w:val="002935F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1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12AE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B8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27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7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3723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549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3B89-9FFA-412D-A541-1297EC81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cbj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ramahe.ja</dc:creator>
  <cp:lastModifiedBy>RANA Z. ALNASHASH</cp:lastModifiedBy>
  <cp:revision>2</cp:revision>
  <cp:lastPrinted>2022-06-09T06:07:00Z</cp:lastPrinted>
  <dcterms:created xsi:type="dcterms:W3CDTF">2023-10-02T10:08:00Z</dcterms:created>
  <dcterms:modified xsi:type="dcterms:W3CDTF">2023-10-02T10:08:00Z</dcterms:modified>
</cp:coreProperties>
</file>