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99" w:rsidRPr="00D72F70" w:rsidRDefault="00E35C99" w:rsidP="00E35C99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D72F70">
        <w:rPr>
          <w:rFonts w:asciiTheme="majorBidi" w:hAnsiTheme="majorBidi" w:cstheme="majorBidi"/>
          <w:b/>
          <w:bCs/>
          <w:sz w:val="26"/>
          <w:szCs w:val="26"/>
        </w:rPr>
        <w:t>No. 27/1/4872</w:t>
      </w:r>
    </w:p>
    <w:p w:rsidR="00E35C99" w:rsidRPr="00D72F70" w:rsidRDefault="00E35C99" w:rsidP="00E35C99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D72F70">
        <w:rPr>
          <w:rFonts w:asciiTheme="majorBidi" w:hAnsiTheme="majorBidi" w:cstheme="majorBidi"/>
          <w:b/>
          <w:bCs/>
          <w:sz w:val="26"/>
          <w:szCs w:val="26"/>
        </w:rPr>
        <w:t>Date: 27/4/2020</w:t>
      </w:r>
    </w:p>
    <w:p w:rsidR="00E35C99" w:rsidRPr="00D72F70" w:rsidRDefault="00E35C99" w:rsidP="00E35C99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72F70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 w:bidi="ar"/>
        </w:rPr>
        <w:t>Circular to banks operating in the Kingdom</w:t>
      </w:r>
    </w:p>
    <w:p w:rsidR="00E35C99" w:rsidRPr="00D96F2D" w:rsidRDefault="00E35C99" w:rsidP="00E35C99">
      <w:pPr>
        <w:spacing w:line="276" w:lineRule="auto"/>
        <w:rPr>
          <w:b/>
          <w:bCs/>
          <w:rtl/>
          <w:lang w:bidi="ar-JO"/>
        </w:rPr>
      </w:pPr>
    </w:p>
    <w:p w:rsidR="00E35C99" w:rsidRPr="00D72F70" w:rsidRDefault="00E35C99" w:rsidP="00E35C99">
      <w:pPr>
        <w:spacing w:line="276" w:lineRule="auto"/>
        <w:ind w:firstLine="459"/>
        <w:rPr>
          <w:rStyle w:val="tlid-translation"/>
          <w:rFonts w:asciiTheme="majorBidi" w:hAnsiTheme="majorBidi" w:cstheme="majorBidi"/>
          <w:b/>
          <w:bCs/>
          <w:sz w:val="26"/>
          <w:szCs w:val="26"/>
          <w:lang w:val="en" w:bidi="ar"/>
        </w:rPr>
      </w:pPr>
      <w:r w:rsidRPr="00D72F70">
        <w:rPr>
          <w:rStyle w:val="tlid-translation"/>
          <w:rFonts w:asciiTheme="majorBidi" w:hAnsiTheme="majorBidi" w:cstheme="majorBidi"/>
          <w:b/>
          <w:bCs/>
          <w:sz w:val="26"/>
          <w:szCs w:val="26"/>
          <w:lang w:val="en" w:bidi="ar"/>
        </w:rPr>
        <w:t>After Greetings,</w:t>
      </w:r>
    </w:p>
    <w:p w:rsidR="00CD65DC" w:rsidRPr="00CD65DC" w:rsidRDefault="004D7212" w:rsidP="0080159F">
      <w:pPr>
        <w:spacing w:line="276" w:lineRule="auto"/>
        <w:ind w:firstLine="459"/>
        <w:jc w:val="both"/>
        <w:rPr>
          <w:rStyle w:val="tlid-translation"/>
          <w:rFonts w:asciiTheme="majorBidi" w:hAnsiTheme="majorBidi" w:cstheme="majorBidi"/>
          <w:sz w:val="26"/>
          <w:szCs w:val="26"/>
          <w:rtl/>
          <w:lang w:val="en"/>
        </w:rPr>
      </w:pPr>
      <w:r w:rsidRPr="00CD65DC">
        <w:rPr>
          <w:rFonts w:asciiTheme="majorBidi" w:hAnsiTheme="majorBidi" w:cstheme="majorBidi"/>
          <w:sz w:val="26"/>
          <w:szCs w:val="26"/>
        </w:rPr>
        <w:t xml:space="preserve">Pursuant to the Central Bank of Jordan’s keenness </w:t>
      </w:r>
      <w:r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to deal with all clients of the banking sector fairly, transparently</w:t>
      </w:r>
      <w:r w:rsidR="0080159F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,</w:t>
      </w:r>
      <w:r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and in a manner that takes into account the rights of all </w:t>
      </w:r>
      <w:r w:rsidR="00CD65DC"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parties, especially regarding </w:t>
      </w:r>
      <w:r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the impact of </w:t>
      </w:r>
      <w:r w:rsidR="0080159F"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interest rate movements </w:t>
      </w:r>
      <w:r w:rsidR="0080159F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on </w:t>
      </w:r>
      <w:r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the facilities granted to them , and to ensure the smooth flow of the impact of </w:t>
      </w:r>
      <w:r w:rsidR="00FD2375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changes in </w:t>
      </w:r>
      <w:r w:rsidR="00CD65DC"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interest rates </w:t>
      </w:r>
      <w:r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on monetary policy tools on the cost of credit in the economy</w:t>
      </w:r>
      <w:r w:rsid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, and a</w:t>
      </w:r>
      <w:r w:rsidR="00CD65DC"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ccording to the statement issued by the Association of Banks which included reducing interest rates on facilities </w:t>
      </w:r>
      <w:r w:rsidR="00FD2375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granted to individuals and retail </w:t>
      </w:r>
      <w:r w:rsidR="00CD65DC" w:rsidRP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customers by a total of (1.5%) at the end of April 2020, regardless of when these facilities are re-priced</w:t>
      </w:r>
      <w:r w:rsidR="00FD2375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, and</w:t>
      </w:r>
      <w:r w:rsidR="00CD65D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="00FD2375">
        <w:rPr>
          <w:rStyle w:val="tlid-translation"/>
          <w:rFonts w:ascii="Roboto" w:hAnsi="Roboto"/>
          <w:sz w:val="26"/>
          <w:szCs w:val="26"/>
          <w:lang w:val="en" w:bidi="ar"/>
        </w:rPr>
        <w:t>based on</w:t>
      </w:r>
      <w:r w:rsidR="00CD65DC" w:rsidRPr="00CD65DC">
        <w:rPr>
          <w:rStyle w:val="tlid-translation"/>
          <w:rFonts w:ascii="Roboto" w:hAnsi="Roboto"/>
          <w:sz w:val="26"/>
          <w:szCs w:val="26"/>
          <w:lang w:val="en" w:bidi="ar"/>
        </w:rPr>
        <w:t xml:space="preserve"> the provisions of Article (4 / B / 13) and Article (65 / B) of the Central Bank Law No. (23) of 1971 and its amendments, and the provisions of Article (99 / B) of the Banking Law No. (28) of 2000 and its amendments, </w:t>
      </w:r>
      <w:r w:rsidR="00FD2375">
        <w:rPr>
          <w:rStyle w:val="tlid-translation"/>
          <w:rFonts w:ascii="Roboto" w:hAnsi="Roboto"/>
          <w:sz w:val="26"/>
          <w:szCs w:val="26"/>
          <w:lang w:val="en" w:bidi="ar"/>
        </w:rPr>
        <w:t>the following has been</w:t>
      </w:r>
      <w:r w:rsidR="00CD65DC" w:rsidRPr="00CD65DC">
        <w:rPr>
          <w:rStyle w:val="tlid-translation"/>
          <w:rFonts w:ascii="Roboto" w:hAnsi="Roboto"/>
          <w:sz w:val="26"/>
          <w:szCs w:val="26"/>
          <w:lang w:val="en" w:bidi="ar"/>
        </w:rPr>
        <w:t xml:space="preserve"> decided: </w:t>
      </w:r>
    </w:p>
    <w:p w:rsidR="002974D2" w:rsidRDefault="002974D2" w:rsidP="000642DD">
      <w:pPr>
        <w:spacing w:line="276" w:lineRule="auto"/>
        <w:ind w:left="810" w:hanging="810"/>
        <w:jc w:val="both"/>
        <w:rPr>
          <w:rStyle w:val="tlid-translation"/>
          <w:rFonts w:ascii="Roboto" w:hAnsi="Roboto"/>
          <w:sz w:val="26"/>
          <w:szCs w:val="26"/>
          <w:lang w:val="en" w:bidi="ar"/>
        </w:rPr>
      </w:pPr>
      <w:r w:rsidRPr="009D305C">
        <w:rPr>
          <w:rStyle w:val="tlid-translation"/>
          <w:rFonts w:ascii="Roboto" w:hAnsi="Roboto" w:hint="cs"/>
          <w:sz w:val="26"/>
          <w:szCs w:val="26"/>
          <w:rtl/>
          <w:lang w:val="en"/>
        </w:rPr>
        <w:t xml:space="preserve"> </w:t>
      </w:r>
      <w:r w:rsidR="00CD65DC" w:rsidRPr="009D305C">
        <w:rPr>
          <w:rStyle w:val="tlid-translation"/>
          <w:rFonts w:ascii="Roboto" w:hAnsi="Roboto"/>
          <w:sz w:val="26"/>
          <w:szCs w:val="26"/>
          <w:lang w:val="en" w:bidi="ar"/>
        </w:rPr>
        <w:t xml:space="preserve">First: The periodicity of the interest rate adjustment shall be quarterly on all existing credit facilities which include a variable interest rate (whether granted before </w:t>
      </w:r>
      <w:r w:rsidR="000642DD">
        <w:rPr>
          <w:rStyle w:val="tlid-translation"/>
          <w:rFonts w:ascii="Roboto" w:hAnsi="Roboto"/>
          <w:sz w:val="26"/>
          <w:szCs w:val="26"/>
          <w:lang w:val="en" w:bidi="ar"/>
        </w:rPr>
        <w:t xml:space="preserve">or after </w:t>
      </w:r>
      <w:r w:rsidR="00CD65DC" w:rsidRPr="009D305C">
        <w:rPr>
          <w:rStyle w:val="tlid-translation"/>
          <w:rFonts w:ascii="Roboto" w:hAnsi="Roboto"/>
          <w:sz w:val="26"/>
          <w:szCs w:val="26"/>
          <w:lang w:val="en" w:bidi="ar"/>
        </w:rPr>
        <w:t xml:space="preserve">the </w:t>
      </w:r>
      <w:r w:rsidR="009D305C" w:rsidRPr="00D96F2D">
        <w:rPr>
          <w:rStyle w:val="tlid-translation"/>
          <w:rFonts w:ascii="Times New Roman" w:hAnsi="Times New Roman" w:cs="Times New Roman"/>
          <w:sz w:val="24"/>
          <w:szCs w:val="24"/>
          <w:lang w:val="en" w:bidi="ar"/>
        </w:rPr>
        <w:t>Instructions on Dealing with Customers Fairly and Transparently</w:t>
      </w:r>
      <w:r w:rsidR="009D305C" w:rsidRPr="009D305C">
        <w:rPr>
          <w:rStyle w:val="tlid-translation"/>
          <w:rFonts w:ascii="Roboto" w:hAnsi="Roboto"/>
          <w:sz w:val="26"/>
          <w:szCs w:val="26"/>
          <w:lang w:val="en" w:bidi="ar"/>
        </w:rPr>
        <w:t xml:space="preserve"> </w:t>
      </w:r>
      <w:r w:rsidR="00CD65DC" w:rsidRPr="009D305C">
        <w:rPr>
          <w:rStyle w:val="tlid-translation"/>
          <w:rFonts w:ascii="Roboto" w:hAnsi="Roboto"/>
          <w:sz w:val="26"/>
          <w:szCs w:val="26"/>
          <w:lang w:val="en" w:bidi="ar"/>
        </w:rPr>
        <w:t>) and which will be granted in the future</w:t>
      </w:r>
      <w:r w:rsidR="00A1008A">
        <w:rPr>
          <w:rStyle w:val="tlid-translation"/>
          <w:rFonts w:ascii="Roboto" w:hAnsi="Roboto"/>
          <w:sz w:val="26"/>
          <w:szCs w:val="26"/>
          <w:lang w:val="en" w:bidi="ar"/>
        </w:rPr>
        <w:t>.</w:t>
      </w:r>
      <w:r w:rsidR="00A1008A" w:rsidRPr="009D305C">
        <w:rPr>
          <w:rStyle w:val="tlid-translation"/>
          <w:rFonts w:ascii="Roboto" w:hAnsi="Roboto"/>
          <w:sz w:val="26"/>
          <w:szCs w:val="26"/>
          <w:lang w:val="en" w:bidi="ar"/>
        </w:rPr>
        <w:t xml:space="preserve"> </w:t>
      </w:r>
      <w:r w:rsidR="00A1008A">
        <w:rPr>
          <w:rStyle w:val="tlid-translation"/>
          <w:rFonts w:ascii="Roboto" w:hAnsi="Roboto"/>
          <w:sz w:val="26"/>
          <w:szCs w:val="26"/>
          <w:lang w:val="en" w:bidi="ar"/>
        </w:rPr>
        <w:t xml:space="preserve">Banks are </w:t>
      </w:r>
      <w:r w:rsidR="008C7EF3">
        <w:rPr>
          <w:rStyle w:val="tlid-translation"/>
          <w:rFonts w:ascii="Roboto" w:hAnsi="Roboto"/>
          <w:sz w:val="26"/>
          <w:szCs w:val="26"/>
          <w:lang w:val="en" w:bidi="ar"/>
        </w:rPr>
        <w:t xml:space="preserve">free </w:t>
      </w:r>
      <w:r w:rsidR="00CD65DC" w:rsidRPr="009D305C">
        <w:rPr>
          <w:rStyle w:val="tlid-translation"/>
          <w:rFonts w:ascii="Roboto" w:hAnsi="Roboto"/>
          <w:sz w:val="26"/>
          <w:szCs w:val="26"/>
          <w:lang w:val="en" w:bidi="ar"/>
        </w:rPr>
        <w:t>to determine the quarterly periodicity from the date of the contract signed with the customer or</w:t>
      </w:r>
      <w:r w:rsidR="00CD65DC" w:rsidRPr="009D305C">
        <w:rPr>
          <w:rStyle w:val="tlid-translation"/>
          <w:rFonts w:ascii="Roboto" w:hAnsi="Roboto"/>
          <w:sz w:val="26"/>
          <w:szCs w:val="26"/>
          <w:rtl/>
          <w:lang w:val="en" w:bidi="ar"/>
        </w:rPr>
        <w:t xml:space="preserve"> </w:t>
      </w:r>
      <w:r w:rsidR="009D305C">
        <w:rPr>
          <w:rStyle w:val="tlid-translation"/>
          <w:rFonts w:ascii="Roboto" w:hAnsi="Roboto"/>
          <w:sz w:val="26"/>
          <w:szCs w:val="26"/>
          <w:lang w:val="en" w:bidi="ar"/>
        </w:rPr>
        <w:t>o</w:t>
      </w:r>
      <w:r w:rsidR="00CD65DC" w:rsidRPr="009D305C">
        <w:rPr>
          <w:rStyle w:val="tlid-translation"/>
          <w:rFonts w:ascii="Roboto" w:hAnsi="Roboto"/>
          <w:sz w:val="26"/>
          <w:szCs w:val="26"/>
          <w:lang w:val="en" w:bidi="ar"/>
        </w:rPr>
        <w:t>n specific dates based on the bank's policy</w:t>
      </w:r>
    </w:p>
    <w:p w:rsidR="002974D2" w:rsidRPr="009D6859" w:rsidRDefault="009D305C" w:rsidP="00AC39BA">
      <w:pPr>
        <w:spacing w:line="276" w:lineRule="auto"/>
        <w:ind w:left="810" w:hanging="810"/>
        <w:jc w:val="both"/>
        <w:rPr>
          <w:rFonts w:asciiTheme="majorBidi" w:hAnsiTheme="majorBidi" w:cstheme="majorBidi"/>
          <w:sz w:val="26"/>
          <w:szCs w:val="26"/>
          <w:rtl/>
        </w:rPr>
      </w:pPr>
      <w:r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Second: With regard to the banks' response to reduce the interest rate </w:t>
      </w:r>
      <w:r w:rsidR="005608A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for</w:t>
      </w:r>
      <w:r w:rsidR="005608A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customers based on the statement issued by the Association </w:t>
      </w:r>
      <w:r w:rsidR="009D685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of B</w:t>
      </w:r>
      <w:r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anks, </w:t>
      </w:r>
      <w:r w:rsid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the</w:t>
      </w:r>
      <w:r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banks should not raise the interest rate </w:t>
      </w:r>
      <w:r w:rsidR="005608A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for</w:t>
      </w:r>
      <w:r w:rsidR="005608A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customers when </w:t>
      </w:r>
      <w:r w:rsidR="009D685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the periodical adjustments </w:t>
      </w:r>
      <w:r w:rsidR="00AC39BA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subsequent to</w:t>
      </w:r>
      <w:r w:rsidR="009D685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the date of reducing the interest rate </w:t>
      </w:r>
      <w:r w:rsidR="00AC39BA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are due and </w:t>
      </w:r>
      <w:r w:rsidR="009D685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until the end of the current year 2020</w:t>
      </w:r>
      <w:r w:rsidR="009D6859" w:rsidRPr="009D6859">
        <w:rPr>
          <w:rStyle w:val="tlid-translation"/>
          <w:rFonts w:asciiTheme="majorBidi" w:hAnsiTheme="majorBidi" w:cstheme="majorBidi"/>
          <w:sz w:val="26"/>
          <w:szCs w:val="26"/>
          <w:lang w:bidi="ar"/>
        </w:rPr>
        <w:t xml:space="preserve">, </w:t>
      </w:r>
      <w:r w:rsid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unless the C</w:t>
      </w:r>
      <w:r w:rsidR="009D685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entra</w:t>
      </w:r>
      <w:r w:rsid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l B</w:t>
      </w:r>
      <w:r w:rsidR="009D685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ank change</w:t>
      </w:r>
      <w:r w:rsidR="00D06EF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s</w:t>
      </w:r>
      <w:r w:rsidR="009D685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the interest rates, in which case the banks should </w:t>
      </w:r>
      <w:r w:rsidR="00AC39BA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reflect</w:t>
      </w:r>
      <w:r w:rsidR="00AC39BA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="009D6859" w:rsidRP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these changes according to the instructions in effect</w:t>
      </w:r>
      <w:r w:rsidR="009D6859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. </w:t>
      </w:r>
    </w:p>
    <w:p w:rsidR="00D72F70" w:rsidRPr="00D72F70" w:rsidRDefault="00D72F70" w:rsidP="00D06EF4">
      <w:pPr>
        <w:spacing w:line="276" w:lineRule="auto"/>
        <w:ind w:left="810" w:hanging="810"/>
        <w:jc w:val="both"/>
        <w:rPr>
          <w:rFonts w:asciiTheme="majorBidi" w:hAnsiTheme="majorBidi" w:cstheme="majorBidi"/>
          <w:sz w:val="26"/>
          <w:szCs w:val="26"/>
          <w:rtl/>
        </w:rPr>
      </w:pPr>
      <w:r w:rsidRPr="00D72F70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Third: With regard to existing loans which were priced based on </w:t>
      </w:r>
      <w:r w:rsidRPr="00D72F70">
        <w:rPr>
          <w:rFonts w:asciiTheme="majorBidi" w:hAnsiTheme="majorBidi" w:cstheme="majorBidi"/>
          <w:sz w:val="26"/>
          <w:szCs w:val="26"/>
        </w:rPr>
        <w:t xml:space="preserve">JODIBOR, </w:t>
      </w:r>
      <w:r w:rsidR="00D06EF4">
        <w:rPr>
          <w:rFonts w:asciiTheme="majorBidi" w:hAnsiTheme="majorBidi" w:cstheme="majorBidi"/>
          <w:sz w:val="26"/>
          <w:szCs w:val="26"/>
        </w:rPr>
        <w:t xml:space="preserve">banks, </w:t>
      </w:r>
      <w:r w:rsidRPr="00D72F70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when </w:t>
      </w:r>
      <w:r w:rsidR="00D06EF4" w:rsidRPr="00D72F70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mak</w:t>
      </w:r>
      <w:r w:rsidR="00D06EF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ing</w:t>
      </w:r>
      <w:r w:rsidR="00D06EF4" w:rsidRPr="00D72F70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Pr="00D72F70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the periodic adjustment of the interest rate, must reflect the change in the monthly rate of the </w:t>
      </w:r>
      <w:r w:rsidR="00D06EF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actual</w:t>
      </w:r>
      <w:r w:rsidR="00D06EF4" w:rsidRPr="00D72F70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Pr="00D72F70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interest rate in the</w:t>
      </w:r>
      <w:r w:rsidR="00D06EF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overnight</w:t>
      </w:r>
      <w:r w:rsidRPr="00D72F70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interbank lending market (interbank</w:t>
      </w:r>
      <w:r w:rsidRPr="00D72F70">
        <w:rPr>
          <w:rStyle w:val="tlid-translation"/>
          <w:rFonts w:asciiTheme="majorBidi" w:hAnsiTheme="majorBidi" w:cstheme="majorBidi"/>
          <w:sz w:val="26"/>
          <w:szCs w:val="26"/>
          <w:lang w:bidi="ar"/>
        </w:rPr>
        <w:t xml:space="preserve">) </w:t>
      </w:r>
      <w:r w:rsidRPr="00D72F70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instead of the change in the value of the </w:t>
      </w:r>
      <w:r w:rsidRPr="00D72F70">
        <w:rPr>
          <w:rFonts w:asciiTheme="majorBidi" w:hAnsiTheme="majorBidi" w:cstheme="majorBidi"/>
          <w:sz w:val="26"/>
          <w:szCs w:val="26"/>
        </w:rPr>
        <w:t>JODIBOR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0436BF" w:rsidRDefault="000436BF" w:rsidP="000436B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0436BF" w:rsidRDefault="000436BF" w:rsidP="0015083A">
      <w:pPr>
        <w:ind w:left="900" w:hanging="900"/>
        <w:jc w:val="both"/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</w:pP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lastRenderedPageBreak/>
        <w:t>Fourth: B</w:t>
      </w:r>
      <w:r w:rsidR="0053128C"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anks must notify all customers (whether granted </w:t>
      </w:r>
      <w:r w:rsid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facilities </w:t>
      </w:r>
      <w:r w:rsidR="0053128C"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before </w:t>
      </w:r>
      <w:r w:rsidR="0005546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or after </w:t>
      </w:r>
      <w:r w:rsidR="0053128C"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the Instructions on Dealing with Customers Fairly and Transparently</w:t>
      </w:r>
      <w:bookmarkStart w:id="0" w:name="_GoBack"/>
      <w:bookmarkEnd w:id="0"/>
      <w:r w:rsidR="0053128C"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)</w:t>
      </w: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, </w:t>
      </w:r>
      <w:r w:rsid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t</w:t>
      </w: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hrough a text message (</w:t>
      </w:r>
      <w:r w:rsid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SMS</w:t>
      </w: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)</w:t>
      </w:r>
      <w:r w:rsidR="0005546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,</w:t>
      </w: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="0005546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with</w:t>
      </w:r>
      <w:r w:rsidR="00055464"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the new interest rate and monthly installment, as well as </w:t>
      </w:r>
      <w:r w:rsidR="0005546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with </w:t>
      </w: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the new </w:t>
      </w:r>
      <w:r w:rsidR="00055464"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periodic</w:t>
      </w:r>
      <w:r w:rsidR="0005546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ity</w:t>
      </w:r>
      <w:r w:rsidR="00055464"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for interest rate adjustment</w:t>
      </w:r>
      <w:r w:rsid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.</w:t>
      </w:r>
    </w:p>
    <w:p w:rsidR="0053128C" w:rsidRDefault="0053128C" w:rsidP="0053128C">
      <w:pPr>
        <w:ind w:left="900" w:hanging="900"/>
        <w:jc w:val="both"/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</w:pPr>
    </w:p>
    <w:p w:rsidR="000436BF" w:rsidRPr="0053128C" w:rsidRDefault="0053128C" w:rsidP="0058380D">
      <w:pPr>
        <w:ind w:left="900" w:hanging="900"/>
        <w:jc w:val="both"/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</w:pP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Fifth: The provisions of the above clauses shall </w:t>
      </w:r>
      <w:r w:rsidR="0005546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apply </w:t>
      </w: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as of its date, and the provisions of any previous instructions and / or circulars that conflict with </w:t>
      </w:r>
      <w:r w:rsidR="0058380D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them</w:t>
      </w:r>
      <w:r w:rsidR="0058380D"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="00055464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shall</w:t>
      </w:r>
      <w:r w:rsidR="00055464"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 xml:space="preserve"> </w:t>
      </w:r>
      <w:r w:rsidRPr="0053128C"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  <w:t>be canceled.</w:t>
      </w:r>
    </w:p>
    <w:p w:rsidR="00E35C99" w:rsidRPr="0053128C" w:rsidRDefault="00E35C99" w:rsidP="00E35C99">
      <w:pPr>
        <w:bidi/>
        <w:rPr>
          <w:rStyle w:val="tlid-translation"/>
          <w:rFonts w:asciiTheme="majorBidi" w:hAnsiTheme="majorBidi" w:cstheme="majorBidi"/>
          <w:sz w:val="26"/>
          <w:szCs w:val="26"/>
          <w:lang w:val="en" w:bidi="ar"/>
        </w:rPr>
      </w:pPr>
    </w:p>
    <w:p w:rsidR="00E35C99" w:rsidRDefault="00E35C99" w:rsidP="00E35C99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35C99" w:rsidRPr="00D96F2D" w:rsidRDefault="00E35C99" w:rsidP="00E35C99">
      <w:pPr>
        <w:pStyle w:val="ListParagraph"/>
        <w:spacing w:after="0" w:line="276" w:lineRule="auto"/>
        <w:ind w:hanging="720"/>
        <w:jc w:val="lowKashida"/>
        <w:rPr>
          <w:rStyle w:val="tlid-translation"/>
          <w:rFonts w:ascii="Times New Roman" w:hAnsi="Times New Roman" w:cs="Times New Roman"/>
          <w:sz w:val="24"/>
          <w:szCs w:val="24"/>
          <w:lang w:val="en" w:bidi="ar"/>
        </w:rPr>
      </w:pPr>
    </w:p>
    <w:p w:rsidR="00E35C99" w:rsidRPr="00D96F2D" w:rsidRDefault="00E35C99" w:rsidP="00E35C99">
      <w:pPr>
        <w:pStyle w:val="ListParagraph"/>
        <w:spacing w:after="0" w:line="276" w:lineRule="auto"/>
        <w:ind w:hanging="720"/>
        <w:jc w:val="lowKashida"/>
        <w:rPr>
          <w:rStyle w:val="tlid-translation"/>
          <w:rFonts w:ascii="Times New Roman" w:hAnsi="Times New Roman" w:cs="Times New Roman"/>
          <w:sz w:val="24"/>
          <w:szCs w:val="24"/>
          <w:lang w:bidi="ar-JO"/>
        </w:rPr>
      </w:pPr>
    </w:p>
    <w:p w:rsidR="00E35C99" w:rsidRPr="0053128C" w:rsidRDefault="00E35C99" w:rsidP="00E35C99">
      <w:pPr>
        <w:spacing w:line="276" w:lineRule="auto"/>
        <w:ind w:left="459" w:hanging="63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53128C">
        <w:rPr>
          <w:rFonts w:asciiTheme="majorBidi" w:hAnsiTheme="majorBidi" w:cstheme="majorBidi"/>
          <w:b/>
          <w:bCs/>
          <w:sz w:val="28"/>
          <w:szCs w:val="28"/>
        </w:rPr>
        <w:t>Respectfully,,</w:t>
      </w:r>
      <w:proofErr w:type="gramEnd"/>
    </w:p>
    <w:p w:rsidR="00E35C99" w:rsidRPr="0053128C" w:rsidRDefault="00E35C99" w:rsidP="00E35C99">
      <w:pPr>
        <w:spacing w:line="276" w:lineRule="auto"/>
        <w:ind w:left="459" w:hanging="630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E35C99" w:rsidRPr="0053128C" w:rsidRDefault="00E35C99" w:rsidP="00E35C99">
      <w:pPr>
        <w:spacing w:line="276" w:lineRule="auto"/>
        <w:ind w:left="459" w:hanging="63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53128C">
        <w:rPr>
          <w:rFonts w:asciiTheme="majorBidi" w:hAnsiTheme="majorBidi" w:cstheme="majorBidi"/>
          <w:b/>
          <w:bCs/>
          <w:sz w:val="28"/>
          <w:szCs w:val="28"/>
          <w:lang w:bidi="ar-JO"/>
        </w:rPr>
        <w:t>Governor</w:t>
      </w:r>
    </w:p>
    <w:p w:rsidR="00E35C99" w:rsidRPr="0053128C" w:rsidRDefault="00E35C99" w:rsidP="00E35C99">
      <w:pPr>
        <w:spacing w:line="276" w:lineRule="auto"/>
        <w:ind w:left="459" w:hanging="63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53128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Dr. Ziad </w:t>
      </w:r>
      <w:proofErr w:type="spellStart"/>
      <w:r w:rsidRPr="0053128C">
        <w:rPr>
          <w:rFonts w:asciiTheme="majorBidi" w:hAnsiTheme="majorBidi" w:cstheme="majorBidi"/>
          <w:b/>
          <w:bCs/>
          <w:sz w:val="28"/>
          <w:szCs w:val="28"/>
          <w:lang w:bidi="ar-JO"/>
        </w:rPr>
        <w:t>Fariz</w:t>
      </w:r>
      <w:proofErr w:type="spellEnd"/>
      <w:r w:rsidRPr="0053128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p w:rsidR="00E35C99" w:rsidRPr="002974D2" w:rsidRDefault="00E35C99" w:rsidP="00E35C99">
      <w:pPr>
        <w:bidi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E35C99" w:rsidRPr="0029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D2"/>
    <w:rsid w:val="000436BF"/>
    <w:rsid w:val="00055464"/>
    <w:rsid w:val="000642DD"/>
    <w:rsid w:val="0015083A"/>
    <w:rsid w:val="002974D2"/>
    <w:rsid w:val="004D7212"/>
    <w:rsid w:val="0053128C"/>
    <w:rsid w:val="005608A9"/>
    <w:rsid w:val="0058380D"/>
    <w:rsid w:val="00684ECA"/>
    <w:rsid w:val="00720984"/>
    <w:rsid w:val="0080159F"/>
    <w:rsid w:val="00892573"/>
    <w:rsid w:val="008A20EB"/>
    <w:rsid w:val="008C7EF3"/>
    <w:rsid w:val="009D305C"/>
    <w:rsid w:val="009D6859"/>
    <w:rsid w:val="00A1008A"/>
    <w:rsid w:val="00AC39BA"/>
    <w:rsid w:val="00C936AA"/>
    <w:rsid w:val="00CD65DC"/>
    <w:rsid w:val="00D06EF4"/>
    <w:rsid w:val="00D31422"/>
    <w:rsid w:val="00D56DC7"/>
    <w:rsid w:val="00D72F70"/>
    <w:rsid w:val="00E35C99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2DF9"/>
  <w15:chartTrackingRefBased/>
  <w15:docId w15:val="{7FE14B8E-7FFF-4321-80C3-CB3CC7A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rsid w:val="00E35C99"/>
  </w:style>
  <w:style w:type="paragraph" w:styleId="ListParagraph">
    <w:name w:val="List Paragraph"/>
    <w:basedOn w:val="Normal"/>
    <w:uiPriority w:val="34"/>
    <w:qFormat/>
    <w:rsid w:val="00E35C99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semiHidden/>
    <w:rsid w:val="009D305C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9D30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Raneem T. Hussein</dc:creator>
  <cp:keywords/>
  <dc:description/>
  <cp:lastModifiedBy>Raneem T. Hussein</cp:lastModifiedBy>
  <cp:revision>7</cp:revision>
  <dcterms:created xsi:type="dcterms:W3CDTF">2020-06-01T10:40:00Z</dcterms:created>
  <dcterms:modified xsi:type="dcterms:W3CDTF">2020-06-02T11:07:00Z</dcterms:modified>
</cp:coreProperties>
</file>