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A8B" w:rsidRDefault="00505A8B" w:rsidP="00505A8B">
      <w:pPr>
        <w:pStyle w:val="Title"/>
        <w:pBdr>
          <w:bottom w:val="none" w:sz="0" w:space="0" w:color="auto"/>
        </w:pBdr>
        <w:rPr>
          <w:rFonts w:ascii="Arial" w:hAnsi="Arial" w:cs="Simplified Arabic"/>
          <w:b w:val="0"/>
          <w:bCs w:val="0"/>
          <w:sz w:val="28"/>
          <w:szCs w:val="28"/>
          <w:rtl/>
          <w:lang w:bidi="ar-JO"/>
        </w:rPr>
      </w:pPr>
    </w:p>
    <w:p w:rsidR="00505A8B" w:rsidRDefault="00505A8B" w:rsidP="00505A8B">
      <w:pPr>
        <w:pStyle w:val="Title"/>
        <w:pBdr>
          <w:bottom w:val="none" w:sz="0" w:space="0" w:color="auto"/>
        </w:pBdr>
        <w:rPr>
          <w:rFonts w:ascii="Arial" w:hAnsi="Arial" w:cs="Simplified Arabic"/>
          <w:b w:val="0"/>
          <w:bCs w:val="0"/>
          <w:sz w:val="28"/>
          <w:szCs w:val="28"/>
          <w:rtl/>
          <w:lang w:bidi="ar-JO"/>
        </w:rPr>
      </w:pPr>
    </w:p>
    <w:p w:rsidR="00505A8B" w:rsidRDefault="00505A8B" w:rsidP="00505A8B">
      <w:pPr>
        <w:pStyle w:val="Title"/>
        <w:pBdr>
          <w:bottom w:val="none" w:sz="0" w:space="0" w:color="auto"/>
        </w:pBdr>
        <w:rPr>
          <w:rFonts w:ascii="Arial" w:hAnsi="Arial" w:cs="Simplified Arabic"/>
          <w:b w:val="0"/>
          <w:bCs w:val="0"/>
          <w:sz w:val="28"/>
          <w:szCs w:val="28"/>
          <w:rtl/>
          <w:lang w:bidi="ar-JO"/>
        </w:rPr>
      </w:pPr>
    </w:p>
    <w:p w:rsidR="00505A8B" w:rsidRPr="00EC2C7C" w:rsidRDefault="00505A8B" w:rsidP="00505A8B">
      <w:pPr>
        <w:pStyle w:val="Title"/>
        <w:pBdr>
          <w:bottom w:val="none" w:sz="0" w:space="0" w:color="auto"/>
        </w:pBdr>
        <w:jc w:val="center"/>
        <w:rPr>
          <w:rFonts w:cs="Simplified Arabic"/>
          <w:sz w:val="36"/>
          <w:szCs w:val="36"/>
          <w:rtl/>
        </w:rPr>
      </w:pPr>
      <w:r>
        <w:rPr>
          <w:rFonts w:ascii="Arial" w:hAnsi="Arial" w:cs="Simplified Arabic"/>
          <w:b w:val="0"/>
          <w:bCs w:val="0"/>
          <w:noProof/>
          <w:sz w:val="36"/>
          <w:szCs w:val="36"/>
        </w:rPr>
        <w:drawing>
          <wp:inline distT="0" distB="0" distL="0" distR="0" wp14:anchorId="6EE06731" wp14:editId="31E3C57A">
            <wp:extent cx="1095375" cy="1057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057275"/>
                    </a:xfrm>
                    <a:prstGeom prst="rect">
                      <a:avLst/>
                    </a:prstGeom>
                    <a:noFill/>
                    <a:ln>
                      <a:noFill/>
                    </a:ln>
                  </pic:spPr>
                </pic:pic>
              </a:graphicData>
            </a:graphic>
          </wp:inline>
        </w:drawing>
      </w:r>
    </w:p>
    <w:p w:rsidR="00505A8B" w:rsidRPr="00565969" w:rsidRDefault="00565969" w:rsidP="00565969">
      <w:pPr>
        <w:pStyle w:val="Title"/>
        <w:pBdr>
          <w:bottom w:val="none" w:sz="0" w:space="0" w:color="auto"/>
        </w:pBdr>
        <w:bidi w:val="0"/>
        <w:jc w:val="center"/>
        <w:rPr>
          <w:rFonts w:asciiTheme="majorBidi" w:hAnsiTheme="majorBidi"/>
          <w:b w:val="0"/>
          <w:bCs w:val="0"/>
          <w:i/>
          <w:iCs/>
          <w:sz w:val="40"/>
          <w:szCs w:val="40"/>
          <w:rtl/>
        </w:rPr>
      </w:pPr>
      <w:r w:rsidRPr="00565969">
        <w:rPr>
          <w:rFonts w:asciiTheme="majorBidi" w:hAnsiTheme="majorBidi"/>
          <w:b w:val="0"/>
          <w:bCs w:val="0"/>
          <w:sz w:val="40"/>
          <w:szCs w:val="40"/>
        </w:rPr>
        <w:t>Central Bank of Jordan</w:t>
      </w:r>
    </w:p>
    <w:p w:rsidR="00505A8B" w:rsidRPr="00565969" w:rsidRDefault="00505A8B" w:rsidP="00505A8B">
      <w:pPr>
        <w:rPr>
          <w:rFonts w:asciiTheme="majorBidi" w:hAnsiTheme="majorBidi" w:cstheme="majorBidi"/>
          <w:sz w:val="40"/>
          <w:szCs w:val="40"/>
          <w:rtl/>
        </w:rPr>
      </w:pPr>
    </w:p>
    <w:p w:rsidR="00961590" w:rsidRPr="00565969" w:rsidRDefault="00961590" w:rsidP="00505A8B">
      <w:pPr>
        <w:rPr>
          <w:rFonts w:asciiTheme="majorBidi" w:hAnsiTheme="majorBidi" w:cstheme="majorBidi"/>
          <w:sz w:val="40"/>
          <w:szCs w:val="40"/>
          <w:rtl/>
        </w:rPr>
      </w:pPr>
    </w:p>
    <w:p w:rsidR="00505A8B" w:rsidRPr="00565969" w:rsidRDefault="00505A8B" w:rsidP="00505A8B">
      <w:pPr>
        <w:rPr>
          <w:rFonts w:asciiTheme="majorBidi" w:hAnsiTheme="majorBidi" w:cstheme="majorBidi"/>
          <w:sz w:val="40"/>
          <w:szCs w:val="40"/>
          <w:rtl/>
        </w:rPr>
      </w:pPr>
    </w:p>
    <w:p w:rsidR="00505A8B" w:rsidRPr="00565969" w:rsidRDefault="00505A8B" w:rsidP="00505A8B">
      <w:pPr>
        <w:pStyle w:val="Title"/>
        <w:pBdr>
          <w:bottom w:val="none" w:sz="0" w:space="0" w:color="auto"/>
        </w:pBdr>
        <w:rPr>
          <w:rFonts w:asciiTheme="majorBidi" w:hAnsiTheme="majorBidi"/>
          <w:sz w:val="40"/>
          <w:szCs w:val="40"/>
          <w:rtl/>
        </w:rPr>
      </w:pPr>
    </w:p>
    <w:p w:rsidR="00565969" w:rsidRDefault="00565969" w:rsidP="00565969">
      <w:pPr>
        <w:pStyle w:val="Title"/>
        <w:pBdr>
          <w:bottom w:val="none" w:sz="0" w:space="0" w:color="auto"/>
        </w:pBdr>
        <w:bidi w:val="0"/>
        <w:spacing w:after="0" w:line="480" w:lineRule="auto"/>
        <w:jc w:val="center"/>
        <w:rPr>
          <w:rFonts w:asciiTheme="majorBidi" w:hAnsiTheme="majorBidi"/>
          <w:sz w:val="40"/>
          <w:szCs w:val="40"/>
        </w:rPr>
      </w:pPr>
      <w:r w:rsidRPr="00565969">
        <w:rPr>
          <w:rFonts w:asciiTheme="majorBidi" w:hAnsiTheme="majorBidi"/>
          <w:sz w:val="40"/>
          <w:szCs w:val="40"/>
        </w:rPr>
        <w:t>Regulatory Capital Instructions</w:t>
      </w:r>
      <w:r w:rsidRPr="00565969">
        <w:rPr>
          <w:rFonts w:asciiTheme="majorBidi" w:hAnsiTheme="majorBidi"/>
          <w:sz w:val="40"/>
          <w:szCs w:val="40"/>
        </w:rPr>
        <w:br/>
        <w:t>According to the Basel III standard</w:t>
      </w:r>
    </w:p>
    <w:p w:rsidR="00565969" w:rsidRDefault="00565969" w:rsidP="00565969">
      <w:pPr>
        <w:bidi w:val="0"/>
        <w:jc w:val="center"/>
        <w:rPr>
          <w:rFonts w:asciiTheme="majorBidi" w:eastAsiaTheme="majorEastAsia" w:hAnsiTheme="majorBidi" w:cstheme="majorBidi"/>
          <w:spacing w:val="5"/>
          <w:sz w:val="40"/>
          <w:szCs w:val="40"/>
        </w:rPr>
      </w:pPr>
      <w:r w:rsidRPr="00565969">
        <w:rPr>
          <w:rFonts w:asciiTheme="majorBidi" w:eastAsiaTheme="majorEastAsia" w:hAnsiTheme="majorBidi" w:cstheme="majorBidi"/>
          <w:spacing w:val="5"/>
          <w:sz w:val="40"/>
          <w:szCs w:val="40"/>
        </w:rPr>
        <w:t>No. (67/2016)</w:t>
      </w:r>
    </w:p>
    <w:p w:rsidR="00B93AF7" w:rsidRDefault="00B93AF7" w:rsidP="00B93AF7">
      <w:pPr>
        <w:bidi w:val="0"/>
        <w:jc w:val="center"/>
        <w:rPr>
          <w:rFonts w:asciiTheme="majorBidi" w:eastAsiaTheme="majorEastAsia" w:hAnsiTheme="majorBidi" w:cstheme="majorBidi"/>
          <w:spacing w:val="5"/>
          <w:sz w:val="40"/>
          <w:szCs w:val="40"/>
        </w:rPr>
      </w:pPr>
    </w:p>
    <w:p w:rsidR="00B93AF7" w:rsidRDefault="00B93AF7" w:rsidP="00B93AF7">
      <w:pPr>
        <w:bidi w:val="0"/>
        <w:jc w:val="center"/>
        <w:rPr>
          <w:rFonts w:asciiTheme="majorBidi" w:eastAsiaTheme="majorEastAsia" w:hAnsiTheme="majorBidi" w:cstheme="majorBidi"/>
          <w:spacing w:val="5"/>
          <w:sz w:val="40"/>
          <w:szCs w:val="40"/>
        </w:rPr>
      </w:pPr>
    </w:p>
    <w:p w:rsidR="00B93AF7" w:rsidRDefault="00B93AF7" w:rsidP="00B93AF7">
      <w:pPr>
        <w:bidi w:val="0"/>
        <w:jc w:val="center"/>
        <w:rPr>
          <w:rFonts w:asciiTheme="majorBidi" w:eastAsiaTheme="majorEastAsia" w:hAnsiTheme="majorBidi" w:cstheme="majorBidi"/>
          <w:spacing w:val="5"/>
          <w:sz w:val="40"/>
          <w:szCs w:val="40"/>
        </w:rPr>
      </w:pPr>
    </w:p>
    <w:p w:rsidR="00B93AF7" w:rsidRDefault="00B93AF7" w:rsidP="00B93AF7">
      <w:pPr>
        <w:bidi w:val="0"/>
        <w:jc w:val="center"/>
        <w:rPr>
          <w:rFonts w:asciiTheme="majorBidi" w:eastAsiaTheme="majorEastAsia" w:hAnsiTheme="majorBidi" w:cstheme="majorBidi"/>
          <w:spacing w:val="5"/>
          <w:sz w:val="40"/>
          <w:szCs w:val="40"/>
        </w:rPr>
      </w:pPr>
    </w:p>
    <w:p w:rsidR="00B93AF7" w:rsidRDefault="00B93AF7" w:rsidP="00B93AF7">
      <w:pPr>
        <w:bidi w:val="0"/>
        <w:jc w:val="center"/>
        <w:rPr>
          <w:rFonts w:asciiTheme="majorBidi" w:eastAsiaTheme="majorEastAsia" w:hAnsiTheme="majorBidi" w:cstheme="majorBidi"/>
          <w:spacing w:val="5"/>
          <w:sz w:val="40"/>
          <w:szCs w:val="40"/>
        </w:rPr>
      </w:pPr>
    </w:p>
    <w:p w:rsidR="00B93AF7" w:rsidRDefault="00B93AF7" w:rsidP="00B93AF7">
      <w:pPr>
        <w:bidi w:val="0"/>
        <w:jc w:val="center"/>
        <w:rPr>
          <w:rFonts w:asciiTheme="majorBidi" w:eastAsiaTheme="majorEastAsia" w:hAnsiTheme="majorBidi" w:cstheme="majorBidi"/>
          <w:spacing w:val="5"/>
          <w:sz w:val="40"/>
          <w:szCs w:val="40"/>
        </w:rPr>
      </w:pPr>
    </w:p>
    <w:p w:rsidR="00B93AF7" w:rsidRPr="00565969" w:rsidRDefault="00B93AF7" w:rsidP="00B93AF7">
      <w:pPr>
        <w:bidi w:val="0"/>
        <w:jc w:val="center"/>
        <w:rPr>
          <w:rFonts w:asciiTheme="majorBidi" w:eastAsiaTheme="majorEastAsia" w:hAnsiTheme="majorBidi" w:cstheme="majorBidi"/>
          <w:spacing w:val="5"/>
          <w:sz w:val="40"/>
          <w:szCs w:val="40"/>
        </w:rPr>
      </w:pPr>
    </w:p>
    <w:p w:rsidR="00505A8B" w:rsidRPr="00EC2C7C" w:rsidRDefault="00505A8B" w:rsidP="00505A8B">
      <w:pPr>
        <w:pStyle w:val="Title"/>
        <w:pBdr>
          <w:bottom w:val="none" w:sz="0" w:space="0" w:color="auto"/>
        </w:pBdr>
        <w:rPr>
          <w:rFonts w:cs="Simplified Arabic"/>
          <w:sz w:val="36"/>
          <w:szCs w:val="36"/>
          <w:rtl/>
        </w:rPr>
      </w:pPr>
    </w:p>
    <w:p w:rsidR="00505A8B" w:rsidRPr="00543384" w:rsidRDefault="00505A8B" w:rsidP="00505A8B">
      <w:pPr>
        <w:rPr>
          <w:rtl/>
        </w:rPr>
      </w:pPr>
    </w:p>
    <w:bookmarkStart w:id="0" w:name="_Toc451176006" w:displacedByCustomXml="next"/>
    <w:bookmarkStart w:id="1" w:name="_Toc451179988" w:displacedByCustomXml="next"/>
    <w:sdt>
      <w:sdtPr>
        <w:rPr>
          <w:b/>
          <w:bCs/>
          <w:sz w:val="26"/>
          <w:szCs w:val="26"/>
          <w:lang w:bidi="ar-SA"/>
        </w:rPr>
        <w:id w:val="2066213821"/>
        <w:docPartObj>
          <w:docPartGallery w:val="Table of Contents"/>
          <w:docPartUnique/>
        </w:docPartObj>
      </w:sdtPr>
      <w:sdtEndPr>
        <w:rPr>
          <w:noProof/>
        </w:rPr>
      </w:sdtEndPr>
      <w:sdtContent>
        <w:p w:rsidR="00505A8B" w:rsidRPr="00D500AF" w:rsidRDefault="00B93AF7" w:rsidP="00851234">
          <w:pPr>
            <w:pStyle w:val="TOCHeading"/>
            <w:rPr>
              <w:lang w:bidi="ar-JO"/>
            </w:rPr>
          </w:pPr>
          <w:r w:rsidRPr="0014542A">
            <w:rPr>
              <w:rFonts w:ascii="Times New Roman" w:hAnsi="Times New Roman" w:cs="Times New Roman"/>
              <w:lang w:bidi="ar-JO"/>
            </w:rPr>
            <w:t>Contents</w:t>
          </w:r>
          <w:r>
            <w:rPr>
              <w:lang w:bidi="ar-JO"/>
            </w:rPr>
            <w:t xml:space="preserve"> </w:t>
          </w:r>
        </w:p>
        <w:p w:rsidR="00851234" w:rsidRDefault="00505A8B" w:rsidP="00851234">
          <w:pPr>
            <w:pStyle w:val="TOC1"/>
            <w:rPr>
              <w:rFonts w:asciiTheme="minorHAnsi" w:eastAsiaTheme="minorEastAsia" w:hAnsiTheme="minorHAnsi" w:cstheme="minorBidi"/>
              <w:b w:val="0"/>
              <w:bCs w:val="0"/>
              <w:sz w:val="22"/>
              <w:szCs w:val="22"/>
              <w:rtl/>
            </w:rPr>
          </w:pPr>
          <w:r w:rsidRPr="00D500AF">
            <w:rPr>
              <w:sz w:val="28"/>
              <w:szCs w:val="28"/>
            </w:rPr>
            <w:fldChar w:fldCharType="begin"/>
          </w:r>
          <w:r w:rsidRPr="00D500AF">
            <w:rPr>
              <w:sz w:val="28"/>
              <w:szCs w:val="28"/>
            </w:rPr>
            <w:instrText xml:space="preserve"> TOC \o "1-3" \h \z \u </w:instrText>
          </w:r>
          <w:r w:rsidRPr="00D500AF">
            <w:rPr>
              <w:sz w:val="28"/>
              <w:szCs w:val="28"/>
            </w:rPr>
            <w:fldChar w:fldCharType="separate"/>
          </w:r>
          <w:hyperlink w:anchor="_Toc65354395" w:history="1">
            <w:r w:rsidR="00851234" w:rsidRPr="00BE498D">
              <w:rPr>
                <w:rStyle w:val="Hyperlink"/>
                <w:rFonts w:asciiTheme="majorBidi" w:hAnsiTheme="majorBidi" w:cstheme="majorBidi"/>
              </w:rPr>
              <w:t>Chapter one: Scope of application</w:t>
            </w:r>
            <w:r w:rsidR="00851234">
              <w:rPr>
                <w:webHidden/>
                <w:rtl/>
              </w:rPr>
              <w:tab/>
            </w:r>
            <w:r w:rsidR="00851234">
              <w:rPr>
                <w:webHidden/>
                <w:rtl/>
              </w:rPr>
              <w:fldChar w:fldCharType="begin"/>
            </w:r>
            <w:r w:rsidR="00851234">
              <w:rPr>
                <w:webHidden/>
                <w:rtl/>
              </w:rPr>
              <w:instrText xml:space="preserve"> </w:instrText>
            </w:r>
            <w:r w:rsidR="00851234">
              <w:rPr>
                <w:webHidden/>
              </w:rPr>
              <w:instrText xml:space="preserve">PAGEREF </w:instrText>
            </w:r>
            <w:r w:rsidR="00851234">
              <w:rPr>
                <w:webHidden/>
                <w:rtl/>
              </w:rPr>
              <w:instrText>_</w:instrText>
            </w:r>
            <w:r w:rsidR="00851234">
              <w:rPr>
                <w:webHidden/>
              </w:rPr>
              <w:instrText>Toc65354395 \h</w:instrText>
            </w:r>
            <w:r w:rsidR="00851234">
              <w:rPr>
                <w:webHidden/>
                <w:rtl/>
              </w:rPr>
              <w:instrText xml:space="preserve"> </w:instrText>
            </w:r>
            <w:r w:rsidR="00851234">
              <w:rPr>
                <w:webHidden/>
                <w:rtl/>
              </w:rPr>
            </w:r>
            <w:r w:rsidR="00851234">
              <w:rPr>
                <w:webHidden/>
                <w:rtl/>
              </w:rPr>
              <w:fldChar w:fldCharType="separate"/>
            </w:r>
            <w:r w:rsidR="005A34EA">
              <w:rPr>
                <w:webHidden/>
              </w:rPr>
              <w:t>4</w:t>
            </w:r>
            <w:r w:rsidR="00851234">
              <w:rPr>
                <w:webHidden/>
                <w:rtl/>
              </w:rPr>
              <w:fldChar w:fldCharType="end"/>
            </w:r>
          </w:hyperlink>
        </w:p>
        <w:p w:rsidR="00851234" w:rsidRDefault="00851234" w:rsidP="00851234">
          <w:pPr>
            <w:pStyle w:val="TOC1"/>
            <w:rPr>
              <w:rFonts w:asciiTheme="minorHAnsi" w:eastAsiaTheme="minorEastAsia" w:hAnsiTheme="minorHAnsi" w:cstheme="minorBidi"/>
              <w:b w:val="0"/>
              <w:bCs w:val="0"/>
              <w:sz w:val="22"/>
              <w:szCs w:val="22"/>
              <w:rtl/>
            </w:rPr>
          </w:pPr>
          <w:hyperlink w:anchor="_Toc65354396" w:history="1">
            <w:r w:rsidRPr="00BE498D">
              <w:rPr>
                <w:rStyle w:val="Hyperlink"/>
                <w:rFonts w:asciiTheme="majorBidi" w:hAnsiTheme="majorBidi" w:cstheme="majorBidi"/>
              </w:rPr>
              <w:t>Chapter two: Capital Requirements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Toc65354396 \h</w:instrText>
            </w:r>
            <w:r>
              <w:rPr>
                <w:webHidden/>
                <w:rtl/>
              </w:rPr>
              <w:instrText xml:space="preserve"> </w:instrText>
            </w:r>
            <w:r>
              <w:rPr>
                <w:webHidden/>
                <w:rtl/>
              </w:rPr>
            </w:r>
            <w:r>
              <w:rPr>
                <w:webHidden/>
                <w:rtl/>
              </w:rPr>
              <w:fldChar w:fldCharType="separate"/>
            </w:r>
            <w:r w:rsidR="005A34EA">
              <w:rPr>
                <w:webHidden/>
              </w:rPr>
              <w:t>7</w:t>
            </w:r>
            <w:r>
              <w:rPr>
                <w:webHidden/>
                <w:rtl/>
              </w:rPr>
              <w:fldChar w:fldCharType="end"/>
            </w:r>
          </w:hyperlink>
        </w:p>
        <w:p w:rsidR="00851234" w:rsidRDefault="00851234" w:rsidP="00851234">
          <w:pPr>
            <w:pStyle w:val="TOC2"/>
            <w:tabs>
              <w:tab w:val="right" w:leader="dot" w:pos="8920"/>
            </w:tabs>
            <w:bidi w:val="0"/>
            <w:rPr>
              <w:rFonts w:asciiTheme="minorHAnsi" w:eastAsiaTheme="minorEastAsia" w:hAnsiTheme="minorHAnsi" w:cstheme="minorBidi"/>
              <w:b w:val="0"/>
              <w:bCs w:val="0"/>
              <w:sz w:val="22"/>
              <w:szCs w:val="22"/>
              <w:rtl/>
            </w:rPr>
          </w:pPr>
          <w:hyperlink w:anchor="_Toc65354397" w:history="1">
            <w:r w:rsidRPr="00BE498D">
              <w:rPr>
                <w:rStyle w:val="Hyperlink"/>
              </w:rPr>
              <w:t>First: Components of Capital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Toc65354397 \h</w:instrText>
            </w:r>
            <w:r>
              <w:rPr>
                <w:webHidden/>
                <w:rtl/>
              </w:rPr>
              <w:instrText xml:space="preserve"> </w:instrText>
            </w:r>
            <w:r>
              <w:rPr>
                <w:webHidden/>
                <w:rtl/>
              </w:rPr>
            </w:r>
            <w:r>
              <w:rPr>
                <w:webHidden/>
                <w:rtl/>
              </w:rPr>
              <w:fldChar w:fldCharType="separate"/>
            </w:r>
            <w:r w:rsidR="005A34EA">
              <w:rPr>
                <w:webHidden/>
              </w:rPr>
              <w:t>7</w:t>
            </w:r>
            <w:r>
              <w:rPr>
                <w:webHidden/>
                <w:rtl/>
              </w:rPr>
              <w:fldChar w:fldCharType="end"/>
            </w:r>
          </w:hyperlink>
        </w:p>
        <w:p w:rsidR="00851234" w:rsidRDefault="00851234" w:rsidP="00851234">
          <w:pPr>
            <w:pStyle w:val="TOC2"/>
            <w:tabs>
              <w:tab w:val="right" w:leader="dot" w:pos="8920"/>
            </w:tabs>
            <w:bidi w:val="0"/>
            <w:rPr>
              <w:rFonts w:asciiTheme="minorHAnsi" w:eastAsiaTheme="minorEastAsia" w:hAnsiTheme="minorHAnsi" w:cstheme="minorBidi"/>
              <w:b w:val="0"/>
              <w:bCs w:val="0"/>
              <w:sz w:val="22"/>
              <w:szCs w:val="22"/>
              <w:rtl/>
            </w:rPr>
          </w:pPr>
          <w:hyperlink w:anchor="_Toc65354398" w:history="1">
            <w:r w:rsidRPr="00BE498D">
              <w:rPr>
                <w:rStyle w:val="Hyperlink"/>
              </w:rPr>
              <w:t>Second: Elements of Capital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Toc65354398 \h</w:instrText>
            </w:r>
            <w:r>
              <w:rPr>
                <w:webHidden/>
                <w:rtl/>
              </w:rPr>
              <w:instrText xml:space="preserve"> </w:instrText>
            </w:r>
            <w:r>
              <w:rPr>
                <w:webHidden/>
                <w:rtl/>
              </w:rPr>
            </w:r>
            <w:r>
              <w:rPr>
                <w:webHidden/>
                <w:rtl/>
              </w:rPr>
              <w:fldChar w:fldCharType="separate"/>
            </w:r>
            <w:r w:rsidR="005A34EA">
              <w:rPr>
                <w:webHidden/>
              </w:rPr>
              <w:t>7</w:t>
            </w:r>
            <w:r>
              <w:rPr>
                <w:webHidden/>
                <w:rtl/>
              </w:rPr>
              <w:fldChar w:fldCharType="end"/>
            </w:r>
          </w:hyperlink>
        </w:p>
        <w:p w:rsidR="00851234" w:rsidRDefault="00851234" w:rsidP="00851234">
          <w:pPr>
            <w:pStyle w:val="TOC2"/>
            <w:tabs>
              <w:tab w:val="right" w:leader="dot" w:pos="8920"/>
            </w:tabs>
            <w:bidi w:val="0"/>
            <w:rPr>
              <w:rFonts w:asciiTheme="minorHAnsi" w:eastAsiaTheme="minorEastAsia" w:hAnsiTheme="minorHAnsi" w:cstheme="minorBidi"/>
              <w:b w:val="0"/>
              <w:bCs w:val="0"/>
              <w:sz w:val="22"/>
              <w:szCs w:val="22"/>
              <w:rtl/>
            </w:rPr>
          </w:pPr>
          <w:hyperlink w:anchor="_Toc65354399" w:history="1">
            <w:r w:rsidRPr="00BE498D">
              <w:rPr>
                <w:rStyle w:val="Hyperlink"/>
              </w:rPr>
              <w:t>Third: Capital Qualifying Criteria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Toc65354399 \h</w:instrText>
            </w:r>
            <w:r>
              <w:rPr>
                <w:webHidden/>
                <w:rtl/>
              </w:rPr>
              <w:instrText xml:space="preserve"> </w:instrText>
            </w:r>
            <w:r>
              <w:rPr>
                <w:webHidden/>
                <w:rtl/>
              </w:rPr>
            </w:r>
            <w:r>
              <w:rPr>
                <w:webHidden/>
                <w:rtl/>
              </w:rPr>
              <w:fldChar w:fldCharType="separate"/>
            </w:r>
            <w:r w:rsidR="005A34EA">
              <w:rPr>
                <w:webHidden/>
              </w:rPr>
              <w:t>8</w:t>
            </w:r>
            <w:r>
              <w:rPr>
                <w:webHidden/>
                <w:rtl/>
              </w:rPr>
              <w:fldChar w:fldCharType="end"/>
            </w:r>
          </w:hyperlink>
        </w:p>
        <w:p w:rsidR="00851234" w:rsidRDefault="00851234" w:rsidP="00851234">
          <w:pPr>
            <w:pStyle w:val="TOC2"/>
            <w:tabs>
              <w:tab w:val="right" w:leader="dot" w:pos="8920"/>
            </w:tabs>
            <w:bidi w:val="0"/>
            <w:rPr>
              <w:rFonts w:asciiTheme="minorHAnsi" w:eastAsiaTheme="minorEastAsia" w:hAnsiTheme="minorHAnsi" w:cstheme="minorBidi"/>
              <w:b w:val="0"/>
              <w:bCs w:val="0"/>
              <w:sz w:val="22"/>
              <w:szCs w:val="22"/>
              <w:rtl/>
            </w:rPr>
          </w:pPr>
          <w:hyperlink w:anchor="_Toc65354400" w:history="1">
            <w:r w:rsidRPr="00BE498D">
              <w:rPr>
                <w:rStyle w:val="Hyperlink"/>
                <w:rFonts w:ascii="Times New Roman" w:hAnsi="Times New Roman" w:cs="Times New Roman"/>
                <w:lang w:val="en" w:bidi="ar"/>
              </w:rPr>
              <w:t>Fourth: Regulatory adjustments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Toc65354400 \h</w:instrText>
            </w:r>
            <w:r>
              <w:rPr>
                <w:webHidden/>
                <w:rtl/>
              </w:rPr>
              <w:instrText xml:space="preserve"> </w:instrText>
            </w:r>
            <w:r>
              <w:rPr>
                <w:webHidden/>
                <w:rtl/>
              </w:rPr>
            </w:r>
            <w:r>
              <w:rPr>
                <w:webHidden/>
                <w:rtl/>
              </w:rPr>
              <w:fldChar w:fldCharType="separate"/>
            </w:r>
            <w:r w:rsidR="005A34EA">
              <w:rPr>
                <w:webHidden/>
              </w:rPr>
              <w:t>15</w:t>
            </w:r>
            <w:r>
              <w:rPr>
                <w:webHidden/>
                <w:rtl/>
              </w:rPr>
              <w:fldChar w:fldCharType="end"/>
            </w:r>
          </w:hyperlink>
        </w:p>
        <w:p w:rsidR="00851234" w:rsidRDefault="00851234" w:rsidP="00851234">
          <w:pPr>
            <w:pStyle w:val="TOC2"/>
            <w:tabs>
              <w:tab w:val="right" w:leader="dot" w:pos="8920"/>
            </w:tabs>
            <w:bidi w:val="0"/>
            <w:rPr>
              <w:rFonts w:asciiTheme="minorHAnsi" w:eastAsiaTheme="minorEastAsia" w:hAnsiTheme="minorHAnsi" w:cstheme="minorBidi"/>
              <w:b w:val="0"/>
              <w:bCs w:val="0"/>
              <w:sz w:val="22"/>
              <w:szCs w:val="22"/>
              <w:rtl/>
            </w:rPr>
          </w:pPr>
          <w:hyperlink w:anchor="_Toc65354401" w:history="1">
            <w:r w:rsidRPr="00BE498D">
              <w:rPr>
                <w:rStyle w:val="Hyperlink"/>
                <w:rFonts w:ascii="Times New Roman" w:hAnsi="Times New Roman" w:cs="Times New Roman"/>
                <w:lang w:val="en" w:bidi="ar"/>
              </w:rPr>
              <w:t>Fifth: Instructions a</w:t>
            </w:r>
            <w:r w:rsidRPr="00BE498D">
              <w:rPr>
                <w:rStyle w:val="Hyperlink"/>
                <w:rFonts w:ascii="Times New Roman" w:hAnsi="Times New Roman" w:cs="Times New Roman"/>
                <w:lang w:val="en" w:bidi="ar"/>
              </w:rPr>
              <w:t>p</w:t>
            </w:r>
            <w:r w:rsidRPr="00BE498D">
              <w:rPr>
                <w:rStyle w:val="Hyperlink"/>
                <w:rFonts w:ascii="Times New Roman" w:hAnsi="Times New Roman" w:cs="Times New Roman"/>
                <w:lang w:val="en" w:bidi="ar"/>
              </w:rPr>
              <w:t>plication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Toc65354401 \h</w:instrText>
            </w:r>
            <w:r>
              <w:rPr>
                <w:webHidden/>
                <w:rtl/>
              </w:rPr>
              <w:instrText xml:space="preserve"> </w:instrText>
            </w:r>
            <w:r>
              <w:rPr>
                <w:webHidden/>
                <w:rtl/>
              </w:rPr>
            </w:r>
            <w:r>
              <w:rPr>
                <w:webHidden/>
                <w:rtl/>
              </w:rPr>
              <w:fldChar w:fldCharType="separate"/>
            </w:r>
            <w:r w:rsidR="005A34EA">
              <w:rPr>
                <w:webHidden/>
              </w:rPr>
              <w:t>19</w:t>
            </w:r>
            <w:r>
              <w:rPr>
                <w:webHidden/>
                <w:rtl/>
              </w:rPr>
              <w:fldChar w:fldCharType="end"/>
            </w:r>
          </w:hyperlink>
        </w:p>
        <w:p w:rsidR="00851234" w:rsidRDefault="00851234" w:rsidP="00851234">
          <w:pPr>
            <w:pStyle w:val="TOC1"/>
            <w:rPr>
              <w:rFonts w:asciiTheme="minorHAnsi" w:eastAsiaTheme="minorEastAsia" w:hAnsiTheme="minorHAnsi" w:cstheme="minorBidi"/>
              <w:b w:val="0"/>
              <w:bCs w:val="0"/>
              <w:sz w:val="22"/>
              <w:szCs w:val="22"/>
              <w:rtl/>
            </w:rPr>
          </w:pPr>
          <w:hyperlink w:anchor="_Toc65354402" w:history="1">
            <w:r w:rsidRPr="00BE498D">
              <w:rPr>
                <w:rStyle w:val="Hyperlink"/>
              </w:rPr>
              <w:t xml:space="preserve">Chapter three: </w:t>
            </w:r>
            <w:r w:rsidRPr="00BE498D">
              <w:rPr>
                <w:rStyle w:val="Hyperlink"/>
                <w:lang w:val="en"/>
              </w:rPr>
              <w:t>Additional capital requirements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Toc65354402 \h</w:instrText>
            </w:r>
            <w:r>
              <w:rPr>
                <w:webHidden/>
                <w:rtl/>
              </w:rPr>
              <w:instrText xml:space="preserve"> </w:instrText>
            </w:r>
            <w:r>
              <w:rPr>
                <w:webHidden/>
                <w:rtl/>
              </w:rPr>
            </w:r>
            <w:r>
              <w:rPr>
                <w:webHidden/>
                <w:rtl/>
              </w:rPr>
              <w:fldChar w:fldCharType="separate"/>
            </w:r>
            <w:r w:rsidR="005A34EA">
              <w:rPr>
                <w:webHidden/>
              </w:rPr>
              <w:t>21</w:t>
            </w:r>
            <w:r>
              <w:rPr>
                <w:webHidden/>
                <w:rtl/>
              </w:rPr>
              <w:fldChar w:fldCharType="end"/>
            </w:r>
          </w:hyperlink>
        </w:p>
        <w:p w:rsidR="00851234" w:rsidRDefault="00851234" w:rsidP="00851234">
          <w:pPr>
            <w:pStyle w:val="TOC1"/>
            <w:rPr>
              <w:rFonts w:asciiTheme="minorHAnsi" w:eastAsiaTheme="minorEastAsia" w:hAnsiTheme="minorHAnsi" w:cstheme="minorBidi"/>
              <w:b w:val="0"/>
              <w:bCs w:val="0"/>
              <w:sz w:val="22"/>
              <w:szCs w:val="22"/>
              <w:rtl/>
            </w:rPr>
          </w:pPr>
          <w:hyperlink w:anchor="_Toc65354403" w:history="1">
            <w:r w:rsidRPr="00BE498D">
              <w:rPr>
                <w:rStyle w:val="Hyperlink"/>
              </w:rPr>
              <w:t>Chapter four: Risk Coverage</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Toc65354403 \h</w:instrText>
            </w:r>
            <w:r>
              <w:rPr>
                <w:webHidden/>
                <w:rtl/>
              </w:rPr>
              <w:instrText xml:space="preserve"> </w:instrText>
            </w:r>
            <w:r>
              <w:rPr>
                <w:webHidden/>
                <w:rtl/>
              </w:rPr>
            </w:r>
            <w:r>
              <w:rPr>
                <w:webHidden/>
                <w:rtl/>
              </w:rPr>
              <w:fldChar w:fldCharType="separate"/>
            </w:r>
            <w:r w:rsidR="005A34EA">
              <w:rPr>
                <w:webHidden/>
              </w:rPr>
              <w:t>23</w:t>
            </w:r>
            <w:r>
              <w:rPr>
                <w:webHidden/>
                <w:rtl/>
              </w:rPr>
              <w:fldChar w:fldCharType="end"/>
            </w:r>
          </w:hyperlink>
        </w:p>
        <w:p w:rsidR="00851234" w:rsidRDefault="00851234" w:rsidP="00851234">
          <w:pPr>
            <w:pStyle w:val="TOC2"/>
            <w:tabs>
              <w:tab w:val="right" w:leader="dot" w:pos="8920"/>
            </w:tabs>
            <w:bidi w:val="0"/>
            <w:rPr>
              <w:rFonts w:asciiTheme="minorHAnsi" w:eastAsiaTheme="minorEastAsia" w:hAnsiTheme="minorHAnsi" w:cstheme="minorBidi"/>
              <w:b w:val="0"/>
              <w:bCs w:val="0"/>
              <w:sz w:val="22"/>
              <w:szCs w:val="22"/>
              <w:rtl/>
            </w:rPr>
          </w:pPr>
          <w:hyperlink w:anchor="_Toc65354404" w:history="1">
            <w:r w:rsidRPr="00BE498D">
              <w:rPr>
                <w:rStyle w:val="Hyperlink"/>
                <w:lang w:bidi="ar-JO"/>
              </w:rPr>
              <w:t>First: Credit risk (standardized approach)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Toc65354404 \h</w:instrText>
            </w:r>
            <w:r>
              <w:rPr>
                <w:webHidden/>
                <w:rtl/>
              </w:rPr>
              <w:instrText xml:space="preserve"> </w:instrText>
            </w:r>
            <w:r>
              <w:rPr>
                <w:webHidden/>
                <w:rtl/>
              </w:rPr>
            </w:r>
            <w:r>
              <w:rPr>
                <w:webHidden/>
                <w:rtl/>
              </w:rPr>
              <w:fldChar w:fldCharType="separate"/>
            </w:r>
            <w:r w:rsidR="005A34EA">
              <w:rPr>
                <w:webHidden/>
              </w:rPr>
              <w:t>23</w:t>
            </w:r>
            <w:r>
              <w:rPr>
                <w:webHidden/>
                <w:rtl/>
              </w:rPr>
              <w:fldChar w:fldCharType="end"/>
            </w:r>
          </w:hyperlink>
        </w:p>
        <w:p w:rsidR="00851234" w:rsidRDefault="00851234" w:rsidP="00851234">
          <w:pPr>
            <w:pStyle w:val="TOC2"/>
            <w:tabs>
              <w:tab w:val="right" w:leader="dot" w:pos="8920"/>
            </w:tabs>
            <w:bidi w:val="0"/>
            <w:rPr>
              <w:rFonts w:asciiTheme="minorHAnsi" w:eastAsiaTheme="minorEastAsia" w:hAnsiTheme="minorHAnsi" w:cstheme="minorBidi"/>
              <w:b w:val="0"/>
              <w:bCs w:val="0"/>
              <w:sz w:val="22"/>
              <w:szCs w:val="22"/>
              <w:rtl/>
            </w:rPr>
          </w:pPr>
          <w:hyperlink w:anchor="_Toc65354405" w:history="1">
            <w:r w:rsidRPr="00BE498D">
              <w:rPr>
                <w:rStyle w:val="Hyperlink"/>
                <w:lang w:bidi="ar-JO"/>
              </w:rPr>
              <w:t xml:space="preserve">Second: </w:t>
            </w:r>
            <w:r w:rsidRPr="00BE498D">
              <w:rPr>
                <w:rStyle w:val="Hyperlink"/>
              </w:rPr>
              <w:t>Credit Risk Mitigations (CRM)</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Toc65354405 \h</w:instrText>
            </w:r>
            <w:r>
              <w:rPr>
                <w:webHidden/>
                <w:rtl/>
              </w:rPr>
              <w:instrText xml:space="preserve"> </w:instrText>
            </w:r>
            <w:r>
              <w:rPr>
                <w:webHidden/>
                <w:rtl/>
              </w:rPr>
            </w:r>
            <w:r>
              <w:rPr>
                <w:webHidden/>
                <w:rtl/>
              </w:rPr>
              <w:fldChar w:fldCharType="separate"/>
            </w:r>
            <w:r w:rsidR="005A34EA">
              <w:rPr>
                <w:webHidden/>
              </w:rPr>
              <w:t>33</w:t>
            </w:r>
            <w:r>
              <w:rPr>
                <w:webHidden/>
                <w:rtl/>
              </w:rPr>
              <w:fldChar w:fldCharType="end"/>
            </w:r>
          </w:hyperlink>
        </w:p>
        <w:p w:rsidR="00851234" w:rsidRDefault="00851234" w:rsidP="00851234">
          <w:pPr>
            <w:pStyle w:val="TOC2"/>
            <w:tabs>
              <w:tab w:val="right" w:leader="dot" w:pos="8920"/>
            </w:tabs>
            <w:bidi w:val="0"/>
            <w:rPr>
              <w:rFonts w:asciiTheme="minorHAnsi" w:eastAsiaTheme="minorEastAsia" w:hAnsiTheme="minorHAnsi" w:cstheme="minorBidi"/>
              <w:b w:val="0"/>
              <w:bCs w:val="0"/>
              <w:sz w:val="22"/>
              <w:szCs w:val="22"/>
              <w:rtl/>
            </w:rPr>
          </w:pPr>
          <w:hyperlink w:anchor="_Toc65354406" w:history="1">
            <w:r w:rsidRPr="00BE498D">
              <w:rPr>
                <w:rStyle w:val="Hyperlink"/>
              </w:rPr>
              <w:t>Third: Operational Risk</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Toc65354406 \h</w:instrText>
            </w:r>
            <w:r>
              <w:rPr>
                <w:webHidden/>
                <w:rtl/>
              </w:rPr>
              <w:instrText xml:space="preserve"> </w:instrText>
            </w:r>
            <w:r>
              <w:rPr>
                <w:webHidden/>
                <w:rtl/>
              </w:rPr>
            </w:r>
            <w:r>
              <w:rPr>
                <w:webHidden/>
                <w:rtl/>
              </w:rPr>
              <w:fldChar w:fldCharType="separate"/>
            </w:r>
            <w:r w:rsidR="005A34EA">
              <w:rPr>
                <w:webHidden/>
              </w:rPr>
              <w:t>48</w:t>
            </w:r>
            <w:r>
              <w:rPr>
                <w:webHidden/>
                <w:rtl/>
              </w:rPr>
              <w:fldChar w:fldCharType="end"/>
            </w:r>
          </w:hyperlink>
        </w:p>
        <w:p w:rsidR="00851234" w:rsidRDefault="00851234" w:rsidP="00851234">
          <w:pPr>
            <w:pStyle w:val="TOC2"/>
            <w:tabs>
              <w:tab w:val="right" w:leader="dot" w:pos="8920"/>
            </w:tabs>
            <w:bidi w:val="0"/>
            <w:rPr>
              <w:rFonts w:asciiTheme="minorHAnsi" w:eastAsiaTheme="minorEastAsia" w:hAnsiTheme="minorHAnsi" w:cstheme="minorBidi"/>
              <w:b w:val="0"/>
              <w:bCs w:val="0"/>
              <w:sz w:val="22"/>
              <w:szCs w:val="22"/>
              <w:rtl/>
            </w:rPr>
          </w:pPr>
          <w:hyperlink w:anchor="_Toc65354407" w:history="1">
            <w:r w:rsidRPr="00BE498D">
              <w:rPr>
                <w:rStyle w:val="Hyperlink"/>
                <w:lang w:bidi="ar-JO"/>
              </w:rPr>
              <w:t xml:space="preserve">Fourth: </w:t>
            </w:r>
            <w:r w:rsidRPr="00BE498D">
              <w:rPr>
                <w:rStyle w:val="Hyperlink"/>
              </w:rPr>
              <w:t>Market Risk – Standardized Approach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Toc65354407 \h</w:instrText>
            </w:r>
            <w:r>
              <w:rPr>
                <w:webHidden/>
                <w:rtl/>
              </w:rPr>
              <w:instrText xml:space="preserve"> </w:instrText>
            </w:r>
            <w:r>
              <w:rPr>
                <w:webHidden/>
                <w:rtl/>
              </w:rPr>
            </w:r>
            <w:r>
              <w:rPr>
                <w:webHidden/>
                <w:rtl/>
              </w:rPr>
              <w:fldChar w:fldCharType="separate"/>
            </w:r>
            <w:r w:rsidR="005A34EA">
              <w:rPr>
                <w:webHidden/>
              </w:rPr>
              <w:t>53</w:t>
            </w:r>
            <w:r>
              <w:rPr>
                <w:webHidden/>
                <w:rtl/>
              </w:rPr>
              <w:fldChar w:fldCharType="end"/>
            </w:r>
          </w:hyperlink>
        </w:p>
        <w:p w:rsidR="00851234" w:rsidRDefault="00851234" w:rsidP="00851234">
          <w:pPr>
            <w:pStyle w:val="TOC1"/>
            <w:rPr>
              <w:rFonts w:asciiTheme="minorHAnsi" w:eastAsiaTheme="minorEastAsia" w:hAnsiTheme="minorHAnsi" w:cstheme="minorBidi"/>
              <w:b w:val="0"/>
              <w:bCs w:val="0"/>
              <w:sz w:val="22"/>
              <w:szCs w:val="22"/>
              <w:rtl/>
            </w:rPr>
          </w:pPr>
          <w:hyperlink w:anchor="_Toc65354408" w:history="1">
            <w:r w:rsidRPr="00BE498D">
              <w:rPr>
                <w:rStyle w:val="Hyperlink"/>
                <w:rFonts w:asciiTheme="majorBidi" w:hAnsiTheme="majorBidi" w:cstheme="majorBidi"/>
              </w:rPr>
              <w:t>Chapter five: L</w:t>
            </w:r>
            <w:r w:rsidRPr="00BE498D">
              <w:rPr>
                <w:rStyle w:val="Hyperlink"/>
                <w:rFonts w:asciiTheme="majorBidi" w:hAnsiTheme="majorBidi" w:cstheme="majorBidi"/>
              </w:rPr>
              <w:t>e</w:t>
            </w:r>
            <w:r w:rsidRPr="00BE498D">
              <w:rPr>
                <w:rStyle w:val="Hyperlink"/>
                <w:rFonts w:asciiTheme="majorBidi" w:hAnsiTheme="majorBidi" w:cstheme="majorBidi"/>
              </w:rPr>
              <w:t>verage Ratio</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Toc65354408 \h</w:instrText>
            </w:r>
            <w:r>
              <w:rPr>
                <w:webHidden/>
                <w:rtl/>
              </w:rPr>
              <w:instrText xml:space="preserve"> </w:instrText>
            </w:r>
            <w:r>
              <w:rPr>
                <w:webHidden/>
                <w:rtl/>
              </w:rPr>
            </w:r>
            <w:r>
              <w:rPr>
                <w:webHidden/>
                <w:rtl/>
              </w:rPr>
              <w:fldChar w:fldCharType="separate"/>
            </w:r>
            <w:r w:rsidR="005A34EA">
              <w:rPr>
                <w:webHidden/>
              </w:rPr>
              <w:t>65</w:t>
            </w:r>
            <w:r>
              <w:rPr>
                <w:webHidden/>
                <w:rtl/>
              </w:rPr>
              <w:fldChar w:fldCharType="end"/>
            </w:r>
          </w:hyperlink>
        </w:p>
        <w:p w:rsidR="00851234" w:rsidRDefault="00851234" w:rsidP="00851234">
          <w:pPr>
            <w:pStyle w:val="TOC1"/>
            <w:rPr>
              <w:rFonts w:asciiTheme="minorHAnsi" w:eastAsiaTheme="minorEastAsia" w:hAnsiTheme="minorHAnsi" w:cstheme="minorBidi"/>
              <w:b w:val="0"/>
              <w:bCs w:val="0"/>
              <w:sz w:val="22"/>
              <w:szCs w:val="22"/>
              <w:rtl/>
            </w:rPr>
          </w:pPr>
          <w:hyperlink w:anchor="_Toc65354409" w:history="1">
            <w:r w:rsidRPr="00BE498D">
              <w:rPr>
                <w:rStyle w:val="Hyperlink"/>
                <w:rFonts w:asciiTheme="majorBidi" w:hAnsiTheme="majorBidi" w:cstheme="majorBidi"/>
              </w:rPr>
              <w:t>Annex</w:t>
            </w:r>
            <w:r w:rsidRPr="00BE498D">
              <w:rPr>
                <w:rStyle w:val="Hyperlink"/>
                <w:rFonts w:asciiTheme="majorBidi" w:hAnsiTheme="majorBidi" w:cstheme="majorBidi"/>
                <w:rtl/>
              </w:rPr>
              <w:t xml:space="preserve"> </w:t>
            </w:r>
            <w:r w:rsidRPr="00BE498D">
              <w:rPr>
                <w:rStyle w:val="Hyperlink"/>
                <w:rFonts w:asciiTheme="majorBidi" w:hAnsiTheme="majorBidi" w:cstheme="majorBidi"/>
              </w:rPr>
              <w:t>(1) Investments in banks, securities companies, and other financial companies in the event of non- consolidation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Toc65354409 \h</w:instrText>
            </w:r>
            <w:r>
              <w:rPr>
                <w:webHidden/>
                <w:rtl/>
              </w:rPr>
              <w:instrText xml:space="preserve"> </w:instrText>
            </w:r>
            <w:r>
              <w:rPr>
                <w:webHidden/>
                <w:rtl/>
              </w:rPr>
            </w:r>
            <w:r>
              <w:rPr>
                <w:webHidden/>
                <w:rtl/>
              </w:rPr>
              <w:fldChar w:fldCharType="separate"/>
            </w:r>
            <w:r w:rsidR="005A34EA">
              <w:rPr>
                <w:webHidden/>
              </w:rPr>
              <w:t>66</w:t>
            </w:r>
            <w:r>
              <w:rPr>
                <w:webHidden/>
                <w:rtl/>
              </w:rPr>
              <w:fldChar w:fldCharType="end"/>
            </w:r>
          </w:hyperlink>
        </w:p>
        <w:p w:rsidR="00851234" w:rsidRDefault="00851234" w:rsidP="00851234">
          <w:pPr>
            <w:pStyle w:val="TOC1"/>
            <w:rPr>
              <w:rFonts w:asciiTheme="minorHAnsi" w:eastAsiaTheme="minorEastAsia" w:hAnsiTheme="minorHAnsi" w:cstheme="minorBidi"/>
              <w:b w:val="0"/>
              <w:bCs w:val="0"/>
              <w:sz w:val="22"/>
              <w:szCs w:val="22"/>
              <w:rtl/>
            </w:rPr>
          </w:pPr>
          <w:hyperlink w:anchor="_Toc65354410" w:history="1">
            <w:r w:rsidRPr="00BE498D">
              <w:rPr>
                <w:rStyle w:val="Hyperlink"/>
                <w:rFonts w:asciiTheme="majorBidi" w:hAnsiTheme="majorBidi" w:cstheme="majorBidi"/>
              </w:rPr>
              <w:t>Annex (2) Minority interest illustrative example</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Toc65354410 \h</w:instrText>
            </w:r>
            <w:r>
              <w:rPr>
                <w:webHidden/>
                <w:rtl/>
              </w:rPr>
              <w:instrText xml:space="preserve"> </w:instrText>
            </w:r>
            <w:r>
              <w:rPr>
                <w:webHidden/>
                <w:rtl/>
              </w:rPr>
            </w:r>
            <w:r>
              <w:rPr>
                <w:webHidden/>
                <w:rtl/>
              </w:rPr>
              <w:fldChar w:fldCharType="separate"/>
            </w:r>
            <w:r w:rsidR="005A34EA">
              <w:rPr>
                <w:webHidden/>
              </w:rPr>
              <w:t>67</w:t>
            </w:r>
            <w:r>
              <w:rPr>
                <w:webHidden/>
                <w:rtl/>
              </w:rPr>
              <w:fldChar w:fldCharType="end"/>
            </w:r>
          </w:hyperlink>
        </w:p>
        <w:p w:rsidR="00851234" w:rsidRDefault="00851234" w:rsidP="00851234">
          <w:pPr>
            <w:pStyle w:val="TOC1"/>
            <w:rPr>
              <w:rFonts w:asciiTheme="minorHAnsi" w:eastAsiaTheme="minorEastAsia" w:hAnsiTheme="minorHAnsi" w:cstheme="minorBidi"/>
              <w:b w:val="0"/>
              <w:bCs w:val="0"/>
              <w:sz w:val="22"/>
              <w:szCs w:val="22"/>
              <w:rtl/>
            </w:rPr>
          </w:pPr>
          <w:hyperlink w:anchor="_Toc65354411" w:history="1">
            <w:r w:rsidRPr="00BE498D">
              <w:rPr>
                <w:rStyle w:val="Hyperlink"/>
                <w:rFonts w:asciiTheme="majorBidi" w:hAnsiTheme="majorBidi" w:cstheme="majorBidi"/>
              </w:rPr>
              <w:t>Annex (3) Corresponding Deduction Approach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Toc65354411 \h</w:instrText>
            </w:r>
            <w:r>
              <w:rPr>
                <w:webHidden/>
                <w:rtl/>
              </w:rPr>
              <w:instrText xml:space="preserve"> </w:instrText>
            </w:r>
            <w:r>
              <w:rPr>
                <w:webHidden/>
                <w:rtl/>
              </w:rPr>
            </w:r>
            <w:r>
              <w:rPr>
                <w:webHidden/>
                <w:rtl/>
              </w:rPr>
              <w:fldChar w:fldCharType="separate"/>
            </w:r>
            <w:r w:rsidR="005A34EA">
              <w:rPr>
                <w:webHidden/>
              </w:rPr>
              <w:t>69</w:t>
            </w:r>
            <w:r>
              <w:rPr>
                <w:webHidden/>
                <w:rtl/>
              </w:rPr>
              <w:fldChar w:fldCharType="end"/>
            </w:r>
          </w:hyperlink>
        </w:p>
        <w:p w:rsidR="00851234" w:rsidRDefault="00851234" w:rsidP="00851234">
          <w:pPr>
            <w:pStyle w:val="TOC1"/>
            <w:rPr>
              <w:rFonts w:asciiTheme="minorHAnsi" w:eastAsiaTheme="minorEastAsia" w:hAnsiTheme="minorHAnsi" w:cstheme="minorBidi"/>
              <w:b w:val="0"/>
              <w:bCs w:val="0"/>
              <w:sz w:val="22"/>
              <w:szCs w:val="22"/>
              <w:rtl/>
            </w:rPr>
          </w:pPr>
          <w:hyperlink w:anchor="_Toc65354412" w:history="1">
            <w:r w:rsidRPr="00BE498D">
              <w:rPr>
                <w:rStyle w:val="Hyperlink"/>
                <w:rFonts w:asciiTheme="majorBidi" w:hAnsiTheme="majorBidi" w:cstheme="majorBidi"/>
              </w:rPr>
              <w:t>Annex (4) Threshold deductions illustrative example</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Toc65354412 \h</w:instrText>
            </w:r>
            <w:r>
              <w:rPr>
                <w:webHidden/>
                <w:rtl/>
              </w:rPr>
              <w:instrText xml:space="preserve"> </w:instrText>
            </w:r>
            <w:r>
              <w:rPr>
                <w:webHidden/>
                <w:rtl/>
              </w:rPr>
            </w:r>
            <w:r>
              <w:rPr>
                <w:webHidden/>
                <w:rtl/>
              </w:rPr>
              <w:fldChar w:fldCharType="separate"/>
            </w:r>
            <w:r w:rsidR="005A34EA">
              <w:rPr>
                <w:webHidden/>
              </w:rPr>
              <w:t>70</w:t>
            </w:r>
            <w:r>
              <w:rPr>
                <w:webHidden/>
                <w:rtl/>
              </w:rPr>
              <w:fldChar w:fldCharType="end"/>
            </w:r>
          </w:hyperlink>
        </w:p>
        <w:p w:rsidR="00851234" w:rsidRDefault="00851234" w:rsidP="00851234">
          <w:pPr>
            <w:pStyle w:val="TOC1"/>
            <w:rPr>
              <w:rFonts w:asciiTheme="minorHAnsi" w:eastAsiaTheme="minorEastAsia" w:hAnsiTheme="minorHAnsi" w:cstheme="minorBidi"/>
              <w:b w:val="0"/>
              <w:bCs w:val="0"/>
              <w:sz w:val="22"/>
              <w:szCs w:val="22"/>
              <w:rtl/>
            </w:rPr>
          </w:pPr>
          <w:hyperlink w:anchor="_Toc65354413" w:history="1">
            <w:r w:rsidRPr="00BE498D">
              <w:rPr>
                <w:rStyle w:val="Hyperlink"/>
                <w:rFonts w:asciiTheme="majorBidi" w:hAnsiTheme="majorBidi" w:cstheme="majorBidi"/>
              </w:rPr>
              <w:t>Annex (5) The regulatory capital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Toc65354413 \h</w:instrText>
            </w:r>
            <w:r>
              <w:rPr>
                <w:webHidden/>
                <w:rtl/>
              </w:rPr>
              <w:instrText xml:space="preserve"> </w:instrText>
            </w:r>
            <w:r>
              <w:rPr>
                <w:webHidden/>
                <w:rtl/>
              </w:rPr>
            </w:r>
            <w:r>
              <w:rPr>
                <w:webHidden/>
                <w:rtl/>
              </w:rPr>
              <w:fldChar w:fldCharType="separate"/>
            </w:r>
            <w:r w:rsidR="005A34EA">
              <w:rPr>
                <w:webHidden/>
              </w:rPr>
              <w:t>71</w:t>
            </w:r>
            <w:r>
              <w:rPr>
                <w:webHidden/>
                <w:rtl/>
              </w:rPr>
              <w:fldChar w:fldCharType="end"/>
            </w:r>
          </w:hyperlink>
        </w:p>
        <w:p w:rsidR="00851234" w:rsidRDefault="00851234" w:rsidP="00851234">
          <w:pPr>
            <w:pStyle w:val="TOC1"/>
            <w:rPr>
              <w:rFonts w:asciiTheme="minorHAnsi" w:eastAsiaTheme="minorEastAsia" w:hAnsiTheme="minorHAnsi" w:cstheme="minorBidi"/>
              <w:b w:val="0"/>
              <w:bCs w:val="0"/>
              <w:sz w:val="22"/>
              <w:szCs w:val="22"/>
              <w:rtl/>
            </w:rPr>
          </w:pPr>
          <w:hyperlink w:anchor="_Toc65354414" w:history="1">
            <w:r w:rsidRPr="00BE498D">
              <w:rPr>
                <w:rStyle w:val="Hyperlink"/>
                <w:rFonts w:asciiTheme="majorBidi" w:hAnsiTheme="majorBidi" w:cstheme="majorBidi"/>
              </w:rPr>
              <w:t>Annex no. (6) The steps that the Central Bank will follow regarding the countercyclical buffer</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Toc65354414 \h</w:instrText>
            </w:r>
            <w:r>
              <w:rPr>
                <w:webHidden/>
                <w:rtl/>
              </w:rPr>
              <w:instrText xml:space="preserve"> </w:instrText>
            </w:r>
            <w:r>
              <w:rPr>
                <w:webHidden/>
                <w:rtl/>
              </w:rPr>
            </w:r>
            <w:r>
              <w:rPr>
                <w:webHidden/>
                <w:rtl/>
              </w:rPr>
              <w:fldChar w:fldCharType="separate"/>
            </w:r>
            <w:r w:rsidR="005A34EA">
              <w:rPr>
                <w:webHidden/>
              </w:rPr>
              <w:t>73</w:t>
            </w:r>
            <w:r>
              <w:rPr>
                <w:webHidden/>
                <w:rtl/>
              </w:rPr>
              <w:fldChar w:fldCharType="end"/>
            </w:r>
          </w:hyperlink>
        </w:p>
        <w:p w:rsidR="00851234" w:rsidRDefault="00851234" w:rsidP="00851234">
          <w:pPr>
            <w:pStyle w:val="TOC1"/>
            <w:rPr>
              <w:rFonts w:asciiTheme="minorHAnsi" w:eastAsiaTheme="minorEastAsia" w:hAnsiTheme="minorHAnsi" w:cstheme="minorBidi"/>
              <w:b w:val="0"/>
              <w:bCs w:val="0"/>
              <w:sz w:val="22"/>
              <w:szCs w:val="22"/>
              <w:rtl/>
            </w:rPr>
          </w:pPr>
          <w:hyperlink w:anchor="_Toc65354415" w:history="1">
            <w:r w:rsidRPr="00BE498D">
              <w:rPr>
                <w:rStyle w:val="Hyperlink"/>
                <w:rFonts w:asciiTheme="majorBidi" w:hAnsiTheme="majorBidi" w:cstheme="majorBidi"/>
              </w:rPr>
              <w:t>Annex (7) External Risk Rating Mapping</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Toc65354415 \h</w:instrText>
            </w:r>
            <w:r>
              <w:rPr>
                <w:webHidden/>
                <w:rtl/>
              </w:rPr>
              <w:instrText xml:space="preserve"> </w:instrText>
            </w:r>
            <w:r>
              <w:rPr>
                <w:webHidden/>
                <w:rtl/>
              </w:rPr>
            </w:r>
            <w:r>
              <w:rPr>
                <w:webHidden/>
                <w:rtl/>
              </w:rPr>
              <w:fldChar w:fldCharType="separate"/>
            </w:r>
            <w:r w:rsidR="005A34EA">
              <w:rPr>
                <w:webHidden/>
              </w:rPr>
              <w:t>74</w:t>
            </w:r>
            <w:r>
              <w:rPr>
                <w:webHidden/>
                <w:rtl/>
              </w:rPr>
              <w:fldChar w:fldCharType="end"/>
            </w:r>
          </w:hyperlink>
        </w:p>
        <w:p w:rsidR="00851234" w:rsidRDefault="00851234" w:rsidP="00851234">
          <w:pPr>
            <w:pStyle w:val="TOC1"/>
            <w:rPr>
              <w:rFonts w:asciiTheme="minorHAnsi" w:eastAsiaTheme="minorEastAsia" w:hAnsiTheme="minorHAnsi" w:cstheme="minorBidi"/>
              <w:b w:val="0"/>
              <w:bCs w:val="0"/>
              <w:sz w:val="22"/>
              <w:szCs w:val="22"/>
              <w:rtl/>
            </w:rPr>
          </w:pPr>
          <w:hyperlink w:anchor="_Toc65354416" w:history="1">
            <w:r w:rsidRPr="00BE498D">
              <w:rPr>
                <w:rStyle w:val="Hyperlink"/>
                <w:rFonts w:asciiTheme="majorBidi" w:hAnsiTheme="majorBidi" w:cstheme="majorBidi"/>
              </w:rPr>
              <w:t>Annex (8) Ministries and institutions eligible for Jordanian government risk weights (zero%)</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Toc65354416 \h</w:instrText>
            </w:r>
            <w:r>
              <w:rPr>
                <w:webHidden/>
                <w:rtl/>
              </w:rPr>
              <w:instrText xml:space="preserve"> </w:instrText>
            </w:r>
            <w:r>
              <w:rPr>
                <w:webHidden/>
                <w:rtl/>
              </w:rPr>
            </w:r>
            <w:r>
              <w:rPr>
                <w:webHidden/>
                <w:rtl/>
              </w:rPr>
              <w:fldChar w:fldCharType="separate"/>
            </w:r>
            <w:r w:rsidR="005A34EA">
              <w:rPr>
                <w:webHidden/>
              </w:rPr>
              <w:t>75</w:t>
            </w:r>
            <w:r>
              <w:rPr>
                <w:webHidden/>
                <w:rtl/>
              </w:rPr>
              <w:fldChar w:fldCharType="end"/>
            </w:r>
          </w:hyperlink>
        </w:p>
        <w:p w:rsidR="00851234" w:rsidRDefault="00851234" w:rsidP="00851234">
          <w:pPr>
            <w:pStyle w:val="TOC1"/>
            <w:rPr>
              <w:rFonts w:asciiTheme="minorHAnsi" w:eastAsiaTheme="minorEastAsia" w:hAnsiTheme="minorHAnsi" w:cstheme="minorBidi"/>
              <w:b w:val="0"/>
              <w:bCs w:val="0"/>
              <w:sz w:val="22"/>
              <w:szCs w:val="22"/>
              <w:rtl/>
            </w:rPr>
          </w:pPr>
          <w:hyperlink w:anchor="_Toc65354417" w:history="1">
            <w:r w:rsidRPr="00BE498D">
              <w:rPr>
                <w:rStyle w:val="Hyperlink"/>
                <w:rFonts w:asciiTheme="majorBidi" w:hAnsiTheme="majorBidi" w:cstheme="majorBidi"/>
              </w:rPr>
              <w:t>Annex (9) Establishments and institutions that eligible for banks risk weights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Toc65354417 \h</w:instrText>
            </w:r>
            <w:r>
              <w:rPr>
                <w:webHidden/>
                <w:rtl/>
              </w:rPr>
              <w:instrText xml:space="preserve"> </w:instrText>
            </w:r>
            <w:r>
              <w:rPr>
                <w:webHidden/>
                <w:rtl/>
              </w:rPr>
            </w:r>
            <w:r>
              <w:rPr>
                <w:webHidden/>
                <w:rtl/>
              </w:rPr>
              <w:fldChar w:fldCharType="separate"/>
            </w:r>
            <w:r w:rsidR="005A34EA">
              <w:rPr>
                <w:webHidden/>
              </w:rPr>
              <w:t>77</w:t>
            </w:r>
            <w:r>
              <w:rPr>
                <w:webHidden/>
                <w:rtl/>
              </w:rPr>
              <w:fldChar w:fldCharType="end"/>
            </w:r>
          </w:hyperlink>
        </w:p>
        <w:p w:rsidR="00851234" w:rsidRDefault="00851234" w:rsidP="00851234">
          <w:pPr>
            <w:pStyle w:val="TOC1"/>
            <w:rPr>
              <w:rFonts w:asciiTheme="minorHAnsi" w:eastAsiaTheme="minorEastAsia" w:hAnsiTheme="minorHAnsi" w:cstheme="minorBidi"/>
              <w:b w:val="0"/>
              <w:bCs w:val="0"/>
              <w:sz w:val="22"/>
              <w:szCs w:val="22"/>
              <w:rtl/>
            </w:rPr>
          </w:pPr>
          <w:hyperlink w:anchor="_Toc65354418" w:history="1">
            <w:r w:rsidRPr="00BE498D">
              <w:rPr>
                <w:rStyle w:val="Hyperlink"/>
                <w:rFonts w:asciiTheme="majorBidi" w:hAnsiTheme="majorBidi" w:cstheme="majorBidi"/>
              </w:rPr>
              <w:t>Annex (10) Establishments and institutions that eligible for companies’ risk weights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Toc65354418 \h</w:instrText>
            </w:r>
            <w:r>
              <w:rPr>
                <w:webHidden/>
                <w:rtl/>
              </w:rPr>
              <w:instrText xml:space="preserve"> </w:instrText>
            </w:r>
            <w:r>
              <w:rPr>
                <w:webHidden/>
                <w:rtl/>
              </w:rPr>
            </w:r>
            <w:r>
              <w:rPr>
                <w:webHidden/>
                <w:rtl/>
              </w:rPr>
              <w:fldChar w:fldCharType="separate"/>
            </w:r>
            <w:r w:rsidR="005A34EA">
              <w:rPr>
                <w:webHidden/>
              </w:rPr>
              <w:t>79</w:t>
            </w:r>
            <w:r>
              <w:rPr>
                <w:webHidden/>
                <w:rtl/>
              </w:rPr>
              <w:fldChar w:fldCharType="end"/>
            </w:r>
          </w:hyperlink>
        </w:p>
        <w:p w:rsidR="00851234" w:rsidRDefault="00851234" w:rsidP="00851234">
          <w:pPr>
            <w:pStyle w:val="TOC1"/>
            <w:rPr>
              <w:rFonts w:asciiTheme="minorHAnsi" w:eastAsiaTheme="minorEastAsia" w:hAnsiTheme="minorHAnsi" w:cstheme="minorBidi"/>
              <w:b w:val="0"/>
              <w:bCs w:val="0"/>
              <w:sz w:val="22"/>
              <w:szCs w:val="22"/>
              <w:rtl/>
            </w:rPr>
          </w:pPr>
          <w:hyperlink w:anchor="_Toc65354419" w:history="1">
            <w:r w:rsidRPr="00BE498D">
              <w:rPr>
                <w:rStyle w:val="Hyperlink"/>
                <w:rFonts w:asciiTheme="majorBidi" w:hAnsiTheme="majorBidi" w:cstheme="majorBidi"/>
              </w:rPr>
              <w:t>Annex (11) Conditions that must be met by a small enterprise to be included in the retail portfolio</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Toc65354419 \h</w:instrText>
            </w:r>
            <w:r>
              <w:rPr>
                <w:webHidden/>
                <w:rtl/>
              </w:rPr>
              <w:instrText xml:space="preserve"> </w:instrText>
            </w:r>
            <w:r>
              <w:rPr>
                <w:webHidden/>
                <w:rtl/>
              </w:rPr>
            </w:r>
            <w:r>
              <w:rPr>
                <w:webHidden/>
                <w:rtl/>
              </w:rPr>
              <w:fldChar w:fldCharType="separate"/>
            </w:r>
            <w:r w:rsidR="005A34EA">
              <w:rPr>
                <w:webHidden/>
              </w:rPr>
              <w:t>80</w:t>
            </w:r>
            <w:r>
              <w:rPr>
                <w:webHidden/>
                <w:rtl/>
              </w:rPr>
              <w:fldChar w:fldCharType="end"/>
            </w:r>
          </w:hyperlink>
        </w:p>
        <w:p w:rsidR="00851234" w:rsidRDefault="00851234" w:rsidP="00851234">
          <w:pPr>
            <w:pStyle w:val="TOC1"/>
            <w:rPr>
              <w:rFonts w:asciiTheme="minorHAnsi" w:eastAsiaTheme="minorEastAsia" w:hAnsiTheme="minorHAnsi" w:cstheme="minorBidi"/>
              <w:b w:val="0"/>
              <w:bCs w:val="0"/>
              <w:sz w:val="22"/>
              <w:szCs w:val="22"/>
              <w:rtl/>
            </w:rPr>
          </w:pPr>
          <w:hyperlink w:anchor="_Toc65354420" w:history="1">
            <w:r w:rsidRPr="00BE498D">
              <w:rPr>
                <w:rStyle w:val="Hyperlink"/>
                <w:rFonts w:asciiTheme="majorBidi" w:hAnsiTheme="majorBidi" w:cstheme="majorBidi"/>
              </w:rPr>
              <w:t>Annex (12) Qualifying residential mortgages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Toc65354420 \h</w:instrText>
            </w:r>
            <w:r>
              <w:rPr>
                <w:webHidden/>
                <w:rtl/>
              </w:rPr>
              <w:instrText xml:space="preserve"> </w:instrText>
            </w:r>
            <w:r>
              <w:rPr>
                <w:webHidden/>
                <w:rtl/>
              </w:rPr>
            </w:r>
            <w:r>
              <w:rPr>
                <w:webHidden/>
                <w:rtl/>
              </w:rPr>
              <w:fldChar w:fldCharType="separate"/>
            </w:r>
            <w:r w:rsidR="005A34EA">
              <w:rPr>
                <w:webHidden/>
              </w:rPr>
              <w:t>81</w:t>
            </w:r>
            <w:r>
              <w:rPr>
                <w:webHidden/>
                <w:rtl/>
              </w:rPr>
              <w:fldChar w:fldCharType="end"/>
            </w:r>
          </w:hyperlink>
        </w:p>
        <w:p w:rsidR="00851234" w:rsidRDefault="00851234" w:rsidP="00851234">
          <w:pPr>
            <w:pStyle w:val="TOC1"/>
            <w:rPr>
              <w:rFonts w:asciiTheme="minorHAnsi" w:eastAsiaTheme="minorEastAsia" w:hAnsiTheme="minorHAnsi" w:cstheme="minorBidi"/>
              <w:b w:val="0"/>
              <w:bCs w:val="0"/>
              <w:sz w:val="22"/>
              <w:szCs w:val="22"/>
              <w:rtl/>
            </w:rPr>
          </w:pPr>
          <w:hyperlink w:anchor="_Toc65354421" w:history="1">
            <w:r w:rsidRPr="00BE498D">
              <w:rPr>
                <w:rStyle w:val="Hyperlink"/>
                <w:rFonts w:asciiTheme="majorBidi" w:hAnsiTheme="majorBidi" w:cstheme="majorBidi"/>
              </w:rPr>
              <w:t>Annex (13) Specialized Lending</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Toc65354421 \h</w:instrText>
            </w:r>
            <w:r>
              <w:rPr>
                <w:webHidden/>
                <w:rtl/>
              </w:rPr>
              <w:instrText xml:space="preserve"> </w:instrText>
            </w:r>
            <w:r>
              <w:rPr>
                <w:webHidden/>
                <w:rtl/>
              </w:rPr>
            </w:r>
            <w:r>
              <w:rPr>
                <w:webHidden/>
                <w:rtl/>
              </w:rPr>
              <w:fldChar w:fldCharType="separate"/>
            </w:r>
            <w:r w:rsidR="005A34EA">
              <w:rPr>
                <w:webHidden/>
              </w:rPr>
              <w:t>83</w:t>
            </w:r>
            <w:r>
              <w:rPr>
                <w:webHidden/>
                <w:rtl/>
              </w:rPr>
              <w:fldChar w:fldCharType="end"/>
            </w:r>
          </w:hyperlink>
        </w:p>
        <w:p w:rsidR="00851234" w:rsidRDefault="00851234" w:rsidP="00851234">
          <w:pPr>
            <w:pStyle w:val="TOC1"/>
            <w:rPr>
              <w:rFonts w:asciiTheme="minorHAnsi" w:eastAsiaTheme="minorEastAsia" w:hAnsiTheme="minorHAnsi" w:cstheme="minorBidi"/>
              <w:b w:val="0"/>
              <w:bCs w:val="0"/>
              <w:sz w:val="22"/>
              <w:szCs w:val="22"/>
              <w:rtl/>
            </w:rPr>
          </w:pPr>
          <w:hyperlink w:anchor="_Toc65354422" w:history="1">
            <w:r w:rsidRPr="00BE498D">
              <w:rPr>
                <w:rStyle w:val="Hyperlink"/>
                <w:rFonts w:asciiTheme="majorBidi" w:hAnsiTheme="majorBidi" w:cstheme="majorBidi"/>
              </w:rPr>
              <w:t>Annex (14) Mapping of Business Lines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Toc65354422 \h</w:instrText>
            </w:r>
            <w:r>
              <w:rPr>
                <w:webHidden/>
                <w:rtl/>
              </w:rPr>
              <w:instrText xml:space="preserve"> </w:instrText>
            </w:r>
            <w:r>
              <w:rPr>
                <w:webHidden/>
                <w:rtl/>
              </w:rPr>
            </w:r>
            <w:r>
              <w:rPr>
                <w:webHidden/>
                <w:rtl/>
              </w:rPr>
              <w:fldChar w:fldCharType="separate"/>
            </w:r>
            <w:r w:rsidR="005A34EA">
              <w:rPr>
                <w:webHidden/>
              </w:rPr>
              <w:t>86</w:t>
            </w:r>
            <w:r>
              <w:rPr>
                <w:webHidden/>
                <w:rtl/>
              </w:rPr>
              <w:fldChar w:fldCharType="end"/>
            </w:r>
          </w:hyperlink>
        </w:p>
        <w:p w:rsidR="00851234" w:rsidRDefault="00851234" w:rsidP="00851234">
          <w:pPr>
            <w:pStyle w:val="TOC1"/>
            <w:rPr>
              <w:rFonts w:asciiTheme="minorHAnsi" w:eastAsiaTheme="minorEastAsia" w:hAnsiTheme="minorHAnsi" w:cstheme="minorBidi"/>
              <w:b w:val="0"/>
              <w:bCs w:val="0"/>
              <w:sz w:val="22"/>
              <w:szCs w:val="22"/>
              <w:rtl/>
            </w:rPr>
          </w:pPr>
          <w:hyperlink w:anchor="_Toc65354423" w:history="1">
            <w:r w:rsidRPr="00BE498D">
              <w:rPr>
                <w:rStyle w:val="Hyperlink"/>
                <w:rFonts w:asciiTheme="majorBidi" w:hAnsiTheme="majorBidi" w:cstheme="majorBidi"/>
              </w:rPr>
              <w:t>Annex (15) Specific risk for interest rate related debt instruments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Toc65354423 \h</w:instrText>
            </w:r>
            <w:r>
              <w:rPr>
                <w:webHidden/>
                <w:rtl/>
              </w:rPr>
              <w:instrText xml:space="preserve"> </w:instrText>
            </w:r>
            <w:r>
              <w:rPr>
                <w:webHidden/>
                <w:rtl/>
              </w:rPr>
            </w:r>
            <w:r>
              <w:rPr>
                <w:webHidden/>
                <w:rtl/>
              </w:rPr>
              <w:fldChar w:fldCharType="separate"/>
            </w:r>
            <w:r w:rsidR="005A34EA">
              <w:rPr>
                <w:webHidden/>
              </w:rPr>
              <w:t>87</w:t>
            </w:r>
            <w:r>
              <w:rPr>
                <w:webHidden/>
                <w:rtl/>
              </w:rPr>
              <w:fldChar w:fldCharType="end"/>
            </w:r>
          </w:hyperlink>
        </w:p>
        <w:p w:rsidR="00851234" w:rsidRDefault="00851234" w:rsidP="00851234">
          <w:pPr>
            <w:pStyle w:val="TOC1"/>
            <w:rPr>
              <w:rFonts w:asciiTheme="minorHAnsi" w:eastAsiaTheme="minorEastAsia" w:hAnsiTheme="minorHAnsi" w:cstheme="minorBidi"/>
              <w:b w:val="0"/>
              <w:bCs w:val="0"/>
              <w:sz w:val="22"/>
              <w:szCs w:val="22"/>
              <w:rtl/>
            </w:rPr>
          </w:pPr>
          <w:hyperlink w:anchor="_Toc65354424" w:history="1">
            <w:r w:rsidRPr="00BE498D">
              <w:rPr>
                <w:rStyle w:val="Hyperlink"/>
                <w:rFonts w:asciiTheme="majorBidi" w:hAnsiTheme="majorBidi" w:cstheme="majorBidi"/>
              </w:rPr>
              <w:t>Annex (16) General risk for interest rate related debt instruments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Toc65354424 \h</w:instrText>
            </w:r>
            <w:r>
              <w:rPr>
                <w:webHidden/>
                <w:rtl/>
              </w:rPr>
              <w:instrText xml:space="preserve"> </w:instrText>
            </w:r>
            <w:r>
              <w:rPr>
                <w:webHidden/>
                <w:rtl/>
              </w:rPr>
            </w:r>
            <w:r>
              <w:rPr>
                <w:webHidden/>
                <w:rtl/>
              </w:rPr>
              <w:fldChar w:fldCharType="separate"/>
            </w:r>
            <w:r w:rsidR="005A34EA">
              <w:rPr>
                <w:webHidden/>
              </w:rPr>
              <w:t>88</w:t>
            </w:r>
            <w:r>
              <w:rPr>
                <w:webHidden/>
                <w:rtl/>
              </w:rPr>
              <w:fldChar w:fldCharType="end"/>
            </w:r>
          </w:hyperlink>
        </w:p>
        <w:p w:rsidR="00851234" w:rsidRDefault="00851234" w:rsidP="00851234">
          <w:pPr>
            <w:pStyle w:val="TOC1"/>
            <w:rPr>
              <w:rFonts w:asciiTheme="minorHAnsi" w:eastAsiaTheme="minorEastAsia" w:hAnsiTheme="minorHAnsi" w:cstheme="minorBidi"/>
              <w:b w:val="0"/>
              <w:bCs w:val="0"/>
              <w:sz w:val="22"/>
              <w:szCs w:val="22"/>
              <w:rtl/>
            </w:rPr>
          </w:pPr>
          <w:hyperlink w:anchor="_Toc65354426" w:history="1">
            <w:r w:rsidRPr="00BE498D">
              <w:rPr>
                <w:rStyle w:val="Hyperlink"/>
                <w:rFonts w:asciiTheme="majorBidi" w:hAnsiTheme="majorBidi" w:cstheme="majorBidi"/>
              </w:rPr>
              <w:t>Annex (17):  calculation of General risk for interest rate related of debt instruments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Toc65354426 \h</w:instrText>
            </w:r>
            <w:r>
              <w:rPr>
                <w:webHidden/>
                <w:rtl/>
              </w:rPr>
              <w:instrText xml:space="preserve"> </w:instrText>
            </w:r>
            <w:r>
              <w:rPr>
                <w:webHidden/>
                <w:rtl/>
              </w:rPr>
            </w:r>
            <w:r>
              <w:rPr>
                <w:webHidden/>
                <w:rtl/>
              </w:rPr>
              <w:fldChar w:fldCharType="separate"/>
            </w:r>
            <w:r w:rsidR="005A34EA">
              <w:rPr>
                <w:webHidden/>
              </w:rPr>
              <w:t>89</w:t>
            </w:r>
            <w:r>
              <w:rPr>
                <w:webHidden/>
                <w:rtl/>
              </w:rPr>
              <w:fldChar w:fldCharType="end"/>
            </w:r>
          </w:hyperlink>
        </w:p>
        <w:p w:rsidR="00851234" w:rsidRDefault="00851234" w:rsidP="00851234">
          <w:pPr>
            <w:pStyle w:val="TOC1"/>
            <w:rPr>
              <w:rFonts w:asciiTheme="minorHAnsi" w:eastAsiaTheme="minorEastAsia" w:hAnsiTheme="minorHAnsi" w:cstheme="minorBidi"/>
              <w:b w:val="0"/>
              <w:bCs w:val="0"/>
              <w:sz w:val="22"/>
              <w:szCs w:val="22"/>
              <w:rtl/>
            </w:rPr>
          </w:pPr>
          <w:hyperlink w:anchor="_Toc65354427" w:history="1">
            <w:r w:rsidRPr="00BE498D">
              <w:rPr>
                <w:rStyle w:val="Hyperlink"/>
                <w:rFonts w:asciiTheme="majorBidi" w:hAnsiTheme="majorBidi" w:cstheme="majorBidi"/>
              </w:rPr>
              <w:t>Annex (18) The capital charge for equities risk</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Toc65354427 \h</w:instrText>
            </w:r>
            <w:r>
              <w:rPr>
                <w:webHidden/>
                <w:rtl/>
              </w:rPr>
              <w:instrText xml:space="preserve"> </w:instrText>
            </w:r>
            <w:r>
              <w:rPr>
                <w:webHidden/>
                <w:rtl/>
              </w:rPr>
            </w:r>
            <w:r>
              <w:rPr>
                <w:webHidden/>
                <w:rtl/>
              </w:rPr>
              <w:fldChar w:fldCharType="separate"/>
            </w:r>
            <w:r w:rsidR="005A34EA">
              <w:rPr>
                <w:webHidden/>
              </w:rPr>
              <w:t>91</w:t>
            </w:r>
            <w:r>
              <w:rPr>
                <w:webHidden/>
                <w:rtl/>
              </w:rPr>
              <w:fldChar w:fldCharType="end"/>
            </w:r>
          </w:hyperlink>
        </w:p>
        <w:p w:rsidR="00851234" w:rsidRDefault="00851234" w:rsidP="00851234">
          <w:pPr>
            <w:pStyle w:val="TOC1"/>
            <w:rPr>
              <w:rFonts w:asciiTheme="minorHAnsi" w:eastAsiaTheme="minorEastAsia" w:hAnsiTheme="minorHAnsi" w:cstheme="minorBidi"/>
              <w:b w:val="0"/>
              <w:bCs w:val="0"/>
              <w:sz w:val="22"/>
              <w:szCs w:val="22"/>
              <w:rtl/>
            </w:rPr>
          </w:pPr>
          <w:hyperlink w:anchor="_Toc65354428" w:history="1">
            <w:r w:rsidRPr="00BE498D">
              <w:rPr>
                <w:rStyle w:val="Hyperlink"/>
                <w:rFonts w:asciiTheme="majorBidi" w:hAnsiTheme="majorBidi" w:cstheme="majorBidi"/>
              </w:rPr>
              <w:t>Annex (19) Market risk for foreign exchange rate and gold</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Toc65354428 \h</w:instrText>
            </w:r>
            <w:r>
              <w:rPr>
                <w:webHidden/>
                <w:rtl/>
              </w:rPr>
              <w:instrText xml:space="preserve"> </w:instrText>
            </w:r>
            <w:r>
              <w:rPr>
                <w:webHidden/>
                <w:rtl/>
              </w:rPr>
            </w:r>
            <w:r>
              <w:rPr>
                <w:webHidden/>
                <w:rtl/>
              </w:rPr>
              <w:fldChar w:fldCharType="separate"/>
            </w:r>
            <w:r w:rsidR="005A34EA">
              <w:rPr>
                <w:webHidden/>
              </w:rPr>
              <w:t>92</w:t>
            </w:r>
            <w:r>
              <w:rPr>
                <w:webHidden/>
                <w:rtl/>
              </w:rPr>
              <w:fldChar w:fldCharType="end"/>
            </w:r>
          </w:hyperlink>
        </w:p>
        <w:p w:rsidR="00851234" w:rsidRDefault="00851234" w:rsidP="00851234">
          <w:pPr>
            <w:pStyle w:val="TOC1"/>
            <w:rPr>
              <w:rFonts w:asciiTheme="minorHAnsi" w:eastAsiaTheme="minorEastAsia" w:hAnsiTheme="minorHAnsi" w:cstheme="minorBidi"/>
              <w:b w:val="0"/>
              <w:bCs w:val="0"/>
              <w:sz w:val="22"/>
              <w:szCs w:val="22"/>
              <w:rtl/>
            </w:rPr>
          </w:pPr>
          <w:hyperlink w:anchor="_Toc65354429" w:history="1">
            <w:r w:rsidRPr="00BE498D">
              <w:rPr>
                <w:rStyle w:val="Hyperlink"/>
                <w:rFonts w:asciiTheme="majorBidi" w:hAnsiTheme="majorBidi" w:cstheme="majorBidi"/>
              </w:rPr>
              <w:t>Annex (20) Simplified approach used to calculate commodities risk</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Toc65354429 \h</w:instrText>
            </w:r>
            <w:r>
              <w:rPr>
                <w:webHidden/>
                <w:rtl/>
              </w:rPr>
              <w:instrText xml:space="preserve"> </w:instrText>
            </w:r>
            <w:r>
              <w:rPr>
                <w:webHidden/>
                <w:rtl/>
              </w:rPr>
            </w:r>
            <w:r>
              <w:rPr>
                <w:webHidden/>
                <w:rtl/>
              </w:rPr>
              <w:fldChar w:fldCharType="separate"/>
            </w:r>
            <w:r w:rsidR="005A34EA">
              <w:rPr>
                <w:webHidden/>
              </w:rPr>
              <w:t>93</w:t>
            </w:r>
            <w:r>
              <w:rPr>
                <w:webHidden/>
                <w:rtl/>
              </w:rPr>
              <w:fldChar w:fldCharType="end"/>
            </w:r>
          </w:hyperlink>
        </w:p>
        <w:p w:rsidR="00851234" w:rsidRDefault="00851234" w:rsidP="00851234">
          <w:pPr>
            <w:pStyle w:val="TOC1"/>
            <w:rPr>
              <w:rFonts w:asciiTheme="minorHAnsi" w:eastAsiaTheme="minorEastAsia" w:hAnsiTheme="minorHAnsi" w:cstheme="minorBidi"/>
              <w:b w:val="0"/>
              <w:bCs w:val="0"/>
              <w:sz w:val="22"/>
              <w:szCs w:val="22"/>
              <w:rtl/>
            </w:rPr>
          </w:pPr>
          <w:hyperlink w:anchor="_Toc65354430" w:history="1">
            <w:r w:rsidRPr="00BE498D">
              <w:rPr>
                <w:rStyle w:val="Hyperlink"/>
                <w:rFonts w:asciiTheme="majorBidi" w:hAnsiTheme="majorBidi" w:cstheme="majorBidi"/>
              </w:rPr>
              <w:t>Annex (21) Market risk for maintaining derivative contracts for trading</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Toc65354430 \h</w:instrText>
            </w:r>
            <w:r>
              <w:rPr>
                <w:webHidden/>
                <w:rtl/>
              </w:rPr>
              <w:instrText xml:space="preserve"> </w:instrText>
            </w:r>
            <w:r>
              <w:rPr>
                <w:webHidden/>
                <w:rtl/>
              </w:rPr>
            </w:r>
            <w:r>
              <w:rPr>
                <w:webHidden/>
                <w:rtl/>
              </w:rPr>
              <w:fldChar w:fldCharType="separate"/>
            </w:r>
            <w:r w:rsidR="005A34EA">
              <w:rPr>
                <w:webHidden/>
              </w:rPr>
              <w:t>94</w:t>
            </w:r>
            <w:r>
              <w:rPr>
                <w:webHidden/>
                <w:rtl/>
              </w:rPr>
              <w:fldChar w:fldCharType="end"/>
            </w:r>
          </w:hyperlink>
        </w:p>
        <w:p w:rsidR="00851234" w:rsidRDefault="00851234" w:rsidP="00851234">
          <w:pPr>
            <w:pStyle w:val="TOC1"/>
            <w:rPr>
              <w:rFonts w:asciiTheme="minorHAnsi" w:eastAsiaTheme="minorEastAsia" w:hAnsiTheme="minorHAnsi" w:cstheme="minorBidi"/>
              <w:b w:val="0"/>
              <w:bCs w:val="0"/>
              <w:sz w:val="22"/>
              <w:szCs w:val="22"/>
              <w:rtl/>
            </w:rPr>
          </w:pPr>
          <w:hyperlink w:anchor="_Toc65354431" w:history="1">
            <w:r w:rsidRPr="00BE498D">
              <w:rPr>
                <w:rStyle w:val="Hyperlink"/>
                <w:rFonts w:asciiTheme="majorBidi" w:hAnsiTheme="majorBidi" w:cstheme="majorBidi"/>
              </w:rPr>
              <w:t>Annex (22) The counterparty risks for repurchase, reverse repurchase, securities lending and borrowing agreements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Toc65354431 \h</w:instrText>
            </w:r>
            <w:r>
              <w:rPr>
                <w:webHidden/>
                <w:rtl/>
              </w:rPr>
              <w:instrText xml:space="preserve"> </w:instrText>
            </w:r>
            <w:r>
              <w:rPr>
                <w:webHidden/>
                <w:rtl/>
              </w:rPr>
            </w:r>
            <w:r>
              <w:rPr>
                <w:webHidden/>
                <w:rtl/>
              </w:rPr>
              <w:fldChar w:fldCharType="separate"/>
            </w:r>
            <w:r w:rsidR="005A34EA">
              <w:rPr>
                <w:webHidden/>
              </w:rPr>
              <w:t>95</w:t>
            </w:r>
            <w:r>
              <w:rPr>
                <w:webHidden/>
                <w:rtl/>
              </w:rPr>
              <w:fldChar w:fldCharType="end"/>
            </w:r>
          </w:hyperlink>
        </w:p>
        <w:p w:rsidR="00851234" w:rsidRDefault="00851234" w:rsidP="00851234">
          <w:pPr>
            <w:pStyle w:val="TOC1"/>
            <w:rPr>
              <w:rFonts w:asciiTheme="minorHAnsi" w:eastAsiaTheme="minorEastAsia" w:hAnsiTheme="minorHAnsi" w:cstheme="minorBidi"/>
              <w:b w:val="0"/>
              <w:bCs w:val="0"/>
              <w:sz w:val="22"/>
              <w:szCs w:val="22"/>
              <w:rtl/>
            </w:rPr>
          </w:pPr>
          <w:hyperlink w:anchor="_Toc65354432" w:history="1">
            <w:r w:rsidRPr="00BE498D">
              <w:rPr>
                <w:rStyle w:val="Hyperlink"/>
                <w:rFonts w:asciiTheme="majorBidi" w:hAnsiTheme="majorBidi" w:cstheme="majorBidi"/>
              </w:rPr>
              <w:t>Annex (23) The counterparty risks for unrecovered received / delivered shares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Toc65354432 \h</w:instrText>
            </w:r>
            <w:r>
              <w:rPr>
                <w:webHidden/>
                <w:rtl/>
              </w:rPr>
              <w:instrText xml:space="preserve"> </w:instrText>
            </w:r>
            <w:r>
              <w:rPr>
                <w:webHidden/>
                <w:rtl/>
              </w:rPr>
            </w:r>
            <w:r>
              <w:rPr>
                <w:webHidden/>
                <w:rtl/>
              </w:rPr>
              <w:fldChar w:fldCharType="separate"/>
            </w:r>
            <w:r w:rsidR="005A34EA">
              <w:rPr>
                <w:webHidden/>
              </w:rPr>
              <w:t>96</w:t>
            </w:r>
            <w:r>
              <w:rPr>
                <w:webHidden/>
                <w:rtl/>
              </w:rPr>
              <w:fldChar w:fldCharType="end"/>
            </w:r>
          </w:hyperlink>
        </w:p>
        <w:p w:rsidR="00851234" w:rsidRDefault="00851234" w:rsidP="00851234">
          <w:pPr>
            <w:pStyle w:val="TOC1"/>
            <w:rPr>
              <w:rFonts w:asciiTheme="minorHAnsi" w:eastAsiaTheme="minorEastAsia" w:hAnsiTheme="minorHAnsi" w:cstheme="minorBidi"/>
              <w:b w:val="0"/>
              <w:bCs w:val="0"/>
              <w:sz w:val="22"/>
              <w:szCs w:val="22"/>
              <w:rtl/>
            </w:rPr>
          </w:pPr>
          <w:hyperlink w:anchor="_Toc65354433" w:history="1">
            <w:r w:rsidRPr="00BE498D">
              <w:rPr>
                <w:rStyle w:val="Hyperlink"/>
                <w:rFonts w:asciiTheme="majorBidi" w:hAnsiTheme="majorBidi" w:cstheme="majorBidi"/>
              </w:rPr>
              <w:t>Annex (24) Leverage Ratio</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Toc65354433 \h</w:instrText>
            </w:r>
            <w:r>
              <w:rPr>
                <w:webHidden/>
                <w:rtl/>
              </w:rPr>
              <w:instrText xml:space="preserve"> </w:instrText>
            </w:r>
            <w:r>
              <w:rPr>
                <w:webHidden/>
                <w:rtl/>
              </w:rPr>
            </w:r>
            <w:r>
              <w:rPr>
                <w:webHidden/>
                <w:rtl/>
              </w:rPr>
              <w:fldChar w:fldCharType="separate"/>
            </w:r>
            <w:r w:rsidR="005A34EA">
              <w:rPr>
                <w:webHidden/>
              </w:rPr>
              <w:t>97</w:t>
            </w:r>
            <w:r>
              <w:rPr>
                <w:webHidden/>
                <w:rtl/>
              </w:rPr>
              <w:fldChar w:fldCharType="end"/>
            </w:r>
          </w:hyperlink>
        </w:p>
        <w:p w:rsidR="00505A8B" w:rsidRDefault="00505A8B" w:rsidP="00851234">
          <w:pPr>
            <w:bidi w:val="0"/>
          </w:pPr>
          <w:r w:rsidRPr="00D500AF">
            <w:rPr>
              <w:b w:val="0"/>
              <w:bCs w:val="0"/>
              <w:noProof/>
              <w:sz w:val="28"/>
              <w:szCs w:val="28"/>
            </w:rPr>
            <w:fldChar w:fldCharType="end"/>
          </w:r>
        </w:p>
      </w:sdtContent>
    </w:sdt>
    <w:p w:rsidR="00505A8B" w:rsidRDefault="00505A8B" w:rsidP="00505A8B">
      <w:pPr>
        <w:pStyle w:val="TableofFigures"/>
        <w:tabs>
          <w:tab w:val="right" w:leader="dot" w:pos="8920"/>
        </w:tabs>
        <w:rPr>
          <w:b/>
          <w:bCs/>
          <w:rtl/>
        </w:rPr>
      </w:pPr>
    </w:p>
    <w:bookmarkEnd w:id="1"/>
    <w:bookmarkEnd w:id="0"/>
    <w:p w:rsidR="0014542A" w:rsidRDefault="0014542A" w:rsidP="00565969">
      <w:pPr>
        <w:pStyle w:val="Heading1"/>
        <w:pBdr>
          <w:bottom w:val="single" w:sz="4" w:space="1" w:color="auto"/>
        </w:pBdr>
        <w:bidi w:val="0"/>
        <w:jc w:val="center"/>
        <w:rPr>
          <w:rFonts w:asciiTheme="majorBidi" w:hAnsiTheme="majorBidi" w:cstheme="majorBidi"/>
          <w:b/>
          <w:bCs/>
        </w:rPr>
      </w:pPr>
    </w:p>
    <w:p w:rsidR="0014542A" w:rsidRDefault="0014542A" w:rsidP="0014542A">
      <w:pPr>
        <w:pStyle w:val="Heading1"/>
        <w:pBdr>
          <w:bottom w:val="single" w:sz="4" w:space="1" w:color="auto"/>
        </w:pBdr>
        <w:bidi w:val="0"/>
        <w:jc w:val="center"/>
        <w:rPr>
          <w:rFonts w:asciiTheme="majorBidi" w:hAnsiTheme="majorBidi" w:cstheme="majorBidi"/>
          <w:b/>
          <w:bCs/>
        </w:rPr>
      </w:pPr>
    </w:p>
    <w:p w:rsidR="0014542A" w:rsidRDefault="0014542A" w:rsidP="0014542A">
      <w:pPr>
        <w:pStyle w:val="Heading1"/>
        <w:pBdr>
          <w:bottom w:val="single" w:sz="4" w:space="1" w:color="auto"/>
        </w:pBdr>
        <w:bidi w:val="0"/>
        <w:jc w:val="center"/>
        <w:rPr>
          <w:rFonts w:asciiTheme="majorBidi" w:hAnsiTheme="majorBidi" w:cstheme="majorBidi"/>
          <w:b/>
          <w:bCs/>
        </w:rPr>
      </w:pPr>
    </w:p>
    <w:p w:rsidR="0014542A" w:rsidRDefault="0014542A" w:rsidP="0014542A">
      <w:pPr>
        <w:pStyle w:val="Heading1"/>
        <w:pBdr>
          <w:bottom w:val="single" w:sz="4" w:space="1" w:color="auto"/>
        </w:pBdr>
        <w:bidi w:val="0"/>
        <w:jc w:val="center"/>
        <w:rPr>
          <w:rFonts w:asciiTheme="majorBidi" w:hAnsiTheme="majorBidi" w:cstheme="majorBidi"/>
          <w:b/>
          <w:bCs/>
        </w:rPr>
      </w:pPr>
    </w:p>
    <w:p w:rsidR="0014542A" w:rsidRDefault="0014542A" w:rsidP="0014542A">
      <w:pPr>
        <w:pStyle w:val="Heading1"/>
        <w:pBdr>
          <w:bottom w:val="single" w:sz="4" w:space="1" w:color="auto"/>
        </w:pBdr>
        <w:bidi w:val="0"/>
        <w:jc w:val="center"/>
        <w:rPr>
          <w:rFonts w:asciiTheme="majorBidi" w:hAnsiTheme="majorBidi" w:cstheme="majorBidi"/>
          <w:b/>
          <w:bCs/>
        </w:rPr>
      </w:pPr>
    </w:p>
    <w:p w:rsidR="0014542A" w:rsidRDefault="0014542A" w:rsidP="0014542A">
      <w:pPr>
        <w:pStyle w:val="Heading1"/>
        <w:pBdr>
          <w:bottom w:val="single" w:sz="4" w:space="1" w:color="auto"/>
        </w:pBdr>
        <w:bidi w:val="0"/>
        <w:jc w:val="center"/>
        <w:rPr>
          <w:rFonts w:asciiTheme="majorBidi" w:hAnsiTheme="majorBidi" w:cstheme="majorBidi"/>
          <w:b/>
          <w:bCs/>
        </w:rPr>
      </w:pPr>
    </w:p>
    <w:p w:rsidR="0014542A" w:rsidRDefault="0014542A" w:rsidP="0014542A">
      <w:pPr>
        <w:pStyle w:val="Heading1"/>
        <w:pBdr>
          <w:bottom w:val="single" w:sz="4" w:space="1" w:color="auto"/>
        </w:pBdr>
        <w:bidi w:val="0"/>
        <w:jc w:val="center"/>
        <w:rPr>
          <w:rFonts w:asciiTheme="majorBidi" w:hAnsiTheme="majorBidi" w:cstheme="majorBidi"/>
          <w:b/>
          <w:bCs/>
        </w:rPr>
      </w:pPr>
    </w:p>
    <w:p w:rsidR="0014542A" w:rsidRDefault="0014542A" w:rsidP="0014542A">
      <w:pPr>
        <w:pStyle w:val="Heading1"/>
        <w:pBdr>
          <w:bottom w:val="single" w:sz="4" w:space="1" w:color="auto"/>
        </w:pBdr>
        <w:bidi w:val="0"/>
        <w:jc w:val="center"/>
        <w:rPr>
          <w:rFonts w:asciiTheme="majorBidi" w:hAnsiTheme="majorBidi" w:cstheme="majorBidi"/>
          <w:b/>
          <w:bCs/>
        </w:rPr>
      </w:pPr>
    </w:p>
    <w:p w:rsidR="0014542A" w:rsidRDefault="0014542A" w:rsidP="0014542A">
      <w:pPr>
        <w:pStyle w:val="Heading1"/>
        <w:pBdr>
          <w:bottom w:val="single" w:sz="4" w:space="1" w:color="auto"/>
        </w:pBdr>
        <w:bidi w:val="0"/>
        <w:jc w:val="center"/>
        <w:rPr>
          <w:rFonts w:asciiTheme="majorBidi" w:hAnsiTheme="majorBidi" w:cstheme="majorBidi"/>
          <w:b/>
          <w:bCs/>
        </w:rPr>
      </w:pPr>
    </w:p>
    <w:p w:rsidR="0014542A" w:rsidRDefault="0014542A" w:rsidP="0014542A">
      <w:pPr>
        <w:pStyle w:val="Heading1"/>
        <w:pBdr>
          <w:bottom w:val="single" w:sz="4" w:space="1" w:color="auto"/>
        </w:pBdr>
        <w:bidi w:val="0"/>
        <w:jc w:val="center"/>
        <w:rPr>
          <w:rFonts w:asciiTheme="majorBidi" w:hAnsiTheme="majorBidi" w:cstheme="majorBidi"/>
          <w:b/>
          <w:bCs/>
        </w:rPr>
      </w:pPr>
    </w:p>
    <w:p w:rsidR="0014542A" w:rsidRDefault="0014542A" w:rsidP="0014542A">
      <w:pPr>
        <w:pStyle w:val="Heading1"/>
        <w:pBdr>
          <w:bottom w:val="single" w:sz="4" w:space="1" w:color="auto"/>
        </w:pBdr>
        <w:bidi w:val="0"/>
        <w:jc w:val="center"/>
        <w:rPr>
          <w:rFonts w:asciiTheme="majorBidi" w:hAnsiTheme="majorBidi" w:cstheme="majorBidi"/>
          <w:b/>
          <w:bCs/>
        </w:rPr>
      </w:pPr>
    </w:p>
    <w:p w:rsidR="0014542A" w:rsidRDefault="0014542A" w:rsidP="0014542A">
      <w:pPr>
        <w:pStyle w:val="Heading1"/>
        <w:pBdr>
          <w:bottom w:val="single" w:sz="4" w:space="1" w:color="auto"/>
        </w:pBdr>
        <w:bidi w:val="0"/>
        <w:jc w:val="center"/>
        <w:rPr>
          <w:rFonts w:asciiTheme="majorBidi" w:hAnsiTheme="majorBidi" w:cstheme="majorBidi"/>
          <w:b/>
          <w:bCs/>
        </w:rPr>
      </w:pPr>
    </w:p>
    <w:p w:rsidR="0014542A" w:rsidRDefault="0014542A" w:rsidP="0014542A">
      <w:pPr>
        <w:pStyle w:val="Heading1"/>
        <w:pBdr>
          <w:bottom w:val="single" w:sz="4" w:space="1" w:color="auto"/>
        </w:pBdr>
        <w:bidi w:val="0"/>
        <w:jc w:val="center"/>
        <w:rPr>
          <w:rFonts w:asciiTheme="majorBidi" w:hAnsiTheme="majorBidi" w:cstheme="majorBidi"/>
          <w:b/>
          <w:bCs/>
        </w:rPr>
      </w:pPr>
    </w:p>
    <w:p w:rsidR="0014542A" w:rsidRDefault="0014542A" w:rsidP="0014542A">
      <w:pPr>
        <w:pStyle w:val="Heading1"/>
        <w:pBdr>
          <w:bottom w:val="single" w:sz="4" w:space="1" w:color="auto"/>
        </w:pBdr>
        <w:bidi w:val="0"/>
        <w:jc w:val="center"/>
        <w:rPr>
          <w:rFonts w:asciiTheme="majorBidi" w:hAnsiTheme="majorBidi" w:cstheme="majorBidi"/>
          <w:b/>
          <w:bCs/>
        </w:rPr>
      </w:pPr>
    </w:p>
    <w:p w:rsidR="0014542A" w:rsidRDefault="0014542A" w:rsidP="0014542A">
      <w:pPr>
        <w:pStyle w:val="Heading1"/>
        <w:pBdr>
          <w:bottom w:val="single" w:sz="4" w:space="1" w:color="auto"/>
        </w:pBdr>
        <w:bidi w:val="0"/>
        <w:jc w:val="center"/>
        <w:rPr>
          <w:rFonts w:asciiTheme="majorBidi" w:hAnsiTheme="majorBidi" w:cstheme="majorBidi"/>
          <w:b/>
          <w:bCs/>
        </w:rPr>
      </w:pPr>
    </w:p>
    <w:p w:rsidR="0014542A" w:rsidRDefault="0014542A" w:rsidP="0014542A">
      <w:pPr>
        <w:pStyle w:val="Heading1"/>
        <w:pBdr>
          <w:bottom w:val="single" w:sz="4" w:space="1" w:color="auto"/>
        </w:pBdr>
        <w:bidi w:val="0"/>
        <w:jc w:val="center"/>
        <w:rPr>
          <w:rFonts w:asciiTheme="majorBidi" w:hAnsiTheme="majorBidi" w:cstheme="majorBidi"/>
          <w:b/>
          <w:bCs/>
        </w:rPr>
      </w:pPr>
    </w:p>
    <w:p w:rsidR="0014542A" w:rsidRDefault="0014542A" w:rsidP="0014542A">
      <w:pPr>
        <w:pStyle w:val="Heading1"/>
        <w:pBdr>
          <w:bottom w:val="single" w:sz="4" w:space="1" w:color="auto"/>
        </w:pBdr>
        <w:bidi w:val="0"/>
        <w:jc w:val="center"/>
        <w:rPr>
          <w:rFonts w:asciiTheme="majorBidi" w:hAnsiTheme="majorBidi" w:cstheme="majorBidi"/>
          <w:b/>
          <w:bCs/>
        </w:rPr>
      </w:pPr>
    </w:p>
    <w:p w:rsidR="0014542A" w:rsidRDefault="0014542A" w:rsidP="0014542A">
      <w:pPr>
        <w:pStyle w:val="Heading1"/>
        <w:pBdr>
          <w:bottom w:val="single" w:sz="4" w:space="1" w:color="auto"/>
        </w:pBdr>
        <w:bidi w:val="0"/>
        <w:jc w:val="center"/>
        <w:rPr>
          <w:rFonts w:asciiTheme="majorBidi" w:hAnsiTheme="majorBidi" w:cstheme="majorBidi"/>
          <w:b/>
          <w:bCs/>
        </w:rPr>
      </w:pPr>
    </w:p>
    <w:p w:rsidR="0014542A" w:rsidRDefault="0014542A" w:rsidP="0014542A">
      <w:pPr>
        <w:pStyle w:val="Heading1"/>
        <w:pBdr>
          <w:bottom w:val="single" w:sz="4" w:space="1" w:color="auto"/>
        </w:pBdr>
        <w:bidi w:val="0"/>
        <w:jc w:val="center"/>
        <w:rPr>
          <w:rFonts w:asciiTheme="majorBidi" w:hAnsiTheme="majorBidi" w:cstheme="majorBidi"/>
          <w:b/>
          <w:bCs/>
        </w:rPr>
      </w:pPr>
    </w:p>
    <w:p w:rsidR="0014542A" w:rsidRDefault="0014542A" w:rsidP="0014542A">
      <w:pPr>
        <w:pStyle w:val="Heading1"/>
        <w:pBdr>
          <w:bottom w:val="single" w:sz="4" w:space="1" w:color="auto"/>
        </w:pBdr>
        <w:bidi w:val="0"/>
        <w:jc w:val="center"/>
        <w:rPr>
          <w:rFonts w:asciiTheme="majorBidi" w:hAnsiTheme="majorBidi" w:cstheme="majorBidi"/>
          <w:b/>
          <w:bCs/>
        </w:rPr>
      </w:pPr>
    </w:p>
    <w:p w:rsidR="0014542A" w:rsidRDefault="0014542A" w:rsidP="0014542A">
      <w:pPr>
        <w:pStyle w:val="Heading1"/>
        <w:pBdr>
          <w:bottom w:val="single" w:sz="4" w:space="1" w:color="auto"/>
        </w:pBdr>
        <w:bidi w:val="0"/>
        <w:jc w:val="center"/>
        <w:rPr>
          <w:rFonts w:asciiTheme="majorBidi" w:hAnsiTheme="majorBidi" w:cstheme="majorBidi"/>
          <w:b/>
          <w:bCs/>
        </w:rPr>
      </w:pPr>
    </w:p>
    <w:p w:rsidR="0014542A" w:rsidRDefault="0014542A" w:rsidP="0014542A">
      <w:pPr>
        <w:pStyle w:val="Heading1"/>
        <w:pBdr>
          <w:bottom w:val="single" w:sz="4" w:space="1" w:color="auto"/>
        </w:pBdr>
        <w:bidi w:val="0"/>
        <w:jc w:val="center"/>
        <w:rPr>
          <w:rFonts w:asciiTheme="majorBidi" w:hAnsiTheme="majorBidi" w:cstheme="majorBidi"/>
          <w:b/>
          <w:bCs/>
        </w:rPr>
      </w:pPr>
    </w:p>
    <w:p w:rsidR="0014542A" w:rsidRDefault="0014542A" w:rsidP="0014542A">
      <w:pPr>
        <w:pStyle w:val="Heading1"/>
        <w:pBdr>
          <w:bottom w:val="single" w:sz="4" w:space="1" w:color="auto"/>
        </w:pBdr>
        <w:bidi w:val="0"/>
        <w:jc w:val="center"/>
        <w:rPr>
          <w:rFonts w:asciiTheme="majorBidi" w:hAnsiTheme="majorBidi" w:cstheme="majorBidi"/>
          <w:b/>
          <w:bCs/>
        </w:rPr>
      </w:pPr>
    </w:p>
    <w:p w:rsidR="0014542A" w:rsidRDefault="0014542A" w:rsidP="0014542A">
      <w:pPr>
        <w:pStyle w:val="Heading1"/>
        <w:pBdr>
          <w:bottom w:val="single" w:sz="4" w:space="1" w:color="auto"/>
        </w:pBdr>
        <w:bidi w:val="0"/>
        <w:jc w:val="center"/>
        <w:rPr>
          <w:rFonts w:asciiTheme="majorBidi" w:hAnsiTheme="majorBidi" w:cstheme="majorBidi"/>
          <w:b/>
          <w:bCs/>
        </w:rPr>
      </w:pPr>
    </w:p>
    <w:p w:rsidR="0014542A" w:rsidRDefault="0014542A" w:rsidP="0014542A">
      <w:pPr>
        <w:pStyle w:val="Heading1"/>
        <w:pBdr>
          <w:bottom w:val="single" w:sz="4" w:space="1" w:color="auto"/>
        </w:pBdr>
        <w:bidi w:val="0"/>
        <w:jc w:val="center"/>
        <w:rPr>
          <w:rFonts w:asciiTheme="majorBidi" w:hAnsiTheme="majorBidi" w:cstheme="majorBidi"/>
          <w:b/>
          <w:bCs/>
        </w:rPr>
      </w:pPr>
    </w:p>
    <w:p w:rsidR="0014542A" w:rsidRDefault="0014542A" w:rsidP="0014542A">
      <w:pPr>
        <w:pStyle w:val="Heading1"/>
        <w:pBdr>
          <w:bottom w:val="single" w:sz="4" w:space="1" w:color="auto"/>
        </w:pBdr>
        <w:bidi w:val="0"/>
        <w:jc w:val="center"/>
        <w:rPr>
          <w:rFonts w:asciiTheme="majorBidi" w:hAnsiTheme="majorBidi" w:cstheme="majorBidi"/>
          <w:b/>
          <w:bCs/>
        </w:rPr>
      </w:pPr>
    </w:p>
    <w:p w:rsidR="0014542A" w:rsidRDefault="0014542A" w:rsidP="0014542A">
      <w:pPr>
        <w:pStyle w:val="Heading1"/>
        <w:pBdr>
          <w:bottom w:val="single" w:sz="4" w:space="1" w:color="auto"/>
        </w:pBdr>
        <w:bidi w:val="0"/>
        <w:jc w:val="center"/>
        <w:rPr>
          <w:rFonts w:asciiTheme="majorBidi" w:hAnsiTheme="majorBidi" w:cstheme="majorBidi"/>
          <w:b/>
          <w:bCs/>
        </w:rPr>
      </w:pPr>
    </w:p>
    <w:p w:rsidR="00505A8B" w:rsidRPr="00A2162A" w:rsidRDefault="00F06631" w:rsidP="0014542A">
      <w:pPr>
        <w:pStyle w:val="Heading1"/>
        <w:pBdr>
          <w:bottom w:val="single" w:sz="4" w:space="1" w:color="auto"/>
        </w:pBdr>
        <w:bidi w:val="0"/>
        <w:jc w:val="center"/>
        <w:rPr>
          <w:rFonts w:asciiTheme="majorBidi" w:hAnsiTheme="majorBidi" w:cstheme="majorBidi"/>
          <w:b/>
          <w:bCs/>
          <w:rtl/>
        </w:rPr>
      </w:pPr>
      <w:bookmarkStart w:id="2" w:name="_Toc65354395"/>
      <w:r>
        <w:rPr>
          <w:rFonts w:asciiTheme="majorBidi" w:hAnsiTheme="majorBidi" w:cstheme="majorBidi"/>
          <w:b/>
          <w:bCs/>
        </w:rPr>
        <w:lastRenderedPageBreak/>
        <w:t>Chapter o</w:t>
      </w:r>
      <w:r w:rsidR="00565969" w:rsidRPr="00A2162A">
        <w:rPr>
          <w:rFonts w:asciiTheme="majorBidi" w:hAnsiTheme="majorBidi" w:cstheme="majorBidi"/>
          <w:b/>
          <w:bCs/>
        </w:rPr>
        <w:t>ne: Scope of application</w:t>
      </w:r>
      <w:bookmarkEnd w:id="2"/>
    </w:p>
    <w:p w:rsidR="00505A8B" w:rsidRPr="0070397F" w:rsidRDefault="00505A8B" w:rsidP="00505A8B">
      <w:pPr>
        <w:pStyle w:val="Heading1"/>
        <w:ind w:left="485" w:hanging="450"/>
        <w:rPr>
          <w:b/>
          <w:bCs/>
          <w:sz w:val="26"/>
          <w:szCs w:val="26"/>
          <w:rtl/>
        </w:rPr>
      </w:pPr>
      <w:bookmarkStart w:id="3" w:name="_Toc451176008"/>
    </w:p>
    <w:bookmarkEnd w:id="3"/>
    <w:p w:rsidR="00840FDF" w:rsidRPr="00C801D5" w:rsidRDefault="00840FDF" w:rsidP="00D63D4F">
      <w:pPr>
        <w:bidi w:val="0"/>
        <w:spacing w:after="0" w:line="276" w:lineRule="auto"/>
        <w:ind w:left="485" w:hanging="450"/>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sz w:val="24"/>
          <w:szCs w:val="24"/>
          <w:lang w:val="en" w:bidi="ar"/>
        </w:rPr>
        <w:t>First</w:t>
      </w:r>
      <w:r w:rsidRPr="00C801D5">
        <w:rPr>
          <w:rStyle w:val="tlid-translation"/>
          <w:rFonts w:ascii="Times New Roman" w:hAnsi="Times New Roman" w:cs="Times New Roman"/>
          <w:b w:val="0"/>
          <w:bCs w:val="0"/>
          <w:sz w:val="24"/>
          <w:szCs w:val="24"/>
          <w:lang w:val="en" w:bidi="ar"/>
        </w:rPr>
        <w:t xml:space="preserve">: These instructions shall be applied to all banks operating in the Kingdom on a </w:t>
      </w:r>
      <w:r w:rsidR="008F3ECB" w:rsidRPr="00C801D5">
        <w:rPr>
          <w:rStyle w:val="tlid-translation"/>
          <w:rFonts w:ascii="Times New Roman" w:hAnsi="Times New Roman" w:cs="Times New Roman"/>
          <w:b w:val="0"/>
          <w:bCs w:val="0"/>
          <w:sz w:val="24"/>
          <w:szCs w:val="24"/>
          <w:lang w:val="en" w:bidi="ar"/>
        </w:rPr>
        <w:t xml:space="preserve">consolidated </w:t>
      </w:r>
      <w:r w:rsidRPr="00C801D5">
        <w:rPr>
          <w:rStyle w:val="tlid-translation"/>
          <w:rFonts w:ascii="Times New Roman" w:hAnsi="Times New Roman" w:cs="Times New Roman"/>
          <w:b w:val="0"/>
          <w:bCs w:val="0"/>
          <w:sz w:val="24"/>
          <w:szCs w:val="24"/>
          <w:lang w:val="en" w:bidi="ar"/>
        </w:rPr>
        <w:t>basis, as well as at the levels shown below, so that the</w:t>
      </w:r>
      <w:r w:rsidR="00D63D4F">
        <w:rPr>
          <w:rStyle w:val="tlid-translation"/>
          <w:rFonts w:ascii="Times New Roman" w:hAnsi="Times New Roman" w:cs="Times New Roman"/>
          <w:b w:val="0"/>
          <w:bCs w:val="0"/>
          <w:sz w:val="24"/>
          <w:szCs w:val="24"/>
          <w:lang w:val="en" w:bidi="ar"/>
        </w:rPr>
        <w:t xml:space="preserve"> banks shall provide the </w:t>
      </w:r>
      <w:r w:rsidRPr="00C801D5">
        <w:rPr>
          <w:rStyle w:val="tlid-translation"/>
          <w:rFonts w:ascii="Times New Roman" w:hAnsi="Times New Roman" w:cs="Times New Roman"/>
          <w:b w:val="0"/>
          <w:bCs w:val="0"/>
          <w:sz w:val="24"/>
          <w:szCs w:val="24"/>
          <w:lang w:val="en" w:bidi="ar"/>
        </w:rPr>
        <w:t>Central Bank with capital adequacy models for these levels as follows:</w:t>
      </w:r>
    </w:p>
    <w:p w:rsidR="008F3ECB" w:rsidRPr="00C801D5" w:rsidRDefault="00840FDF" w:rsidP="00A2162A">
      <w:pPr>
        <w:pStyle w:val="ListParagraph"/>
        <w:numPr>
          <w:ilvl w:val="0"/>
          <w:numId w:val="1"/>
        </w:numPr>
        <w:bidi w:val="0"/>
        <w:spacing w:after="0" w:line="276" w:lineRule="auto"/>
        <w:ind w:left="810"/>
        <w:rPr>
          <w:rStyle w:val="tlid-translation"/>
          <w:rFonts w:ascii="Times New Roman" w:hAnsi="Times New Roman" w:cs="Times New Roman"/>
          <w:b w:val="0"/>
          <w:bCs w:val="0"/>
          <w:sz w:val="24"/>
          <w:szCs w:val="24"/>
        </w:rPr>
      </w:pPr>
      <w:r w:rsidRPr="00C801D5">
        <w:rPr>
          <w:rStyle w:val="tlid-translation"/>
          <w:rFonts w:ascii="Times New Roman" w:hAnsi="Times New Roman" w:cs="Times New Roman"/>
          <w:b w:val="0"/>
          <w:bCs w:val="0"/>
          <w:sz w:val="24"/>
          <w:szCs w:val="24"/>
          <w:lang w:val="en" w:bidi="ar"/>
        </w:rPr>
        <w:t>The banking group</w:t>
      </w:r>
      <w:r w:rsidR="008F3ECB" w:rsidRPr="00C801D5">
        <w:rPr>
          <w:rStyle w:val="FootnoteReference"/>
          <w:rFonts w:ascii="Times New Roman" w:hAnsi="Times New Roman" w:cs="Times New Roman"/>
          <w:b w:val="0"/>
          <w:bCs w:val="0"/>
          <w:sz w:val="24"/>
          <w:szCs w:val="24"/>
          <w:lang w:val="en" w:bidi="ar"/>
        </w:rPr>
        <w:footnoteReference w:id="1"/>
      </w:r>
      <w:r w:rsidRPr="00C801D5">
        <w:rPr>
          <w:rStyle w:val="tlid-translation"/>
          <w:rFonts w:ascii="Times New Roman" w:hAnsi="Times New Roman" w:cs="Times New Roman"/>
          <w:b w:val="0"/>
          <w:bCs w:val="0"/>
          <w:sz w:val="24"/>
          <w:szCs w:val="24"/>
          <w:lang w:val="en" w:bidi="ar"/>
        </w:rPr>
        <w:t xml:space="preserve">, including the </w:t>
      </w:r>
      <w:bookmarkStart w:id="4" w:name="_GoBack"/>
      <w:bookmarkEnd w:id="4"/>
      <w:r w:rsidRPr="00C801D5">
        <w:rPr>
          <w:rStyle w:val="tlid-translation"/>
          <w:rFonts w:ascii="Times New Roman" w:hAnsi="Times New Roman" w:cs="Times New Roman"/>
          <w:b w:val="0"/>
          <w:bCs w:val="0"/>
          <w:sz w:val="24"/>
          <w:szCs w:val="24"/>
          <w:lang w:val="en" w:bidi="ar"/>
        </w:rPr>
        <w:t>financial sub</w:t>
      </w:r>
      <w:r w:rsidR="008F3ECB" w:rsidRPr="00C801D5">
        <w:rPr>
          <w:rStyle w:val="tlid-translation"/>
          <w:rFonts w:ascii="Times New Roman" w:hAnsi="Times New Roman" w:cs="Times New Roman"/>
          <w:b w:val="0"/>
          <w:bCs w:val="0"/>
          <w:sz w:val="24"/>
          <w:szCs w:val="24"/>
          <w:lang w:val="en" w:bidi="ar"/>
        </w:rPr>
        <w:t>sidiaries and holding companies (excluding insurance companies)</w:t>
      </w:r>
    </w:p>
    <w:p w:rsidR="008F3ECB" w:rsidRPr="00C801D5" w:rsidRDefault="008F3ECB" w:rsidP="00A2162A">
      <w:pPr>
        <w:pStyle w:val="ListParagraph"/>
        <w:numPr>
          <w:ilvl w:val="0"/>
          <w:numId w:val="1"/>
        </w:numPr>
        <w:bidi w:val="0"/>
        <w:spacing w:after="0" w:line="276" w:lineRule="auto"/>
        <w:ind w:left="810"/>
        <w:rPr>
          <w:rFonts w:ascii="Times New Roman" w:hAnsi="Times New Roman" w:cs="Times New Roman"/>
          <w:b w:val="0"/>
          <w:bCs w:val="0"/>
          <w:sz w:val="24"/>
          <w:szCs w:val="24"/>
        </w:rPr>
      </w:pPr>
      <w:r w:rsidRPr="00C801D5">
        <w:rPr>
          <w:rStyle w:val="tlid-translation"/>
          <w:rFonts w:ascii="Times New Roman" w:hAnsi="Times New Roman" w:cs="Times New Roman"/>
          <w:b w:val="0"/>
          <w:bCs w:val="0"/>
          <w:sz w:val="24"/>
          <w:szCs w:val="24"/>
          <w:lang w:val="en" w:bidi="ar"/>
        </w:rPr>
        <w:t>J</w:t>
      </w:r>
      <w:r w:rsidR="00840FDF" w:rsidRPr="00C801D5">
        <w:rPr>
          <w:rStyle w:val="tlid-translation"/>
          <w:rFonts w:ascii="Times New Roman" w:hAnsi="Times New Roman" w:cs="Times New Roman"/>
          <w:b w:val="0"/>
          <w:bCs w:val="0"/>
          <w:sz w:val="24"/>
          <w:szCs w:val="24"/>
          <w:lang w:val="en" w:bidi="ar"/>
        </w:rPr>
        <w:t>ordan and abroad branches.</w:t>
      </w:r>
    </w:p>
    <w:p w:rsidR="008F3ECB" w:rsidRPr="00C801D5" w:rsidRDefault="00840FDF" w:rsidP="00A2162A">
      <w:pPr>
        <w:pStyle w:val="ListParagraph"/>
        <w:numPr>
          <w:ilvl w:val="0"/>
          <w:numId w:val="1"/>
        </w:numPr>
        <w:bidi w:val="0"/>
        <w:spacing w:after="0" w:line="276" w:lineRule="auto"/>
        <w:ind w:left="810"/>
        <w:rPr>
          <w:rFonts w:ascii="Times New Roman" w:hAnsi="Times New Roman" w:cs="Times New Roman"/>
          <w:b w:val="0"/>
          <w:bCs w:val="0"/>
          <w:sz w:val="24"/>
          <w:szCs w:val="24"/>
        </w:rPr>
      </w:pPr>
      <w:r w:rsidRPr="00C801D5">
        <w:rPr>
          <w:rStyle w:val="tlid-translation"/>
          <w:rFonts w:ascii="Times New Roman" w:hAnsi="Times New Roman" w:cs="Times New Roman"/>
          <w:b w:val="0"/>
          <w:bCs w:val="0"/>
          <w:sz w:val="24"/>
          <w:szCs w:val="24"/>
          <w:lang w:val="en" w:bidi="ar"/>
        </w:rPr>
        <w:t>Jordan branches.</w:t>
      </w:r>
    </w:p>
    <w:p w:rsidR="008F3ECB" w:rsidRPr="00C801D5" w:rsidRDefault="00B30B3F" w:rsidP="00A2162A">
      <w:pPr>
        <w:pStyle w:val="ListParagraph"/>
        <w:numPr>
          <w:ilvl w:val="0"/>
          <w:numId w:val="1"/>
        </w:numPr>
        <w:bidi w:val="0"/>
        <w:spacing w:after="0" w:line="276" w:lineRule="auto"/>
        <w:ind w:left="810"/>
        <w:rPr>
          <w:rStyle w:val="tlid-translation"/>
          <w:rFonts w:ascii="Times New Roman" w:hAnsi="Times New Roman" w:cs="Times New Roman"/>
          <w:sz w:val="24"/>
          <w:szCs w:val="24"/>
          <w:lang w:val="en" w:bidi="ar"/>
        </w:rPr>
      </w:pPr>
      <w:r w:rsidRPr="00C801D5">
        <w:rPr>
          <w:rStyle w:val="tlid-translation"/>
          <w:rFonts w:ascii="Times New Roman" w:hAnsi="Times New Roman" w:cs="Times New Roman"/>
          <w:b w:val="0"/>
          <w:bCs w:val="0"/>
          <w:sz w:val="24"/>
          <w:szCs w:val="24"/>
          <w:lang w:val="en" w:bidi="ar"/>
        </w:rPr>
        <w:t>C</w:t>
      </w:r>
      <w:r w:rsidR="00AB0C38" w:rsidRPr="00C801D5">
        <w:rPr>
          <w:rStyle w:val="tlid-translation"/>
          <w:rFonts w:ascii="Times New Roman" w:hAnsi="Times New Roman" w:cs="Times New Roman"/>
          <w:b w:val="0"/>
          <w:bCs w:val="0"/>
          <w:sz w:val="24"/>
          <w:szCs w:val="24"/>
          <w:lang w:val="en" w:bidi="ar"/>
        </w:rPr>
        <w:t xml:space="preserve">ross-border establishments </w:t>
      </w:r>
      <w:r w:rsidR="00840FDF" w:rsidRPr="00C801D5">
        <w:rPr>
          <w:rStyle w:val="tlid-translation"/>
          <w:rFonts w:ascii="Times New Roman" w:hAnsi="Times New Roman" w:cs="Times New Roman"/>
          <w:b w:val="0"/>
          <w:bCs w:val="0"/>
          <w:sz w:val="24"/>
          <w:szCs w:val="24"/>
          <w:lang w:val="en" w:bidi="ar"/>
        </w:rPr>
        <w:t>separately.</w:t>
      </w:r>
    </w:p>
    <w:p w:rsidR="00840FDF" w:rsidRPr="00C801D5" w:rsidRDefault="00840FDF" w:rsidP="00A2162A">
      <w:pPr>
        <w:pStyle w:val="ListParagraph"/>
        <w:numPr>
          <w:ilvl w:val="0"/>
          <w:numId w:val="1"/>
        </w:numPr>
        <w:bidi w:val="0"/>
        <w:spacing w:after="0" w:line="276" w:lineRule="auto"/>
        <w:ind w:left="810"/>
        <w:rPr>
          <w:rStyle w:val="tlid-translation"/>
          <w:rFonts w:ascii="Times New Roman" w:hAnsi="Times New Roman" w:cs="Times New Roman"/>
          <w:b w:val="0"/>
          <w:bCs w:val="0"/>
          <w:sz w:val="24"/>
          <w:szCs w:val="24"/>
        </w:rPr>
      </w:pPr>
      <w:r w:rsidRPr="00C801D5">
        <w:rPr>
          <w:rStyle w:val="tlid-translation"/>
          <w:rFonts w:ascii="Times New Roman" w:hAnsi="Times New Roman" w:cs="Times New Roman"/>
          <w:b w:val="0"/>
          <w:bCs w:val="0"/>
          <w:sz w:val="24"/>
          <w:szCs w:val="24"/>
          <w:lang w:val="en" w:bidi="ar"/>
        </w:rPr>
        <w:t>The banking subsidiaries separately</w:t>
      </w:r>
      <w:r w:rsidR="00AB0C38" w:rsidRPr="00C801D5">
        <w:rPr>
          <w:rStyle w:val="tlid-translation"/>
          <w:rFonts w:ascii="Times New Roman" w:hAnsi="Times New Roman" w:cs="Times New Roman"/>
          <w:b w:val="0"/>
          <w:bCs w:val="0"/>
          <w:sz w:val="24"/>
          <w:szCs w:val="24"/>
          <w:lang w:val="en" w:bidi="ar"/>
        </w:rPr>
        <w:t>.</w:t>
      </w:r>
    </w:p>
    <w:p w:rsidR="00AB0C38" w:rsidRPr="00A2162A" w:rsidRDefault="00AB0C38" w:rsidP="00A2162A">
      <w:pPr>
        <w:pStyle w:val="ListParagraph"/>
        <w:bidi w:val="0"/>
        <w:spacing w:after="0" w:line="276" w:lineRule="auto"/>
        <w:ind w:left="810"/>
        <w:rPr>
          <w:rStyle w:val="tlid-translation"/>
          <w:rFonts w:ascii="Times New Roman" w:hAnsi="Times New Roman" w:cs="Times New Roman"/>
          <w:b w:val="0"/>
          <w:bCs w:val="0"/>
        </w:rPr>
      </w:pPr>
    </w:p>
    <w:p w:rsidR="00840FDF" w:rsidRPr="00C801D5" w:rsidRDefault="00840FDF" w:rsidP="00D63D4F">
      <w:pPr>
        <w:bidi w:val="0"/>
        <w:spacing w:after="0" w:line="276" w:lineRule="auto"/>
        <w:ind w:left="485" w:hanging="450"/>
        <w:rPr>
          <w:rStyle w:val="tlid-translation"/>
          <w:rFonts w:ascii="Times New Roman" w:hAnsi="Times New Roman" w:cs="Times New Roman"/>
          <w:b w:val="0"/>
          <w:bCs w:val="0"/>
          <w:sz w:val="24"/>
          <w:szCs w:val="24"/>
          <w:lang w:val="en" w:bidi="ar"/>
        </w:rPr>
      </w:pPr>
      <w:bookmarkStart w:id="5" w:name="_Toc451176009"/>
      <w:bookmarkStart w:id="6" w:name="_Toc451179990"/>
      <w:r w:rsidRPr="00C801D5">
        <w:rPr>
          <w:rStyle w:val="tlid-translation"/>
          <w:rFonts w:ascii="Times New Roman" w:hAnsi="Times New Roman" w:cs="Times New Roman"/>
          <w:sz w:val="24"/>
          <w:szCs w:val="24"/>
          <w:lang w:val="en" w:bidi="ar"/>
        </w:rPr>
        <w:t xml:space="preserve">Second: </w:t>
      </w:r>
      <w:r w:rsidRPr="00C801D5">
        <w:rPr>
          <w:rStyle w:val="tlid-translation"/>
          <w:rFonts w:ascii="Times New Roman" w:hAnsi="Times New Roman" w:cs="Times New Roman"/>
          <w:b w:val="0"/>
          <w:bCs w:val="0"/>
          <w:sz w:val="24"/>
          <w:szCs w:val="24"/>
          <w:lang w:val="en" w:bidi="ar"/>
        </w:rPr>
        <w:t xml:space="preserve">The </w:t>
      </w:r>
      <w:r w:rsidR="00D63D4F">
        <w:rPr>
          <w:rStyle w:val="tlid-translation"/>
          <w:rFonts w:ascii="Times New Roman" w:hAnsi="Times New Roman" w:cs="Times New Roman"/>
          <w:b w:val="0"/>
          <w:bCs w:val="0"/>
          <w:sz w:val="24"/>
          <w:szCs w:val="24"/>
          <w:lang w:val="en" w:bidi="ar"/>
        </w:rPr>
        <w:t>consolidation</w:t>
      </w:r>
      <w:r w:rsidRPr="00C801D5">
        <w:rPr>
          <w:rStyle w:val="tlid-translation"/>
          <w:rFonts w:ascii="Times New Roman" w:hAnsi="Times New Roman" w:cs="Times New Roman"/>
          <w:b w:val="0"/>
          <w:bCs w:val="0"/>
          <w:sz w:val="24"/>
          <w:szCs w:val="24"/>
          <w:lang w:val="en" w:bidi="ar"/>
        </w:rPr>
        <w:t xml:space="preserve"> mechanism for the purposes of implementing the capital adequacy standard</w:t>
      </w:r>
    </w:p>
    <w:p w:rsidR="00840FDF" w:rsidRPr="00C801D5" w:rsidRDefault="00840FDF" w:rsidP="00076A6A">
      <w:pPr>
        <w:pStyle w:val="ListParagraph"/>
        <w:numPr>
          <w:ilvl w:val="0"/>
          <w:numId w:val="6"/>
        </w:numPr>
        <w:bidi w:val="0"/>
        <w:spacing w:after="0" w:line="276" w:lineRule="auto"/>
        <w:ind w:left="990" w:hanging="540"/>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val="en" w:bidi="ar"/>
        </w:rPr>
        <w:t>Banks and other financial companies consolidated within the banking group:</w:t>
      </w:r>
    </w:p>
    <w:p w:rsidR="00840FDF" w:rsidRPr="00C801D5" w:rsidRDefault="00D63D4F" w:rsidP="00D63D4F">
      <w:pPr>
        <w:pStyle w:val="ListParagraph"/>
        <w:numPr>
          <w:ilvl w:val="1"/>
          <w:numId w:val="6"/>
        </w:numPr>
        <w:bidi w:val="0"/>
        <w:spacing w:after="0" w:line="276" w:lineRule="auto"/>
        <w:ind w:left="1530" w:hanging="630"/>
        <w:rPr>
          <w:rStyle w:val="tlid-translation"/>
          <w:rFonts w:ascii="Times New Roman" w:hAnsi="Times New Roman" w:cs="Times New Roman"/>
          <w:b w:val="0"/>
          <w:bCs w:val="0"/>
          <w:sz w:val="24"/>
          <w:szCs w:val="24"/>
          <w:lang w:val="en" w:bidi="ar"/>
        </w:rPr>
      </w:pPr>
      <w:r>
        <w:rPr>
          <w:rStyle w:val="tlid-translation"/>
          <w:rFonts w:ascii="Times New Roman" w:hAnsi="Times New Roman" w:cs="Times New Roman"/>
          <w:b w:val="0"/>
          <w:bCs w:val="0"/>
          <w:sz w:val="24"/>
          <w:szCs w:val="24"/>
          <w:lang w:val="en" w:bidi="ar"/>
        </w:rPr>
        <w:t>C</w:t>
      </w:r>
      <w:r w:rsidRPr="00C801D5">
        <w:rPr>
          <w:rStyle w:val="tlid-translation"/>
          <w:rFonts w:ascii="Times New Roman" w:hAnsi="Times New Roman" w:cs="Times New Roman"/>
          <w:b w:val="0"/>
          <w:bCs w:val="0"/>
          <w:sz w:val="24"/>
          <w:szCs w:val="24"/>
          <w:lang w:val="en" w:bidi="ar"/>
        </w:rPr>
        <w:t xml:space="preserve">ompanies' </w:t>
      </w:r>
      <w:r>
        <w:rPr>
          <w:rStyle w:val="tlid-translation"/>
          <w:rFonts w:ascii="Times New Roman" w:hAnsi="Times New Roman" w:cs="Times New Roman"/>
          <w:b w:val="0"/>
          <w:bCs w:val="0"/>
          <w:sz w:val="24"/>
          <w:szCs w:val="24"/>
          <w:lang w:val="en" w:bidi="ar"/>
        </w:rPr>
        <w:t>f</w:t>
      </w:r>
      <w:r w:rsidR="00840FDF" w:rsidRPr="00C801D5">
        <w:rPr>
          <w:rStyle w:val="tlid-translation"/>
          <w:rFonts w:ascii="Times New Roman" w:hAnsi="Times New Roman" w:cs="Times New Roman"/>
          <w:b w:val="0"/>
          <w:bCs w:val="0"/>
          <w:sz w:val="24"/>
          <w:szCs w:val="24"/>
          <w:lang w:val="en" w:bidi="ar"/>
        </w:rPr>
        <w:t xml:space="preserve">inancial </w:t>
      </w:r>
      <w:r>
        <w:rPr>
          <w:rStyle w:val="tlid-translation"/>
          <w:rFonts w:ascii="Times New Roman" w:hAnsi="Times New Roman" w:cs="Times New Roman"/>
          <w:b w:val="0"/>
          <w:bCs w:val="0"/>
          <w:sz w:val="24"/>
          <w:szCs w:val="24"/>
          <w:lang w:val="en" w:bidi="ar"/>
        </w:rPr>
        <w:t>statement</w:t>
      </w:r>
      <w:r w:rsidR="00840FDF" w:rsidRPr="00C801D5">
        <w:rPr>
          <w:rStyle w:val="tlid-translation"/>
          <w:rFonts w:ascii="Times New Roman" w:hAnsi="Times New Roman" w:cs="Times New Roman"/>
          <w:b w:val="0"/>
          <w:bCs w:val="0"/>
          <w:sz w:val="24"/>
          <w:szCs w:val="24"/>
          <w:lang w:val="en" w:bidi="ar"/>
        </w:rPr>
        <w:t xml:space="preserve"> may not be consolidated if they are acquired </w:t>
      </w:r>
      <w:r>
        <w:rPr>
          <w:rStyle w:val="tlid-translation"/>
          <w:rFonts w:ascii="Times New Roman" w:hAnsi="Times New Roman" w:cs="Times New Roman"/>
          <w:b w:val="0"/>
          <w:bCs w:val="0"/>
          <w:sz w:val="24"/>
          <w:szCs w:val="24"/>
          <w:lang w:val="en" w:bidi="ar"/>
        </w:rPr>
        <w:t>as debt</w:t>
      </w:r>
      <w:r w:rsidR="00840FDF" w:rsidRPr="00C801D5">
        <w:rPr>
          <w:rStyle w:val="tlid-translation"/>
          <w:rFonts w:ascii="Times New Roman" w:hAnsi="Times New Roman" w:cs="Times New Roman"/>
          <w:b w:val="0"/>
          <w:bCs w:val="0"/>
          <w:sz w:val="24"/>
          <w:szCs w:val="24"/>
          <w:lang w:val="en" w:bidi="ar"/>
        </w:rPr>
        <w:t xml:space="preserve"> payment or kept for a temporary period for the purpose of sale, or if they are subject to special legislation that does not allow for consolidation</w:t>
      </w:r>
      <w:r w:rsidR="00B30B3F" w:rsidRPr="00C801D5">
        <w:rPr>
          <w:rStyle w:val="tlid-translation"/>
          <w:rFonts w:ascii="Times New Roman" w:hAnsi="Times New Roman" w:cs="Times New Roman"/>
          <w:b w:val="0"/>
          <w:bCs w:val="0"/>
          <w:sz w:val="24"/>
          <w:szCs w:val="24"/>
          <w:lang w:val="en" w:bidi="ar"/>
        </w:rPr>
        <w:t xml:space="preserve">. </w:t>
      </w:r>
    </w:p>
    <w:p w:rsidR="00B30B3F" w:rsidRPr="00C801D5" w:rsidRDefault="00B30B3F" w:rsidP="00A2162A">
      <w:pPr>
        <w:pStyle w:val="ListParagraph"/>
        <w:bidi w:val="0"/>
        <w:spacing w:after="0" w:line="276" w:lineRule="auto"/>
        <w:ind w:left="1530" w:hanging="630"/>
        <w:rPr>
          <w:rStyle w:val="tlid-translation"/>
          <w:rFonts w:ascii="Times New Roman" w:hAnsi="Times New Roman" w:cs="Times New Roman"/>
          <w:sz w:val="24"/>
          <w:szCs w:val="24"/>
          <w:rtl/>
          <w:lang w:val="en" w:bidi="ar-JO"/>
        </w:rPr>
      </w:pPr>
      <w:r w:rsidRPr="00C801D5">
        <w:rPr>
          <w:rStyle w:val="tlid-translation"/>
          <w:rFonts w:ascii="Times New Roman" w:hAnsi="Times New Roman" w:cs="Times New Roman"/>
          <w:b w:val="0"/>
          <w:bCs w:val="0"/>
          <w:sz w:val="24"/>
          <w:szCs w:val="24"/>
          <w:lang w:val="en" w:bidi="ar"/>
        </w:rPr>
        <w:t xml:space="preserve">1.2  </w:t>
      </w:r>
      <w:r w:rsidR="00A2162A" w:rsidRPr="00C801D5">
        <w:rPr>
          <w:rStyle w:val="tlid-translation"/>
          <w:rFonts w:ascii="Times New Roman" w:hAnsi="Times New Roman" w:cs="Times New Roman"/>
          <w:b w:val="0"/>
          <w:bCs w:val="0"/>
          <w:sz w:val="24"/>
          <w:szCs w:val="24"/>
          <w:lang w:val="en" w:bidi="ar"/>
        </w:rPr>
        <w:tab/>
      </w:r>
      <w:r w:rsidRPr="00C801D5">
        <w:rPr>
          <w:rStyle w:val="tlid-translation"/>
          <w:rFonts w:ascii="Times New Roman" w:hAnsi="Times New Roman" w:cs="Times New Roman"/>
          <w:b w:val="0"/>
          <w:bCs w:val="0"/>
          <w:sz w:val="24"/>
          <w:szCs w:val="24"/>
          <w:lang w:val="en" w:bidi="ar"/>
        </w:rPr>
        <w:t>In the event of non-consolidation for the purposes of calculating capital adequacy and the company's financial statements are consolidated for accounting purposes, then the value of the bank's investment in the non-consolidated company must be subtracted from the regulatory capital of the banking group, and at the same time, for the purposes of capital adequacy calculation, the assets, liabilities and minority interest (related to</w:t>
      </w:r>
      <w:r w:rsidRPr="00C801D5">
        <w:rPr>
          <w:rStyle w:val="tlid-translation"/>
          <w:rFonts w:ascii="Times New Roman" w:hAnsi="Times New Roman" w:cs="Times New Roman"/>
          <w:b w:val="0"/>
          <w:bCs w:val="0"/>
          <w:sz w:val="24"/>
          <w:szCs w:val="24"/>
          <w:rtl/>
          <w:lang w:val="en" w:bidi="ar"/>
        </w:rPr>
        <w:t xml:space="preserve"> </w:t>
      </w:r>
      <w:r w:rsidRPr="00C801D5">
        <w:rPr>
          <w:rStyle w:val="tlid-translation"/>
          <w:rFonts w:ascii="Times New Roman" w:hAnsi="Times New Roman" w:cs="Times New Roman"/>
          <w:b w:val="0"/>
          <w:bCs w:val="0"/>
          <w:sz w:val="24"/>
          <w:szCs w:val="24"/>
          <w:lang w:val="en" w:bidi="ar"/>
        </w:rPr>
        <w:t>the non-consolidated company) from the financial statements of the banking group.</w:t>
      </w:r>
    </w:p>
    <w:p w:rsidR="00840FDF" w:rsidRPr="00AD38CE" w:rsidRDefault="00840FDF" w:rsidP="00A2162A">
      <w:pPr>
        <w:bidi w:val="0"/>
        <w:spacing w:after="0" w:line="276" w:lineRule="auto"/>
        <w:rPr>
          <w:rFonts w:ascii="Times New Roman" w:hAnsi="Times New Roman" w:cs="Times New Roman"/>
          <w:sz w:val="12"/>
          <w:szCs w:val="12"/>
        </w:rPr>
      </w:pPr>
    </w:p>
    <w:bookmarkEnd w:id="5"/>
    <w:bookmarkEnd w:id="6"/>
    <w:p w:rsidR="00840FDF" w:rsidRPr="00C801D5" w:rsidRDefault="00C54C6C" w:rsidP="00A2162A">
      <w:pPr>
        <w:bidi w:val="0"/>
        <w:spacing w:after="0" w:line="276" w:lineRule="auto"/>
        <w:ind w:left="900" w:hanging="450"/>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bidi="ar"/>
        </w:rPr>
        <w:t>2.</w:t>
      </w:r>
      <w:r w:rsidRPr="00C801D5">
        <w:rPr>
          <w:rStyle w:val="tlid-translation"/>
          <w:rFonts w:ascii="Times New Roman" w:hAnsi="Times New Roman" w:cs="Times New Roman"/>
          <w:b w:val="0"/>
          <w:bCs w:val="0"/>
          <w:sz w:val="24"/>
          <w:szCs w:val="24"/>
          <w:lang w:bidi="ar"/>
        </w:rPr>
        <w:tab/>
      </w:r>
      <w:r w:rsidR="00840FDF" w:rsidRPr="00C801D5">
        <w:rPr>
          <w:rStyle w:val="tlid-translation"/>
          <w:rFonts w:ascii="Times New Roman" w:hAnsi="Times New Roman" w:cs="Times New Roman"/>
          <w:b w:val="0"/>
          <w:bCs w:val="0"/>
          <w:sz w:val="24"/>
          <w:szCs w:val="24"/>
          <w:lang w:val="en" w:bidi="ar"/>
        </w:rPr>
        <w:t>Investments in banks, securities companies, and other financial companies</w:t>
      </w:r>
      <w:r w:rsidR="00B30B3F" w:rsidRPr="00C801D5">
        <w:rPr>
          <w:rStyle w:val="tlid-translation"/>
          <w:rFonts w:ascii="Times New Roman" w:hAnsi="Times New Roman" w:cs="Times New Roman"/>
          <w:b w:val="0"/>
          <w:bCs w:val="0"/>
          <w:sz w:val="24"/>
          <w:szCs w:val="24"/>
          <w:lang w:val="en" w:bidi="ar"/>
        </w:rPr>
        <w:t>:</w:t>
      </w:r>
    </w:p>
    <w:p w:rsidR="00B30B3F" w:rsidRPr="00C801D5" w:rsidRDefault="00B30B3F" w:rsidP="00D63D4F">
      <w:pPr>
        <w:bidi w:val="0"/>
        <w:spacing w:after="0" w:line="276" w:lineRule="auto"/>
        <w:ind w:left="1530" w:hanging="540"/>
        <w:rPr>
          <w:rStyle w:val="tlid-translation"/>
          <w:rFonts w:ascii="Times New Roman" w:hAnsi="Times New Roman" w:cs="Times New Roman"/>
          <w:b w:val="0"/>
          <w:bCs w:val="0"/>
          <w:sz w:val="24"/>
          <w:szCs w:val="24"/>
          <w:lang w:bidi="ar"/>
        </w:rPr>
      </w:pPr>
      <w:r w:rsidRPr="00C801D5">
        <w:rPr>
          <w:rFonts w:ascii="Times New Roman" w:hAnsi="Times New Roman" w:cs="Times New Roman"/>
          <w:b w:val="0"/>
          <w:bCs w:val="0"/>
          <w:sz w:val="24"/>
          <w:szCs w:val="24"/>
          <w:lang w:bidi="ar-JO"/>
        </w:rPr>
        <w:t xml:space="preserve">2.1 </w:t>
      </w:r>
      <w:r w:rsidRPr="00C801D5">
        <w:rPr>
          <w:rStyle w:val="tlid-translation"/>
          <w:rFonts w:ascii="Times New Roman" w:hAnsi="Times New Roman" w:cs="Times New Roman"/>
          <w:b w:val="0"/>
          <w:bCs w:val="0"/>
          <w:sz w:val="24"/>
          <w:szCs w:val="24"/>
          <w:lang w:val="en" w:bidi="ar"/>
        </w:rPr>
        <w:t>Banks, securities firms, and other financial companies owned or controlled by the bank should fully consolidate their accounts t</w:t>
      </w:r>
      <w:r w:rsidR="00D63D4F">
        <w:rPr>
          <w:rStyle w:val="tlid-translation"/>
          <w:rFonts w:ascii="Times New Roman" w:hAnsi="Times New Roman" w:cs="Times New Roman"/>
          <w:b w:val="0"/>
          <w:bCs w:val="0"/>
          <w:sz w:val="24"/>
          <w:szCs w:val="24"/>
          <w:lang w:val="en" w:bidi="ar"/>
        </w:rPr>
        <w:t>o the maximum extent possible, i</w:t>
      </w:r>
      <w:r w:rsidRPr="00C801D5">
        <w:rPr>
          <w:rStyle w:val="tlid-translation"/>
          <w:rFonts w:ascii="Times New Roman" w:hAnsi="Times New Roman" w:cs="Times New Roman"/>
          <w:b w:val="0"/>
          <w:bCs w:val="0"/>
          <w:sz w:val="24"/>
          <w:szCs w:val="24"/>
          <w:lang w:val="en" w:bidi="ar"/>
        </w:rPr>
        <w:t xml:space="preserve">n all cases, the </w:t>
      </w:r>
      <w:r w:rsidR="00D63D4F">
        <w:rPr>
          <w:rStyle w:val="tlid-translation"/>
          <w:rFonts w:ascii="Times New Roman" w:hAnsi="Times New Roman" w:cs="Times New Roman"/>
          <w:b w:val="0"/>
          <w:bCs w:val="0"/>
          <w:sz w:val="24"/>
          <w:szCs w:val="24"/>
          <w:lang w:val="en" w:bidi="ar"/>
        </w:rPr>
        <w:t>f</w:t>
      </w:r>
      <w:r w:rsidR="00D63D4F" w:rsidRPr="00C801D5">
        <w:rPr>
          <w:rStyle w:val="tlid-translation"/>
          <w:rFonts w:ascii="Times New Roman" w:hAnsi="Times New Roman" w:cs="Times New Roman"/>
          <w:b w:val="0"/>
          <w:bCs w:val="0"/>
          <w:sz w:val="24"/>
          <w:szCs w:val="24"/>
          <w:lang w:val="en" w:bidi="ar"/>
        </w:rPr>
        <w:t xml:space="preserve">inancial </w:t>
      </w:r>
      <w:r w:rsidR="00D63D4F">
        <w:rPr>
          <w:rStyle w:val="tlid-translation"/>
          <w:rFonts w:ascii="Times New Roman" w:hAnsi="Times New Roman" w:cs="Times New Roman"/>
          <w:b w:val="0"/>
          <w:bCs w:val="0"/>
          <w:sz w:val="24"/>
          <w:szCs w:val="24"/>
          <w:lang w:val="en" w:bidi="ar"/>
        </w:rPr>
        <w:t>statement</w:t>
      </w:r>
      <w:r w:rsidR="00D63D4F" w:rsidRPr="00C801D5">
        <w:rPr>
          <w:rStyle w:val="tlid-translation"/>
          <w:rFonts w:ascii="Times New Roman" w:hAnsi="Times New Roman" w:cs="Times New Roman"/>
          <w:b w:val="0"/>
          <w:bCs w:val="0"/>
          <w:sz w:val="24"/>
          <w:szCs w:val="24"/>
          <w:lang w:val="en" w:bidi="ar"/>
        </w:rPr>
        <w:t xml:space="preserve"> </w:t>
      </w:r>
      <w:r w:rsidRPr="00C801D5">
        <w:rPr>
          <w:rStyle w:val="tlid-translation"/>
          <w:rFonts w:ascii="Times New Roman" w:hAnsi="Times New Roman" w:cs="Times New Roman"/>
          <w:b w:val="0"/>
          <w:bCs w:val="0"/>
          <w:sz w:val="24"/>
          <w:szCs w:val="24"/>
          <w:lang w:val="en" w:bidi="ar"/>
        </w:rPr>
        <w:t>of banks, securities companies and other financial companies owned by more than 50% of their capital must be consolidated, except in cases in which this matter cannot be achieved due to lack of benefit, as cases where the share is temporary in nature or where non-consolidation is a legal requirement of the ho</w:t>
      </w:r>
      <w:r w:rsidR="001F2A24" w:rsidRPr="00C801D5">
        <w:rPr>
          <w:rStyle w:val="tlid-translation"/>
          <w:rFonts w:ascii="Times New Roman" w:hAnsi="Times New Roman" w:cs="Times New Roman"/>
          <w:b w:val="0"/>
          <w:bCs w:val="0"/>
          <w:sz w:val="24"/>
          <w:szCs w:val="24"/>
          <w:lang w:val="en" w:bidi="ar"/>
        </w:rPr>
        <w:t>st supervisory authority. I</w:t>
      </w:r>
      <w:r w:rsidRPr="00C801D5">
        <w:rPr>
          <w:rStyle w:val="tlid-translation"/>
          <w:rFonts w:ascii="Times New Roman" w:hAnsi="Times New Roman" w:cs="Times New Roman"/>
          <w:b w:val="0"/>
          <w:bCs w:val="0"/>
          <w:sz w:val="24"/>
          <w:szCs w:val="24"/>
          <w:lang w:val="en" w:bidi="ar"/>
        </w:rPr>
        <w:t>n the event of non-</w:t>
      </w:r>
      <w:r w:rsidR="001F2A24" w:rsidRPr="00C801D5">
        <w:rPr>
          <w:rStyle w:val="tlid-translation"/>
          <w:rFonts w:ascii="Times New Roman" w:hAnsi="Times New Roman" w:cs="Times New Roman"/>
          <w:b w:val="0"/>
          <w:bCs w:val="0"/>
          <w:sz w:val="24"/>
          <w:szCs w:val="24"/>
          <w:lang w:val="en" w:bidi="ar"/>
        </w:rPr>
        <w:t xml:space="preserve"> consolidation</w:t>
      </w:r>
      <w:r w:rsidRPr="00C801D5">
        <w:rPr>
          <w:rStyle w:val="tlid-translation"/>
          <w:rFonts w:ascii="Times New Roman" w:hAnsi="Times New Roman" w:cs="Times New Roman"/>
          <w:b w:val="0"/>
          <w:bCs w:val="0"/>
          <w:sz w:val="24"/>
          <w:szCs w:val="24"/>
          <w:lang w:val="en" w:bidi="ar"/>
        </w:rPr>
        <w:t xml:space="preserve">, the carrying value of the bank’s </w:t>
      </w:r>
      <w:r w:rsidR="00D63D4F">
        <w:rPr>
          <w:rStyle w:val="tlid-translation"/>
          <w:rFonts w:ascii="Times New Roman" w:hAnsi="Times New Roman" w:cs="Times New Roman"/>
          <w:b w:val="0"/>
          <w:bCs w:val="0"/>
          <w:sz w:val="24"/>
          <w:szCs w:val="24"/>
          <w:lang w:val="en" w:bidi="ar"/>
        </w:rPr>
        <w:t xml:space="preserve">share in </w:t>
      </w:r>
      <w:r w:rsidRPr="00C801D5">
        <w:rPr>
          <w:rStyle w:val="tlid-translation"/>
          <w:rFonts w:ascii="Times New Roman" w:hAnsi="Times New Roman" w:cs="Times New Roman"/>
          <w:b w:val="0"/>
          <w:bCs w:val="0"/>
          <w:sz w:val="24"/>
          <w:szCs w:val="24"/>
          <w:lang w:val="en" w:bidi="ar"/>
        </w:rPr>
        <w:t xml:space="preserve">the capital of these companies </w:t>
      </w:r>
      <w:r w:rsidR="00D63D4F">
        <w:rPr>
          <w:rStyle w:val="tlid-translation"/>
          <w:rFonts w:ascii="Times New Roman" w:hAnsi="Times New Roman" w:cs="Times New Roman"/>
          <w:b w:val="0"/>
          <w:bCs w:val="0"/>
          <w:sz w:val="24"/>
          <w:szCs w:val="24"/>
          <w:lang w:val="en" w:bidi="ar"/>
        </w:rPr>
        <w:t>shall</w:t>
      </w:r>
      <w:r w:rsidRPr="00C801D5">
        <w:rPr>
          <w:rStyle w:val="tlid-translation"/>
          <w:rFonts w:ascii="Times New Roman" w:hAnsi="Times New Roman" w:cs="Times New Roman"/>
          <w:b w:val="0"/>
          <w:bCs w:val="0"/>
          <w:sz w:val="24"/>
          <w:szCs w:val="24"/>
          <w:lang w:val="en" w:bidi="ar"/>
        </w:rPr>
        <w:t xml:space="preserve"> subtracted from the regulatory capital, as indicated in</w:t>
      </w:r>
      <w:r w:rsidRPr="00C801D5">
        <w:rPr>
          <w:rStyle w:val="tlid-translation"/>
          <w:rFonts w:ascii="Times New Roman" w:hAnsi="Times New Roman" w:cs="Times New Roman"/>
          <w:b w:val="0"/>
          <w:bCs w:val="0"/>
          <w:sz w:val="24"/>
          <w:szCs w:val="24"/>
          <w:rtl/>
          <w:lang w:val="en" w:bidi="ar"/>
        </w:rPr>
        <w:t xml:space="preserve"> </w:t>
      </w:r>
      <w:r w:rsidR="00D63D4F">
        <w:rPr>
          <w:rStyle w:val="tlid-translation"/>
          <w:rFonts w:ascii="Times New Roman" w:hAnsi="Times New Roman" w:cs="Times New Roman"/>
          <w:b w:val="0"/>
          <w:bCs w:val="0"/>
          <w:sz w:val="24"/>
          <w:szCs w:val="24"/>
          <w:lang w:val="en" w:bidi="ar"/>
        </w:rPr>
        <w:t>annex</w:t>
      </w:r>
      <w:r w:rsidRPr="00C801D5">
        <w:rPr>
          <w:rStyle w:val="tlid-translation"/>
          <w:rFonts w:ascii="Times New Roman" w:hAnsi="Times New Roman" w:cs="Times New Roman"/>
          <w:b w:val="0"/>
          <w:bCs w:val="0"/>
          <w:sz w:val="24"/>
          <w:szCs w:val="24"/>
          <w:lang w:val="en" w:bidi="ar"/>
        </w:rPr>
        <w:t xml:space="preserve"> </w:t>
      </w:r>
      <w:r w:rsidR="00D63D4F">
        <w:rPr>
          <w:rStyle w:val="tlid-translation"/>
          <w:rFonts w:ascii="Times New Roman" w:hAnsi="Times New Roman" w:cs="Times New Roman"/>
          <w:b w:val="0"/>
          <w:bCs w:val="0"/>
          <w:sz w:val="24"/>
          <w:szCs w:val="24"/>
          <w:lang w:val="en" w:bidi="ar"/>
        </w:rPr>
        <w:t>n</w:t>
      </w:r>
      <w:r w:rsidRPr="00C801D5">
        <w:rPr>
          <w:rStyle w:val="tlid-translation"/>
          <w:rFonts w:ascii="Times New Roman" w:hAnsi="Times New Roman" w:cs="Times New Roman"/>
          <w:b w:val="0"/>
          <w:bCs w:val="0"/>
          <w:sz w:val="24"/>
          <w:szCs w:val="24"/>
          <w:lang w:val="en" w:bidi="ar"/>
        </w:rPr>
        <w:t>o. (1).</w:t>
      </w:r>
    </w:p>
    <w:p w:rsidR="00DB2643" w:rsidRPr="00C801D5" w:rsidRDefault="00DB2643" w:rsidP="008C5902">
      <w:pPr>
        <w:bidi w:val="0"/>
        <w:spacing w:after="0" w:line="276" w:lineRule="auto"/>
        <w:ind w:left="1530" w:hanging="540"/>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bidi="ar"/>
        </w:rPr>
        <w:t xml:space="preserve">2.2 </w:t>
      </w:r>
      <w:r w:rsidRPr="00C801D5">
        <w:rPr>
          <w:rStyle w:val="tlid-translation"/>
          <w:rFonts w:ascii="Times New Roman" w:hAnsi="Times New Roman" w:cs="Times New Roman"/>
          <w:b w:val="0"/>
          <w:bCs w:val="0"/>
          <w:sz w:val="24"/>
          <w:szCs w:val="24"/>
          <w:lang w:val="en" w:bidi="ar"/>
        </w:rPr>
        <w:t>When consolidating</w:t>
      </w:r>
      <w:r w:rsidRPr="00C801D5">
        <w:rPr>
          <w:rStyle w:val="tlid-translation"/>
          <w:rFonts w:ascii="Times New Roman" w:hAnsi="Times New Roman" w:cs="Times New Roman"/>
          <w:sz w:val="24"/>
          <w:szCs w:val="24"/>
          <w:lang w:val="en" w:bidi="ar"/>
        </w:rPr>
        <w:t xml:space="preserve"> </w:t>
      </w:r>
      <w:r w:rsidRPr="00C801D5">
        <w:rPr>
          <w:rStyle w:val="tlid-translation"/>
          <w:rFonts w:ascii="Times New Roman" w:hAnsi="Times New Roman" w:cs="Times New Roman"/>
          <w:b w:val="0"/>
          <w:bCs w:val="0"/>
          <w:sz w:val="24"/>
          <w:szCs w:val="24"/>
          <w:lang w:val="en" w:bidi="ar"/>
        </w:rPr>
        <w:t xml:space="preserve">the accounts of banks, securities companies and other financial companies owned by a majority (50% or more) or controlled (according to the definition of control mentioned in the accounting standards) </w:t>
      </w:r>
      <w:r w:rsidRPr="00C801D5">
        <w:rPr>
          <w:rStyle w:val="tlid-translation"/>
          <w:rFonts w:ascii="Times New Roman" w:hAnsi="Times New Roman" w:cs="Times New Roman"/>
          <w:b w:val="0"/>
          <w:bCs w:val="0"/>
          <w:sz w:val="24"/>
          <w:szCs w:val="24"/>
          <w:lang w:val="en" w:bidi="ar"/>
        </w:rPr>
        <w:lastRenderedPageBreak/>
        <w:t>from the bank with its financial accounts, and for the purposes of calculating the capital, the recognition of these companies’</w:t>
      </w:r>
      <w:r w:rsidR="00D63D4F">
        <w:rPr>
          <w:rStyle w:val="tlid-translation"/>
          <w:rFonts w:ascii="Times New Roman" w:hAnsi="Times New Roman" w:cs="Times New Roman"/>
          <w:b w:val="0"/>
          <w:bCs w:val="0"/>
          <w:sz w:val="24"/>
          <w:szCs w:val="24"/>
          <w:lang w:val="en" w:bidi="ar"/>
        </w:rPr>
        <w:t xml:space="preserve"> </w:t>
      </w:r>
      <w:r w:rsidRPr="00C801D5">
        <w:rPr>
          <w:rStyle w:val="tlid-translation"/>
          <w:rFonts w:ascii="Times New Roman" w:hAnsi="Times New Roman" w:cs="Times New Roman"/>
          <w:b w:val="0"/>
          <w:bCs w:val="0"/>
          <w:sz w:val="24"/>
          <w:szCs w:val="24"/>
          <w:lang w:val="en" w:bidi="ar"/>
        </w:rPr>
        <w:t>capital in the parent bank’s capital is subject to the guidelines for the recognition of minority interest. See clause (</w:t>
      </w:r>
      <w:r w:rsidR="00D63D4F">
        <w:rPr>
          <w:rStyle w:val="tlid-translation"/>
          <w:rFonts w:ascii="Times New Roman" w:hAnsi="Times New Roman" w:cs="Times New Roman"/>
          <w:b w:val="0"/>
          <w:bCs w:val="0"/>
          <w:sz w:val="24"/>
          <w:szCs w:val="24"/>
          <w:lang w:val="en" w:bidi="ar"/>
        </w:rPr>
        <w:t>third</w:t>
      </w:r>
      <w:r w:rsidR="008C5902">
        <w:rPr>
          <w:rStyle w:val="tlid-translation"/>
          <w:rFonts w:ascii="Times New Roman" w:hAnsi="Times New Roman" w:cs="Times New Roman"/>
          <w:b w:val="0"/>
          <w:bCs w:val="0"/>
          <w:sz w:val="24"/>
          <w:szCs w:val="24"/>
          <w:lang w:val="en" w:bidi="ar"/>
        </w:rPr>
        <w:t xml:space="preserve"> / 4) of c</w:t>
      </w:r>
      <w:r w:rsidRPr="00C801D5">
        <w:rPr>
          <w:rStyle w:val="tlid-translation"/>
          <w:rFonts w:ascii="Times New Roman" w:hAnsi="Times New Roman" w:cs="Times New Roman"/>
          <w:b w:val="0"/>
          <w:bCs w:val="0"/>
          <w:sz w:val="24"/>
          <w:szCs w:val="24"/>
          <w:lang w:val="en" w:bidi="ar"/>
        </w:rPr>
        <w:t xml:space="preserve">hapter </w:t>
      </w:r>
      <w:r w:rsidR="008C5902">
        <w:rPr>
          <w:rStyle w:val="tlid-translation"/>
          <w:rFonts w:ascii="Times New Roman" w:hAnsi="Times New Roman" w:cs="Times New Roman"/>
          <w:b w:val="0"/>
          <w:bCs w:val="0"/>
          <w:sz w:val="24"/>
          <w:szCs w:val="24"/>
          <w:lang w:val="en" w:bidi="ar"/>
        </w:rPr>
        <w:t>t</w:t>
      </w:r>
      <w:r w:rsidRPr="00C801D5">
        <w:rPr>
          <w:rStyle w:val="tlid-translation"/>
          <w:rFonts w:ascii="Times New Roman" w:hAnsi="Times New Roman" w:cs="Times New Roman"/>
          <w:b w:val="0"/>
          <w:bCs w:val="0"/>
          <w:sz w:val="24"/>
          <w:szCs w:val="24"/>
          <w:lang w:val="en" w:bidi="ar"/>
        </w:rPr>
        <w:t>wo.</w:t>
      </w:r>
    </w:p>
    <w:p w:rsidR="00DB2643" w:rsidRPr="00C801D5" w:rsidRDefault="00DB2643" w:rsidP="00D63D4F">
      <w:pPr>
        <w:bidi w:val="0"/>
        <w:spacing w:after="0" w:line="276" w:lineRule="auto"/>
        <w:ind w:left="1530" w:hanging="540"/>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val="en" w:bidi="ar"/>
        </w:rPr>
        <w:t>2.3</w:t>
      </w:r>
      <w:r w:rsidRPr="00C801D5">
        <w:rPr>
          <w:rStyle w:val="tlid-translation"/>
          <w:rFonts w:ascii="Times New Roman" w:hAnsi="Times New Roman" w:cs="Times New Roman"/>
          <w:b w:val="0"/>
          <w:bCs w:val="0"/>
          <w:sz w:val="24"/>
          <w:szCs w:val="24"/>
          <w:lang w:val="en" w:bidi="ar"/>
        </w:rPr>
        <w:tab/>
        <w:t xml:space="preserve">In the case of subsidiary companies (that </w:t>
      </w:r>
      <w:r w:rsidR="00C54C6C" w:rsidRPr="00C801D5">
        <w:rPr>
          <w:rStyle w:val="tlid-translation"/>
          <w:rFonts w:ascii="Times New Roman" w:hAnsi="Times New Roman" w:cs="Times New Roman"/>
          <w:b w:val="0"/>
          <w:bCs w:val="0"/>
          <w:sz w:val="24"/>
          <w:szCs w:val="24"/>
          <w:lang w:val="en" w:bidi="ar"/>
        </w:rPr>
        <w:t>consolidate</w:t>
      </w:r>
      <w:r w:rsidRPr="00C801D5">
        <w:rPr>
          <w:rStyle w:val="tlid-translation"/>
          <w:rFonts w:ascii="Times New Roman" w:hAnsi="Times New Roman" w:cs="Times New Roman"/>
          <w:b w:val="0"/>
          <w:bCs w:val="0"/>
          <w:sz w:val="24"/>
          <w:szCs w:val="24"/>
          <w:lang w:val="en" w:bidi="ar"/>
        </w:rPr>
        <w:t xml:space="preserve"> their </w:t>
      </w:r>
      <w:r w:rsidR="00D63D4F">
        <w:rPr>
          <w:rStyle w:val="tlid-translation"/>
          <w:rFonts w:ascii="Times New Roman" w:hAnsi="Times New Roman" w:cs="Times New Roman"/>
          <w:b w:val="0"/>
          <w:bCs w:val="0"/>
          <w:sz w:val="24"/>
          <w:szCs w:val="24"/>
          <w:lang w:val="en" w:bidi="ar"/>
        </w:rPr>
        <w:t>f</w:t>
      </w:r>
      <w:r w:rsidR="00D63D4F" w:rsidRPr="00C801D5">
        <w:rPr>
          <w:rStyle w:val="tlid-translation"/>
          <w:rFonts w:ascii="Times New Roman" w:hAnsi="Times New Roman" w:cs="Times New Roman"/>
          <w:b w:val="0"/>
          <w:bCs w:val="0"/>
          <w:sz w:val="24"/>
          <w:szCs w:val="24"/>
          <w:lang w:val="en" w:bidi="ar"/>
        </w:rPr>
        <w:t xml:space="preserve">inancial </w:t>
      </w:r>
      <w:r w:rsidR="00D63D4F">
        <w:rPr>
          <w:rStyle w:val="tlid-translation"/>
          <w:rFonts w:ascii="Times New Roman" w:hAnsi="Times New Roman" w:cs="Times New Roman"/>
          <w:b w:val="0"/>
          <w:bCs w:val="0"/>
          <w:sz w:val="24"/>
          <w:szCs w:val="24"/>
          <w:lang w:val="en" w:bidi="ar"/>
        </w:rPr>
        <w:t>statement</w:t>
      </w:r>
      <w:r w:rsidRPr="00C801D5">
        <w:rPr>
          <w:rStyle w:val="tlid-translation"/>
          <w:rFonts w:ascii="Times New Roman" w:hAnsi="Times New Roman" w:cs="Times New Roman"/>
          <w:b w:val="0"/>
          <w:bCs w:val="0"/>
          <w:sz w:val="24"/>
          <w:szCs w:val="24"/>
          <w:lang w:val="en" w:bidi="ar"/>
        </w:rPr>
        <w:t>) that have a deficit in the capital which was decided by the sup</w:t>
      </w:r>
      <w:r w:rsidR="00C54C6C" w:rsidRPr="00C801D5">
        <w:rPr>
          <w:rStyle w:val="tlid-translation"/>
          <w:rFonts w:ascii="Times New Roman" w:hAnsi="Times New Roman" w:cs="Times New Roman"/>
          <w:b w:val="0"/>
          <w:bCs w:val="0"/>
          <w:sz w:val="24"/>
          <w:szCs w:val="24"/>
          <w:lang w:val="en" w:bidi="ar"/>
        </w:rPr>
        <w:t>ervisory authority (the host), t</w:t>
      </w:r>
      <w:r w:rsidRPr="00C801D5">
        <w:rPr>
          <w:rStyle w:val="tlid-translation"/>
          <w:rFonts w:ascii="Times New Roman" w:hAnsi="Times New Roman" w:cs="Times New Roman"/>
          <w:b w:val="0"/>
          <w:bCs w:val="0"/>
          <w:sz w:val="24"/>
          <w:szCs w:val="24"/>
          <w:lang w:val="en" w:bidi="ar"/>
        </w:rPr>
        <w:t xml:space="preserve">he concerned licensed bank must directly inform the Central Bank of Jordan of this deficit. In turn, the Central Bank of Jordan will monitor the measures taken by that subsidiary company to </w:t>
      </w:r>
      <w:r w:rsidR="008C5902">
        <w:rPr>
          <w:rStyle w:val="tlid-translation"/>
          <w:rFonts w:ascii="Times New Roman" w:hAnsi="Times New Roman" w:cs="Times New Roman"/>
          <w:b w:val="0"/>
          <w:bCs w:val="0"/>
          <w:sz w:val="24"/>
          <w:szCs w:val="24"/>
          <w:lang w:val="en" w:bidi="ar"/>
        </w:rPr>
        <w:t>rectify</w:t>
      </w:r>
      <w:r w:rsidRPr="00C801D5">
        <w:rPr>
          <w:rStyle w:val="tlid-translation"/>
          <w:rFonts w:ascii="Times New Roman" w:hAnsi="Times New Roman" w:cs="Times New Roman"/>
          <w:b w:val="0"/>
          <w:bCs w:val="0"/>
          <w:sz w:val="24"/>
          <w:szCs w:val="24"/>
          <w:lang w:val="en" w:bidi="ar"/>
        </w:rPr>
        <w:t xml:space="preserve"> its situation. If the company does not correct during the period granted to the bank, this deficit will be subtracted from the regulatory capital of the licensed bank (the parent bank</w:t>
      </w:r>
      <w:r w:rsidR="00C54C6C" w:rsidRPr="00C801D5">
        <w:rPr>
          <w:rStyle w:val="tlid-translation"/>
          <w:rFonts w:ascii="Times New Roman" w:hAnsi="Times New Roman" w:cs="Times New Roman"/>
          <w:b w:val="0"/>
          <w:bCs w:val="0"/>
          <w:sz w:val="24"/>
          <w:szCs w:val="24"/>
          <w:lang w:val="en" w:bidi="ar"/>
        </w:rPr>
        <w:t>).</w:t>
      </w:r>
    </w:p>
    <w:p w:rsidR="00C54C6C" w:rsidRPr="00C801D5" w:rsidRDefault="00C54C6C" w:rsidP="00A2162A">
      <w:pPr>
        <w:bidi w:val="0"/>
        <w:spacing w:after="0" w:line="276" w:lineRule="auto"/>
        <w:ind w:left="990" w:hanging="564"/>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val="en" w:bidi="ar"/>
        </w:rPr>
        <w:t>3.</w:t>
      </w:r>
      <w:r w:rsidRPr="00C801D5">
        <w:rPr>
          <w:rStyle w:val="tlid-translation"/>
          <w:rFonts w:ascii="Times New Roman" w:hAnsi="Times New Roman" w:cs="Times New Roman"/>
          <w:b w:val="0"/>
          <w:bCs w:val="0"/>
          <w:sz w:val="24"/>
          <w:szCs w:val="24"/>
          <w:lang w:val="en" w:bidi="ar"/>
        </w:rPr>
        <w:tab/>
        <w:t>Investments in the capital of banks, financial companies and insurance companies that are not consolidated within the banking group:</w:t>
      </w:r>
    </w:p>
    <w:p w:rsidR="00C54C6C" w:rsidRPr="00C801D5" w:rsidRDefault="00C54C6C" w:rsidP="002629BE">
      <w:pPr>
        <w:bidi w:val="0"/>
        <w:spacing w:after="0" w:line="276" w:lineRule="auto"/>
        <w:ind w:left="1530" w:hanging="540"/>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val="en" w:bidi="ar"/>
        </w:rPr>
        <w:t>3.1</w:t>
      </w:r>
      <w:r w:rsidRPr="00C801D5">
        <w:rPr>
          <w:rStyle w:val="tlid-translation"/>
          <w:rFonts w:ascii="Times New Roman" w:hAnsi="Times New Roman" w:cs="Times New Roman"/>
          <w:b w:val="0"/>
          <w:bCs w:val="0"/>
          <w:sz w:val="24"/>
          <w:szCs w:val="24"/>
          <w:lang w:val="en" w:bidi="ar"/>
        </w:rPr>
        <w:tab/>
        <w:t>Investments</w:t>
      </w:r>
      <w:r w:rsidRPr="00C801D5">
        <w:rPr>
          <w:rStyle w:val="FootnoteReference"/>
          <w:rFonts w:ascii="Times New Roman" w:hAnsi="Times New Roman" w:cs="Times New Roman"/>
          <w:b w:val="0"/>
          <w:bCs w:val="0"/>
          <w:sz w:val="24"/>
          <w:szCs w:val="24"/>
          <w:lang w:val="en" w:bidi="ar"/>
        </w:rPr>
        <w:footnoteReference w:id="2"/>
      </w:r>
      <w:r w:rsidRPr="00C801D5">
        <w:rPr>
          <w:rStyle w:val="tlid-translation"/>
          <w:rFonts w:ascii="Times New Roman" w:hAnsi="Times New Roman" w:cs="Times New Roman"/>
          <w:b w:val="0"/>
          <w:bCs w:val="0"/>
          <w:sz w:val="24"/>
          <w:szCs w:val="24"/>
          <w:lang w:val="en" w:bidi="ar"/>
        </w:rPr>
        <w:t xml:space="preserve"> in the capital of banks, financial companies and insurance companies that are less than (10%) of the capital of these companies are </w:t>
      </w:r>
      <w:r w:rsidR="00002752" w:rsidRPr="00C801D5">
        <w:rPr>
          <w:rStyle w:val="tlid-translation"/>
          <w:rFonts w:ascii="Times New Roman" w:hAnsi="Times New Roman" w:cs="Times New Roman"/>
          <w:b w:val="0"/>
          <w:bCs w:val="0"/>
          <w:sz w:val="24"/>
          <w:szCs w:val="24"/>
          <w:lang w:val="en" w:bidi="ar"/>
        </w:rPr>
        <w:t>treated with as described in c</w:t>
      </w:r>
      <w:r w:rsidRPr="00C801D5">
        <w:rPr>
          <w:rStyle w:val="tlid-translation"/>
          <w:rFonts w:ascii="Times New Roman" w:hAnsi="Times New Roman" w:cs="Times New Roman"/>
          <w:b w:val="0"/>
          <w:bCs w:val="0"/>
          <w:sz w:val="24"/>
          <w:szCs w:val="24"/>
          <w:lang w:val="en" w:bidi="ar"/>
        </w:rPr>
        <w:t>lause (</w:t>
      </w:r>
      <w:r w:rsidR="00002752" w:rsidRPr="00C801D5">
        <w:rPr>
          <w:rStyle w:val="tlid-translation"/>
          <w:rFonts w:ascii="Times New Roman" w:hAnsi="Times New Roman" w:cs="Times New Roman"/>
          <w:b w:val="0"/>
          <w:bCs w:val="0"/>
          <w:sz w:val="24"/>
          <w:szCs w:val="24"/>
          <w:lang w:val="en" w:bidi="ar"/>
        </w:rPr>
        <w:t>f</w:t>
      </w:r>
      <w:r w:rsidRPr="00C801D5">
        <w:rPr>
          <w:rStyle w:val="tlid-translation"/>
          <w:rFonts w:ascii="Times New Roman" w:hAnsi="Times New Roman" w:cs="Times New Roman"/>
          <w:b w:val="0"/>
          <w:bCs w:val="0"/>
          <w:sz w:val="24"/>
          <w:szCs w:val="24"/>
          <w:lang w:val="en" w:bidi="ar"/>
        </w:rPr>
        <w:t xml:space="preserve">ourth / 10) of </w:t>
      </w:r>
      <w:r w:rsidR="002629BE">
        <w:rPr>
          <w:rStyle w:val="tlid-translation"/>
          <w:rFonts w:ascii="Times New Roman" w:hAnsi="Times New Roman" w:cs="Times New Roman"/>
          <w:b w:val="0"/>
          <w:bCs w:val="0"/>
          <w:sz w:val="24"/>
          <w:szCs w:val="24"/>
          <w:lang w:val="en" w:bidi="ar"/>
        </w:rPr>
        <w:t>c</w:t>
      </w:r>
      <w:r w:rsidRPr="00C801D5">
        <w:rPr>
          <w:rStyle w:val="tlid-translation"/>
          <w:rFonts w:ascii="Times New Roman" w:hAnsi="Times New Roman" w:cs="Times New Roman"/>
          <w:b w:val="0"/>
          <w:bCs w:val="0"/>
          <w:sz w:val="24"/>
          <w:szCs w:val="24"/>
          <w:lang w:val="en" w:bidi="ar"/>
        </w:rPr>
        <w:t xml:space="preserve">hapter </w:t>
      </w:r>
      <w:r w:rsidR="002629BE">
        <w:rPr>
          <w:rStyle w:val="tlid-translation"/>
          <w:rFonts w:ascii="Times New Roman" w:hAnsi="Times New Roman" w:cs="Times New Roman"/>
          <w:b w:val="0"/>
          <w:bCs w:val="0"/>
          <w:sz w:val="24"/>
          <w:szCs w:val="24"/>
          <w:lang w:val="en" w:bidi="ar"/>
        </w:rPr>
        <w:t>t</w:t>
      </w:r>
      <w:r w:rsidRPr="00C801D5">
        <w:rPr>
          <w:rStyle w:val="tlid-translation"/>
          <w:rFonts w:ascii="Times New Roman" w:hAnsi="Times New Roman" w:cs="Times New Roman"/>
          <w:b w:val="0"/>
          <w:bCs w:val="0"/>
          <w:sz w:val="24"/>
          <w:szCs w:val="24"/>
          <w:lang w:val="en" w:bidi="ar"/>
        </w:rPr>
        <w:t>wo.</w:t>
      </w:r>
    </w:p>
    <w:p w:rsidR="00002752" w:rsidRPr="00C801D5" w:rsidRDefault="00002752" w:rsidP="00A2162A">
      <w:pPr>
        <w:bidi w:val="0"/>
        <w:spacing w:after="0" w:line="276" w:lineRule="auto"/>
        <w:ind w:left="1530" w:hanging="540"/>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val="en" w:bidi="ar"/>
        </w:rPr>
        <w:t>3.2</w:t>
      </w:r>
      <w:r w:rsidRPr="00C801D5">
        <w:rPr>
          <w:rStyle w:val="tlid-translation"/>
          <w:rFonts w:ascii="Times New Roman" w:hAnsi="Times New Roman" w:cs="Times New Roman"/>
          <w:b w:val="0"/>
          <w:bCs w:val="0"/>
          <w:sz w:val="24"/>
          <w:szCs w:val="24"/>
          <w:lang w:val="en" w:bidi="ar"/>
        </w:rPr>
        <w:tab/>
        <w:t>Investments in the capital of banks, financial companies and insurance companies that exceed (10%) of the capital of these companies are treated with as descri</w:t>
      </w:r>
      <w:r w:rsidR="002629BE">
        <w:rPr>
          <w:rStyle w:val="tlid-translation"/>
          <w:rFonts w:ascii="Times New Roman" w:hAnsi="Times New Roman" w:cs="Times New Roman"/>
          <w:b w:val="0"/>
          <w:bCs w:val="0"/>
          <w:sz w:val="24"/>
          <w:szCs w:val="24"/>
          <w:lang w:val="en" w:bidi="ar"/>
        </w:rPr>
        <w:t>bed in clause (fourth / 11) of chapter t</w:t>
      </w:r>
      <w:r w:rsidRPr="00C801D5">
        <w:rPr>
          <w:rStyle w:val="tlid-translation"/>
          <w:rFonts w:ascii="Times New Roman" w:hAnsi="Times New Roman" w:cs="Times New Roman"/>
          <w:b w:val="0"/>
          <w:bCs w:val="0"/>
          <w:sz w:val="24"/>
          <w:szCs w:val="24"/>
          <w:lang w:val="en" w:bidi="ar"/>
        </w:rPr>
        <w:t>wo.</w:t>
      </w:r>
    </w:p>
    <w:p w:rsidR="00002752" w:rsidRPr="00C801D5" w:rsidRDefault="00002752" w:rsidP="00D63D4F">
      <w:pPr>
        <w:bidi w:val="0"/>
        <w:spacing w:after="0" w:line="276" w:lineRule="auto"/>
        <w:ind w:left="1530" w:hanging="540"/>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val="en" w:bidi="ar"/>
        </w:rPr>
        <w:t>3.3</w:t>
      </w:r>
      <w:r w:rsidRPr="00C801D5">
        <w:rPr>
          <w:rStyle w:val="tlid-translation"/>
          <w:rFonts w:ascii="Times New Roman" w:hAnsi="Times New Roman" w:cs="Times New Roman"/>
          <w:b w:val="0"/>
          <w:bCs w:val="0"/>
          <w:sz w:val="24"/>
          <w:szCs w:val="24"/>
          <w:lang w:val="en" w:bidi="ar"/>
        </w:rPr>
        <w:tab/>
        <w:t xml:space="preserve">When </w:t>
      </w:r>
      <w:r w:rsidRPr="00D63D4F">
        <w:rPr>
          <w:rStyle w:val="tlid-translation"/>
          <w:rFonts w:ascii="Times New Roman" w:hAnsi="Times New Roman" w:cs="Times New Roman"/>
          <w:b w:val="0"/>
          <w:bCs w:val="0"/>
          <w:sz w:val="24"/>
          <w:szCs w:val="24"/>
          <w:lang w:val="en" w:bidi="ar"/>
        </w:rPr>
        <w:t>consolidating</w:t>
      </w:r>
      <w:r w:rsidRPr="00C801D5">
        <w:rPr>
          <w:rStyle w:val="tlid-translation"/>
          <w:rFonts w:ascii="Times New Roman" w:hAnsi="Times New Roman" w:cs="Times New Roman"/>
          <w:sz w:val="24"/>
          <w:szCs w:val="24"/>
          <w:lang w:val="en" w:bidi="ar"/>
        </w:rPr>
        <w:t xml:space="preserve"> </w:t>
      </w:r>
      <w:r w:rsidRPr="00C801D5">
        <w:rPr>
          <w:rStyle w:val="tlid-translation"/>
          <w:rFonts w:ascii="Times New Roman" w:hAnsi="Times New Roman" w:cs="Times New Roman"/>
          <w:b w:val="0"/>
          <w:bCs w:val="0"/>
          <w:sz w:val="24"/>
          <w:szCs w:val="24"/>
          <w:lang w:val="en" w:bidi="ar"/>
        </w:rPr>
        <w:t>insurance company accou</w:t>
      </w:r>
      <w:r w:rsidR="00D63D4F">
        <w:rPr>
          <w:rStyle w:val="tlid-translation"/>
          <w:rFonts w:ascii="Times New Roman" w:hAnsi="Times New Roman" w:cs="Times New Roman"/>
          <w:b w:val="0"/>
          <w:bCs w:val="0"/>
          <w:sz w:val="24"/>
          <w:szCs w:val="24"/>
          <w:lang w:val="en" w:bidi="ar"/>
        </w:rPr>
        <w:t>nts that are majority owned and/</w:t>
      </w:r>
      <w:r w:rsidRPr="00C801D5">
        <w:rPr>
          <w:rStyle w:val="tlid-translation"/>
          <w:rFonts w:ascii="Times New Roman" w:hAnsi="Times New Roman" w:cs="Times New Roman"/>
          <w:b w:val="0"/>
          <w:bCs w:val="0"/>
          <w:sz w:val="24"/>
          <w:szCs w:val="24"/>
          <w:lang w:val="en" w:bidi="ar"/>
        </w:rPr>
        <w:t xml:space="preserve">or controlled by the bank. The Central Bank of Jordan will only allow recognition of </w:t>
      </w:r>
      <w:r w:rsidR="00572E43" w:rsidRPr="00C801D5">
        <w:rPr>
          <w:rStyle w:val="tlid-translation"/>
          <w:rFonts w:ascii="Times New Roman" w:hAnsi="Times New Roman" w:cs="Times New Roman"/>
          <w:b w:val="0"/>
          <w:bCs w:val="0"/>
          <w:sz w:val="24"/>
          <w:szCs w:val="24"/>
          <w:lang w:val="en" w:bidi="ar"/>
        </w:rPr>
        <w:t xml:space="preserve">the surplus </w:t>
      </w:r>
      <w:r w:rsidR="004A5968" w:rsidRPr="00C801D5">
        <w:rPr>
          <w:rStyle w:val="tlid-translation"/>
          <w:rFonts w:ascii="Times New Roman" w:hAnsi="Times New Roman" w:cs="Times New Roman"/>
          <w:b w:val="0"/>
          <w:bCs w:val="0"/>
          <w:sz w:val="24"/>
          <w:szCs w:val="24"/>
          <w:lang w:val="en" w:bidi="ar"/>
        </w:rPr>
        <w:t xml:space="preserve">in the </w:t>
      </w:r>
      <w:r w:rsidR="00572E43" w:rsidRPr="00C801D5">
        <w:rPr>
          <w:rStyle w:val="tlid-translation"/>
          <w:rFonts w:ascii="Times New Roman" w:hAnsi="Times New Roman" w:cs="Times New Roman"/>
          <w:b w:val="0"/>
          <w:bCs w:val="0"/>
          <w:sz w:val="24"/>
          <w:szCs w:val="24"/>
          <w:lang w:val="en" w:bidi="ar"/>
        </w:rPr>
        <w:t xml:space="preserve">insurance companies </w:t>
      </w:r>
      <w:r w:rsidR="004A5968" w:rsidRPr="00C801D5">
        <w:rPr>
          <w:rStyle w:val="tlid-translation"/>
          <w:rFonts w:ascii="Times New Roman" w:hAnsi="Times New Roman" w:cs="Times New Roman"/>
          <w:b w:val="0"/>
          <w:bCs w:val="0"/>
          <w:sz w:val="24"/>
          <w:szCs w:val="24"/>
          <w:lang w:val="en" w:bidi="ar"/>
        </w:rPr>
        <w:t xml:space="preserve">capital </w:t>
      </w:r>
      <w:r w:rsidRPr="00C801D5">
        <w:rPr>
          <w:rStyle w:val="tlid-translation"/>
          <w:rFonts w:ascii="Times New Roman" w:hAnsi="Times New Roman" w:cs="Times New Roman"/>
          <w:b w:val="0"/>
          <w:bCs w:val="0"/>
          <w:sz w:val="24"/>
          <w:szCs w:val="24"/>
          <w:lang w:val="en" w:bidi="ar"/>
        </w:rPr>
        <w:t>(which is the amount that exceeds the regulatory capital required of the insurance company) under certain conditions</w:t>
      </w:r>
      <w:r w:rsidR="00572E43" w:rsidRPr="00C801D5">
        <w:rPr>
          <w:rStyle w:val="FootnoteReference"/>
          <w:rFonts w:ascii="Times New Roman" w:hAnsi="Times New Roman" w:cs="Times New Roman"/>
          <w:b w:val="0"/>
          <w:bCs w:val="0"/>
          <w:sz w:val="24"/>
          <w:szCs w:val="24"/>
          <w:lang w:val="en" w:bidi="ar"/>
        </w:rPr>
        <w:footnoteReference w:id="3"/>
      </w:r>
      <w:r w:rsidRPr="00C801D5">
        <w:rPr>
          <w:rStyle w:val="tlid-translation"/>
          <w:rFonts w:ascii="Times New Roman" w:hAnsi="Times New Roman" w:cs="Times New Roman"/>
          <w:b w:val="0"/>
          <w:bCs w:val="0"/>
          <w:sz w:val="24"/>
          <w:szCs w:val="24"/>
          <w:lang w:val="en" w:bidi="ar"/>
        </w:rPr>
        <w:t xml:space="preserve"> within the regulatory capital of the licensed bank, as indicated in Minority </w:t>
      </w:r>
      <w:r w:rsidR="00572E43" w:rsidRPr="00C801D5">
        <w:rPr>
          <w:rStyle w:val="tlid-translation"/>
          <w:rFonts w:ascii="Times New Roman" w:hAnsi="Times New Roman" w:cs="Times New Roman"/>
          <w:b w:val="0"/>
          <w:bCs w:val="0"/>
          <w:sz w:val="24"/>
          <w:szCs w:val="24"/>
          <w:lang w:val="en" w:bidi="ar"/>
        </w:rPr>
        <w:t>Interests c</w:t>
      </w:r>
      <w:r w:rsidRPr="00C801D5">
        <w:rPr>
          <w:rStyle w:val="tlid-translation"/>
          <w:rFonts w:ascii="Times New Roman" w:hAnsi="Times New Roman" w:cs="Times New Roman"/>
          <w:b w:val="0"/>
          <w:bCs w:val="0"/>
          <w:sz w:val="24"/>
          <w:szCs w:val="24"/>
          <w:lang w:val="en" w:bidi="ar"/>
        </w:rPr>
        <w:t xml:space="preserve">lause </w:t>
      </w:r>
      <w:r w:rsidR="00572E43" w:rsidRPr="00C801D5">
        <w:rPr>
          <w:rStyle w:val="tlid-translation"/>
          <w:rFonts w:ascii="Times New Roman" w:hAnsi="Times New Roman" w:cs="Times New Roman"/>
          <w:b w:val="0"/>
          <w:bCs w:val="0"/>
          <w:sz w:val="24"/>
          <w:szCs w:val="24"/>
          <w:lang w:val="en" w:bidi="ar"/>
        </w:rPr>
        <w:t>n</w:t>
      </w:r>
      <w:r w:rsidRPr="00C801D5">
        <w:rPr>
          <w:rStyle w:val="tlid-translation"/>
          <w:rFonts w:ascii="Times New Roman" w:hAnsi="Times New Roman" w:cs="Times New Roman"/>
          <w:b w:val="0"/>
          <w:bCs w:val="0"/>
          <w:sz w:val="24"/>
          <w:szCs w:val="24"/>
          <w:lang w:val="en" w:bidi="ar"/>
        </w:rPr>
        <w:t>o. (</w:t>
      </w:r>
      <w:r w:rsidR="00572E43" w:rsidRPr="00C801D5">
        <w:rPr>
          <w:rStyle w:val="tlid-translation"/>
          <w:rFonts w:ascii="Times New Roman" w:hAnsi="Times New Roman" w:cs="Times New Roman"/>
          <w:b w:val="0"/>
          <w:bCs w:val="0"/>
          <w:sz w:val="24"/>
          <w:szCs w:val="24"/>
          <w:lang w:val="en" w:bidi="ar"/>
        </w:rPr>
        <w:t>third / 4) of Chapter Two.</w:t>
      </w:r>
      <w:r w:rsidRPr="00C801D5">
        <w:rPr>
          <w:rStyle w:val="tlid-translation"/>
          <w:rFonts w:ascii="Times New Roman" w:hAnsi="Times New Roman" w:cs="Times New Roman"/>
          <w:b w:val="0"/>
          <w:bCs w:val="0"/>
          <w:sz w:val="24"/>
          <w:szCs w:val="24"/>
          <w:lang w:val="en" w:bidi="ar"/>
        </w:rPr>
        <w:t xml:space="preserve"> The banks that have recognized the surplus in the capital of the subsidiary insurance companies must disclose to the public the amount of this surplus</w:t>
      </w:r>
      <w:r w:rsidR="00572E43" w:rsidRPr="00C801D5">
        <w:rPr>
          <w:rStyle w:val="tlid-translation"/>
          <w:rFonts w:ascii="Times New Roman" w:hAnsi="Times New Roman" w:cs="Times New Roman"/>
          <w:b w:val="0"/>
          <w:bCs w:val="0"/>
          <w:sz w:val="24"/>
          <w:szCs w:val="24"/>
          <w:lang w:val="en" w:bidi="ar"/>
        </w:rPr>
        <w:t>.</w:t>
      </w:r>
      <w:r w:rsidRPr="00C801D5">
        <w:rPr>
          <w:rStyle w:val="tlid-translation"/>
          <w:rFonts w:ascii="Times New Roman" w:hAnsi="Times New Roman" w:cs="Times New Roman"/>
          <w:b w:val="0"/>
          <w:bCs w:val="0"/>
          <w:sz w:val="24"/>
          <w:szCs w:val="24"/>
          <w:lang w:val="en" w:bidi="ar"/>
        </w:rPr>
        <w:t xml:space="preserve"> Note that if the bank’s ownership in the insurance company’s capital (more than 50% and less than 100%)</w:t>
      </w:r>
      <w:r w:rsidR="00D63D4F">
        <w:rPr>
          <w:rStyle w:val="tlid-translation"/>
          <w:rFonts w:ascii="Times New Roman" w:hAnsi="Times New Roman" w:cs="Times New Roman"/>
          <w:b w:val="0"/>
          <w:bCs w:val="0"/>
          <w:sz w:val="24"/>
          <w:szCs w:val="24"/>
          <w:lang w:val="en" w:bidi="ar"/>
        </w:rPr>
        <w:t>, then</w:t>
      </w:r>
      <w:r w:rsidRPr="00C801D5">
        <w:rPr>
          <w:rStyle w:val="tlid-translation"/>
          <w:rFonts w:ascii="Times New Roman" w:hAnsi="Times New Roman" w:cs="Times New Roman"/>
          <w:b w:val="0"/>
          <w:bCs w:val="0"/>
          <w:sz w:val="24"/>
          <w:szCs w:val="24"/>
          <w:lang w:val="en" w:bidi="ar"/>
        </w:rPr>
        <w:t xml:space="preserve"> the </w:t>
      </w:r>
      <w:r w:rsidR="00D63D4F" w:rsidRPr="00C801D5">
        <w:rPr>
          <w:rStyle w:val="tlid-translation"/>
          <w:rFonts w:ascii="Times New Roman" w:hAnsi="Times New Roman" w:cs="Times New Roman"/>
          <w:b w:val="0"/>
          <w:bCs w:val="0"/>
          <w:sz w:val="24"/>
          <w:szCs w:val="24"/>
          <w:lang w:val="en" w:bidi="ar"/>
        </w:rPr>
        <w:t xml:space="preserve">recognized </w:t>
      </w:r>
      <w:r w:rsidRPr="00C801D5">
        <w:rPr>
          <w:rStyle w:val="tlid-translation"/>
          <w:rFonts w:ascii="Times New Roman" w:hAnsi="Times New Roman" w:cs="Times New Roman"/>
          <w:b w:val="0"/>
          <w:bCs w:val="0"/>
          <w:sz w:val="24"/>
          <w:szCs w:val="24"/>
          <w:lang w:val="en" w:bidi="ar"/>
        </w:rPr>
        <w:t xml:space="preserve">surplus must be proportional to the ownership percentage. </w:t>
      </w:r>
      <w:r w:rsidR="00D63D4F">
        <w:rPr>
          <w:rStyle w:val="tlid-translation"/>
          <w:rFonts w:ascii="Times New Roman" w:hAnsi="Times New Roman" w:cs="Times New Roman"/>
          <w:b w:val="0"/>
          <w:bCs w:val="0"/>
          <w:sz w:val="24"/>
          <w:szCs w:val="24"/>
          <w:lang w:val="en" w:bidi="ar"/>
        </w:rPr>
        <w:t>F</w:t>
      </w:r>
      <w:r w:rsidRPr="00C801D5">
        <w:rPr>
          <w:rStyle w:val="tlid-translation"/>
          <w:rFonts w:ascii="Times New Roman" w:hAnsi="Times New Roman" w:cs="Times New Roman"/>
          <w:b w:val="0"/>
          <w:bCs w:val="0"/>
          <w:sz w:val="24"/>
          <w:szCs w:val="24"/>
          <w:lang w:val="en" w:bidi="ar"/>
        </w:rPr>
        <w:t xml:space="preserve">or the surplus in </w:t>
      </w:r>
      <w:r w:rsidR="00D63D4F" w:rsidRPr="00C801D5">
        <w:rPr>
          <w:rStyle w:val="tlid-translation"/>
          <w:rFonts w:ascii="Times New Roman" w:hAnsi="Times New Roman" w:cs="Times New Roman"/>
          <w:b w:val="0"/>
          <w:bCs w:val="0"/>
          <w:sz w:val="24"/>
          <w:szCs w:val="24"/>
          <w:lang w:val="en" w:bidi="ar"/>
        </w:rPr>
        <w:t xml:space="preserve">insurance </w:t>
      </w:r>
      <w:r w:rsidR="00494679" w:rsidRPr="00C801D5">
        <w:rPr>
          <w:rStyle w:val="tlid-translation"/>
          <w:rFonts w:ascii="Times New Roman" w:hAnsi="Times New Roman" w:cs="Times New Roman"/>
          <w:b w:val="0"/>
          <w:bCs w:val="0"/>
          <w:sz w:val="24"/>
          <w:szCs w:val="24"/>
          <w:lang w:val="en" w:bidi="ar"/>
        </w:rPr>
        <w:t>companies’</w:t>
      </w:r>
      <w:r w:rsidR="00D63D4F" w:rsidRPr="00C801D5">
        <w:rPr>
          <w:rStyle w:val="tlid-translation"/>
          <w:rFonts w:ascii="Times New Roman" w:hAnsi="Times New Roman" w:cs="Times New Roman"/>
          <w:b w:val="0"/>
          <w:bCs w:val="0"/>
          <w:sz w:val="24"/>
          <w:szCs w:val="24"/>
          <w:lang w:val="en" w:bidi="ar"/>
        </w:rPr>
        <w:t xml:space="preserve"> </w:t>
      </w:r>
      <w:r w:rsidRPr="00C801D5">
        <w:rPr>
          <w:rStyle w:val="tlid-translation"/>
          <w:rFonts w:ascii="Times New Roman" w:hAnsi="Times New Roman" w:cs="Times New Roman"/>
          <w:b w:val="0"/>
          <w:bCs w:val="0"/>
          <w:sz w:val="24"/>
          <w:szCs w:val="24"/>
          <w:lang w:val="en" w:bidi="ar"/>
        </w:rPr>
        <w:t xml:space="preserve">capital which the bank owns minority </w:t>
      </w:r>
      <w:r w:rsidR="004A5968" w:rsidRPr="00C801D5">
        <w:rPr>
          <w:rStyle w:val="tlid-translation"/>
          <w:rFonts w:ascii="Times New Roman" w:hAnsi="Times New Roman" w:cs="Times New Roman"/>
          <w:b w:val="0"/>
          <w:bCs w:val="0"/>
          <w:sz w:val="24"/>
          <w:szCs w:val="24"/>
          <w:lang w:val="en" w:bidi="ar"/>
        </w:rPr>
        <w:t>interest</w:t>
      </w:r>
      <w:r w:rsidRPr="00C801D5">
        <w:rPr>
          <w:rStyle w:val="tlid-translation"/>
          <w:rFonts w:ascii="Times New Roman" w:hAnsi="Times New Roman" w:cs="Times New Roman"/>
          <w:b w:val="0"/>
          <w:bCs w:val="0"/>
          <w:sz w:val="24"/>
          <w:szCs w:val="24"/>
          <w:lang w:val="en" w:bidi="ar"/>
        </w:rPr>
        <w:t xml:space="preserve"> and </w:t>
      </w:r>
      <w:r w:rsidR="004A5968" w:rsidRPr="00C801D5">
        <w:rPr>
          <w:rStyle w:val="tlid-translation"/>
          <w:rFonts w:ascii="Times New Roman" w:hAnsi="Times New Roman" w:cs="Times New Roman"/>
          <w:b w:val="0"/>
          <w:bCs w:val="0"/>
          <w:sz w:val="24"/>
          <w:szCs w:val="24"/>
          <w:lang w:val="en" w:bidi="ar"/>
        </w:rPr>
        <w:t xml:space="preserve">not </w:t>
      </w:r>
      <w:r w:rsidR="00D63D4F">
        <w:rPr>
          <w:rStyle w:val="tlid-translation"/>
          <w:rFonts w:ascii="Times New Roman" w:hAnsi="Times New Roman" w:cs="Times New Roman"/>
          <w:b w:val="0"/>
          <w:bCs w:val="0"/>
          <w:sz w:val="24"/>
          <w:szCs w:val="24"/>
          <w:lang w:val="en" w:bidi="ar"/>
        </w:rPr>
        <w:t>major</w:t>
      </w:r>
      <w:r w:rsidR="004A5968" w:rsidRPr="00C801D5">
        <w:rPr>
          <w:rStyle w:val="tlid-translation"/>
          <w:rFonts w:ascii="Times New Roman" w:hAnsi="Times New Roman" w:cs="Times New Roman"/>
          <w:b w:val="0"/>
          <w:bCs w:val="0"/>
          <w:sz w:val="24"/>
          <w:szCs w:val="24"/>
          <w:lang w:val="en" w:bidi="ar"/>
        </w:rPr>
        <w:t xml:space="preserve"> to the bank</w:t>
      </w:r>
      <w:r w:rsidRPr="00C801D5">
        <w:rPr>
          <w:rStyle w:val="tlid-translation"/>
          <w:rFonts w:ascii="Times New Roman" w:hAnsi="Times New Roman" w:cs="Times New Roman"/>
          <w:b w:val="0"/>
          <w:bCs w:val="0"/>
          <w:sz w:val="24"/>
          <w:szCs w:val="24"/>
          <w:lang w:val="en" w:bidi="ar"/>
        </w:rPr>
        <w:t xml:space="preserve">, it will not be recognized, as the bank does not have the ability to transfer the surplus in the capital of these companies because </w:t>
      </w:r>
      <w:r w:rsidR="004A5968" w:rsidRPr="00C801D5">
        <w:rPr>
          <w:rStyle w:val="tlid-translation"/>
          <w:rFonts w:ascii="Times New Roman" w:hAnsi="Times New Roman" w:cs="Times New Roman"/>
          <w:b w:val="0"/>
          <w:bCs w:val="0"/>
          <w:sz w:val="24"/>
          <w:szCs w:val="24"/>
          <w:lang w:val="en" w:bidi="ar"/>
        </w:rPr>
        <w:t>the bank has no control over that.</w:t>
      </w:r>
    </w:p>
    <w:p w:rsidR="00423ABA" w:rsidRPr="00C801D5" w:rsidRDefault="00423ABA" w:rsidP="00D63D4F">
      <w:pPr>
        <w:bidi w:val="0"/>
        <w:spacing w:after="0" w:line="276" w:lineRule="auto"/>
        <w:ind w:left="1530" w:hanging="540"/>
        <w:rPr>
          <w:rStyle w:val="tlid-translation"/>
          <w:rFonts w:ascii="Times New Roman" w:hAnsi="Times New Roman" w:cs="Times New Roman"/>
          <w:sz w:val="24"/>
          <w:szCs w:val="24"/>
          <w:rtl/>
          <w:lang w:val="en"/>
        </w:rPr>
      </w:pPr>
      <w:r w:rsidRPr="00C801D5">
        <w:rPr>
          <w:rStyle w:val="tlid-translation"/>
          <w:rFonts w:ascii="Times New Roman" w:hAnsi="Times New Roman" w:cs="Times New Roman"/>
          <w:b w:val="0"/>
          <w:bCs w:val="0"/>
          <w:sz w:val="24"/>
          <w:szCs w:val="24"/>
          <w:lang w:val="en" w:bidi="ar"/>
        </w:rPr>
        <w:lastRenderedPageBreak/>
        <w:t>3.4</w:t>
      </w:r>
      <w:r w:rsidRPr="00C801D5">
        <w:rPr>
          <w:rStyle w:val="tlid-translation"/>
          <w:rFonts w:ascii="Times New Roman" w:hAnsi="Times New Roman" w:cs="Times New Roman"/>
          <w:b w:val="0"/>
          <w:bCs w:val="0"/>
          <w:sz w:val="24"/>
          <w:szCs w:val="24"/>
          <w:lang w:val="en" w:bidi="ar"/>
        </w:rPr>
        <w:tab/>
        <w:t xml:space="preserve">In the case of subsidiary insurance companies (which consolidate their </w:t>
      </w:r>
      <w:r w:rsidR="00D63D4F">
        <w:rPr>
          <w:rStyle w:val="tlid-translation"/>
          <w:rFonts w:ascii="Times New Roman" w:hAnsi="Times New Roman" w:cs="Times New Roman"/>
          <w:b w:val="0"/>
          <w:bCs w:val="0"/>
          <w:sz w:val="24"/>
          <w:szCs w:val="24"/>
          <w:lang w:val="en" w:bidi="ar"/>
        </w:rPr>
        <w:t>f</w:t>
      </w:r>
      <w:r w:rsidR="00D63D4F" w:rsidRPr="00C801D5">
        <w:rPr>
          <w:rStyle w:val="tlid-translation"/>
          <w:rFonts w:ascii="Times New Roman" w:hAnsi="Times New Roman" w:cs="Times New Roman"/>
          <w:b w:val="0"/>
          <w:bCs w:val="0"/>
          <w:sz w:val="24"/>
          <w:szCs w:val="24"/>
          <w:lang w:val="en" w:bidi="ar"/>
        </w:rPr>
        <w:t xml:space="preserve">inancial </w:t>
      </w:r>
      <w:r w:rsidR="00D63D4F">
        <w:rPr>
          <w:rStyle w:val="tlid-translation"/>
          <w:rFonts w:ascii="Times New Roman" w:hAnsi="Times New Roman" w:cs="Times New Roman"/>
          <w:b w:val="0"/>
          <w:bCs w:val="0"/>
          <w:sz w:val="24"/>
          <w:szCs w:val="24"/>
          <w:lang w:val="en" w:bidi="ar"/>
        </w:rPr>
        <w:t>statement</w:t>
      </w:r>
      <w:r w:rsidRPr="00C801D5">
        <w:rPr>
          <w:rStyle w:val="tlid-translation"/>
          <w:rFonts w:ascii="Times New Roman" w:hAnsi="Times New Roman" w:cs="Times New Roman"/>
          <w:b w:val="0"/>
          <w:bCs w:val="0"/>
          <w:sz w:val="24"/>
          <w:szCs w:val="24"/>
          <w:lang w:val="en" w:bidi="ar"/>
        </w:rPr>
        <w:t>) that have a deficit in the capital, which was decided by the supervisory authority. The concerned licensed bank must directly inform the Central Bank of Jordan of this deficit. In turn, the Central Bank of Jordan will monitor the measures taken by that subsidiary co</w:t>
      </w:r>
      <w:r w:rsidR="00AF467F" w:rsidRPr="00C801D5">
        <w:rPr>
          <w:rStyle w:val="tlid-translation"/>
          <w:rFonts w:ascii="Times New Roman" w:hAnsi="Times New Roman" w:cs="Times New Roman"/>
          <w:b w:val="0"/>
          <w:bCs w:val="0"/>
          <w:sz w:val="24"/>
          <w:szCs w:val="24"/>
          <w:lang w:val="en" w:bidi="ar"/>
        </w:rPr>
        <w:t>mpany to correct its position. If</w:t>
      </w:r>
      <w:r w:rsidRPr="00C801D5">
        <w:rPr>
          <w:rStyle w:val="tlid-translation"/>
          <w:rFonts w:ascii="Times New Roman" w:hAnsi="Times New Roman" w:cs="Times New Roman"/>
          <w:b w:val="0"/>
          <w:bCs w:val="0"/>
          <w:sz w:val="24"/>
          <w:szCs w:val="24"/>
          <w:lang w:val="en" w:bidi="ar"/>
        </w:rPr>
        <w:t xml:space="preserve"> </w:t>
      </w:r>
      <w:r w:rsidR="00AF467F" w:rsidRPr="00C801D5">
        <w:rPr>
          <w:rStyle w:val="tlid-translation"/>
          <w:rFonts w:ascii="Times New Roman" w:hAnsi="Times New Roman" w:cs="Times New Roman"/>
          <w:b w:val="0"/>
          <w:bCs w:val="0"/>
          <w:sz w:val="24"/>
          <w:szCs w:val="24"/>
          <w:lang w:val="en" w:bidi="ar"/>
        </w:rPr>
        <w:t>the company</w:t>
      </w:r>
      <w:r w:rsidRPr="00C801D5">
        <w:rPr>
          <w:rStyle w:val="tlid-translation"/>
          <w:rFonts w:ascii="Times New Roman" w:hAnsi="Times New Roman" w:cs="Times New Roman"/>
          <w:b w:val="0"/>
          <w:bCs w:val="0"/>
          <w:sz w:val="24"/>
          <w:szCs w:val="24"/>
          <w:lang w:val="en" w:bidi="ar"/>
        </w:rPr>
        <w:t xml:space="preserve"> </w:t>
      </w:r>
      <w:r w:rsidR="00AF467F" w:rsidRPr="00C801D5">
        <w:rPr>
          <w:rStyle w:val="tlid-translation"/>
          <w:rFonts w:ascii="Times New Roman" w:hAnsi="Times New Roman" w:cs="Times New Roman"/>
          <w:b w:val="0"/>
          <w:bCs w:val="0"/>
          <w:sz w:val="24"/>
          <w:szCs w:val="24"/>
          <w:lang w:val="en" w:bidi="ar"/>
        </w:rPr>
        <w:t>does not rectify its positions during the period granted to the bank, this deficit will be subtracted from the regulatory capital of the licensed bank (the parent bank).</w:t>
      </w:r>
    </w:p>
    <w:p w:rsidR="00AF467F" w:rsidRDefault="00AF467F" w:rsidP="00AF467F">
      <w:pPr>
        <w:ind w:left="1275" w:hanging="567"/>
        <w:rPr>
          <w:b w:val="0"/>
          <w:bCs w:val="0"/>
          <w:sz w:val="27"/>
          <w:szCs w:val="27"/>
        </w:rPr>
      </w:pPr>
    </w:p>
    <w:p w:rsidR="00AF467F" w:rsidRDefault="00AF467F" w:rsidP="00AF467F">
      <w:pPr>
        <w:ind w:left="1275" w:hanging="567"/>
        <w:rPr>
          <w:b w:val="0"/>
          <w:bCs w:val="0"/>
          <w:sz w:val="27"/>
          <w:szCs w:val="27"/>
        </w:rPr>
      </w:pPr>
    </w:p>
    <w:p w:rsidR="00AF467F" w:rsidRDefault="00AF467F" w:rsidP="00AF467F">
      <w:pPr>
        <w:ind w:left="1275" w:hanging="567"/>
        <w:rPr>
          <w:b w:val="0"/>
          <w:bCs w:val="0"/>
          <w:sz w:val="27"/>
          <w:szCs w:val="27"/>
        </w:rPr>
      </w:pPr>
    </w:p>
    <w:p w:rsidR="00AF467F" w:rsidRDefault="00AF467F" w:rsidP="00AF467F">
      <w:pPr>
        <w:ind w:left="1275" w:hanging="567"/>
        <w:rPr>
          <w:b w:val="0"/>
          <w:bCs w:val="0"/>
          <w:sz w:val="27"/>
          <w:szCs w:val="27"/>
        </w:rPr>
      </w:pPr>
    </w:p>
    <w:p w:rsidR="00AF467F" w:rsidRDefault="00AF467F" w:rsidP="00AF467F">
      <w:pPr>
        <w:ind w:left="1275" w:hanging="567"/>
        <w:rPr>
          <w:b w:val="0"/>
          <w:bCs w:val="0"/>
          <w:sz w:val="27"/>
          <w:szCs w:val="27"/>
        </w:rPr>
      </w:pPr>
    </w:p>
    <w:p w:rsidR="00AF467F" w:rsidRDefault="00AF467F" w:rsidP="00AF467F">
      <w:pPr>
        <w:ind w:left="1275" w:hanging="567"/>
        <w:rPr>
          <w:b w:val="0"/>
          <w:bCs w:val="0"/>
          <w:sz w:val="27"/>
          <w:szCs w:val="27"/>
        </w:rPr>
      </w:pPr>
    </w:p>
    <w:p w:rsidR="00AF467F" w:rsidRDefault="00AF467F" w:rsidP="00AF467F">
      <w:pPr>
        <w:ind w:left="1275" w:hanging="567"/>
        <w:rPr>
          <w:b w:val="0"/>
          <w:bCs w:val="0"/>
          <w:sz w:val="27"/>
          <w:szCs w:val="27"/>
        </w:rPr>
      </w:pPr>
    </w:p>
    <w:p w:rsidR="00AF467F" w:rsidRDefault="00AF467F" w:rsidP="00AF467F">
      <w:pPr>
        <w:ind w:left="1275" w:hanging="567"/>
        <w:rPr>
          <w:b w:val="0"/>
          <w:bCs w:val="0"/>
          <w:sz w:val="27"/>
          <w:szCs w:val="27"/>
        </w:rPr>
      </w:pPr>
    </w:p>
    <w:p w:rsidR="00AF467F" w:rsidRDefault="00AF467F" w:rsidP="00AF467F">
      <w:pPr>
        <w:ind w:left="1275" w:hanging="567"/>
        <w:rPr>
          <w:b w:val="0"/>
          <w:bCs w:val="0"/>
          <w:sz w:val="27"/>
          <w:szCs w:val="27"/>
        </w:rPr>
      </w:pPr>
    </w:p>
    <w:p w:rsidR="00AF467F" w:rsidRDefault="00AF467F" w:rsidP="00AF467F">
      <w:pPr>
        <w:ind w:left="1275" w:hanging="567"/>
        <w:rPr>
          <w:b w:val="0"/>
          <w:bCs w:val="0"/>
          <w:sz w:val="27"/>
          <w:szCs w:val="27"/>
        </w:rPr>
      </w:pPr>
    </w:p>
    <w:p w:rsidR="00D51976" w:rsidRDefault="00D51976" w:rsidP="00AF467F">
      <w:pPr>
        <w:ind w:left="1275" w:hanging="567"/>
        <w:rPr>
          <w:b w:val="0"/>
          <w:bCs w:val="0"/>
          <w:sz w:val="27"/>
          <w:szCs w:val="27"/>
        </w:rPr>
      </w:pPr>
    </w:p>
    <w:p w:rsidR="00D51976" w:rsidRDefault="00D51976" w:rsidP="00AF467F">
      <w:pPr>
        <w:ind w:left="1275" w:hanging="567"/>
        <w:rPr>
          <w:b w:val="0"/>
          <w:bCs w:val="0"/>
          <w:sz w:val="27"/>
          <w:szCs w:val="27"/>
        </w:rPr>
      </w:pPr>
    </w:p>
    <w:p w:rsidR="00C801D5" w:rsidRDefault="00C801D5" w:rsidP="00AF467F">
      <w:pPr>
        <w:ind w:left="1275" w:hanging="567"/>
        <w:rPr>
          <w:b w:val="0"/>
          <w:bCs w:val="0"/>
          <w:sz w:val="27"/>
          <w:szCs w:val="27"/>
        </w:rPr>
      </w:pPr>
    </w:p>
    <w:p w:rsidR="00C801D5" w:rsidRDefault="00C801D5" w:rsidP="00AF467F">
      <w:pPr>
        <w:ind w:left="1275" w:hanging="567"/>
        <w:rPr>
          <w:b w:val="0"/>
          <w:bCs w:val="0"/>
          <w:sz w:val="27"/>
          <w:szCs w:val="27"/>
        </w:rPr>
      </w:pPr>
    </w:p>
    <w:p w:rsidR="00C801D5" w:rsidRDefault="00C801D5" w:rsidP="00AF467F">
      <w:pPr>
        <w:ind w:left="1275" w:hanging="567"/>
        <w:rPr>
          <w:b w:val="0"/>
          <w:bCs w:val="0"/>
          <w:sz w:val="27"/>
          <w:szCs w:val="27"/>
        </w:rPr>
      </w:pPr>
    </w:p>
    <w:p w:rsidR="00C801D5" w:rsidRDefault="00C801D5" w:rsidP="00AF467F">
      <w:pPr>
        <w:ind w:left="1275" w:hanging="567"/>
        <w:rPr>
          <w:b w:val="0"/>
          <w:bCs w:val="0"/>
          <w:sz w:val="27"/>
          <w:szCs w:val="27"/>
        </w:rPr>
      </w:pPr>
    </w:p>
    <w:p w:rsidR="00C801D5" w:rsidRDefault="00C801D5" w:rsidP="00AF467F">
      <w:pPr>
        <w:ind w:left="1275" w:hanging="567"/>
        <w:rPr>
          <w:b w:val="0"/>
          <w:bCs w:val="0"/>
          <w:sz w:val="27"/>
          <w:szCs w:val="27"/>
        </w:rPr>
      </w:pPr>
    </w:p>
    <w:p w:rsidR="00C801D5" w:rsidRDefault="00C801D5" w:rsidP="00AF467F">
      <w:pPr>
        <w:ind w:left="1275" w:hanging="567"/>
        <w:rPr>
          <w:b w:val="0"/>
          <w:bCs w:val="0"/>
          <w:sz w:val="27"/>
          <w:szCs w:val="27"/>
        </w:rPr>
      </w:pPr>
    </w:p>
    <w:p w:rsidR="00851234" w:rsidRDefault="00851234" w:rsidP="00AF467F">
      <w:pPr>
        <w:ind w:left="1275" w:hanging="567"/>
        <w:rPr>
          <w:b w:val="0"/>
          <w:bCs w:val="0"/>
          <w:sz w:val="27"/>
          <w:szCs w:val="27"/>
        </w:rPr>
      </w:pPr>
    </w:p>
    <w:p w:rsidR="00C801D5" w:rsidRDefault="00C801D5" w:rsidP="00AF467F">
      <w:pPr>
        <w:ind w:left="1275" w:hanging="567"/>
        <w:rPr>
          <w:b w:val="0"/>
          <w:bCs w:val="0"/>
          <w:sz w:val="27"/>
          <w:szCs w:val="27"/>
        </w:rPr>
      </w:pPr>
    </w:p>
    <w:p w:rsidR="00505A8B" w:rsidRPr="00AF467F" w:rsidRDefault="00F06631" w:rsidP="00AF467F">
      <w:pPr>
        <w:pStyle w:val="Heading1"/>
        <w:pBdr>
          <w:bottom w:val="single" w:sz="4" w:space="1" w:color="auto"/>
        </w:pBdr>
        <w:bidi w:val="0"/>
        <w:spacing w:before="120"/>
        <w:jc w:val="center"/>
        <w:rPr>
          <w:rFonts w:asciiTheme="majorBidi" w:hAnsiTheme="majorBidi" w:cstheme="majorBidi"/>
          <w:b/>
          <w:bCs/>
          <w:rtl/>
        </w:rPr>
      </w:pPr>
      <w:bookmarkStart w:id="7" w:name="_Toc65354396"/>
      <w:r>
        <w:rPr>
          <w:rFonts w:asciiTheme="majorBidi" w:hAnsiTheme="majorBidi" w:cstheme="majorBidi"/>
          <w:b/>
          <w:bCs/>
        </w:rPr>
        <w:lastRenderedPageBreak/>
        <w:t>Chapter t</w:t>
      </w:r>
      <w:r w:rsidR="00453490" w:rsidRPr="00AF467F">
        <w:rPr>
          <w:rFonts w:asciiTheme="majorBidi" w:hAnsiTheme="majorBidi" w:cstheme="majorBidi"/>
          <w:b/>
          <w:bCs/>
        </w:rPr>
        <w:t>wo: Capital Requirements</w:t>
      </w:r>
      <w:bookmarkEnd w:id="7"/>
    </w:p>
    <w:p w:rsidR="00AF467F" w:rsidRDefault="00AF467F" w:rsidP="00453490">
      <w:pPr>
        <w:bidi w:val="0"/>
        <w:rPr>
          <w:rFonts w:asciiTheme="majorBidi" w:hAnsiTheme="majorBidi" w:cstheme="majorBidi"/>
          <w:lang w:eastAsia="x-none"/>
        </w:rPr>
      </w:pPr>
    </w:p>
    <w:p w:rsidR="00505A8B" w:rsidRPr="00681B2C" w:rsidRDefault="00453490" w:rsidP="00C801D5">
      <w:pPr>
        <w:pStyle w:val="Heading2"/>
        <w:bidi w:val="0"/>
      </w:pPr>
      <w:bookmarkStart w:id="8" w:name="_Toc65354397"/>
      <w:r w:rsidRPr="00681B2C">
        <w:t>First: Components of Capital</w:t>
      </w:r>
      <w:bookmarkEnd w:id="8"/>
    </w:p>
    <w:p w:rsidR="00453490" w:rsidRPr="00C801D5" w:rsidRDefault="00453490" w:rsidP="00D63D4F">
      <w:pPr>
        <w:bidi w:val="0"/>
        <w:spacing w:line="276" w:lineRule="auto"/>
        <w:rPr>
          <w:rFonts w:asciiTheme="majorBidi" w:hAnsiTheme="majorBidi" w:cstheme="majorBidi"/>
          <w:b w:val="0"/>
          <w:bCs w:val="0"/>
          <w:sz w:val="24"/>
          <w:szCs w:val="24"/>
          <w:lang w:eastAsia="x-none"/>
        </w:rPr>
      </w:pPr>
      <w:r w:rsidRPr="00C801D5">
        <w:rPr>
          <w:rFonts w:asciiTheme="majorBidi" w:hAnsiTheme="majorBidi" w:cstheme="majorBidi"/>
          <w:b w:val="0"/>
          <w:bCs w:val="0"/>
          <w:sz w:val="24"/>
          <w:szCs w:val="24"/>
          <w:lang w:eastAsia="x-none"/>
        </w:rPr>
        <w:t>This section provides a definition of capital base components for licensed banks. The eligible capital along with the total risk-weighted assets shall be used in calculating the Capital Adeq</w:t>
      </w:r>
      <w:r w:rsidR="00D63D4F">
        <w:rPr>
          <w:rFonts w:asciiTheme="majorBidi" w:hAnsiTheme="majorBidi" w:cstheme="majorBidi"/>
          <w:b w:val="0"/>
          <w:bCs w:val="0"/>
          <w:sz w:val="24"/>
          <w:szCs w:val="24"/>
          <w:lang w:eastAsia="x-none"/>
        </w:rPr>
        <w:t xml:space="preserve">uacy Ratio (CAR) for the banks., this </w:t>
      </w:r>
      <w:r w:rsidRPr="00C801D5">
        <w:rPr>
          <w:rFonts w:asciiTheme="majorBidi" w:hAnsiTheme="majorBidi" w:cstheme="majorBidi"/>
          <w:b w:val="0"/>
          <w:bCs w:val="0"/>
          <w:sz w:val="24"/>
          <w:szCs w:val="24"/>
          <w:lang w:eastAsia="x-none"/>
        </w:rPr>
        <w:t>section will further explain the criteria and characteristics of each component of eligible capital.</w:t>
      </w:r>
    </w:p>
    <w:p w:rsidR="00AF467F" w:rsidRPr="00AD38CE" w:rsidRDefault="00AF467F" w:rsidP="00681B2C">
      <w:pPr>
        <w:bidi w:val="0"/>
        <w:spacing w:line="276" w:lineRule="auto"/>
        <w:rPr>
          <w:rFonts w:asciiTheme="majorBidi" w:hAnsiTheme="majorBidi" w:cstheme="majorBidi"/>
          <w:b w:val="0"/>
          <w:bCs w:val="0"/>
          <w:sz w:val="4"/>
          <w:szCs w:val="4"/>
          <w:lang w:eastAsia="x-none"/>
        </w:rPr>
      </w:pPr>
    </w:p>
    <w:p w:rsidR="00003C60" w:rsidRPr="00C801D5" w:rsidRDefault="00003C60" w:rsidP="00C801D5">
      <w:pPr>
        <w:pStyle w:val="Heading2"/>
        <w:bidi w:val="0"/>
      </w:pPr>
      <w:bookmarkStart w:id="9" w:name="_Toc65354398"/>
      <w:r w:rsidRPr="00C801D5">
        <w:t>Second: Elements of Capital</w:t>
      </w:r>
      <w:bookmarkEnd w:id="9"/>
    </w:p>
    <w:p w:rsidR="00003C60" w:rsidRPr="00C801D5" w:rsidRDefault="00003C60" w:rsidP="00D51976">
      <w:pPr>
        <w:pStyle w:val="ListParagraph"/>
        <w:numPr>
          <w:ilvl w:val="0"/>
          <w:numId w:val="7"/>
        </w:numPr>
        <w:bidi w:val="0"/>
        <w:spacing w:line="276" w:lineRule="auto"/>
        <w:ind w:left="567" w:hanging="477"/>
        <w:rPr>
          <w:rFonts w:asciiTheme="majorBidi" w:hAnsiTheme="majorBidi" w:cstheme="majorBidi"/>
          <w:b w:val="0"/>
          <w:bCs w:val="0"/>
          <w:sz w:val="24"/>
          <w:szCs w:val="24"/>
          <w:lang w:eastAsia="x-none"/>
        </w:rPr>
      </w:pPr>
      <w:r w:rsidRPr="00C801D5">
        <w:rPr>
          <w:rFonts w:asciiTheme="majorBidi" w:hAnsiTheme="majorBidi" w:cstheme="majorBidi"/>
          <w:b w:val="0"/>
          <w:bCs w:val="0"/>
          <w:sz w:val="24"/>
          <w:szCs w:val="24"/>
          <w:lang w:eastAsia="x-none"/>
        </w:rPr>
        <w:t>The eligible regulatory capital will include the following capital elements:</w:t>
      </w:r>
    </w:p>
    <w:p w:rsidR="00003C60" w:rsidRPr="00C801D5" w:rsidRDefault="00003C60" w:rsidP="00681B2C">
      <w:pPr>
        <w:pStyle w:val="ListParagraph"/>
        <w:numPr>
          <w:ilvl w:val="1"/>
          <w:numId w:val="7"/>
        </w:numPr>
        <w:bidi w:val="0"/>
        <w:spacing w:line="276" w:lineRule="auto"/>
        <w:ind w:left="1134" w:hanging="567"/>
        <w:rPr>
          <w:rFonts w:asciiTheme="majorBidi" w:hAnsiTheme="majorBidi" w:cstheme="majorBidi"/>
          <w:b w:val="0"/>
          <w:bCs w:val="0"/>
          <w:sz w:val="24"/>
          <w:szCs w:val="24"/>
          <w:lang w:eastAsia="x-none"/>
        </w:rPr>
      </w:pPr>
      <w:r w:rsidRPr="00C801D5">
        <w:rPr>
          <w:rFonts w:asciiTheme="majorBidi" w:hAnsiTheme="majorBidi" w:cstheme="majorBidi"/>
          <w:b w:val="0"/>
          <w:bCs w:val="0"/>
          <w:sz w:val="24"/>
          <w:szCs w:val="24"/>
          <w:lang w:eastAsia="x-none"/>
        </w:rPr>
        <w:t>Tier 1 Capital (going-concern capital):</w:t>
      </w:r>
    </w:p>
    <w:p w:rsidR="00003C60" w:rsidRPr="00C801D5" w:rsidRDefault="00003C60" w:rsidP="00681B2C">
      <w:pPr>
        <w:pStyle w:val="ListParagraph"/>
        <w:numPr>
          <w:ilvl w:val="2"/>
          <w:numId w:val="7"/>
        </w:numPr>
        <w:bidi w:val="0"/>
        <w:spacing w:line="276" w:lineRule="auto"/>
        <w:ind w:left="1843" w:hanging="709"/>
        <w:rPr>
          <w:rFonts w:asciiTheme="majorBidi" w:hAnsiTheme="majorBidi" w:cstheme="majorBidi"/>
          <w:b w:val="0"/>
          <w:bCs w:val="0"/>
          <w:sz w:val="24"/>
          <w:szCs w:val="24"/>
          <w:lang w:eastAsia="x-none"/>
        </w:rPr>
      </w:pPr>
      <w:r w:rsidRPr="00C801D5">
        <w:rPr>
          <w:rFonts w:asciiTheme="majorBidi" w:hAnsiTheme="majorBidi" w:cstheme="majorBidi"/>
          <w:b w:val="0"/>
          <w:bCs w:val="0"/>
          <w:sz w:val="24"/>
          <w:szCs w:val="24"/>
          <w:lang w:eastAsia="x-none"/>
        </w:rPr>
        <w:t>Common Equity Tier 1 (CET1)</w:t>
      </w:r>
    </w:p>
    <w:p w:rsidR="00003C60" w:rsidRPr="00C801D5" w:rsidRDefault="00003C60" w:rsidP="00681B2C">
      <w:pPr>
        <w:pStyle w:val="ListParagraph"/>
        <w:numPr>
          <w:ilvl w:val="2"/>
          <w:numId w:val="7"/>
        </w:numPr>
        <w:bidi w:val="0"/>
        <w:spacing w:line="276" w:lineRule="auto"/>
        <w:ind w:left="1843" w:hanging="709"/>
        <w:rPr>
          <w:rFonts w:asciiTheme="majorBidi" w:hAnsiTheme="majorBidi" w:cstheme="majorBidi"/>
          <w:b w:val="0"/>
          <w:bCs w:val="0"/>
          <w:sz w:val="24"/>
          <w:szCs w:val="24"/>
          <w:lang w:eastAsia="x-none"/>
        </w:rPr>
      </w:pPr>
      <w:r w:rsidRPr="00C801D5">
        <w:rPr>
          <w:rFonts w:asciiTheme="majorBidi" w:hAnsiTheme="majorBidi" w:cstheme="majorBidi"/>
          <w:b w:val="0"/>
          <w:bCs w:val="0"/>
          <w:sz w:val="24"/>
          <w:szCs w:val="24"/>
          <w:lang w:eastAsia="x-none"/>
        </w:rPr>
        <w:t>Additional Tier 1 (AT1).</w:t>
      </w:r>
    </w:p>
    <w:p w:rsidR="00003C60" w:rsidRPr="00C801D5" w:rsidRDefault="00003C60" w:rsidP="00D63D4F">
      <w:pPr>
        <w:pStyle w:val="ListParagraph"/>
        <w:numPr>
          <w:ilvl w:val="1"/>
          <w:numId w:val="7"/>
        </w:numPr>
        <w:bidi w:val="0"/>
        <w:spacing w:line="276" w:lineRule="auto"/>
        <w:ind w:left="1134" w:hanging="567"/>
        <w:rPr>
          <w:rStyle w:val="tlid-translation"/>
          <w:rFonts w:asciiTheme="majorBidi" w:hAnsiTheme="majorBidi" w:cstheme="majorBidi"/>
          <w:b w:val="0"/>
          <w:bCs w:val="0"/>
          <w:sz w:val="24"/>
          <w:szCs w:val="24"/>
          <w:lang w:val="en" w:bidi="ar"/>
        </w:rPr>
      </w:pPr>
      <w:r w:rsidRPr="00C801D5">
        <w:rPr>
          <w:rFonts w:asciiTheme="majorBidi" w:hAnsiTheme="majorBidi" w:cstheme="majorBidi"/>
          <w:b w:val="0"/>
          <w:bCs w:val="0"/>
          <w:sz w:val="24"/>
          <w:szCs w:val="24"/>
          <w:lang w:eastAsia="x-none"/>
        </w:rPr>
        <w:t xml:space="preserve">Tier 2 (T2) Capital (gone-concern capital), </w:t>
      </w:r>
      <w:r w:rsidRPr="00C801D5">
        <w:rPr>
          <w:rStyle w:val="tlid-translation"/>
          <w:rFonts w:asciiTheme="majorBidi" w:hAnsiTheme="majorBidi" w:cstheme="majorBidi"/>
          <w:b w:val="0"/>
          <w:bCs w:val="0"/>
          <w:sz w:val="24"/>
          <w:szCs w:val="24"/>
          <w:lang w:val="en" w:bidi="ar"/>
        </w:rPr>
        <w:t>as indicated in Clause (</w:t>
      </w:r>
      <w:r w:rsidR="00D63D4F">
        <w:rPr>
          <w:rStyle w:val="tlid-translation"/>
          <w:rFonts w:asciiTheme="majorBidi" w:hAnsiTheme="majorBidi" w:cstheme="majorBidi"/>
          <w:b w:val="0"/>
          <w:bCs w:val="0"/>
          <w:sz w:val="24"/>
          <w:szCs w:val="24"/>
          <w:lang w:val="en" w:bidi="ar"/>
        </w:rPr>
        <w:t>third</w:t>
      </w:r>
      <w:r w:rsidRPr="00C801D5">
        <w:rPr>
          <w:rStyle w:val="tlid-translation"/>
          <w:rFonts w:asciiTheme="majorBidi" w:hAnsiTheme="majorBidi" w:cstheme="majorBidi"/>
          <w:b w:val="0"/>
          <w:bCs w:val="0"/>
          <w:sz w:val="24"/>
          <w:szCs w:val="24"/>
          <w:lang w:val="en" w:bidi="ar"/>
        </w:rPr>
        <w:t xml:space="preserve"> / 3) of this chapter </w:t>
      </w:r>
      <w:r w:rsidRPr="00C801D5">
        <w:rPr>
          <w:rStyle w:val="FootnoteReference"/>
          <w:rFonts w:asciiTheme="majorBidi" w:hAnsiTheme="majorBidi" w:cstheme="majorBidi"/>
          <w:b w:val="0"/>
          <w:bCs w:val="0"/>
          <w:sz w:val="24"/>
          <w:szCs w:val="24"/>
          <w:lang w:val="en" w:bidi="ar"/>
        </w:rPr>
        <w:footnoteReference w:id="4"/>
      </w:r>
      <w:r w:rsidRPr="00C801D5">
        <w:rPr>
          <w:rStyle w:val="tlid-translation"/>
          <w:rFonts w:asciiTheme="majorBidi" w:hAnsiTheme="majorBidi" w:cstheme="majorBidi"/>
          <w:b w:val="0"/>
          <w:bCs w:val="0"/>
          <w:sz w:val="24"/>
          <w:szCs w:val="24"/>
          <w:lang w:val="en" w:bidi="ar"/>
        </w:rPr>
        <w:t>.</w:t>
      </w:r>
    </w:p>
    <w:p w:rsidR="00D63D4F" w:rsidRPr="00D63D4F" w:rsidRDefault="00003C60" w:rsidP="00D63D4F">
      <w:pPr>
        <w:pStyle w:val="ListParagraph"/>
        <w:numPr>
          <w:ilvl w:val="0"/>
          <w:numId w:val="7"/>
        </w:numPr>
        <w:bidi w:val="0"/>
        <w:spacing w:line="276" w:lineRule="auto"/>
        <w:ind w:left="567" w:hanging="477"/>
        <w:rPr>
          <w:rStyle w:val="tlid-translation"/>
          <w:rFonts w:asciiTheme="majorBidi" w:hAnsiTheme="majorBidi" w:cstheme="majorBidi"/>
          <w:b w:val="0"/>
          <w:bCs w:val="0"/>
          <w:sz w:val="24"/>
          <w:szCs w:val="24"/>
          <w:lang w:eastAsia="x-none"/>
        </w:rPr>
      </w:pPr>
      <w:r w:rsidRPr="00D63D4F">
        <w:rPr>
          <w:rFonts w:asciiTheme="majorBidi" w:hAnsiTheme="majorBidi" w:cstheme="majorBidi"/>
          <w:b w:val="0"/>
          <w:bCs w:val="0"/>
          <w:sz w:val="24"/>
          <w:szCs w:val="24"/>
          <w:lang w:eastAsia="x-none"/>
        </w:rPr>
        <w:t xml:space="preserve">For each of the three capital types (CET1, AT1 and T2), there is a </w:t>
      </w:r>
      <w:r w:rsidRPr="00D63D4F">
        <w:rPr>
          <w:rStyle w:val="tlid-translation"/>
          <w:rFonts w:asciiTheme="majorBidi" w:hAnsiTheme="majorBidi" w:cstheme="majorBidi"/>
          <w:b w:val="0"/>
          <w:bCs w:val="0"/>
          <w:sz w:val="24"/>
          <w:szCs w:val="24"/>
          <w:lang w:val="en" w:bidi="ar"/>
        </w:rPr>
        <w:t>specific</w:t>
      </w:r>
      <w:r w:rsidRPr="00D63D4F">
        <w:rPr>
          <w:rStyle w:val="tlid-translation"/>
          <w:rFonts w:asciiTheme="majorBidi" w:hAnsiTheme="majorBidi" w:cstheme="majorBidi"/>
          <w:b w:val="0"/>
          <w:bCs w:val="0"/>
          <w:sz w:val="24"/>
          <w:szCs w:val="24"/>
          <w:rtl/>
          <w:lang w:val="en" w:bidi="ar"/>
        </w:rPr>
        <w:t xml:space="preserve"> </w:t>
      </w:r>
      <w:r w:rsidRPr="00D63D4F">
        <w:rPr>
          <w:rFonts w:asciiTheme="majorBidi" w:hAnsiTheme="majorBidi" w:cstheme="majorBidi"/>
          <w:b w:val="0"/>
          <w:bCs w:val="0"/>
          <w:sz w:val="24"/>
          <w:szCs w:val="24"/>
          <w:lang w:eastAsia="x-none"/>
        </w:rPr>
        <w:t xml:space="preserve">set of criteria that the </w:t>
      </w:r>
      <w:r w:rsidRPr="00D63D4F">
        <w:rPr>
          <w:rStyle w:val="tlid-translation"/>
          <w:rFonts w:asciiTheme="majorBidi" w:hAnsiTheme="majorBidi" w:cstheme="majorBidi"/>
          <w:b w:val="0"/>
          <w:bCs w:val="0"/>
          <w:sz w:val="24"/>
          <w:szCs w:val="24"/>
          <w:lang w:val="en" w:bidi="ar"/>
        </w:rPr>
        <w:t>financial</w:t>
      </w:r>
      <w:r w:rsidRPr="00D63D4F">
        <w:rPr>
          <w:rStyle w:val="tlid-translation"/>
          <w:rFonts w:asciiTheme="majorBidi" w:hAnsiTheme="majorBidi" w:cstheme="majorBidi"/>
          <w:b w:val="0"/>
          <w:bCs w:val="0"/>
          <w:sz w:val="24"/>
          <w:szCs w:val="24"/>
          <w:rtl/>
          <w:lang w:val="en" w:bidi="ar"/>
        </w:rPr>
        <w:t xml:space="preserve"> </w:t>
      </w:r>
      <w:r w:rsidR="00CA7F62" w:rsidRPr="00D63D4F">
        <w:rPr>
          <w:rFonts w:asciiTheme="majorBidi" w:hAnsiTheme="majorBidi" w:cstheme="majorBidi"/>
          <w:b w:val="0"/>
          <w:bCs w:val="0"/>
          <w:sz w:val="24"/>
          <w:szCs w:val="24"/>
          <w:lang w:eastAsia="x-none"/>
        </w:rPr>
        <w:t xml:space="preserve">instrument </w:t>
      </w:r>
      <w:r w:rsidR="00CA7F62" w:rsidRPr="00D63D4F">
        <w:rPr>
          <w:rStyle w:val="tlid-translation"/>
          <w:rFonts w:asciiTheme="majorBidi" w:hAnsiTheme="majorBidi" w:cstheme="majorBidi"/>
          <w:b w:val="0"/>
          <w:bCs w:val="0"/>
          <w:sz w:val="24"/>
          <w:szCs w:val="24"/>
          <w:lang w:val="en" w:bidi="ar"/>
        </w:rPr>
        <w:t xml:space="preserve">must fulfill before being included in the relevant category, as shown later. </w:t>
      </w:r>
    </w:p>
    <w:p w:rsidR="00CA7F62" w:rsidRPr="00D63D4F" w:rsidRDefault="00CA7F62" w:rsidP="00953713">
      <w:pPr>
        <w:pStyle w:val="ListParagraph"/>
        <w:numPr>
          <w:ilvl w:val="0"/>
          <w:numId w:val="7"/>
        </w:numPr>
        <w:bidi w:val="0"/>
        <w:spacing w:line="276" w:lineRule="auto"/>
        <w:ind w:left="567" w:hanging="477"/>
        <w:rPr>
          <w:rStyle w:val="tlid-translation"/>
          <w:rFonts w:asciiTheme="majorBidi" w:hAnsiTheme="majorBidi" w:cstheme="majorBidi"/>
          <w:b w:val="0"/>
          <w:bCs w:val="0"/>
          <w:sz w:val="24"/>
          <w:szCs w:val="24"/>
          <w:lang w:eastAsia="x-none"/>
        </w:rPr>
      </w:pPr>
      <w:r w:rsidRPr="00D63D4F">
        <w:rPr>
          <w:rFonts w:asciiTheme="majorBidi" w:hAnsiTheme="majorBidi" w:cstheme="majorBidi"/>
          <w:b w:val="0"/>
          <w:bCs w:val="0"/>
          <w:sz w:val="24"/>
          <w:szCs w:val="24"/>
          <w:lang w:eastAsia="x-none"/>
        </w:rPr>
        <w:t xml:space="preserve">All capital elements </w:t>
      </w:r>
      <w:r w:rsidR="00D63D4F">
        <w:rPr>
          <w:rFonts w:asciiTheme="majorBidi" w:hAnsiTheme="majorBidi" w:cstheme="majorBidi"/>
          <w:b w:val="0"/>
          <w:bCs w:val="0"/>
          <w:sz w:val="24"/>
          <w:szCs w:val="24"/>
          <w:lang w:eastAsia="x-none"/>
        </w:rPr>
        <w:t>will be after the</w:t>
      </w:r>
      <w:r w:rsidRPr="00D63D4F">
        <w:rPr>
          <w:rFonts w:asciiTheme="majorBidi" w:hAnsiTheme="majorBidi" w:cstheme="majorBidi"/>
          <w:b w:val="0"/>
          <w:bCs w:val="0"/>
          <w:sz w:val="24"/>
          <w:szCs w:val="24"/>
          <w:lang w:eastAsia="x-none"/>
        </w:rPr>
        <w:t xml:space="preserve"> regulatory adjustments</w:t>
      </w:r>
      <w:r w:rsidR="006F6E0F" w:rsidRPr="00D63D4F">
        <w:rPr>
          <w:rFonts w:asciiTheme="majorBidi" w:hAnsiTheme="majorBidi" w:cstheme="majorBidi"/>
          <w:b w:val="0"/>
          <w:bCs w:val="0"/>
          <w:sz w:val="24"/>
          <w:szCs w:val="24"/>
          <w:rtl/>
          <w:lang w:eastAsia="x-none"/>
        </w:rPr>
        <w:t xml:space="preserve"> </w:t>
      </w:r>
      <w:r w:rsidR="00953713">
        <w:rPr>
          <w:rStyle w:val="tlid-translation"/>
          <w:rFonts w:asciiTheme="majorBidi" w:hAnsiTheme="majorBidi" w:cstheme="majorBidi"/>
          <w:b w:val="0"/>
          <w:bCs w:val="0"/>
          <w:sz w:val="24"/>
          <w:szCs w:val="24"/>
          <w:lang w:val="en" w:bidi="ar"/>
        </w:rPr>
        <w:t>specified in clause (f</w:t>
      </w:r>
      <w:r w:rsidR="006F6E0F" w:rsidRPr="00D63D4F">
        <w:rPr>
          <w:rStyle w:val="tlid-translation"/>
          <w:rFonts w:asciiTheme="majorBidi" w:hAnsiTheme="majorBidi" w:cstheme="majorBidi"/>
          <w:b w:val="0"/>
          <w:bCs w:val="0"/>
          <w:sz w:val="24"/>
          <w:szCs w:val="24"/>
          <w:lang w:val="en" w:bidi="ar"/>
        </w:rPr>
        <w:t>ourth) of this chapter</w:t>
      </w:r>
      <w:r w:rsidRPr="00D63D4F">
        <w:rPr>
          <w:rFonts w:asciiTheme="majorBidi" w:hAnsiTheme="majorBidi" w:cstheme="majorBidi"/>
          <w:b w:val="0"/>
          <w:bCs w:val="0"/>
          <w:sz w:val="24"/>
          <w:szCs w:val="24"/>
          <w:lang w:eastAsia="x-none"/>
        </w:rPr>
        <w:t>.</w:t>
      </w:r>
      <w:r w:rsidR="006F6E0F" w:rsidRPr="00D63D4F">
        <w:rPr>
          <w:rStyle w:val="Heading1Char"/>
          <w:rFonts w:asciiTheme="majorBidi" w:hAnsiTheme="majorBidi" w:cstheme="majorBidi"/>
          <w:b w:val="0"/>
          <w:bCs w:val="0"/>
          <w:sz w:val="24"/>
          <w:szCs w:val="24"/>
          <w:lang w:val="en" w:bidi="ar"/>
        </w:rPr>
        <w:t xml:space="preserve"> </w:t>
      </w:r>
      <w:r w:rsidR="006F6E0F" w:rsidRPr="00D63D4F">
        <w:rPr>
          <w:rStyle w:val="tlid-translation"/>
          <w:rFonts w:asciiTheme="majorBidi" w:hAnsiTheme="majorBidi" w:cstheme="majorBidi"/>
          <w:b w:val="0"/>
          <w:bCs w:val="0"/>
          <w:sz w:val="24"/>
          <w:szCs w:val="24"/>
          <w:lang w:val="en" w:bidi="ar"/>
        </w:rPr>
        <w:t>So that the total regulatory capital</w:t>
      </w:r>
      <w:r w:rsidR="009A33D8" w:rsidRPr="00D63D4F">
        <w:rPr>
          <w:rStyle w:val="tlid-translation"/>
          <w:rFonts w:asciiTheme="majorBidi" w:hAnsiTheme="majorBidi" w:cstheme="majorBidi"/>
          <w:b w:val="0"/>
          <w:bCs w:val="0"/>
          <w:sz w:val="24"/>
          <w:szCs w:val="24"/>
          <w:lang w:val="en" w:bidi="ar"/>
        </w:rPr>
        <w:t xml:space="preserve"> must be </w:t>
      </w:r>
      <w:r w:rsidR="00681B2C" w:rsidRPr="00D63D4F">
        <w:rPr>
          <w:rStyle w:val="tlid-translation"/>
          <w:rFonts w:asciiTheme="majorBidi" w:hAnsiTheme="majorBidi" w:cstheme="majorBidi"/>
          <w:b w:val="0"/>
          <w:bCs w:val="0"/>
          <w:sz w:val="24"/>
          <w:szCs w:val="24"/>
          <w:lang w:val="en" w:bidi="ar"/>
        </w:rPr>
        <w:t>at least</w:t>
      </w:r>
      <w:r w:rsidR="009A33D8" w:rsidRPr="00D63D4F">
        <w:rPr>
          <w:rStyle w:val="tlid-translation"/>
          <w:rFonts w:asciiTheme="majorBidi" w:hAnsiTheme="majorBidi" w:cstheme="majorBidi"/>
          <w:b w:val="0"/>
          <w:bCs w:val="0"/>
          <w:sz w:val="24"/>
          <w:szCs w:val="24"/>
          <w:lang w:val="en" w:bidi="ar"/>
        </w:rPr>
        <w:t xml:space="preserve"> </w:t>
      </w:r>
      <w:r w:rsidR="006F6E0F" w:rsidRPr="00D63D4F">
        <w:rPr>
          <w:rStyle w:val="tlid-translation"/>
          <w:rFonts w:asciiTheme="majorBidi" w:hAnsiTheme="majorBidi" w:cstheme="majorBidi"/>
          <w:b w:val="0"/>
          <w:bCs w:val="0"/>
          <w:sz w:val="24"/>
          <w:szCs w:val="24"/>
          <w:lang w:val="en" w:bidi="ar"/>
        </w:rPr>
        <w:t xml:space="preserve">(12%) of the </w:t>
      </w:r>
      <w:r w:rsidR="003C30F2" w:rsidRPr="00D63D4F">
        <w:rPr>
          <w:rFonts w:asciiTheme="majorBidi" w:hAnsiTheme="majorBidi" w:cstheme="majorBidi"/>
          <w:b w:val="0"/>
          <w:bCs w:val="0"/>
          <w:sz w:val="24"/>
          <w:szCs w:val="24"/>
          <w:lang w:eastAsia="x-none"/>
        </w:rPr>
        <w:t xml:space="preserve">risk-weighted assets </w:t>
      </w:r>
      <w:r w:rsidR="006F6E0F" w:rsidRPr="00D63D4F">
        <w:rPr>
          <w:rStyle w:val="tlid-translation"/>
          <w:rFonts w:asciiTheme="majorBidi" w:hAnsiTheme="majorBidi" w:cstheme="majorBidi"/>
          <w:b w:val="0"/>
          <w:bCs w:val="0"/>
          <w:sz w:val="24"/>
          <w:szCs w:val="24"/>
          <w:lang w:val="en" w:bidi="ar"/>
        </w:rPr>
        <w:t>for credit, market and operational risks at all times</w:t>
      </w:r>
      <w:r w:rsidR="006F6E0F" w:rsidRPr="00D63D4F">
        <w:rPr>
          <w:rStyle w:val="tlid-translation"/>
          <w:rFonts w:asciiTheme="majorBidi" w:hAnsiTheme="majorBidi" w:cstheme="majorBidi"/>
          <w:b w:val="0"/>
          <w:bCs w:val="0"/>
          <w:sz w:val="24"/>
          <w:szCs w:val="24"/>
          <w:lang w:bidi="ar"/>
        </w:rPr>
        <w:t xml:space="preserve">. </w:t>
      </w:r>
      <w:r w:rsidR="006F6E0F" w:rsidRPr="00D63D4F">
        <w:rPr>
          <w:rStyle w:val="tlid-translation"/>
          <w:rFonts w:asciiTheme="majorBidi" w:hAnsiTheme="majorBidi" w:cstheme="majorBidi"/>
          <w:b w:val="0"/>
          <w:bCs w:val="0"/>
          <w:sz w:val="24"/>
          <w:szCs w:val="24"/>
          <w:lang w:val="en" w:bidi="ar"/>
        </w:rPr>
        <w:t>So that the components of the ratio are as follows:</w:t>
      </w:r>
    </w:p>
    <w:p w:rsidR="003C30F2" w:rsidRPr="00C801D5" w:rsidRDefault="003C30F2" w:rsidP="00681B2C">
      <w:pPr>
        <w:pStyle w:val="ListParagraph"/>
        <w:numPr>
          <w:ilvl w:val="1"/>
          <w:numId w:val="7"/>
        </w:numPr>
        <w:bidi w:val="0"/>
        <w:spacing w:line="276" w:lineRule="auto"/>
        <w:ind w:hanging="618"/>
        <w:rPr>
          <w:rFonts w:asciiTheme="majorBidi" w:hAnsiTheme="majorBidi" w:cstheme="majorBidi"/>
          <w:b w:val="0"/>
          <w:bCs w:val="0"/>
          <w:sz w:val="24"/>
          <w:szCs w:val="24"/>
          <w:lang w:eastAsia="x-none"/>
        </w:rPr>
      </w:pPr>
      <w:r w:rsidRPr="00C801D5">
        <w:rPr>
          <w:rFonts w:asciiTheme="majorBidi" w:hAnsiTheme="majorBidi" w:cstheme="majorBidi"/>
          <w:b w:val="0"/>
          <w:bCs w:val="0"/>
          <w:sz w:val="24"/>
          <w:szCs w:val="24"/>
          <w:lang w:eastAsia="x-none"/>
        </w:rPr>
        <w:t>Common Equity Tier 1 must be at least 6% of risk-weighted assets at all times.</w:t>
      </w:r>
    </w:p>
    <w:p w:rsidR="003C30F2" w:rsidRPr="00C801D5" w:rsidRDefault="003C30F2" w:rsidP="00681B2C">
      <w:pPr>
        <w:pStyle w:val="ListParagraph"/>
        <w:numPr>
          <w:ilvl w:val="1"/>
          <w:numId w:val="7"/>
        </w:numPr>
        <w:bidi w:val="0"/>
        <w:spacing w:line="276" w:lineRule="auto"/>
        <w:ind w:hanging="618"/>
        <w:rPr>
          <w:rFonts w:asciiTheme="majorBidi" w:hAnsiTheme="majorBidi" w:cstheme="majorBidi"/>
          <w:b w:val="0"/>
          <w:bCs w:val="0"/>
          <w:sz w:val="24"/>
          <w:szCs w:val="24"/>
          <w:lang w:eastAsia="x-none"/>
        </w:rPr>
      </w:pPr>
      <w:r w:rsidRPr="00C801D5">
        <w:rPr>
          <w:rStyle w:val="tlid-translation"/>
          <w:rFonts w:asciiTheme="majorBidi" w:hAnsiTheme="majorBidi" w:cstheme="majorBidi"/>
          <w:b w:val="0"/>
          <w:bCs w:val="0"/>
          <w:sz w:val="24"/>
          <w:szCs w:val="24"/>
          <w:lang w:val="en" w:bidi="ar"/>
        </w:rPr>
        <w:t xml:space="preserve">The additional Tier 1 (AT1) shall not exceed (1.5%) of </w:t>
      </w:r>
      <w:r w:rsidRPr="00C801D5">
        <w:rPr>
          <w:rFonts w:asciiTheme="majorBidi" w:hAnsiTheme="majorBidi" w:cstheme="majorBidi"/>
          <w:b w:val="0"/>
          <w:bCs w:val="0"/>
          <w:sz w:val="24"/>
          <w:szCs w:val="24"/>
          <w:lang w:eastAsia="x-none"/>
        </w:rPr>
        <w:t>risk-weighted assets at all times.</w:t>
      </w:r>
    </w:p>
    <w:p w:rsidR="009A33D8" w:rsidRPr="00C801D5" w:rsidRDefault="009A33D8" w:rsidP="00681B2C">
      <w:pPr>
        <w:pStyle w:val="ListParagraph"/>
        <w:numPr>
          <w:ilvl w:val="1"/>
          <w:numId w:val="7"/>
        </w:numPr>
        <w:bidi w:val="0"/>
        <w:spacing w:line="276" w:lineRule="auto"/>
        <w:ind w:hanging="618"/>
        <w:rPr>
          <w:rFonts w:asciiTheme="majorBidi" w:hAnsiTheme="majorBidi" w:cstheme="majorBidi"/>
          <w:b w:val="0"/>
          <w:bCs w:val="0"/>
          <w:sz w:val="24"/>
          <w:szCs w:val="24"/>
          <w:lang w:eastAsia="x-none"/>
        </w:rPr>
      </w:pPr>
      <w:r w:rsidRPr="00C801D5">
        <w:rPr>
          <w:rStyle w:val="tlid-translation"/>
          <w:rFonts w:asciiTheme="majorBidi" w:hAnsiTheme="majorBidi" w:cstheme="majorBidi"/>
          <w:b w:val="0"/>
          <w:bCs w:val="0"/>
          <w:sz w:val="24"/>
          <w:szCs w:val="24"/>
          <w:lang w:val="en" w:bidi="ar"/>
        </w:rPr>
        <w:t xml:space="preserve">Tier 2 (T2) shall not exceed (2%) of </w:t>
      </w:r>
      <w:r w:rsidRPr="00C801D5">
        <w:rPr>
          <w:rFonts w:asciiTheme="majorBidi" w:hAnsiTheme="majorBidi" w:cstheme="majorBidi"/>
          <w:b w:val="0"/>
          <w:bCs w:val="0"/>
          <w:sz w:val="24"/>
          <w:szCs w:val="24"/>
          <w:lang w:eastAsia="x-none"/>
        </w:rPr>
        <w:t>risk-weighted assets at all times.</w:t>
      </w:r>
    </w:p>
    <w:p w:rsidR="003C30F2" w:rsidRPr="00C801D5" w:rsidRDefault="009A33D8" w:rsidP="00681B2C">
      <w:pPr>
        <w:pStyle w:val="ListParagraph"/>
        <w:numPr>
          <w:ilvl w:val="1"/>
          <w:numId w:val="7"/>
        </w:numPr>
        <w:bidi w:val="0"/>
        <w:spacing w:line="276" w:lineRule="auto"/>
        <w:ind w:hanging="618"/>
        <w:rPr>
          <w:rStyle w:val="tlid-translation"/>
          <w:rFonts w:asciiTheme="majorBidi" w:hAnsiTheme="majorBidi" w:cstheme="majorBidi"/>
          <w:b w:val="0"/>
          <w:bCs w:val="0"/>
          <w:sz w:val="24"/>
          <w:szCs w:val="24"/>
          <w:lang w:eastAsia="x-none"/>
        </w:rPr>
      </w:pPr>
      <w:r w:rsidRPr="00C801D5">
        <w:rPr>
          <w:rStyle w:val="tlid-translation"/>
          <w:rFonts w:asciiTheme="majorBidi" w:hAnsiTheme="majorBidi" w:cstheme="majorBidi"/>
          <w:b w:val="0"/>
          <w:bCs w:val="0"/>
          <w:sz w:val="24"/>
          <w:szCs w:val="24"/>
          <w:lang w:val="en" w:bidi="ar"/>
        </w:rPr>
        <w:t xml:space="preserve">The Conservation Buffer is (2.5%) of risk-weighted assets and it should be from (CET1). </w:t>
      </w:r>
    </w:p>
    <w:p w:rsidR="009A33D8" w:rsidRPr="00C801D5" w:rsidRDefault="009A33D8" w:rsidP="00D51976">
      <w:pPr>
        <w:pStyle w:val="ListParagraph"/>
        <w:numPr>
          <w:ilvl w:val="0"/>
          <w:numId w:val="7"/>
        </w:numPr>
        <w:bidi w:val="0"/>
        <w:spacing w:line="276" w:lineRule="auto"/>
        <w:ind w:left="567" w:hanging="477"/>
        <w:rPr>
          <w:rStyle w:val="tlid-translation"/>
          <w:rFonts w:asciiTheme="majorBidi" w:hAnsiTheme="majorBidi" w:cstheme="majorBidi"/>
          <w:b w:val="0"/>
          <w:bCs w:val="0"/>
          <w:sz w:val="24"/>
          <w:szCs w:val="24"/>
          <w:lang w:eastAsia="x-none"/>
        </w:rPr>
      </w:pPr>
      <w:r w:rsidRPr="00C801D5">
        <w:rPr>
          <w:rStyle w:val="tlid-translation"/>
          <w:rFonts w:asciiTheme="majorBidi" w:hAnsiTheme="majorBidi" w:cstheme="majorBidi"/>
          <w:b w:val="0"/>
          <w:bCs w:val="0"/>
          <w:sz w:val="24"/>
          <w:szCs w:val="24"/>
          <w:lang w:val="en" w:bidi="ar"/>
        </w:rPr>
        <w:t xml:space="preserve">For the purposes of classifying the bank within the first category "Well Capitalized", its capital adequacy ratio must not be less than (14%), but if the bank is classified within D-SIBs and for the purposes of its classification within the Well Capitalized category, its capital adequacy ratio must not be less than (14%+ capital required from </w:t>
      </w:r>
      <w:r w:rsidR="00447571" w:rsidRPr="00C801D5">
        <w:rPr>
          <w:rStyle w:val="tlid-translation"/>
          <w:rFonts w:asciiTheme="majorBidi" w:hAnsiTheme="majorBidi" w:cstheme="majorBidi"/>
          <w:b w:val="0"/>
          <w:bCs w:val="0"/>
          <w:sz w:val="24"/>
          <w:szCs w:val="24"/>
          <w:lang w:val="en" w:bidi="ar"/>
        </w:rPr>
        <w:t>D-SIBs</w:t>
      </w:r>
      <w:r w:rsidRPr="00C801D5">
        <w:rPr>
          <w:rStyle w:val="tlid-translation"/>
          <w:rFonts w:asciiTheme="majorBidi" w:hAnsiTheme="majorBidi" w:cstheme="majorBidi"/>
          <w:b w:val="0"/>
          <w:bCs w:val="0"/>
          <w:sz w:val="24"/>
          <w:szCs w:val="24"/>
          <w:lang w:val="en" w:bidi="ar"/>
        </w:rPr>
        <w:t xml:space="preserve">, according to the category to which the bank belongs, and according to the time frame set out in the </w:t>
      </w:r>
      <w:r w:rsidR="00447571" w:rsidRPr="00C801D5">
        <w:rPr>
          <w:rStyle w:val="tlid-translation"/>
          <w:rFonts w:asciiTheme="majorBidi" w:hAnsiTheme="majorBidi" w:cstheme="majorBidi"/>
          <w:b w:val="0"/>
          <w:bCs w:val="0"/>
          <w:sz w:val="24"/>
          <w:szCs w:val="24"/>
          <w:lang w:val="en" w:bidi="ar"/>
        </w:rPr>
        <w:t xml:space="preserve">Domestic Systemically Important Banks (D-SIBs) </w:t>
      </w:r>
      <w:r w:rsidRPr="00C801D5">
        <w:rPr>
          <w:rStyle w:val="tlid-translation"/>
          <w:rFonts w:asciiTheme="majorBidi" w:hAnsiTheme="majorBidi" w:cstheme="majorBidi"/>
          <w:b w:val="0"/>
          <w:bCs w:val="0"/>
          <w:sz w:val="24"/>
          <w:szCs w:val="24"/>
          <w:lang w:val="en" w:bidi="ar"/>
        </w:rPr>
        <w:t xml:space="preserve">instructions). </w:t>
      </w:r>
    </w:p>
    <w:p w:rsidR="009A33D8" w:rsidRPr="00C801D5" w:rsidRDefault="002D5AAB" w:rsidP="00494679">
      <w:pPr>
        <w:pStyle w:val="ListParagraph"/>
        <w:numPr>
          <w:ilvl w:val="0"/>
          <w:numId w:val="7"/>
        </w:numPr>
        <w:bidi w:val="0"/>
        <w:spacing w:line="276" w:lineRule="auto"/>
        <w:ind w:left="567" w:hanging="477"/>
        <w:rPr>
          <w:rStyle w:val="tlid-translation"/>
          <w:rFonts w:asciiTheme="majorBidi" w:hAnsiTheme="majorBidi" w:cstheme="majorBidi"/>
          <w:b w:val="0"/>
          <w:bCs w:val="0"/>
          <w:sz w:val="24"/>
          <w:szCs w:val="24"/>
          <w:lang w:val="en" w:bidi="ar"/>
        </w:rPr>
      </w:pPr>
      <w:r w:rsidRPr="00C801D5">
        <w:rPr>
          <w:rStyle w:val="tlid-translation"/>
          <w:rFonts w:asciiTheme="majorBidi" w:hAnsiTheme="majorBidi" w:cstheme="majorBidi"/>
          <w:b w:val="0"/>
          <w:bCs w:val="0"/>
          <w:sz w:val="24"/>
          <w:szCs w:val="24"/>
          <w:lang w:val="en" w:bidi="ar"/>
        </w:rPr>
        <w:t xml:space="preserve">Regarding banks that have </w:t>
      </w:r>
      <w:r w:rsidR="006C47B2" w:rsidRPr="00C801D5">
        <w:rPr>
          <w:rStyle w:val="tlid-translation"/>
          <w:rFonts w:asciiTheme="majorBidi" w:hAnsiTheme="majorBidi" w:cstheme="majorBidi"/>
          <w:b w:val="0"/>
          <w:bCs w:val="0"/>
          <w:sz w:val="24"/>
          <w:szCs w:val="24"/>
          <w:lang w:val="en" w:bidi="ar"/>
        </w:rPr>
        <w:t xml:space="preserve">cross-border </w:t>
      </w:r>
      <w:r w:rsidR="0087699C" w:rsidRPr="00C801D5">
        <w:rPr>
          <w:rStyle w:val="tlid-translation"/>
          <w:rFonts w:asciiTheme="majorBidi" w:hAnsiTheme="majorBidi" w:cstheme="majorBidi"/>
          <w:b w:val="0"/>
          <w:bCs w:val="0"/>
          <w:sz w:val="24"/>
          <w:szCs w:val="24"/>
          <w:lang w:val="en" w:bidi="ar"/>
        </w:rPr>
        <w:t>establishments, in</w:t>
      </w:r>
      <w:r w:rsidRPr="00C801D5">
        <w:rPr>
          <w:rStyle w:val="tlid-translation"/>
          <w:rFonts w:asciiTheme="majorBidi" w:hAnsiTheme="majorBidi" w:cstheme="majorBidi"/>
          <w:b w:val="0"/>
          <w:bCs w:val="0"/>
          <w:sz w:val="24"/>
          <w:szCs w:val="24"/>
          <w:lang w:val="en" w:bidi="ar"/>
        </w:rPr>
        <w:t xml:space="preserve"> the event that the host supervisory authorities impose a capital ad</w:t>
      </w:r>
      <w:r w:rsidR="0087699C" w:rsidRPr="00C801D5">
        <w:rPr>
          <w:rStyle w:val="tlid-translation"/>
          <w:rFonts w:asciiTheme="majorBidi" w:hAnsiTheme="majorBidi" w:cstheme="majorBidi"/>
          <w:b w:val="0"/>
          <w:bCs w:val="0"/>
          <w:sz w:val="24"/>
          <w:szCs w:val="24"/>
          <w:lang w:val="en" w:bidi="ar"/>
        </w:rPr>
        <w:t>equacy ratio higher than (12%). The bank, u</w:t>
      </w:r>
      <w:r w:rsidRPr="00C801D5">
        <w:rPr>
          <w:rStyle w:val="tlid-translation"/>
          <w:rFonts w:asciiTheme="majorBidi" w:hAnsiTheme="majorBidi" w:cstheme="majorBidi"/>
          <w:b w:val="0"/>
          <w:bCs w:val="0"/>
          <w:sz w:val="24"/>
          <w:szCs w:val="24"/>
          <w:lang w:val="en" w:bidi="ar"/>
        </w:rPr>
        <w:t xml:space="preserve">pon consolidating its financial statements for the purposes of capital adequacy, </w:t>
      </w:r>
      <w:r w:rsidR="00943629">
        <w:rPr>
          <w:rStyle w:val="tlid-translation"/>
          <w:rFonts w:asciiTheme="majorBidi" w:hAnsiTheme="majorBidi" w:cstheme="majorBidi"/>
          <w:b w:val="0"/>
          <w:bCs w:val="0"/>
          <w:sz w:val="24"/>
          <w:szCs w:val="24"/>
          <w:lang w:val="en" w:bidi="ar"/>
        </w:rPr>
        <w:t xml:space="preserve">must </w:t>
      </w:r>
      <w:r w:rsidR="00494679">
        <w:rPr>
          <w:rStyle w:val="tlid-translation"/>
          <w:rFonts w:asciiTheme="majorBidi" w:hAnsiTheme="majorBidi" w:cstheme="majorBidi"/>
          <w:b w:val="0"/>
          <w:bCs w:val="0"/>
          <w:sz w:val="24"/>
          <w:szCs w:val="24"/>
          <w:lang w:val="en" w:bidi="ar"/>
        </w:rPr>
        <w:t>increase the risk-weight</w:t>
      </w:r>
      <w:r w:rsidRPr="00C801D5">
        <w:rPr>
          <w:rStyle w:val="tlid-translation"/>
          <w:rFonts w:asciiTheme="majorBidi" w:hAnsiTheme="majorBidi" w:cstheme="majorBidi"/>
          <w:b w:val="0"/>
          <w:bCs w:val="0"/>
          <w:sz w:val="24"/>
          <w:szCs w:val="24"/>
          <w:lang w:val="en" w:bidi="ar"/>
        </w:rPr>
        <w:t xml:space="preserve"> assets of its external presence as a proportion and proportionate to reflect the capital adequacy ratio required of its external presence</w:t>
      </w:r>
      <w:r w:rsidR="00990491" w:rsidRPr="00C801D5">
        <w:rPr>
          <w:rStyle w:val="tlid-translation"/>
          <w:rFonts w:asciiTheme="majorBidi" w:hAnsiTheme="majorBidi" w:cstheme="majorBidi"/>
          <w:b w:val="0"/>
          <w:bCs w:val="0"/>
          <w:sz w:val="24"/>
          <w:szCs w:val="24"/>
          <w:lang w:val="en" w:bidi="ar"/>
        </w:rPr>
        <w:t xml:space="preserve">. For example, if the </w:t>
      </w:r>
      <w:r w:rsidR="00990491" w:rsidRPr="00C801D5">
        <w:rPr>
          <w:rStyle w:val="tlid-translation"/>
          <w:rFonts w:asciiTheme="majorBidi" w:hAnsiTheme="majorBidi" w:cstheme="majorBidi"/>
          <w:b w:val="0"/>
          <w:bCs w:val="0"/>
          <w:sz w:val="24"/>
          <w:szCs w:val="24"/>
          <w:lang w:val="en" w:bidi="ar"/>
        </w:rPr>
        <w:lastRenderedPageBreak/>
        <w:t>bank has an external subsidiary and the required capital adequacy ratio</w:t>
      </w:r>
      <w:r w:rsidR="0087699C" w:rsidRPr="00C801D5">
        <w:rPr>
          <w:rStyle w:val="tlid-translation"/>
          <w:rFonts w:asciiTheme="majorBidi" w:hAnsiTheme="majorBidi" w:cstheme="majorBidi"/>
          <w:b w:val="0"/>
          <w:bCs w:val="0"/>
          <w:sz w:val="24"/>
          <w:szCs w:val="24"/>
          <w:lang w:bidi="ar"/>
        </w:rPr>
        <w:t xml:space="preserve"> of this company</w:t>
      </w:r>
      <w:r w:rsidR="00990491" w:rsidRPr="00C801D5">
        <w:rPr>
          <w:rStyle w:val="tlid-translation"/>
          <w:rFonts w:asciiTheme="majorBidi" w:hAnsiTheme="majorBidi" w:cstheme="majorBidi"/>
          <w:b w:val="0"/>
          <w:bCs w:val="0"/>
          <w:sz w:val="24"/>
          <w:szCs w:val="24"/>
          <w:lang w:val="en" w:bidi="ar"/>
        </w:rPr>
        <w:t xml:space="preserve"> is (16%) and the risk weighted assets </w:t>
      </w:r>
      <w:r w:rsidR="0087699C" w:rsidRPr="00C801D5">
        <w:rPr>
          <w:rStyle w:val="tlid-translation"/>
          <w:rFonts w:asciiTheme="majorBidi" w:hAnsiTheme="majorBidi" w:cstheme="majorBidi"/>
          <w:b w:val="0"/>
          <w:bCs w:val="0"/>
          <w:sz w:val="24"/>
          <w:szCs w:val="24"/>
          <w:lang w:val="en" w:bidi="ar"/>
        </w:rPr>
        <w:t xml:space="preserve">is (1) billion </w:t>
      </w:r>
      <w:r w:rsidR="00943629">
        <w:rPr>
          <w:rStyle w:val="tlid-translation"/>
          <w:rFonts w:asciiTheme="majorBidi" w:hAnsiTheme="majorBidi" w:cstheme="majorBidi"/>
          <w:b w:val="0"/>
          <w:bCs w:val="0"/>
          <w:sz w:val="24"/>
          <w:szCs w:val="24"/>
          <w:lang w:val="en" w:bidi="ar"/>
        </w:rPr>
        <w:t>JD</w:t>
      </w:r>
      <w:r w:rsidR="0087699C" w:rsidRPr="00C801D5">
        <w:rPr>
          <w:rStyle w:val="tlid-translation"/>
          <w:rFonts w:asciiTheme="majorBidi" w:hAnsiTheme="majorBidi" w:cstheme="majorBidi"/>
          <w:b w:val="0"/>
          <w:bCs w:val="0"/>
          <w:sz w:val="24"/>
          <w:szCs w:val="24"/>
          <w:lang w:val="en" w:bidi="ar"/>
        </w:rPr>
        <w:t>.</w:t>
      </w:r>
      <w:r w:rsidR="00990491" w:rsidRPr="00C801D5">
        <w:rPr>
          <w:rStyle w:val="tlid-translation"/>
          <w:rFonts w:asciiTheme="majorBidi" w:hAnsiTheme="majorBidi" w:cstheme="majorBidi"/>
          <w:b w:val="0"/>
          <w:bCs w:val="0"/>
          <w:sz w:val="24"/>
          <w:szCs w:val="24"/>
          <w:lang w:val="en" w:bidi="ar"/>
        </w:rPr>
        <w:t xml:space="preserve"> In this case, the required capital of this company according to the instructions of the host supervisory authority is (160) million </w:t>
      </w:r>
      <w:r w:rsidR="00943629">
        <w:rPr>
          <w:rStyle w:val="tlid-translation"/>
          <w:rFonts w:asciiTheme="majorBidi" w:hAnsiTheme="majorBidi" w:cstheme="majorBidi"/>
          <w:b w:val="0"/>
          <w:bCs w:val="0"/>
          <w:sz w:val="24"/>
          <w:szCs w:val="24"/>
          <w:lang w:val="en" w:bidi="ar"/>
        </w:rPr>
        <w:t>JD</w:t>
      </w:r>
      <w:r w:rsidR="00990491" w:rsidRPr="00C801D5">
        <w:rPr>
          <w:rStyle w:val="tlid-translation"/>
          <w:rFonts w:asciiTheme="majorBidi" w:hAnsiTheme="majorBidi" w:cstheme="majorBidi"/>
          <w:b w:val="0"/>
          <w:bCs w:val="0"/>
          <w:sz w:val="24"/>
          <w:szCs w:val="24"/>
          <w:lang w:val="en" w:bidi="ar"/>
        </w:rPr>
        <w:t xml:space="preserve">, while the required capital according to the Central Bank </w:t>
      </w:r>
      <w:r w:rsidR="00681B2C" w:rsidRPr="00C801D5">
        <w:rPr>
          <w:rStyle w:val="tlid-translation"/>
          <w:rFonts w:asciiTheme="majorBidi" w:hAnsiTheme="majorBidi" w:cstheme="majorBidi"/>
          <w:b w:val="0"/>
          <w:bCs w:val="0"/>
          <w:sz w:val="24"/>
          <w:szCs w:val="24"/>
          <w:lang w:val="en" w:bidi="ar"/>
        </w:rPr>
        <w:t xml:space="preserve">instructions </w:t>
      </w:r>
      <w:r w:rsidR="00990491" w:rsidRPr="00C801D5">
        <w:rPr>
          <w:rStyle w:val="tlid-translation"/>
          <w:rFonts w:asciiTheme="majorBidi" w:hAnsiTheme="majorBidi" w:cstheme="majorBidi"/>
          <w:b w:val="0"/>
          <w:bCs w:val="0"/>
          <w:sz w:val="24"/>
          <w:szCs w:val="24"/>
          <w:lang w:val="en" w:bidi="ar"/>
        </w:rPr>
        <w:t xml:space="preserve">is (120) million </w:t>
      </w:r>
      <w:r w:rsidR="00943629">
        <w:rPr>
          <w:rStyle w:val="tlid-translation"/>
          <w:rFonts w:asciiTheme="majorBidi" w:hAnsiTheme="majorBidi" w:cstheme="majorBidi"/>
          <w:b w:val="0"/>
          <w:bCs w:val="0"/>
          <w:sz w:val="24"/>
          <w:szCs w:val="24"/>
          <w:lang w:val="en" w:bidi="ar"/>
        </w:rPr>
        <w:t>JD</w:t>
      </w:r>
      <w:r w:rsidR="00681B2C" w:rsidRPr="00C801D5">
        <w:rPr>
          <w:rStyle w:val="tlid-translation"/>
          <w:rFonts w:asciiTheme="majorBidi" w:hAnsiTheme="majorBidi" w:cstheme="majorBidi"/>
          <w:b w:val="0"/>
          <w:bCs w:val="0"/>
          <w:sz w:val="24"/>
          <w:szCs w:val="24"/>
          <w:lang w:val="en" w:bidi="ar"/>
        </w:rPr>
        <w:t>.</w:t>
      </w:r>
      <w:r w:rsidR="00990491" w:rsidRPr="00C801D5">
        <w:rPr>
          <w:rStyle w:val="tlid-translation"/>
          <w:rFonts w:asciiTheme="majorBidi" w:hAnsiTheme="majorBidi" w:cstheme="majorBidi"/>
          <w:b w:val="0"/>
          <w:bCs w:val="0"/>
          <w:sz w:val="24"/>
          <w:szCs w:val="24"/>
          <w:lang w:val="en" w:bidi="ar"/>
        </w:rPr>
        <w:t xml:space="preserve"> In order to reflect the increase in the capital adequacy ratio of this company, the risk-weighted assets of the subsidiary upon consolidating the financial statements will equal (160 million x 1 billion) / 120 million = 1,333 billion </w:t>
      </w:r>
      <w:r w:rsidR="00943629">
        <w:rPr>
          <w:rStyle w:val="tlid-translation"/>
          <w:rFonts w:asciiTheme="majorBidi" w:hAnsiTheme="majorBidi" w:cstheme="majorBidi"/>
          <w:b w:val="0"/>
          <w:bCs w:val="0"/>
          <w:sz w:val="24"/>
          <w:szCs w:val="24"/>
          <w:lang w:val="en" w:bidi="ar"/>
        </w:rPr>
        <w:t>JD</w:t>
      </w:r>
      <w:r w:rsidR="00990491" w:rsidRPr="00C801D5">
        <w:rPr>
          <w:rStyle w:val="tlid-translation"/>
          <w:rFonts w:asciiTheme="majorBidi" w:hAnsiTheme="majorBidi" w:cstheme="majorBidi"/>
          <w:b w:val="0"/>
          <w:bCs w:val="0"/>
          <w:sz w:val="24"/>
          <w:szCs w:val="24"/>
          <w:lang w:val="en" w:bidi="ar"/>
        </w:rPr>
        <w:t>.</w:t>
      </w:r>
    </w:p>
    <w:p w:rsidR="00A040D2" w:rsidRPr="00AD38CE" w:rsidRDefault="00A040D2" w:rsidP="00A040D2">
      <w:pPr>
        <w:pStyle w:val="ListParagraph"/>
        <w:bidi w:val="0"/>
        <w:spacing w:line="276" w:lineRule="auto"/>
        <w:ind w:left="567"/>
        <w:rPr>
          <w:rStyle w:val="tlid-translation"/>
          <w:rFonts w:asciiTheme="majorBidi" w:hAnsiTheme="majorBidi" w:cstheme="majorBidi"/>
          <w:b w:val="0"/>
          <w:bCs w:val="0"/>
          <w:sz w:val="8"/>
          <w:szCs w:val="8"/>
          <w:lang w:bidi="ar"/>
        </w:rPr>
      </w:pPr>
    </w:p>
    <w:p w:rsidR="00990491" w:rsidRPr="00A040D2" w:rsidRDefault="00990491" w:rsidP="00C801D5">
      <w:pPr>
        <w:pStyle w:val="Heading2"/>
        <w:bidi w:val="0"/>
      </w:pPr>
      <w:bookmarkStart w:id="10" w:name="_Toc65354399"/>
      <w:r w:rsidRPr="00A040D2">
        <w:t>Third: Capital Qualifying Criteria</w:t>
      </w:r>
      <w:bookmarkEnd w:id="10"/>
    </w:p>
    <w:p w:rsidR="00990491" w:rsidRPr="00C801D5" w:rsidRDefault="00990491" w:rsidP="00A040D2">
      <w:pPr>
        <w:pStyle w:val="ListParagraph"/>
        <w:numPr>
          <w:ilvl w:val="0"/>
          <w:numId w:val="8"/>
        </w:numPr>
        <w:bidi w:val="0"/>
        <w:spacing w:after="0" w:line="276" w:lineRule="auto"/>
        <w:ind w:left="540" w:hanging="450"/>
        <w:rPr>
          <w:rFonts w:ascii="Times New Roman" w:hAnsi="Times New Roman" w:cs="Times New Roman"/>
          <w:sz w:val="24"/>
          <w:szCs w:val="24"/>
        </w:rPr>
      </w:pPr>
      <w:r w:rsidRPr="00C801D5">
        <w:rPr>
          <w:rFonts w:ascii="Times New Roman" w:hAnsi="Times New Roman" w:cs="Times New Roman"/>
          <w:sz w:val="24"/>
          <w:szCs w:val="24"/>
        </w:rPr>
        <w:t>Common Equity Tier 1</w:t>
      </w:r>
    </w:p>
    <w:p w:rsidR="00990491" w:rsidRPr="00C801D5" w:rsidRDefault="00990491" w:rsidP="00953713">
      <w:pPr>
        <w:pStyle w:val="ListParagraph"/>
        <w:numPr>
          <w:ilvl w:val="1"/>
          <w:numId w:val="8"/>
        </w:numPr>
        <w:bidi w:val="0"/>
        <w:spacing w:after="0" w:line="276" w:lineRule="auto"/>
        <w:ind w:left="1080" w:hanging="540"/>
        <w:rPr>
          <w:rStyle w:val="tlid-translation"/>
          <w:rFonts w:ascii="Times New Roman" w:hAnsi="Times New Roman" w:cs="Times New Roman"/>
          <w:b w:val="0"/>
          <w:bCs w:val="0"/>
          <w:sz w:val="24"/>
          <w:szCs w:val="24"/>
          <w:lang w:val="en" w:bidi="ar"/>
        </w:rPr>
      </w:pPr>
      <w:r w:rsidRPr="00C801D5">
        <w:rPr>
          <w:rFonts w:ascii="Times New Roman" w:hAnsi="Times New Roman" w:cs="Times New Roman"/>
          <w:b w:val="0"/>
          <w:bCs w:val="0"/>
          <w:sz w:val="24"/>
          <w:szCs w:val="24"/>
        </w:rPr>
        <w:t>Common Equity Tier 1 shall consist of the following items</w:t>
      </w:r>
      <w:r w:rsidRPr="00C801D5">
        <w:rPr>
          <w:rStyle w:val="FootnoteReference"/>
          <w:rFonts w:ascii="Times New Roman" w:hAnsi="Times New Roman" w:cs="Times New Roman"/>
          <w:b w:val="0"/>
          <w:bCs w:val="0"/>
          <w:sz w:val="24"/>
          <w:szCs w:val="24"/>
        </w:rPr>
        <w:footnoteReference w:id="5"/>
      </w:r>
      <w:r w:rsidRPr="00C801D5">
        <w:rPr>
          <w:rFonts w:ascii="Times New Roman" w:hAnsi="Times New Roman" w:cs="Times New Roman"/>
          <w:b w:val="0"/>
          <w:bCs w:val="0"/>
          <w:sz w:val="24"/>
          <w:szCs w:val="24"/>
        </w:rPr>
        <w:t xml:space="preserve"> (</w:t>
      </w:r>
      <w:r w:rsidRPr="00C801D5">
        <w:rPr>
          <w:rStyle w:val="tlid-translation"/>
          <w:rFonts w:ascii="Times New Roman" w:hAnsi="Times New Roman" w:cs="Times New Roman"/>
          <w:b w:val="0"/>
          <w:bCs w:val="0"/>
          <w:sz w:val="24"/>
          <w:szCs w:val="24"/>
          <w:lang w:val="en" w:bidi="ar"/>
        </w:rPr>
        <w:t xml:space="preserve">after the regulatory </w:t>
      </w:r>
      <w:r w:rsidR="00390BFC" w:rsidRPr="00C801D5">
        <w:rPr>
          <w:rStyle w:val="tlid-translation"/>
          <w:rFonts w:ascii="Times New Roman" w:hAnsi="Times New Roman" w:cs="Times New Roman"/>
          <w:b w:val="0"/>
          <w:bCs w:val="0"/>
          <w:sz w:val="24"/>
          <w:szCs w:val="24"/>
          <w:lang w:val="en" w:bidi="ar"/>
        </w:rPr>
        <w:t xml:space="preserve">adjustments </w:t>
      </w:r>
      <w:r w:rsidRPr="00C801D5">
        <w:rPr>
          <w:rStyle w:val="tlid-translation"/>
          <w:rFonts w:ascii="Times New Roman" w:hAnsi="Times New Roman" w:cs="Times New Roman"/>
          <w:b w:val="0"/>
          <w:bCs w:val="0"/>
          <w:sz w:val="24"/>
          <w:szCs w:val="24"/>
          <w:lang w:val="en" w:bidi="ar"/>
        </w:rPr>
        <w:t xml:space="preserve">used to calculate (CET1) </w:t>
      </w:r>
      <w:r w:rsidR="00E65AC9" w:rsidRPr="00C801D5">
        <w:rPr>
          <w:rStyle w:val="tlid-translation"/>
          <w:rFonts w:ascii="Times New Roman" w:hAnsi="Times New Roman" w:cs="Times New Roman"/>
          <w:b w:val="0"/>
          <w:bCs w:val="0"/>
          <w:sz w:val="24"/>
          <w:szCs w:val="24"/>
          <w:lang w:bidi="ar"/>
        </w:rPr>
        <w:t xml:space="preserve">according to clause </w:t>
      </w:r>
      <w:r w:rsidRPr="00C801D5">
        <w:rPr>
          <w:rStyle w:val="tlid-translation"/>
          <w:rFonts w:ascii="Times New Roman" w:hAnsi="Times New Roman" w:cs="Times New Roman"/>
          <w:b w:val="0"/>
          <w:bCs w:val="0"/>
          <w:sz w:val="24"/>
          <w:szCs w:val="24"/>
          <w:lang w:val="en" w:bidi="ar"/>
        </w:rPr>
        <w:t xml:space="preserve"> (Fourth) of this chapter): </w:t>
      </w:r>
    </w:p>
    <w:p w:rsidR="00990491" w:rsidRPr="00C801D5" w:rsidRDefault="00390BFC" w:rsidP="00A040D2">
      <w:pPr>
        <w:pStyle w:val="ListParagraph"/>
        <w:numPr>
          <w:ilvl w:val="2"/>
          <w:numId w:val="8"/>
        </w:numPr>
        <w:bidi w:val="0"/>
        <w:spacing w:after="0" w:line="276" w:lineRule="auto"/>
        <w:rPr>
          <w:rFonts w:ascii="Times New Roman" w:hAnsi="Times New Roman" w:cs="Times New Roman"/>
          <w:b w:val="0"/>
          <w:bCs w:val="0"/>
          <w:sz w:val="24"/>
          <w:szCs w:val="24"/>
          <w:lang w:val="en"/>
        </w:rPr>
      </w:pPr>
      <w:r w:rsidRPr="00C801D5">
        <w:rPr>
          <w:rFonts w:ascii="Times New Roman" w:hAnsi="Times New Roman" w:cs="Times New Roman"/>
          <w:b w:val="0"/>
          <w:bCs w:val="0"/>
          <w:sz w:val="24"/>
          <w:szCs w:val="24"/>
          <w:lang w:val="en"/>
        </w:rPr>
        <w:t>Common shares issued by the bank that meet the criteria for classification as common shares for regulatory purposes.</w:t>
      </w:r>
    </w:p>
    <w:p w:rsidR="00390BFC" w:rsidRPr="00C801D5" w:rsidRDefault="00390BFC" w:rsidP="00A040D2">
      <w:pPr>
        <w:pStyle w:val="ListParagraph"/>
        <w:numPr>
          <w:ilvl w:val="2"/>
          <w:numId w:val="8"/>
        </w:numPr>
        <w:bidi w:val="0"/>
        <w:spacing w:after="0" w:line="276" w:lineRule="auto"/>
        <w:rPr>
          <w:rStyle w:val="tlid-translation"/>
          <w:rFonts w:ascii="Times New Roman" w:hAnsi="Times New Roman" w:cs="Times New Roman"/>
          <w:b w:val="0"/>
          <w:bCs w:val="0"/>
          <w:sz w:val="24"/>
          <w:szCs w:val="24"/>
          <w:lang w:val="en"/>
        </w:rPr>
      </w:pPr>
      <w:r w:rsidRPr="00C801D5">
        <w:rPr>
          <w:rStyle w:val="tlid-translation"/>
          <w:rFonts w:ascii="Times New Roman" w:hAnsi="Times New Roman" w:cs="Times New Roman"/>
          <w:b w:val="0"/>
          <w:bCs w:val="0"/>
          <w:sz w:val="24"/>
          <w:szCs w:val="24"/>
          <w:lang w:val="en" w:bidi="ar"/>
        </w:rPr>
        <w:t xml:space="preserve">Retained earnings (losses). </w:t>
      </w:r>
    </w:p>
    <w:p w:rsidR="00390BFC" w:rsidRPr="00C801D5" w:rsidRDefault="00390BFC" w:rsidP="00943629">
      <w:pPr>
        <w:pStyle w:val="ListParagraph"/>
        <w:numPr>
          <w:ilvl w:val="2"/>
          <w:numId w:val="8"/>
        </w:numPr>
        <w:bidi w:val="0"/>
        <w:spacing w:after="0" w:line="276" w:lineRule="auto"/>
        <w:rPr>
          <w:rStyle w:val="tlid-translation"/>
          <w:rFonts w:ascii="Times New Roman" w:hAnsi="Times New Roman" w:cs="Times New Roman"/>
          <w:b w:val="0"/>
          <w:bCs w:val="0"/>
          <w:sz w:val="24"/>
          <w:szCs w:val="24"/>
          <w:lang w:val="en"/>
        </w:rPr>
      </w:pPr>
      <w:r w:rsidRPr="00C801D5">
        <w:rPr>
          <w:rFonts w:ascii="Times New Roman" w:hAnsi="Times New Roman" w:cs="Times New Roman"/>
          <w:b w:val="0"/>
          <w:bCs w:val="0"/>
          <w:sz w:val="24"/>
          <w:szCs w:val="24"/>
          <w:lang w:val="en"/>
        </w:rPr>
        <w:t>Accumulated other comprehensive income, including</w:t>
      </w:r>
      <w:r w:rsidR="00AC01AB" w:rsidRPr="00C801D5">
        <w:rPr>
          <w:rFonts w:ascii="Times New Roman" w:hAnsi="Times New Roman" w:cs="Times New Roman"/>
          <w:b w:val="0"/>
          <w:bCs w:val="0"/>
          <w:sz w:val="24"/>
          <w:szCs w:val="24"/>
          <w:lang w:val="en"/>
        </w:rPr>
        <w:t xml:space="preserve"> </w:t>
      </w:r>
      <w:r w:rsidR="00943629" w:rsidRPr="00943629">
        <w:rPr>
          <w:rFonts w:ascii="Times New Roman" w:hAnsi="Times New Roman" w:cs="Times New Roman"/>
          <w:b w:val="0"/>
          <w:bCs w:val="0"/>
          <w:sz w:val="24"/>
          <w:szCs w:val="24"/>
          <w:lang w:val="en"/>
        </w:rPr>
        <w:t>t</w:t>
      </w:r>
      <w:r w:rsidR="00AC01AB" w:rsidRPr="00943629">
        <w:rPr>
          <w:rStyle w:val="tlid-translation"/>
          <w:rFonts w:ascii="Times New Roman" w:hAnsi="Times New Roman" w:cs="Times New Roman"/>
          <w:b w:val="0"/>
          <w:bCs w:val="0"/>
          <w:sz w:val="24"/>
          <w:szCs w:val="24"/>
          <w:lang w:val="en" w:bidi="ar"/>
        </w:rPr>
        <w:t>he cumulative change in fair value in full, foreign currency translation differences and hedge reserve for cash flows for assets not at fair value</w:t>
      </w:r>
      <w:r w:rsidR="00772126">
        <w:rPr>
          <w:rStyle w:val="FootnoteReference"/>
          <w:rFonts w:ascii="Times New Roman" w:hAnsi="Times New Roman" w:cs="Times New Roman"/>
          <w:b w:val="0"/>
          <w:bCs w:val="0"/>
          <w:sz w:val="24"/>
          <w:szCs w:val="24"/>
          <w:lang w:val="en" w:bidi="ar"/>
        </w:rPr>
        <w:footnoteReference w:id="6"/>
      </w:r>
      <w:r w:rsidR="00943629">
        <w:rPr>
          <w:rStyle w:val="tlid-translation"/>
          <w:rFonts w:ascii="Times New Roman" w:hAnsi="Times New Roman" w:cs="Times New Roman"/>
          <w:b w:val="0"/>
          <w:bCs w:val="0"/>
          <w:sz w:val="24"/>
          <w:szCs w:val="24"/>
          <w:lang w:val="en" w:bidi="ar"/>
        </w:rPr>
        <w:t>.</w:t>
      </w:r>
    </w:p>
    <w:p w:rsidR="00AC01AB" w:rsidRPr="00C801D5" w:rsidRDefault="00943629" w:rsidP="00494679">
      <w:pPr>
        <w:pStyle w:val="ListParagraph"/>
        <w:numPr>
          <w:ilvl w:val="2"/>
          <w:numId w:val="8"/>
        </w:numPr>
        <w:bidi w:val="0"/>
        <w:spacing w:after="0" w:line="276" w:lineRule="auto"/>
        <w:rPr>
          <w:rStyle w:val="tlid-translation"/>
          <w:rFonts w:ascii="Times New Roman" w:hAnsi="Times New Roman" w:cs="Times New Roman"/>
          <w:b w:val="0"/>
          <w:bCs w:val="0"/>
          <w:sz w:val="24"/>
          <w:szCs w:val="24"/>
          <w:lang w:val="en"/>
        </w:rPr>
      </w:pPr>
      <w:r>
        <w:rPr>
          <w:rStyle w:val="tlid-translation"/>
          <w:rFonts w:ascii="Times New Roman" w:hAnsi="Times New Roman" w:cs="Times New Roman"/>
          <w:b w:val="0"/>
          <w:bCs w:val="0"/>
          <w:sz w:val="24"/>
          <w:szCs w:val="24"/>
          <w:lang w:val="en" w:bidi="ar"/>
        </w:rPr>
        <w:t>D</w:t>
      </w:r>
      <w:r w:rsidR="00933047" w:rsidRPr="00C801D5">
        <w:rPr>
          <w:rStyle w:val="tlid-translation"/>
          <w:rFonts w:ascii="Times New Roman" w:hAnsi="Times New Roman" w:cs="Times New Roman"/>
          <w:b w:val="0"/>
          <w:bCs w:val="0"/>
          <w:sz w:val="24"/>
          <w:szCs w:val="24"/>
          <w:lang w:val="en" w:bidi="ar"/>
        </w:rPr>
        <w:t>isclosed reserves</w:t>
      </w:r>
      <w:r w:rsidR="00AC01AB" w:rsidRPr="00C801D5">
        <w:rPr>
          <w:rStyle w:val="tlid-translation"/>
          <w:rFonts w:ascii="Times New Roman" w:hAnsi="Times New Roman" w:cs="Times New Roman"/>
          <w:b w:val="0"/>
          <w:bCs w:val="0"/>
          <w:sz w:val="24"/>
          <w:szCs w:val="24"/>
          <w:lang w:val="en" w:bidi="ar"/>
        </w:rPr>
        <w:t xml:space="preserve">: </w:t>
      </w:r>
      <w:r w:rsidR="00E65AC9" w:rsidRPr="00C801D5">
        <w:rPr>
          <w:rFonts w:ascii="Times New Roman" w:eastAsia="Times New Roman" w:hAnsi="Times New Roman" w:cs="Times New Roman"/>
          <w:b w:val="0"/>
          <w:bCs w:val="0"/>
          <w:sz w:val="24"/>
          <w:szCs w:val="24"/>
        </w:rPr>
        <w:t xml:space="preserve">regulatory </w:t>
      </w:r>
      <w:r w:rsidR="00AC01AB" w:rsidRPr="00C801D5">
        <w:rPr>
          <w:rStyle w:val="tlid-translation"/>
          <w:rFonts w:ascii="Times New Roman" w:hAnsi="Times New Roman" w:cs="Times New Roman"/>
          <w:b w:val="0"/>
          <w:bCs w:val="0"/>
          <w:sz w:val="24"/>
          <w:szCs w:val="24"/>
          <w:lang w:val="en" w:bidi="ar"/>
        </w:rPr>
        <w:t xml:space="preserve">reserve, </w:t>
      </w:r>
      <w:r>
        <w:rPr>
          <w:rFonts w:ascii="Times New Roman" w:hAnsi="Times New Roman" w:cs="Times New Roman"/>
          <w:b w:val="0"/>
          <w:bCs w:val="0"/>
          <w:sz w:val="24"/>
          <w:szCs w:val="24"/>
          <w:lang w:val="en"/>
        </w:rPr>
        <w:t>voluntary</w:t>
      </w:r>
      <w:r w:rsidR="00AE3533" w:rsidRPr="00C801D5">
        <w:rPr>
          <w:rFonts w:ascii="Times New Roman" w:hAnsi="Times New Roman" w:cs="Times New Roman"/>
          <w:b w:val="0"/>
          <w:bCs w:val="0"/>
          <w:sz w:val="24"/>
          <w:szCs w:val="24"/>
          <w:lang w:val="en"/>
        </w:rPr>
        <w:t xml:space="preserve"> </w:t>
      </w:r>
      <w:r w:rsidR="00AC01AB" w:rsidRPr="00C801D5">
        <w:rPr>
          <w:rStyle w:val="tlid-translation"/>
          <w:rFonts w:ascii="Times New Roman" w:hAnsi="Times New Roman" w:cs="Times New Roman"/>
          <w:b w:val="0"/>
          <w:bCs w:val="0"/>
          <w:sz w:val="24"/>
          <w:szCs w:val="24"/>
          <w:lang w:val="en" w:bidi="ar"/>
        </w:rPr>
        <w:t xml:space="preserve">reserve, </w:t>
      </w:r>
      <w:r>
        <w:rPr>
          <w:rStyle w:val="tlid-translation"/>
          <w:rFonts w:ascii="Times New Roman" w:hAnsi="Times New Roman" w:cs="Times New Roman"/>
          <w:b w:val="0"/>
          <w:bCs w:val="0"/>
          <w:sz w:val="24"/>
          <w:szCs w:val="24"/>
          <w:lang w:val="en" w:bidi="ar"/>
        </w:rPr>
        <w:t xml:space="preserve">stock surplus (share </w:t>
      </w:r>
      <w:r w:rsidR="00AC01AB" w:rsidRPr="00C801D5">
        <w:rPr>
          <w:rStyle w:val="tlid-translation"/>
          <w:rFonts w:ascii="Times New Roman" w:hAnsi="Times New Roman" w:cs="Times New Roman"/>
          <w:b w:val="0"/>
          <w:bCs w:val="0"/>
          <w:sz w:val="24"/>
          <w:szCs w:val="24"/>
          <w:lang w:val="en" w:bidi="ar"/>
        </w:rPr>
        <w:t>premium</w:t>
      </w:r>
      <w:r>
        <w:rPr>
          <w:rStyle w:val="tlid-translation"/>
          <w:rFonts w:ascii="Times New Roman" w:hAnsi="Times New Roman" w:cs="Times New Roman"/>
          <w:b w:val="0"/>
          <w:bCs w:val="0"/>
          <w:sz w:val="24"/>
          <w:szCs w:val="24"/>
          <w:lang w:val="en" w:bidi="ar"/>
        </w:rPr>
        <w:t>)</w:t>
      </w:r>
      <w:r w:rsidR="00AC01AB" w:rsidRPr="00C801D5">
        <w:rPr>
          <w:rStyle w:val="tlid-translation"/>
          <w:rFonts w:ascii="Times New Roman" w:hAnsi="Times New Roman" w:cs="Times New Roman"/>
          <w:b w:val="0"/>
          <w:bCs w:val="0"/>
          <w:sz w:val="24"/>
          <w:szCs w:val="24"/>
          <w:lang w:val="en" w:bidi="ar"/>
        </w:rPr>
        <w:t>, and treasury shares premium.</w:t>
      </w:r>
    </w:p>
    <w:p w:rsidR="00AC01AB" w:rsidRPr="00C801D5" w:rsidRDefault="00754268" w:rsidP="00A040D2">
      <w:pPr>
        <w:pStyle w:val="ListParagraph"/>
        <w:numPr>
          <w:ilvl w:val="2"/>
          <w:numId w:val="8"/>
        </w:numPr>
        <w:bidi w:val="0"/>
        <w:spacing w:after="0" w:line="276" w:lineRule="auto"/>
        <w:rPr>
          <w:rStyle w:val="tlid-translation"/>
          <w:rFonts w:ascii="Times New Roman" w:hAnsi="Times New Roman" w:cs="Times New Roman"/>
          <w:b w:val="0"/>
          <w:bCs w:val="0"/>
          <w:sz w:val="24"/>
          <w:szCs w:val="24"/>
          <w:lang w:val="en"/>
        </w:rPr>
      </w:pPr>
      <w:r w:rsidRPr="00C801D5">
        <w:rPr>
          <w:rStyle w:val="tlid-translation"/>
          <w:rFonts w:ascii="Times New Roman" w:hAnsi="Times New Roman" w:cs="Times New Roman"/>
          <w:b w:val="0"/>
          <w:bCs w:val="0"/>
          <w:sz w:val="24"/>
          <w:szCs w:val="24"/>
          <w:lang w:val="en" w:bidi="ar"/>
        </w:rPr>
        <w:t>Any other unrestricted reserves subject to the prior approval of the Central Bank of Jordan.</w:t>
      </w:r>
    </w:p>
    <w:p w:rsidR="00754268" w:rsidRPr="00C801D5" w:rsidRDefault="00754268" w:rsidP="00943629">
      <w:pPr>
        <w:pStyle w:val="ListParagraph"/>
        <w:numPr>
          <w:ilvl w:val="2"/>
          <w:numId w:val="8"/>
        </w:numPr>
        <w:bidi w:val="0"/>
        <w:spacing w:after="0" w:line="276" w:lineRule="auto"/>
        <w:rPr>
          <w:rFonts w:ascii="Times New Roman" w:hAnsi="Times New Roman" w:cs="Times New Roman"/>
          <w:b w:val="0"/>
          <w:bCs w:val="0"/>
          <w:sz w:val="24"/>
          <w:szCs w:val="24"/>
          <w:lang w:val="en"/>
        </w:rPr>
      </w:pPr>
      <w:r w:rsidRPr="00C801D5">
        <w:rPr>
          <w:rStyle w:val="tlid-translation"/>
          <w:rFonts w:ascii="Times New Roman" w:hAnsi="Times New Roman" w:cs="Times New Roman"/>
          <w:b w:val="0"/>
          <w:bCs w:val="0"/>
          <w:sz w:val="24"/>
          <w:szCs w:val="24"/>
          <w:lang w:val="en" w:bidi="ar"/>
        </w:rPr>
        <w:t xml:space="preserve">Minority </w:t>
      </w:r>
      <w:r w:rsidR="002E5D36" w:rsidRPr="00C801D5">
        <w:rPr>
          <w:rStyle w:val="tlid-translation"/>
          <w:rFonts w:ascii="Times New Roman" w:hAnsi="Times New Roman" w:cs="Times New Roman"/>
          <w:b w:val="0"/>
          <w:bCs w:val="0"/>
          <w:sz w:val="24"/>
          <w:szCs w:val="24"/>
          <w:lang w:val="en" w:bidi="ar"/>
        </w:rPr>
        <w:t>interest</w:t>
      </w:r>
      <w:r w:rsidRPr="00C801D5">
        <w:rPr>
          <w:rStyle w:val="tlid-translation"/>
          <w:rFonts w:ascii="Times New Roman" w:hAnsi="Times New Roman" w:cs="Times New Roman"/>
          <w:b w:val="0"/>
          <w:bCs w:val="0"/>
          <w:sz w:val="24"/>
          <w:szCs w:val="24"/>
          <w:lang w:val="en" w:bidi="ar"/>
        </w:rPr>
        <w:t xml:space="preserve">, </w:t>
      </w:r>
      <w:r w:rsidR="002E5D36" w:rsidRPr="00C801D5">
        <w:rPr>
          <w:rStyle w:val="tlid-translation"/>
          <w:rFonts w:ascii="Times New Roman" w:hAnsi="Times New Roman" w:cs="Times New Roman"/>
          <w:b w:val="0"/>
          <w:bCs w:val="0"/>
          <w:sz w:val="24"/>
          <w:szCs w:val="24"/>
          <w:lang w:val="en" w:bidi="ar"/>
        </w:rPr>
        <w:t xml:space="preserve">which are the common shares issued by consolidated subsidiaries of the bank and held by third parties that meet the criteria for inclusion in Common Equity Tier 1 capital. </w:t>
      </w:r>
      <w:r w:rsidR="005F4F5B" w:rsidRPr="00C801D5">
        <w:rPr>
          <w:rStyle w:val="tlid-translation"/>
          <w:rFonts w:ascii="Times New Roman" w:hAnsi="Times New Roman" w:cs="Times New Roman"/>
          <w:b w:val="0"/>
          <w:bCs w:val="0"/>
          <w:sz w:val="24"/>
          <w:szCs w:val="24"/>
          <w:lang w:bidi="ar"/>
        </w:rPr>
        <w:t xml:space="preserve">As </w:t>
      </w:r>
      <w:r w:rsidRPr="00C801D5">
        <w:rPr>
          <w:rStyle w:val="tlid-translation"/>
          <w:rFonts w:ascii="Times New Roman" w:hAnsi="Times New Roman" w:cs="Times New Roman"/>
          <w:b w:val="0"/>
          <w:bCs w:val="0"/>
          <w:sz w:val="24"/>
          <w:szCs w:val="24"/>
          <w:lang w:val="en" w:bidi="ar"/>
        </w:rPr>
        <w:t>described in clause (</w:t>
      </w:r>
      <w:r w:rsidR="00943629">
        <w:rPr>
          <w:rStyle w:val="tlid-translation"/>
          <w:rFonts w:ascii="Times New Roman" w:hAnsi="Times New Roman" w:cs="Times New Roman"/>
          <w:b w:val="0"/>
          <w:bCs w:val="0"/>
          <w:sz w:val="24"/>
          <w:szCs w:val="24"/>
          <w:lang w:val="en" w:bidi="ar"/>
        </w:rPr>
        <w:t>third</w:t>
      </w:r>
      <w:r w:rsidRPr="00C801D5">
        <w:rPr>
          <w:rStyle w:val="tlid-translation"/>
          <w:rFonts w:ascii="Times New Roman" w:hAnsi="Times New Roman" w:cs="Times New Roman"/>
          <w:b w:val="0"/>
          <w:bCs w:val="0"/>
          <w:sz w:val="24"/>
          <w:szCs w:val="24"/>
          <w:lang w:val="en" w:bidi="ar"/>
        </w:rPr>
        <w:t>/4) of this chapter</w:t>
      </w:r>
      <w:r w:rsidR="005F4F5B" w:rsidRPr="00C801D5">
        <w:rPr>
          <w:rStyle w:val="tlid-translation"/>
          <w:rFonts w:ascii="Times New Roman" w:hAnsi="Times New Roman" w:cs="Times New Roman"/>
          <w:b w:val="0"/>
          <w:bCs w:val="0"/>
          <w:sz w:val="24"/>
          <w:szCs w:val="24"/>
          <w:lang w:val="en" w:bidi="ar"/>
        </w:rPr>
        <w:t>.</w:t>
      </w:r>
    </w:p>
    <w:p w:rsidR="00754268" w:rsidRPr="00C801D5" w:rsidRDefault="00754268" w:rsidP="00A040D2">
      <w:pPr>
        <w:bidi w:val="0"/>
        <w:spacing w:after="0" w:line="276" w:lineRule="auto"/>
        <w:ind w:left="1080" w:hanging="540"/>
        <w:rPr>
          <w:rFonts w:ascii="Times New Roman" w:hAnsi="Times New Roman" w:cs="Times New Roman"/>
          <w:b w:val="0"/>
          <w:bCs w:val="0"/>
          <w:sz w:val="24"/>
          <w:szCs w:val="24"/>
        </w:rPr>
      </w:pPr>
      <w:r w:rsidRPr="00C801D5">
        <w:rPr>
          <w:rFonts w:ascii="Times New Roman" w:hAnsi="Times New Roman" w:cs="Times New Roman"/>
          <w:b w:val="0"/>
          <w:bCs w:val="0"/>
          <w:sz w:val="24"/>
          <w:szCs w:val="24"/>
        </w:rPr>
        <w:t>1.2</w:t>
      </w:r>
      <w:r w:rsidR="00CF5EA0" w:rsidRPr="00C801D5">
        <w:rPr>
          <w:rStyle w:val="Heading1Char"/>
          <w:rFonts w:ascii="Times New Roman" w:hAnsi="Times New Roman" w:cs="Times New Roman"/>
          <w:b w:val="0"/>
          <w:bCs w:val="0"/>
          <w:sz w:val="24"/>
          <w:szCs w:val="24"/>
          <w:lang w:val="en" w:bidi="ar"/>
        </w:rPr>
        <w:t xml:space="preserve"> </w:t>
      </w:r>
      <w:r w:rsidR="00A040D2" w:rsidRPr="00C801D5">
        <w:rPr>
          <w:rStyle w:val="Heading1Char"/>
          <w:rFonts w:ascii="Times New Roman" w:hAnsi="Times New Roman" w:cs="Times New Roman"/>
          <w:b w:val="0"/>
          <w:bCs w:val="0"/>
          <w:sz w:val="24"/>
          <w:szCs w:val="24"/>
          <w:lang w:val="en" w:bidi="ar"/>
        </w:rPr>
        <w:t xml:space="preserve">   </w:t>
      </w:r>
      <w:r w:rsidR="00943629">
        <w:rPr>
          <w:rStyle w:val="tlid-translation"/>
          <w:rFonts w:ascii="Times New Roman" w:hAnsi="Times New Roman" w:cs="Times New Roman"/>
          <w:b w:val="0"/>
          <w:bCs w:val="0"/>
          <w:sz w:val="24"/>
          <w:szCs w:val="24"/>
          <w:lang w:val="en" w:bidi="ar"/>
        </w:rPr>
        <w:t>Interim net profit is entered a</w:t>
      </w:r>
      <w:r w:rsidR="00CF5EA0" w:rsidRPr="00C801D5">
        <w:rPr>
          <w:rStyle w:val="tlid-translation"/>
          <w:rFonts w:ascii="Times New Roman" w:hAnsi="Times New Roman" w:cs="Times New Roman"/>
          <w:b w:val="0"/>
          <w:bCs w:val="0"/>
          <w:sz w:val="24"/>
          <w:szCs w:val="24"/>
          <w:lang w:val="en" w:bidi="ar"/>
        </w:rPr>
        <w:t>fter deducting the tax and subtracting the value of the expected distr</w:t>
      </w:r>
      <w:r w:rsidR="007A6939" w:rsidRPr="00C801D5">
        <w:rPr>
          <w:rStyle w:val="tlid-translation"/>
          <w:rFonts w:ascii="Times New Roman" w:hAnsi="Times New Roman" w:cs="Times New Roman"/>
          <w:b w:val="0"/>
          <w:bCs w:val="0"/>
          <w:sz w:val="24"/>
          <w:szCs w:val="24"/>
          <w:lang w:val="en" w:bidi="ar"/>
        </w:rPr>
        <w:t xml:space="preserve">ibutions within </w:t>
      </w:r>
      <w:r w:rsidR="00CF5EA0" w:rsidRPr="00C801D5">
        <w:rPr>
          <w:rStyle w:val="tlid-translation"/>
          <w:rFonts w:ascii="Times New Roman" w:hAnsi="Times New Roman" w:cs="Times New Roman"/>
          <w:b w:val="0"/>
          <w:bCs w:val="0"/>
          <w:sz w:val="24"/>
          <w:szCs w:val="24"/>
          <w:lang w:val="en" w:bidi="ar"/>
        </w:rPr>
        <w:t xml:space="preserve">(CET1), while </w:t>
      </w:r>
      <w:r w:rsidR="00CF5EA0" w:rsidRPr="00943629">
        <w:rPr>
          <w:rStyle w:val="tlid-translation"/>
          <w:rFonts w:ascii="Times New Roman" w:hAnsi="Times New Roman" w:cs="Times New Roman"/>
          <w:b w:val="0"/>
          <w:bCs w:val="0"/>
          <w:sz w:val="24"/>
          <w:szCs w:val="24"/>
          <w:lang w:val="en" w:bidi="ar"/>
        </w:rPr>
        <w:t>losses for the period</w:t>
      </w:r>
      <w:r w:rsidR="00CF5EA0" w:rsidRPr="00C801D5">
        <w:rPr>
          <w:rStyle w:val="tlid-translation"/>
          <w:rFonts w:ascii="Times New Roman" w:hAnsi="Times New Roman" w:cs="Times New Roman"/>
          <w:b w:val="0"/>
          <w:bCs w:val="0"/>
          <w:sz w:val="24"/>
          <w:szCs w:val="24"/>
          <w:lang w:val="en" w:bidi="ar"/>
        </w:rPr>
        <w:t xml:space="preserve"> are subtracted</w:t>
      </w:r>
      <w:r w:rsidR="00943629">
        <w:rPr>
          <w:rStyle w:val="tlid-translation"/>
          <w:rFonts w:ascii="Times New Roman" w:hAnsi="Times New Roman" w:cs="Times New Roman"/>
          <w:b w:val="0"/>
          <w:bCs w:val="0"/>
          <w:sz w:val="24"/>
          <w:szCs w:val="24"/>
          <w:lang w:bidi="ar"/>
        </w:rPr>
        <w:t>.</w:t>
      </w:r>
    </w:p>
    <w:p w:rsidR="00D72E7E" w:rsidRPr="00C801D5" w:rsidRDefault="00D72E7E" w:rsidP="00A040D2">
      <w:pPr>
        <w:bidi w:val="0"/>
        <w:spacing w:after="0" w:line="276" w:lineRule="auto"/>
        <w:ind w:left="1080" w:hanging="540"/>
        <w:rPr>
          <w:rStyle w:val="tlid-translation"/>
          <w:rFonts w:ascii="Times New Roman" w:hAnsi="Times New Roman" w:cs="Times New Roman"/>
          <w:b w:val="0"/>
          <w:bCs w:val="0"/>
          <w:sz w:val="24"/>
          <w:szCs w:val="24"/>
          <w:lang w:val="en" w:bidi="ar"/>
        </w:rPr>
      </w:pPr>
      <w:r w:rsidRPr="00C801D5">
        <w:rPr>
          <w:rFonts w:ascii="Times New Roman" w:hAnsi="Times New Roman" w:cs="Times New Roman"/>
          <w:b w:val="0"/>
          <w:bCs w:val="0"/>
          <w:sz w:val="24"/>
          <w:szCs w:val="24"/>
        </w:rPr>
        <w:t xml:space="preserve">1.3 </w:t>
      </w:r>
      <w:r w:rsidR="00A040D2" w:rsidRPr="00C801D5">
        <w:rPr>
          <w:rFonts w:ascii="Times New Roman" w:hAnsi="Times New Roman" w:cs="Times New Roman"/>
          <w:b w:val="0"/>
          <w:bCs w:val="0"/>
          <w:sz w:val="24"/>
          <w:szCs w:val="24"/>
        </w:rPr>
        <w:tab/>
      </w:r>
      <w:r w:rsidR="00093292" w:rsidRPr="00C801D5">
        <w:rPr>
          <w:rStyle w:val="tlid-translation"/>
          <w:rFonts w:ascii="Times New Roman" w:hAnsi="Times New Roman" w:cs="Times New Roman"/>
          <w:b w:val="0"/>
          <w:bCs w:val="0"/>
          <w:sz w:val="24"/>
          <w:szCs w:val="24"/>
          <w:lang w:val="en" w:bidi="ar"/>
        </w:rPr>
        <w:t>Qualification criteria for common shares issued by the bank:</w:t>
      </w:r>
    </w:p>
    <w:p w:rsidR="00093292" w:rsidRPr="00C801D5" w:rsidRDefault="00093292" w:rsidP="00943629">
      <w:pPr>
        <w:bidi w:val="0"/>
        <w:spacing w:after="0" w:line="276" w:lineRule="auto"/>
        <w:ind w:left="1080"/>
        <w:rPr>
          <w:rFonts w:ascii="Times New Roman" w:hAnsi="Times New Roman" w:cs="Times New Roman"/>
          <w:b w:val="0"/>
          <w:bCs w:val="0"/>
          <w:sz w:val="24"/>
          <w:szCs w:val="24"/>
        </w:rPr>
      </w:pPr>
      <w:r w:rsidRPr="00C801D5">
        <w:rPr>
          <w:rFonts w:ascii="Times New Roman" w:hAnsi="Times New Roman" w:cs="Times New Roman"/>
          <w:b w:val="0"/>
          <w:bCs w:val="0"/>
          <w:sz w:val="24"/>
          <w:szCs w:val="24"/>
        </w:rPr>
        <w:t xml:space="preserve">For an instrument to be included in Common Equity Tier 1 </w:t>
      </w:r>
      <w:r w:rsidR="00097300" w:rsidRPr="00C801D5">
        <w:rPr>
          <w:rFonts w:ascii="Times New Roman" w:hAnsi="Times New Roman" w:cs="Times New Roman"/>
          <w:b w:val="0"/>
          <w:bCs w:val="0"/>
          <w:sz w:val="24"/>
          <w:szCs w:val="24"/>
        </w:rPr>
        <w:t xml:space="preserve">(CET1) </w:t>
      </w:r>
      <w:r w:rsidRPr="00C801D5">
        <w:rPr>
          <w:rFonts w:ascii="Times New Roman" w:hAnsi="Times New Roman" w:cs="Times New Roman"/>
          <w:b w:val="0"/>
          <w:bCs w:val="0"/>
          <w:sz w:val="24"/>
          <w:szCs w:val="24"/>
        </w:rPr>
        <w:t xml:space="preserve">it must meet all of the </w:t>
      </w:r>
      <w:r w:rsidR="00943629">
        <w:rPr>
          <w:rFonts w:ascii="Times New Roman" w:hAnsi="Times New Roman" w:cs="Times New Roman"/>
          <w:b w:val="0"/>
          <w:bCs w:val="0"/>
          <w:sz w:val="24"/>
          <w:szCs w:val="24"/>
        </w:rPr>
        <w:t xml:space="preserve">following </w:t>
      </w:r>
      <w:r w:rsidRPr="00C801D5">
        <w:rPr>
          <w:rFonts w:ascii="Times New Roman" w:hAnsi="Times New Roman" w:cs="Times New Roman"/>
          <w:b w:val="0"/>
          <w:bCs w:val="0"/>
          <w:sz w:val="24"/>
          <w:szCs w:val="24"/>
        </w:rPr>
        <w:t>criteria</w:t>
      </w:r>
      <w:r w:rsidR="00097300" w:rsidRPr="00C801D5">
        <w:rPr>
          <w:rFonts w:ascii="Times New Roman" w:hAnsi="Times New Roman" w:cs="Times New Roman"/>
          <w:b w:val="0"/>
          <w:bCs w:val="0"/>
          <w:sz w:val="24"/>
          <w:szCs w:val="24"/>
        </w:rPr>
        <w:t>:</w:t>
      </w:r>
    </w:p>
    <w:p w:rsidR="00097300" w:rsidRPr="00C801D5" w:rsidRDefault="00097300" w:rsidP="002C2B76">
      <w:pPr>
        <w:bidi w:val="0"/>
        <w:spacing w:after="0" w:line="276" w:lineRule="auto"/>
        <w:ind w:left="2127" w:hanging="851"/>
        <w:rPr>
          <w:rFonts w:ascii="Times New Roman" w:hAnsi="Times New Roman" w:cs="Times New Roman"/>
          <w:b w:val="0"/>
          <w:bCs w:val="0"/>
          <w:sz w:val="24"/>
          <w:szCs w:val="24"/>
        </w:rPr>
      </w:pPr>
      <w:r w:rsidRPr="00C801D5">
        <w:rPr>
          <w:rFonts w:ascii="Times New Roman" w:hAnsi="Times New Roman" w:cs="Times New Roman"/>
          <w:b w:val="0"/>
          <w:bCs w:val="0"/>
          <w:sz w:val="24"/>
          <w:szCs w:val="24"/>
        </w:rPr>
        <w:t>1.3.1</w:t>
      </w:r>
      <w:r w:rsidR="00A040D2" w:rsidRPr="00C801D5">
        <w:rPr>
          <w:rFonts w:ascii="Times New Roman" w:hAnsi="Times New Roman" w:cs="Times New Roman"/>
          <w:b w:val="0"/>
          <w:bCs w:val="0"/>
          <w:sz w:val="24"/>
          <w:szCs w:val="24"/>
        </w:rPr>
        <w:tab/>
      </w:r>
      <w:r w:rsidRPr="00C801D5">
        <w:rPr>
          <w:rFonts w:ascii="Times New Roman" w:hAnsi="Times New Roman" w:cs="Times New Roman"/>
          <w:b w:val="0"/>
          <w:bCs w:val="0"/>
          <w:sz w:val="24"/>
          <w:szCs w:val="24"/>
        </w:rPr>
        <w:t>Represents the most subordinated claim in liquidation of the bank.</w:t>
      </w:r>
    </w:p>
    <w:p w:rsidR="00097300" w:rsidRPr="00C801D5" w:rsidRDefault="00097300" w:rsidP="008C5902">
      <w:pPr>
        <w:bidi w:val="0"/>
        <w:spacing w:after="0" w:line="276" w:lineRule="auto"/>
        <w:ind w:left="2127" w:hanging="851"/>
        <w:rPr>
          <w:rFonts w:ascii="Times New Roman" w:hAnsi="Times New Roman" w:cs="Times New Roman"/>
          <w:b w:val="0"/>
          <w:bCs w:val="0"/>
          <w:sz w:val="24"/>
          <w:szCs w:val="24"/>
        </w:rPr>
      </w:pPr>
      <w:r w:rsidRPr="00C801D5">
        <w:rPr>
          <w:rFonts w:ascii="Times New Roman" w:hAnsi="Times New Roman" w:cs="Times New Roman"/>
          <w:b w:val="0"/>
          <w:bCs w:val="0"/>
          <w:sz w:val="24"/>
          <w:szCs w:val="24"/>
        </w:rPr>
        <w:t xml:space="preserve">1.3.2 </w:t>
      </w:r>
      <w:r w:rsidR="00A040D2" w:rsidRPr="00C801D5">
        <w:rPr>
          <w:rFonts w:ascii="Times New Roman" w:hAnsi="Times New Roman" w:cs="Times New Roman"/>
          <w:b w:val="0"/>
          <w:bCs w:val="0"/>
          <w:sz w:val="24"/>
          <w:szCs w:val="24"/>
        </w:rPr>
        <w:tab/>
      </w:r>
      <w:r w:rsidRPr="00C801D5">
        <w:rPr>
          <w:rFonts w:ascii="Times New Roman" w:hAnsi="Times New Roman" w:cs="Times New Roman"/>
          <w:b w:val="0"/>
          <w:bCs w:val="0"/>
          <w:sz w:val="24"/>
          <w:szCs w:val="24"/>
        </w:rPr>
        <w:t xml:space="preserve">Entitled to a claim on the residual assets that is proportional with its share of issued capital, after </w:t>
      </w:r>
      <w:r w:rsidR="00943629" w:rsidRPr="00C801D5">
        <w:rPr>
          <w:rFonts w:ascii="Times New Roman" w:hAnsi="Times New Roman" w:cs="Times New Roman"/>
          <w:b w:val="0"/>
          <w:bCs w:val="0"/>
          <w:sz w:val="24"/>
          <w:szCs w:val="24"/>
        </w:rPr>
        <w:t xml:space="preserve">repaid </w:t>
      </w:r>
      <w:r w:rsidRPr="00C801D5">
        <w:rPr>
          <w:rFonts w:ascii="Times New Roman" w:hAnsi="Times New Roman" w:cs="Times New Roman"/>
          <w:b w:val="0"/>
          <w:bCs w:val="0"/>
          <w:sz w:val="24"/>
          <w:szCs w:val="24"/>
        </w:rPr>
        <w:t xml:space="preserve">all </w:t>
      </w:r>
      <w:r w:rsidR="008C5902">
        <w:rPr>
          <w:rFonts w:ascii="Times New Roman" w:hAnsi="Times New Roman" w:cs="Times New Roman"/>
          <w:b w:val="0"/>
          <w:bCs w:val="0"/>
          <w:sz w:val="24"/>
          <w:szCs w:val="24"/>
        </w:rPr>
        <w:t>seniority</w:t>
      </w:r>
      <w:r w:rsidRPr="00C801D5">
        <w:rPr>
          <w:rFonts w:ascii="Times New Roman" w:hAnsi="Times New Roman" w:cs="Times New Roman"/>
          <w:b w:val="0"/>
          <w:bCs w:val="0"/>
          <w:sz w:val="24"/>
          <w:szCs w:val="24"/>
        </w:rPr>
        <w:t xml:space="preserve"> claims in</w:t>
      </w:r>
      <w:r w:rsidR="00943629">
        <w:rPr>
          <w:rFonts w:ascii="Times New Roman" w:hAnsi="Times New Roman" w:cs="Times New Roman"/>
          <w:b w:val="0"/>
          <w:bCs w:val="0"/>
          <w:sz w:val="24"/>
          <w:szCs w:val="24"/>
        </w:rPr>
        <w:t xml:space="preserve"> case of</w:t>
      </w:r>
      <w:r w:rsidRPr="00C801D5">
        <w:rPr>
          <w:rFonts w:ascii="Times New Roman" w:hAnsi="Times New Roman" w:cs="Times New Roman"/>
          <w:b w:val="0"/>
          <w:bCs w:val="0"/>
          <w:sz w:val="24"/>
          <w:szCs w:val="24"/>
        </w:rPr>
        <w:t xml:space="preserve"> liquidation (i.e. has an unlimited and variable claim, not a fixed or capped claim).</w:t>
      </w:r>
    </w:p>
    <w:p w:rsidR="00097300" w:rsidRPr="00C801D5" w:rsidRDefault="00097300" w:rsidP="002C2B76">
      <w:pPr>
        <w:bidi w:val="0"/>
        <w:spacing w:after="0" w:line="276" w:lineRule="auto"/>
        <w:ind w:left="2127" w:hanging="851"/>
        <w:rPr>
          <w:rFonts w:ascii="Times New Roman" w:hAnsi="Times New Roman" w:cs="Times New Roman"/>
          <w:b w:val="0"/>
          <w:bCs w:val="0"/>
          <w:sz w:val="24"/>
          <w:szCs w:val="24"/>
        </w:rPr>
      </w:pPr>
      <w:r w:rsidRPr="00C801D5">
        <w:rPr>
          <w:rFonts w:ascii="Times New Roman" w:hAnsi="Times New Roman" w:cs="Times New Roman"/>
          <w:b w:val="0"/>
          <w:bCs w:val="0"/>
          <w:sz w:val="24"/>
          <w:szCs w:val="24"/>
        </w:rPr>
        <w:lastRenderedPageBreak/>
        <w:t xml:space="preserve">1.3.3 </w:t>
      </w:r>
      <w:r w:rsidR="00A040D2" w:rsidRPr="00C801D5">
        <w:rPr>
          <w:rFonts w:ascii="Times New Roman" w:hAnsi="Times New Roman" w:cs="Times New Roman"/>
          <w:b w:val="0"/>
          <w:bCs w:val="0"/>
          <w:sz w:val="24"/>
          <w:szCs w:val="24"/>
        </w:rPr>
        <w:tab/>
      </w:r>
      <w:r w:rsidR="00625983" w:rsidRPr="00C801D5">
        <w:rPr>
          <w:rFonts w:ascii="Times New Roman" w:hAnsi="Times New Roman" w:cs="Times New Roman"/>
          <w:b w:val="0"/>
          <w:bCs w:val="0"/>
          <w:sz w:val="24"/>
          <w:szCs w:val="24"/>
        </w:rPr>
        <w:t xml:space="preserve">Principal is </w:t>
      </w:r>
      <w:r w:rsidR="00943629">
        <w:rPr>
          <w:rFonts w:ascii="Times New Roman" w:hAnsi="Times New Roman" w:cs="Times New Roman"/>
          <w:b w:val="0"/>
          <w:bCs w:val="0"/>
          <w:sz w:val="24"/>
          <w:szCs w:val="24"/>
        </w:rPr>
        <w:t>permanent</w:t>
      </w:r>
      <w:r w:rsidR="00625983" w:rsidRPr="00C801D5">
        <w:rPr>
          <w:rFonts w:ascii="Times New Roman" w:hAnsi="Times New Roman" w:cs="Times New Roman"/>
          <w:b w:val="0"/>
          <w:bCs w:val="0"/>
          <w:sz w:val="24"/>
          <w:szCs w:val="24"/>
        </w:rPr>
        <w:t xml:space="preserve"> and never repaid outside of liquidation (</w:t>
      </w:r>
      <w:r w:rsidR="00943629">
        <w:rPr>
          <w:rFonts w:ascii="Times New Roman" w:hAnsi="Times New Roman" w:cs="Times New Roman"/>
          <w:b w:val="0"/>
          <w:bCs w:val="0"/>
          <w:sz w:val="24"/>
          <w:szCs w:val="24"/>
        </w:rPr>
        <w:t xml:space="preserve">regardless of whether there is a </w:t>
      </w:r>
      <w:r w:rsidR="00625983" w:rsidRPr="00C801D5">
        <w:rPr>
          <w:rFonts w:ascii="Times New Roman" w:hAnsi="Times New Roman" w:cs="Times New Roman"/>
          <w:b w:val="0"/>
          <w:bCs w:val="0"/>
          <w:sz w:val="24"/>
          <w:szCs w:val="24"/>
        </w:rPr>
        <w:t>repurchases</w:t>
      </w:r>
      <w:r w:rsidR="00943629">
        <w:rPr>
          <w:rFonts w:ascii="Times New Roman" w:hAnsi="Times New Roman" w:cs="Times New Roman"/>
          <w:b w:val="0"/>
          <w:bCs w:val="0"/>
          <w:sz w:val="24"/>
          <w:szCs w:val="24"/>
        </w:rPr>
        <w:t xml:space="preserve"> option</w:t>
      </w:r>
      <w:r w:rsidR="00625983" w:rsidRPr="00C801D5">
        <w:rPr>
          <w:rFonts w:ascii="Times New Roman" w:hAnsi="Times New Roman" w:cs="Times New Roman"/>
          <w:b w:val="0"/>
          <w:bCs w:val="0"/>
          <w:sz w:val="24"/>
          <w:szCs w:val="24"/>
        </w:rPr>
        <w:t xml:space="preserve"> or other means of reducing capital </w:t>
      </w:r>
      <w:r w:rsidR="00943629">
        <w:rPr>
          <w:rFonts w:ascii="Times New Roman" w:hAnsi="Times New Roman" w:cs="Times New Roman"/>
          <w:b w:val="0"/>
          <w:bCs w:val="0"/>
          <w:sz w:val="24"/>
          <w:szCs w:val="24"/>
        </w:rPr>
        <w:t>on optional</w:t>
      </w:r>
      <w:r w:rsidR="00625983" w:rsidRPr="00C801D5">
        <w:rPr>
          <w:rFonts w:ascii="Times New Roman" w:hAnsi="Times New Roman" w:cs="Times New Roman"/>
          <w:b w:val="0"/>
          <w:bCs w:val="0"/>
          <w:sz w:val="24"/>
          <w:szCs w:val="24"/>
        </w:rPr>
        <w:t xml:space="preserve"> manner</w:t>
      </w:r>
      <w:r w:rsidR="00943629">
        <w:rPr>
          <w:rFonts w:ascii="Times New Roman" w:hAnsi="Times New Roman" w:cs="Times New Roman"/>
          <w:b w:val="0"/>
          <w:bCs w:val="0"/>
          <w:sz w:val="24"/>
          <w:szCs w:val="24"/>
        </w:rPr>
        <w:t>s</w:t>
      </w:r>
      <w:r w:rsidR="00625983" w:rsidRPr="00C801D5">
        <w:rPr>
          <w:rFonts w:ascii="Times New Roman" w:hAnsi="Times New Roman" w:cs="Times New Roman"/>
          <w:b w:val="0"/>
          <w:bCs w:val="0"/>
          <w:sz w:val="24"/>
          <w:szCs w:val="24"/>
        </w:rPr>
        <w:t xml:space="preserve"> that </w:t>
      </w:r>
      <w:r w:rsidR="00943629">
        <w:rPr>
          <w:rFonts w:ascii="Times New Roman" w:hAnsi="Times New Roman" w:cs="Times New Roman"/>
          <w:b w:val="0"/>
          <w:bCs w:val="0"/>
          <w:sz w:val="24"/>
          <w:szCs w:val="24"/>
        </w:rPr>
        <w:t>are allowed</w:t>
      </w:r>
      <w:r w:rsidR="00625983" w:rsidRPr="00C801D5">
        <w:rPr>
          <w:rFonts w:ascii="Times New Roman" w:hAnsi="Times New Roman" w:cs="Times New Roman"/>
          <w:b w:val="0"/>
          <w:bCs w:val="0"/>
          <w:sz w:val="24"/>
          <w:szCs w:val="24"/>
        </w:rPr>
        <w:t xml:space="preserve"> </w:t>
      </w:r>
      <w:r w:rsidR="00943629">
        <w:rPr>
          <w:rFonts w:ascii="Times New Roman" w:hAnsi="Times New Roman" w:cs="Times New Roman"/>
          <w:b w:val="0"/>
          <w:bCs w:val="0"/>
          <w:sz w:val="24"/>
          <w:szCs w:val="24"/>
        </w:rPr>
        <w:t xml:space="preserve">by </w:t>
      </w:r>
      <w:r w:rsidR="00625983" w:rsidRPr="00C801D5">
        <w:rPr>
          <w:rFonts w:ascii="Times New Roman" w:hAnsi="Times New Roman" w:cs="Times New Roman"/>
          <w:b w:val="0"/>
          <w:bCs w:val="0"/>
          <w:sz w:val="24"/>
          <w:szCs w:val="24"/>
        </w:rPr>
        <w:t>relevant law</w:t>
      </w:r>
      <w:r w:rsidR="00943629">
        <w:rPr>
          <w:rFonts w:ascii="Times New Roman" w:hAnsi="Times New Roman" w:cs="Times New Roman"/>
          <w:b w:val="0"/>
          <w:bCs w:val="0"/>
          <w:sz w:val="24"/>
          <w:szCs w:val="24"/>
        </w:rPr>
        <w:t>s</w:t>
      </w:r>
      <w:r w:rsidR="00625983" w:rsidRPr="00C801D5">
        <w:rPr>
          <w:rFonts w:ascii="Times New Roman" w:hAnsi="Times New Roman" w:cs="Times New Roman"/>
          <w:b w:val="0"/>
          <w:bCs w:val="0"/>
          <w:sz w:val="24"/>
          <w:szCs w:val="24"/>
        </w:rPr>
        <w:t>).</w:t>
      </w:r>
    </w:p>
    <w:p w:rsidR="00625983" w:rsidRPr="00C801D5" w:rsidRDefault="00625983" w:rsidP="002C2B76">
      <w:pPr>
        <w:bidi w:val="0"/>
        <w:spacing w:after="0" w:line="276" w:lineRule="auto"/>
        <w:ind w:left="2127" w:hanging="851"/>
        <w:rPr>
          <w:rFonts w:ascii="Times New Roman" w:hAnsi="Times New Roman" w:cs="Times New Roman"/>
          <w:b w:val="0"/>
          <w:bCs w:val="0"/>
          <w:sz w:val="24"/>
          <w:szCs w:val="24"/>
        </w:rPr>
      </w:pPr>
      <w:r w:rsidRPr="00C801D5">
        <w:rPr>
          <w:rFonts w:ascii="Times New Roman" w:hAnsi="Times New Roman" w:cs="Times New Roman"/>
          <w:b w:val="0"/>
          <w:bCs w:val="0"/>
          <w:sz w:val="24"/>
          <w:szCs w:val="24"/>
        </w:rPr>
        <w:t xml:space="preserve">1.3.4 </w:t>
      </w:r>
      <w:r w:rsidR="00A040D2" w:rsidRPr="00C801D5">
        <w:rPr>
          <w:rFonts w:ascii="Times New Roman" w:hAnsi="Times New Roman" w:cs="Times New Roman"/>
          <w:b w:val="0"/>
          <w:bCs w:val="0"/>
          <w:sz w:val="24"/>
          <w:szCs w:val="24"/>
        </w:rPr>
        <w:tab/>
      </w:r>
      <w:r w:rsidRPr="00C801D5">
        <w:rPr>
          <w:rFonts w:ascii="Times New Roman" w:hAnsi="Times New Roman" w:cs="Times New Roman"/>
          <w:b w:val="0"/>
          <w:bCs w:val="0"/>
          <w:sz w:val="24"/>
          <w:szCs w:val="24"/>
        </w:rPr>
        <w:t xml:space="preserve">The bank does </w:t>
      </w:r>
      <w:r w:rsidR="00943629">
        <w:rPr>
          <w:rFonts w:ascii="Times New Roman" w:hAnsi="Times New Roman" w:cs="Times New Roman"/>
          <w:b w:val="0"/>
          <w:bCs w:val="0"/>
          <w:sz w:val="24"/>
          <w:szCs w:val="24"/>
        </w:rPr>
        <w:t>not</w:t>
      </w:r>
      <w:r w:rsidRPr="00C801D5">
        <w:rPr>
          <w:rFonts w:ascii="Times New Roman" w:hAnsi="Times New Roman" w:cs="Times New Roman"/>
          <w:b w:val="0"/>
          <w:bCs w:val="0"/>
          <w:sz w:val="24"/>
          <w:szCs w:val="24"/>
        </w:rPr>
        <w:t xml:space="preserve"> create </w:t>
      </w:r>
      <w:r w:rsidR="00943629">
        <w:rPr>
          <w:rFonts w:ascii="Times New Roman" w:hAnsi="Times New Roman" w:cs="Times New Roman"/>
          <w:b w:val="0"/>
          <w:bCs w:val="0"/>
          <w:sz w:val="24"/>
          <w:szCs w:val="24"/>
        </w:rPr>
        <w:t>any</w:t>
      </w:r>
      <w:r w:rsidRPr="00C801D5">
        <w:rPr>
          <w:rFonts w:ascii="Times New Roman" w:hAnsi="Times New Roman" w:cs="Times New Roman"/>
          <w:b w:val="0"/>
          <w:bCs w:val="0"/>
          <w:sz w:val="24"/>
          <w:szCs w:val="24"/>
        </w:rPr>
        <w:t xml:space="preserve"> expectation at issuance that the instrument will be bought back, redeemed or cancelled nor do the contractual terms provide any feature which might give rise to such an expectation.</w:t>
      </w:r>
    </w:p>
    <w:p w:rsidR="00625983" w:rsidRPr="00C801D5" w:rsidRDefault="00625983" w:rsidP="002C2B76">
      <w:pPr>
        <w:bidi w:val="0"/>
        <w:spacing w:after="0" w:line="276" w:lineRule="auto"/>
        <w:ind w:left="2127" w:hanging="851"/>
        <w:rPr>
          <w:rFonts w:ascii="Times New Roman" w:hAnsi="Times New Roman" w:cs="Times New Roman"/>
          <w:b w:val="0"/>
          <w:bCs w:val="0"/>
          <w:sz w:val="24"/>
          <w:szCs w:val="24"/>
        </w:rPr>
      </w:pPr>
      <w:r w:rsidRPr="00C801D5">
        <w:rPr>
          <w:rFonts w:ascii="Times New Roman" w:hAnsi="Times New Roman" w:cs="Times New Roman"/>
          <w:b w:val="0"/>
          <w:bCs w:val="0"/>
          <w:sz w:val="24"/>
          <w:szCs w:val="24"/>
        </w:rPr>
        <w:t xml:space="preserve">1.3.5 </w:t>
      </w:r>
      <w:r w:rsidR="00A040D2" w:rsidRPr="00C801D5">
        <w:rPr>
          <w:rFonts w:ascii="Times New Roman" w:hAnsi="Times New Roman" w:cs="Times New Roman"/>
          <w:b w:val="0"/>
          <w:bCs w:val="0"/>
          <w:sz w:val="24"/>
          <w:szCs w:val="24"/>
        </w:rPr>
        <w:tab/>
      </w:r>
      <w:r w:rsidR="00494679">
        <w:rPr>
          <w:rFonts w:ascii="Times New Roman" w:hAnsi="Times New Roman" w:cs="Times New Roman"/>
          <w:b w:val="0"/>
          <w:bCs w:val="0"/>
          <w:sz w:val="24"/>
          <w:szCs w:val="24"/>
        </w:rPr>
        <w:t>Distributions</w:t>
      </w:r>
      <w:r w:rsidRPr="00C801D5">
        <w:rPr>
          <w:rFonts w:ascii="Times New Roman" w:hAnsi="Times New Roman" w:cs="Times New Roman"/>
          <w:b w:val="0"/>
          <w:bCs w:val="0"/>
          <w:sz w:val="24"/>
          <w:szCs w:val="24"/>
        </w:rPr>
        <w:t xml:space="preserve"> are paid out of distributable items (</w:t>
      </w:r>
      <w:r w:rsidR="00943629" w:rsidRPr="00C801D5">
        <w:rPr>
          <w:rFonts w:ascii="Times New Roman" w:hAnsi="Times New Roman" w:cs="Times New Roman"/>
          <w:b w:val="0"/>
          <w:bCs w:val="0"/>
          <w:sz w:val="24"/>
          <w:szCs w:val="24"/>
        </w:rPr>
        <w:t xml:space="preserve">included </w:t>
      </w:r>
      <w:r w:rsidRPr="00C801D5">
        <w:rPr>
          <w:rFonts w:ascii="Times New Roman" w:hAnsi="Times New Roman" w:cs="Times New Roman"/>
          <w:b w:val="0"/>
          <w:bCs w:val="0"/>
          <w:sz w:val="24"/>
          <w:szCs w:val="24"/>
        </w:rPr>
        <w:t xml:space="preserve">retained </w:t>
      </w:r>
      <w:r w:rsidR="00494679">
        <w:rPr>
          <w:rFonts w:ascii="Times New Roman" w:hAnsi="Times New Roman" w:cs="Times New Roman"/>
          <w:b w:val="0"/>
          <w:bCs w:val="0"/>
          <w:sz w:val="24"/>
          <w:szCs w:val="24"/>
        </w:rPr>
        <w:t>profits</w:t>
      </w:r>
      <w:r w:rsidR="00943629">
        <w:rPr>
          <w:rFonts w:ascii="Times New Roman" w:hAnsi="Times New Roman" w:cs="Times New Roman"/>
          <w:b w:val="0"/>
          <w:bCs w:val="0"/>
          <w:sz w:val="24"/>
          <w:szCs w:val="24"/>
        </w:rPr>
        <w:t xml:space="preserve">), and the </w:t>
      </w:r>
      <w:r w:rsidR="00494679">
        <w:rPr>
          <w:rFonts w:ascii="Times New Roman" w:hAnsi="Times New Roman" w:cs="Times New Roman"/>
          <w:b w:val="0"/>
          <w:bCs w:val="0"/>
          <w:sz w:val="24"/>
          <w:szCs w:val="24"/>
        </w:rPr>
        <w:t>distributions</w:t>
      </w:r>
      <w:r w:rsidR="00494679" w:rsidRPr="00C801D5">
        <w:rPr>
          <w:rFonts w:ascii="Times New Roman" w:hAnsi="Times New Roman" w:cs="Times New Roman"/>
          <w:b w:val="0"/>
          <w:bCs w:val="0"/>
          <w:sz w:val="24"/>
          <w:szCs w:val="24"/>
        </w:rPr>
        <w:t xml:space="preserve"> </w:t>
      </w:r>
      <w:r w:rsidRPr="00C801D5">
        <w:rPr>
          <w:rFonts w:ascii="Times New Roman" w:hAnsi="Times New Roman" w:cs="Times New Roman"/>
          <w:b w:val="0"/>
          <w:bCs w:val="0"/>
          <w:sz w:val="24"/>
          <w:szCs w:val="24"/>
        </w:rPr>
        <w:t>level is not in any way linked to the amount paid in at issuance and is not subject to a contractual cap.</w:t>
      </w:r>
    </w:p>
    <w:p w:rsidR="00625983" w:rsidRPr="00C801D5" w:rsidRDefault="00A040D2" w:rsidP="002C2B76">
      <w:pPr>
        <w:bidi w:val="0"/>
        <w:spacing w:after="0" w:line="276" w:lineRule="auto"/>
        <w:ind w:left="2127" w:hanging="851"/>
        <w:rPr>
          <w:rFonts w:ascii="Times New Roman" w:hAnsi="Times New Roman" w:cs="Times New Roman"/>
          <w:b w:val="0"/>
          <w:bCs w:val="0"/>
          <w:sz w:val="24"/>
          <w:szCs w:val="24"/>
        </w:rPr>
      </w:pPr>
      <w:r w:rsidRPr="00C801D5">
        <w:rPr>
          <w:rFonts w:ascii="Times New Roman" w:hAnsi="Times New Roman" w:cs="Times New Roman"/>
          <w:b w:val="0"/>
          <w:bCs w:val="0"/>
          <w:sz w:val="24"/>
          <w:szCs w:val="24"/>
        </w:rPr>
        <w:t>1.3.6</w:t>
      </w:r>
      <w:r w:rsidRPr="00C801D5">
        <w:rPr>
          <w:rFonts w:ascii="Times New Roman" w:hAnsi="Times New Roman" w:cs="Times New Roman"/>
          <w:b w:val="0"/>
          <w:bCs w:val="0"/>
          <w:sz w:val="24"/>
          <w:szCs w:val="24"/>
        </w:rPr>
        <w:tab/>
      </w:r>
      <w:r w:rsidR="00625983" w:rsidRPr="00C801D5">
        <w:rPr>
          <w:rFonts w:ascii="Times New Roman" w:hAnsi="Times New Roman" w:cs="Times New Roman"/>
          <w:b w:val="0"/>
          <w:bCs w:val="0"/>
          <w:sz w:val="24"/>
          <w:szCs w:val="24"/>
        </w:rPr>
        <w:t xml:space="preserve">There are no circumstances under which the distributions are obligatory. </w:t>
      </w:r>
      <w:r w:rsidR="00943629">
        <w:rPr>
          <w:rFonts w:ascii="Times New Roman" w:hAnsi="Times New Roman" w:cs="Times New Roman"/>
          <w:b w:val="0"/>
          <w:bCs w:val="0"/>
          <w:sz w:val="24"/>
          <w:szCs w:val="24"/>
        </w:rPr>
        <w:t>T</w:t>
      </w:r>
      <w:r w:rsidR="00943629" w:rsidRPr="00C801D5">
        <w:rPr>
          <w:rFonts w:ascii="Times New Roman" w:hAnsi="Times New Roman" w:cs="Times New Roman"/>
          <w:b w:val="0"/>
          <w:bCs w:val="0"/>
          <w:sz w:val="24"/>
          <w:szCs w:val="24"/>
        </w:rPr>
        <w:t xml:space="preserve">herefore, </w:t>
      </w:r>
      <w:r w:rsidR="00943629">
        <w:rPr>
          <w:rFonts w:ascii="Times New Roman" w:hAnsi="Times New Roman" w:cs="Times New Roman"/>
          <w:b w:val="0"/>
          <w:bCs w:val="0"/>
          <w:sz w:val="24"/>
          <w:szCs w:val="24"/>
        </w:rPr>
        <w:t>n</w:t>
      </w:r>
      <w:r w:rsidR="00625983" w:rsidRPr="00C801D5">
        <w:rPr>
          <w:rFonts w:ascii="Times New Roman" w:hAnsi="Times New Roman" w:cs="Times New Roman"/>
          <w:b w:val="0"/>
          <w:bCs w:val="0"/>
          <w:sz w:val="24"/>
          <w:szCs w:val="24"/>
        </w:rPr>
        <w:t>on-payment is not an event of default.</w:t>
      </w:r>
    </w:p>
    <w:p w:rsidR="00625983" w:rsidRPr="00C801D5" w:rsidRDefault="00625983" w:rsidP="008C5902">
      <w:pPr>
        <w:bidi w:val="0"/>
        <w:spacing w:after="0" w:line="276" w:lineRule="auto"/>
        <w:ind w:left="2127" w:hanging="851"/>
        <w:rPr>
          <w:rFonts w:ascii="Times New Roman" w:hAnsi="Times New Roman" w:cs="Times New Roman"/>
          <w:b w:val="0"/>
          <w:bCs w:val="0"/>
          <w:sz w:val="24"/>
          <w:szCs w:val="24"/>
        </w:rPr>
      </w:pPr>
      <w:r w:rsidRPr="00C801D5">
        <w:rPr>
          <w:rFonts w:ascii="Times New Roman" w:hAnsi="Times New Roman" w:cs="Times New Roman"/>
          <w:b w:val="0"/>
          <w:bCs w:val="0"/>
          <w:sz w:val="24"/>
          <w:szCs w:val="24"/>
        </w:rPr>
        <w:t xml:space="preserve">1.3.7 </w:t>
      </w:r>
      <w:r w:rsidR="00A040D2" w:rsidRPr="00C801D5">
        <w:rPr>
          <w:rFonts w:ascii="Times New Roman" w:hAnsi="Times New Roman" w:cs="Times New Roman"/>
          <w:b w:val="0"/>
          <w:bCs w:val="0"/>
          <w:sz w:val="24"/>
          <w:szCs w:val="24"/>
        </w:rPr>
        <w:tab/>
      </w:r>
      <w:r w:rsidR="00494679">
        <w:rPr>
          <w:rFonts w:ascii="Times New Roman" w:hAnsi="Times New Roman" w:cs="Times New Roman"/>
          <w:b w:val="0"/>
          <w:bCs w:val="0"/>
          <w:sz w:val="24"/>
          <w:szCs w:val="24"/>
        </w:rPr>
        <w:t>Distributions</w:t>
      </w:r>
      <w:r w:rsidR="00494679" w:rsidRPr="00C801D5">
        <w:rPr>
          <w:rFonts w:ascii="Times New Roman" w:hAnsi="Times New Roman" w:cs="Times New Roman"/>
          <w:b w:val="0"/>
          <w:bCs w:val="0"/>
          <w:sz w:val="24"/>
          <w:szCs w:val="24"/>
        </w:rPr>
        <w:t xml:space="preserve"> </w:t>
      </w:r>
      <w:r w:rsidRPr="00C801D5">
        <w:rPr>
          <w:rFonts w:ascii="Times New Roman" w:hAnsi="Times New Roman" w:cs="Times New Roman"/>
          <w:b w:val="0"/>
          <w:bCs w:val="0"/>
          <w:sz w:val="24"/>
          <w:szCs w:val="24"/>
        </w:rPr>
        <w:t xml:space="preserve">are paid only after all legal and contractual obligations have been met and payments on more </w:t>
      </w:r>
      <w:r w:rsidR="008C5902">
        <w:rPr>
          <w:rFonts w:ascii="Times New Roman" w:hAnsi="Times New Roman" w:cs="Times New Roman"/>
          <w:b w:val="0"/>
          <w:bCs w:val="0"/>
          <w:sz w:val="24"/>
          <w:szCs w:val="24"/>
        </w:rPr>
        <w:t>seniority</w:t>
      </w:r>
      <w:r w:rsidRPr="00C801D5">
        <w:rPr>
          <w:rFonts w:ascii="Times New Roman" w:hAnsi="Times New Roman" w:cs="Times New Roman"/>
          <w:b w:val="0"/>
          <w:bCs w:val="0"/>
          <w:sz w:val="24"/>
          <w:szCs w:val="24"/>
        </w:rPr>
        <w:t xml:space="preserve"> capital instruments have been made. </w:t>
      </w:r>
    </w:p>
    <w:p w:rsidR="00625983" w:rsidRPr="00C801D5" w:rsidRDefault="00625983" w:rsidP="002C2B76">
      <w:pPr>
        <w:bidi w:val="0"/>
        <w:spacing w:after="0" w:line="276" w:lineRule="auto"/>
        <w:ind w:left="2127" w:hanging="851"/>
        <w:rPr>
          <w:rFonts w:ascii="Times New Roman" w:hAnsi="Times New Roman" w:cs="Times New Roman"/>
          <w:b w:val="0"/>
          <w:bCs w:val="0"/>
          <w:sz w:val="24"/>
          <w:szCs w:val="24"/>
        </w:rPr>
      </w:pPr>
      <w:r w:rsidRPr="00C801D5">
        <w:rPr>
          <w:rFonts w:ascii="Times New Roman" w:hAnsi="Times New Roman" w:cs="Times New Roman"/>
          <w:b w:val="0"/>
          <w:bCs w:val="0"/>
          <w:sz w:val="24"/>
          <w:szCs w:val="24"/>
        </w:rPr>
        <w:t xml:space="preserve">1.3.8 </w:t>
      </w:r>
      <w:r w:rsidR="00A040D2" w:rsidRPr="00C801D5">
        <w:rPr>
          <w:rFonts w:ascii="Times New Roman" w:hAnsi="Times New Roman" w:cs="Times New Roman"/>
          <w:b w:val="0"/>
          <w:bCs w:val="0"/>
          <w:sz w:val="24"/>
          <w:szCs w:val="24"/>
        </w:rPr>
        <w:tab/>
      </w:r>
      <w:r w:rsidR="00AD34FD">
        <w:rPr>
          <w:rFonts w:ascii="Times New Roman" w:hAnsi="Times New Roman" w:cs="Times New Roman"/>
          <w:b w:val="0"/>
          <w:bCs w:val="0"/>
          <w:sz w:val="24"/>
          <w:szCs w:val="24"/>
        </w:rPr>
        <w:t xml:space="preserve">To bear </w:t>
      </w:r>
      <w:r w:rsidR="002C2B76">
        <w:rPr>
          <w:rFonts w:ascii="Times New Roman" w:hAnsi="Times New Roman" w:cs="Times New Roman"/>
          <w:b w:val="0"/>
          <w:bCs w:val="0"/>
          <w:sz w:val="24"/>
          <w:szCs w:val="24"/>
        </w:rPr>
        <w:t>any l</w:t>
      </w:r>
      <w:r w:rsidR="002C2B76" w:rsidRPr="00C801D5">
        <w:rPr>
          <w:rFonts w:ascii="Times New Roman" w:hAnsi="Times New Roman" w:cs="Times New Roman"/>
          <w:b w:val="0"/>
          <w:bCs w:val="0"/>
          <w:sz w:val="24"/>
          <w:szCs w:val="24"/>
        </w:rPr>
        <w:t xml:space="preserve">osses </w:t>
      </w:r>
      <w:r w:rsidRPr="00C801D5">
        <w:rPr>
          <w:rFonts w:ascii="Times New Roman" w:hAnsi="Times New Roman" w:cs="Times New Roman"/>
          <w:b w:val="0"/>
          <w:bCs w:val="0"/>
          <w:sz w:val="24"/>
          <w:szCs w:val="24"/>
        </w:rPr>
        <w:t>first</w:t>
      </w:r>
      <w:r w:rsidR="00AD34FD">
        <w:rPr>
          <w:rFonts w:ascii="Times New Roman" w:hAnsi="Times New Roman" w:cs="Times New Roman"/>
          <w:b w:val="0"/>
          <w:bCs w:val="0"/>
          <w:sz w:val="24"/>
          <w:szCs w:val="24"/>
        </w:rPr>
        <w:t xml:space="preserve"> that may</w:t>
      </w:r>
      <w:r w:rsidRPr="00C801D5">
        <w:rPr>
          <w:rFonts w:ascii="Times New Roman" w:hAnsi="Times New Roman" w:cs="Times New Roman"/>
          <w:b w:val="0"/>
          <w:bCs w:val="0"/>
          <w:sz w:val="24"/>
          <w:szCs w:val="24"/>
        </w:rPr>
        <w:t xml:space="preserve"> occur</w:t>
      </w:r>
      <w:r w:rsidR="00AD34FD">
        <w:rPr>
          <w:rFonts w:ascii="Times New Roman" w:hAnsi="Times New Roman" w:cs="Times New Roman"/>
          <w:b w:val="0"/>
          <w:bCs w:val="0"/>
          <w:sz w:val="24"/>
          <w:szCs w:val="24"/>
        </w:rPr>
        <w:t>.</w:t>
      </w:r>
    </w:p>
    <w:p w:rsidR="00625983" w:rsidRPr="00C801D5" w:rsidRDefault="00625983" w:rsidP="002C2B76">
      <w:pPr>
        <w:bidi w:val="0"/>
        <w:spacing w:after="0" w:line="276" w:lineRule="auto"/>
        <w:ind w:left="2127" w:hanging="851"/>
        <w:rPr>
          <w:rStyle w:val="tlid-translation"/>
          <w:rFonts w:ascii="Times New Roman" w:hAnsi="Times New Roman" w:cs="Times New Roman"/>
          <w:b w:val="0"/>
          <w:bCs w:val="0"/>
          <w:sz w:val="24"/>
          <w:szCs w:val="24"/>
          <w:lang w:val="en" w:bidi="ar"/>
        </w:rPr>
      </w:pPr>
      <w:r w:rsidRPr="00C801D5">
        <w:rPr>
          <w:rFonts w:ascii="Times New Roman" w:hAnsi="Times New Roman" w:cs="Times New Roman"/>
          <w:b w:val="0"/>
          <w:bCs w:val="0"/>
          <w:sz w:val="24"/>
          <w:szCs w:val="24"/>
        </w:rPr>
        <w:t xml:space="preserve">1.3.9 </w:t>
      </w:r>
      <w:r w:rsidR="00A040D2" w:rsidRPr="00C801D5">
        <w:rPr>
          <w:rFonts w:ascii="Times New Roman" w:hAnsi="Times New Roman" w:cs="Times New Roman"/>
          <w:b w:val="0"/>
          <w:bCs w:val="0"/>
          <w:sz w:val="24"/>
          <w:szCs w:val="24"/>
        </w:rPr>
        <w:tab/>
      </w:r>
      <w:r w:rsidRPr="00C801D5">
        <w:rPr>
          <w:rFonts w:ascii="Times New Roman" w:hAnsi="Times New Roman" w:cs="Times New Roman"/>
          <w:b w:val="0"/>
          <w:bCs w:val="0"/>
          <w:sz w:val="24"/>
          <w:szCs w:val="24"/>
        </w:rPr>
        <w:t xml:space="preserve">The paid in amount is recognized as equity capital (i.e. not recognized as a liability) for determining balance sheet insolvency, </w:t>
      </w:r>
      <w:r w:rsidR="00AD34FD" w:rsidRPr="00C801D5">
        <w:rPr>
          <w:rStyle w:val="tlid-translation"/>
          <w:rFonts w:ascii="Times New Roman" w:hAnsi="Times New Roman" w:cs="Times New Roman"/>
          <w:b w:val="0"/>
          <w:bCs w:val="0"/>
          <w:sz w:val="24"/>
          <w:szCs w:val="24"/>
          <w:lang w:val="en" w:bidi="ar"/>
        </w:rPr>
        <w:t>it</w:t>
      </w:r>
      <w:r w:rsidRPr="00C801D5">
        <w:rPr>
          <w:rStyle w:val="tlid-translation"/>
          <w:rFonts w:ascii="Times New Roman" w:hAnsi="Times New Roman" w:cs="Times New Roman"/>
          <w:b w:val="0"/>
          <w:bCs w:val="0"/>
          <w:sz w:val="24"/>
          <w:szCs w:val="24"/>
          <w:lang w:val="en" w:bidi="ar"/>
        </w:rPr>
        <w:t xml:space="preserve"> is also classified as equity under the relevant accounting standards. </w:t>
      </w:r>
    </w:p>
    <w:p w:rsidR="00625983" w:rsidRPr="00C801D5" w:rsidRDefault="00625983" w:rsidP="002C2B76">
      <w:pPr>
        <w:bidi w:val="0"/>
        <w:spacing w:after="0" w:line="276" w:lineRule="auto"/>
        <w:ind w:left="2127" w:hanging="851"/>
        <w:rPr>
          <w:rFonts w:ascii="Times New Roman" w:hAnsi="Times New Roman" w:cs="Times New Roman"/>
          <w:b w:val="0"/>
          <w:bCs w:val="0"/>
          <w:sz w:val="24"/>
          <w:szCs w:val="24"/>
        </w:rPr>
      </w:pPr>
      <w:r w:rsidRPr="00C801D5">
        <w:rPr>
          <w:rFonts w:ascii="Times New Roman" w:hAnsi="Times New Roman" w:cs="Times New Roman"/>
          <w:b w:val="0"/>
          <w:bCs w:val="0"/>
          <w:sz w:val="24"/>
          <w:szCs w:val="24"/>
        </w:rPr>
        <w:t>1.3.10</w:t>
      </w:r>
      <w:r w:rsidR="00D55427" w:rsidRPr="00C801D5">
        <w:rPr>
          <w:rFonts w:ascii="Times New Roman" w:hAnsi="Times New Roman" w:cs="Times New Roman"/>
          <w:b w:val="0"/>
          <w:bCs w:val="0"/>
          <w:sz w:val="24"/>
          <w:szCs w:val="24"/>
        </w:rPr>
        <w:t xml:space="preserve"> </w:t>
      </w:r>
      <w:r w:rsidR="00A040D2" w:rsidRPr="00C801D5">
        <w:rPr>
          <w:rFonts w:ascii="Times New Roman" w:hAnsi="Times New Roman" w:cs="Times New Roman"/>
          <w:b w:val="0"/>
          <w:bCs w:val="0"/>
          <w:sz w:val="24"/>
          <w:szCs w:val="24"/>
        </w:rPr>
        <w:tab/>
      </w:r>
      <w:r w:rsidR="00D55427" w:rsidRPr="00C801D5">
        <w:rPr>
          <w:rFonts w:ascii="Times New Roman" w:hAnsi="Times New Roman" w:cs="Times New Roman"/>
          <w:b w:val="0"/>
          <w:bCs w:val="0"/>
          <w:sz w:val="24"/>
          <w:szCs w:val="24"/>
        </w:rPr>
        <w:t>It is directly issued and paid-in and the bank cannot directly or indirectly have funded the purchase of the instrument.</w:t>
      </w:r>
    </w:p>
    <w:p w:rsidR="00625983" w:rsidRPr="00C801D5" w:rsidRDefault="00625983" w:rsidP="008C5902">
      <w:pPr>
        <w:bidi w:val="0"/>
        <w:spacing w:after="0" w:line="276" w:lineRule="auto"/>
        <w:ind w:left="2127" w:hanging="851"/>
        <w:rPr>
          <w:rFonts w:ascii="Times New Roman" w:hAnsi="Times New Roman" w:cs="Times New Roman"/>
          <w:b w:val="0"/>
          <w:bCs w:val="0"/>
          <w:sz w:val="24"/>
          <w:szCs w:val="24"/>
        </w:rPr>
      </w:pPr>
      <w:r w:rsidRPr="00C801D5">
        <w:rPr>
          <w:rFonts w:ascii="Times New Roman" w:hAnsi="Times New Roman" w:cs="Times New Roman"/>
          <w:b w:val="0"/>
          <w:bCs w:val="0"/>
          <w:sz w:val="24"/>
          <w:szCs w:val="24"/>
        </w:rPr>
        <w:t>1.3.11</w:t>
      </w:r>
      <w:r w:rsidR="00D55427" w:rsidRPr="00C801D5">
        <w:rPr>
          <w:rFonts w:ascii="Times New Roman" w:hAnsi="Times New Roman" w:cs="Times New Roman"/>
          <w:b w:val="0"/>
          <w:bCs w:val="0"/>
          <w:sz w:val="24"/>
          <w:szCs w:val="24"/>
        </w:rPr>
        <w:t xml:space="preserve"> </w:t>
      </w:r>
      <w:r w:rsidR="00A040D2" w:rsidRPr="00C801D5">
        <w:rPr>
          <w:rFonts w:ascii="Times New Roman" w:hAnsi="Times New Roman" w:cs="Times New Roman"/>
          <w:b w:val="0"/>
          <w:bCs w:val="0"/>
          <w:sz w:val="24"/>
          <w:szCs w:val="24"/>
        </w:rPr>
        <w:tab/>
      </w:r>
      <w:r w:rsidR="00D55427" w:rsidRPr="00C801D5">
        <w:rPr>
          <w:rFonts w:ascii="Times New Roman" w:hAnsi="Times New Roman" w:cs="Times New Roman"/>
          <w:b w:val="0"/>
          <w:bCs w:val="0"/>
          <w:sz w:val="24"/>
          <w:szCs w:val="24"/>
        </w:rPr>
        <w:t>The paid in amount is neither secured nor covered by a guarantee of the issuer or related entity</w:t>
      </w:r>
      <w:r w:rsidR="00D55427" w:rsidRPr="00C801D5">
        <w:rPr>
          <w:rStyle w:val="FootnoteReference"/>
          <w:rFonts w:ascii="Times New Roman" w:hAnsi="Times New Roman" w:cs="Times New Roman"/>
          <w:b w:val="0"/>
          <w:bCs w:val="0"/>
          <w:sz w:val="24"/>
          <w:szCs w:val="24"/>
        </w:rPr>
        <w:footnoteReference w:id="7"/>
      </w:r>
      <w:r w:rsidR="00D55427" w:rsidRPr="00C801D5">
        <w:rPr>
          <w:rFonts w:ascii="Times New Roman" w:hAnsi="Times New Roman" w:cs="Times New Roman"/>
          <w:b w:val="0"/>
          <w:bCs w:val="0"/>
          <w:sz w:val="24"/>
          <w:szCs w:val="24"/>
        </w:rPr>
        <w:t xml:space="preserve"> or subject to any other arrangement that legally or economically enhances the </w:t>
      </w:r>
      <w:r w:rsidR="008C5902">
        <w:rPr>
          <w:rFonts w:ascii="Times New Roman" w:hAnsi="Times New Roman" w:cs="Times New Roman"/>
          <w:b w:val="0"/>
          <w:bCs w:val="0"/>
          <w:sz w:val="24"/>
          <w:szCs w:val="24"/>
        </w:rPr>
        <w:t>seniority</w:t>
      </w:r>
      <w:r w:rsidR="008C5902" w:rsidRPr="00C801D5">
        <w:rPr>
          <w:rFonts w:ascii="Times New Roman" w:hAnsi="Times New Roman" w:cs="Times New Roman"/>
          <w:b w:val="0"/>
          <w:bCs w:val="0"/>
          <w:sz w:val="24"/>
          <w:szCs w:val="24"/>
        </w:rPr>
        <w:t xml:space="preserve"> </w:t>
      </w:r>
      <w:r w:rsidR="00D55427" w:rsidRPr="00C801D5">
        <w:rPr>
          <w:rFonts w:ascii="Times New Roman" w:hAnsi="Times New Roman" w:cs="Times New Roman"/>
          <w:b w:val="0"/>
          <w:bCs w:val="0"/>
          <w:sz w:val="24"/>
          <w:szCs w:val="24"/>
        </w:rPr>
        <w:t>of the claim.</w:t>
      </w:r>
    </w:p>
    <w:p w:rsidR="00D55427" w:rsidRPr="00C801D5" w:rsidRDefault="00D55427" w:rsidP="002C2B76">
      <w:pPr>
        <w:bidi w:val="0"/>
        <w:spacing w:after="0" w:line="276" w:lineRule="auto"/>
        <w:ind w:left="2127" w:hanging="851"/>
        <w:rPr>
          <w:rFonts w:ascii="Times New Roman" w:hAnsi="Times New Roman" w:cs="Times New Roman"/>
          <w:b w:val="0"/>
          <w:bCs w:val="0"/>
          <w:sz w:val="24"/>
          <w:szCs w:val="24"/>
        </w:rPr>
      </w:pPr>
      <w:r w:rsidRPr="00C801D5">
        <w:rPr>
          <w:rFonts w:ascii="Times New Roman" w:hAnsi="Times New Roman" w:cs="Times New Roman"/>
          <w:b w:val="0"/>
          <w:bCs w:val="0"/>
          <w:sz w:val="24"/>
          <w:szCs w:val="24"/>
        </w:rPr>
        <w:t xml:space="preserve">1.3.12 </w:t>
      </w:r>
      <w:r w:rsidR="00A040D2" w:rsidRPr="00C801D5">
        <w:rPr>
          <w:rFonts w:ascii="Times New Roman" w:hAnsi="Times New Roman" w:cs="Times New Roman"/>
          <w:b w:val="0"/>
          <w:bCs w:val="0"/>
          <w:sz w:val="24"/>
          <w:szCs w:val="24"/>
        </w:rPr>
        <w:tab/>
      </w:r>
      <w:r w:rsidRPr="00C801D5">
        <w:rPr>
          <w:rFonts w:ascii="Times New Roman" w:hAnsi="Times New Roman" w:cs="Times New Roman"/>
          <w:b w:val="0"/>
          <w:bCs w:val="0"/>
          <w:sz w:val="24"/>
          <w:szCs w:val="24"/>
        </w:rPr>
        <w:t xml:space="preserve">It is only issued with the approval of the </w:t>
      </w:r>
      <w:r w:rsidR="00AD34FD">
        <w:rPr>
          <w:rFonts w:ascii="Times New Roman" w:hAnsi="Times New Roman" w:cs="Times New Roman"/>
          <w:b w:val="0"/>
          <w:bCs w:val="0"/>
          <w:sz w:val="24"/>
          <w:szCs w:val="24"/>
        </w:rPr>
        <w:t>bank owners</w:t>
      </w:r>
      <w:r w:rsidRPr="00C801D5">
        <w:rPr>
          <w:rFonts w:ascii="Times New Roman" w:hAnsi="Times New Roman" w:cs="Times New Roman"/>
          <w:b w:val="0"/>
          <w:bCs w:val="0"/>
          <w:sz w:val="24"/>
          <w:szCs w:val="24"/>
        </w:rPr>
        <w:t>, either given directly by the owners or by other persons duly authorized by the owners.</w:t>
      </w:r>
    </w:p>
    <w:p w:rsidR="00D55427" w:rsidRPr="00C801D5" w:rsidRDefault="00D55427" w:rsidP="002C2B76">
      <w:pPr>
        <w:bidi w:val="0"/>
        <w:spacing w:after="0" w:line="276" w:lineRule="auto"/>
        <w:ind w:left="2127" w:hanging="851"/>
        <w:rPr>
          <w:rFonts w:ascii="Times New Roman" w:hAnsi="Times New Roman" w:cs="Times New Roman"/>
          <w:b w:val="0"/>
          <w:bCs w:val="0"/>
          <w:sz w:val="24"/>
          <w:szCs w:val="24"/>
        </w:rPr>
      </w:pPr>
      <w:r w:rsidRPr="00C801D5">
        <w:rPr>
          <w:rFonts w:ascii="Times New Roman" w:hAnsi="Times New Roman" w:cs="Times New Roman"/>
          <w:b w:val="0"/>
          <w:bCs w:val="0"/>
          <w:sz w:val="24"/>
          <w:szCs w:val="24"/>
        </w:rPr>
        <w:t xml:space="preserve">1.3.13 </w:t>
      </w:r>
      <w:r w:rsidR="00A040D2" w:rsidRPr="00C801D5">
        <w:rPr>
          <w:rFonts w:ascii="Times New Roman" w:hAnsi="Times New Roman" w:cs="Times New Roman"/>
          <w:b w:val="0"/>
          <w:bCs w:val="0"/>
          <w:sz w:val="24"/>
          <w:szCs w:val="24"/>
        </w:rPr>
        <w:tab/>
      </w:r>
      <w:r w:rsidRPr="00C801D5">
        <w:rPr>
          <w:rFonts w:ascii="Times New Roman" w:hAnsi="Times New Roman" w:cs="Times New Roman"/>
          <w:b w:val="0"/>
          <w:bCs w:val="0"/>
          <w:sz w:val="24"/>
          <w:szCs w:val="24"/>
        </w:rPr>
        <w:t>It is clearly and separately disclosed on the bank’s balance sheet.</w:t>
      </w:r>
    </w:p>
    <w:p w:rsidR="00D55427" w:rsidRPr="00AD38CE" w:rsidRDefault="00D55427" w:rsidP="00D55427">
      <w:pPr>
        <w:bidi w:val="0"/>
        <w:ind w:left="1275" w:hanging="567"/>
        <w:rPr>
          <w:b w:val="0"/>
          <w:bCs w:val="0"/>
          <w:color w:val="FF0000"/>
          <w:sz w:val="4"/>
          <w:szCs w:val="4"/>
        </w:rPr>
      </w:pPr>
    </w:p>
    <w:p w:rsidR="00D55427" w:rsidRPr="00C801D5" w:rsidRDefault="00D55427" w:rsidP="00A040D2">
      <w:pPr>
        <w:bidi w:val="0"/>
        <w:spacing w:after="0" w:line="276" w:lineRule="auto"/>
        <w:ind w:left="720" w:hanging="540"/>
        <w:rPr>
          <w:rFonts w:ascii="Times New Roman" w:hAnsi="Times New Roman" w:cs="Times New Roman"/>
          <w:sz w:val="24"/>
          <w:szCs w:val="24"/>
        </w:rPr>
      </w:pPr>
      <w:r w:rsidRPr="00C801D5">
        <w:rPr>
          <w:rFonts w:ascii="Times New Roman" w:hAnsi="Times New Roman" w:cs="Times New Roman"/>
          <w:sz w:val="24"/>
          <w:szCs w:val="24"/>
        </w:rPr>
        <w:t xml:space="preserve">2. </w:t>
      </w:r>
      <w:r w:rsidR="00A040D2" w:rsidRPr="00C801D5">
        <w:rPr>
          <w:rFonts w:ascii="Times New Roman" w:hAnsi="Times New Roman" w:cs="Times New Roman"/>
          <w:sz w:val="24"/>
          <w:szCs w:val="24"/>
        </w:rPr>
        <w:tab/>
      </w:r>
      <w:r w:rsidRPr="00C801D5">
        <w:rPr>
          <w:rFonts w:ascii="Times New Roman" w:hAnsi="Times New Roman" w:cs="Times New Roman"/>
          <w:sz w:val="24"/>
          <w:szCs w:val="24"/>
        </w:rPr>
        <w:t>Additional Tier 1 capita</w:t>
      </w:r>
      <w:r w:rsidR="00AD34FD">
        <w:rPr>
          <w:rFonts w:ascii="Times New Roman" w:hAnsi="Times New Roman" w:cs="Times New Roman"/>
          <w:sz w:val="24"/>
          <w:szCs w:val="24"/>
        </w:rPr>
        <w:t>l</w:t>
      </w:r>
    </w:p>
    <w:p w:rsidR="008C46C9" w:rsidRPr="00C801D5" w:rsidRDefault="008C46C9" w:rsidP="00953713">
      <w:pPr>
        <w:bidi w:val="0"/>
        <w:spacing w:after="0" w:line="276" w:lineRule="auto"/>
        <w:ind w:left="1170" w:hanging="540"/>
        <w:rPr>
          <w:rStyle w:val="tlid-translation"/>
          <w:rFonts w:ascii="Times New Roman" w:hAnsi="Times New Roman" w:cs="Times New Roman"/>
          <w:b w:val="0"/>
          <w:bCs w:val="0"/>
          <w:sz w:val="24"/>
          <w:szCs w:val="24"/>
          <w:lang w:val="en" w:bidi="ar"/>
        </w:rPr>
      </w:pPr>
      <w:r w:rsidRPr="00C801D5">
        <w:rPr>
          <w:rFonts w:ascii="Times New Roman" w:hAnsi="Times New Roman" w:cs="Times New Roman"/>
          <w:b w:val="0"/>
          <w:bCs w:val="0"/>
          <w:sz w:val="24"/>
          <w:szCs w:val="24"/>
        </w:rPr>
        <w:t xml:space="preserve"> </w:t>
      </w:r>
      <w:r w:rsidR="00D55427" w:rsidRPr="00C801D5">
        <w:rPr>
          <w:rFonts w:ascii="Times New Roman" w:hAnsi="Times New Roman" w:cs="Times New Roman"/>
          <w:b w:val="0"/>
          <w:bCs w:val="0"/>
          <w:sz w:val="24"/>
          <w:szCs w:val="24"/>
        </w:rPr>
        <w:t xml:space="preserve">2.1 </w:t>
      </w:r>
      <w:r w:rsidR="00A040D2" w:rsidRPr="00C801D5">
        <w:rPr>
          <w:rFonts w:ascii="Times New Roman" w:hAnsi="Times New Roman" w:cs="Times New Roman"/>
          <w:b w:val="0"/>
          <w:bCs w:val="0"/>
          <w:sz w:val="24"/>
          <w:szCs w:val="24"/>
        </w:rPr>
        <w:tab/>
      </w:r>
      <w:r w:rsidRPr="00C801D5">
        <w:rPr>
          <w:rFonts w:ascii="Times New Roman" w:hAnsi="Times New Roman" w:cs="Times New Roman"/>
          <w:b w:val="0"/>
          <w:bCs w:val="0"/>
          <w:sz w:val="24"/>
          <w:szCs w:val="24"/>
        </w:rPr>
        <w:t>Additional Tier 1 capital consists of the sum of the following elements (</w:t>
      </w:r>
      <w:r w:rsidRPr="00C801D5">
        <w:rPr>
          <w:rStyle w:val="tlid-translation"/>
          <w:rFonts w:ascii="Times New Roman" w:hAnsi="Times New Roman" w:cs="Times New Roman"/>
          <w:b w:val="0"/>
          <w:bCs w:val="0"/>
          <w:sz w:val="24"/>
          <w:szCs w:val="24"/>
          <w:lang w:val="en" w:bidi="ar"/>
        </w:rPr>
        <w:t xml:space="preserve">after the regulatory adjustments used to calculate AT1): </w:t>
      </w:r>
    </w:p>
    <w:p w:rsidR="008C46C9" w:rsidRPr="00C801D5" w:rsidRDefault="008C46C9" w:rsidP="00AD34FD">
      <w:pPr>
        <w:bidi w:val="0"/>
        <w:spacing w:after="0" w:line="276" w:lineRule="auto"/>
        <w:ind w:left="2070" w:hanging="900"/>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val="en" w:bidi="ar"/>
        </w:rPr>
        <w:t xml:space="preserve">2.1.1 </w:t>
      </w:r>
      <w:r w:rsidR="00A040D2" w:rsidRPr="00C801D5">
        <w:rPr>
          <w:rStyle w:val="tlid-translation"/>
          <w:rFonts w:ascii="Times New Roman" w:hAnsi="Times New Roman" w:cs="Times New Roman"/>
          <w:b w:val="0"/>
          <w:bCs w:val="0"/>
          <w:sz w:val="24"/>
          <w:szCs w:val="24"/>
          <w:lang w:val="en" w:bidi="ar"/>
        </w:rPr>
        <w:tab/>
      </w:r>
      <w:r w:rsidRPr="00C801D5">
        <w:rPr>
          <w:rStyle w:val="tlid-translation"/>
          <w:rFonts w:ascii="Times New Roman" w:hAnsi="Times New Roman" w:cs="Times New Roman"/>
          <w:b w:val="0"/>
          <w:bCs w:val="0"/>
          <w:sz w:val="24"/>
          <w:szCs w:val="24"/>
          <w:lang w:val="en" w:bidi="ar"/>
        </w:rPr>
        <w:t>Instruments issued by the bank that meet the criteria for inclusion in Additional Tier 1 capital (and are not included in Common Equity Tier</w:t>
      </w:r>
      <w:r w:rsidR="00FB53BB" w:rsidRPr="00C801D5">
        <w:rPr>
          <w:rStyle w:val="tlid-translation"/>
          <w:rFonts w:ascii="Times New Roman" w:hAnsi="Times New Roman" w:cs="Times New Roman"/>
          <w:b w:val="0"/>
          <w:bCs w:val="0"/>
          <w:sz w:val="24"/>
          <w:szCs w:val="24"/>
          <w:lang w:val="en" w:bidi="ar"/>
        </w:rPr>
        <w:t xml:space="preserve"> 1), </w:t>
      </w:r>
      <w:r w:rsidR="00AD34FD">
        <w:rPr>
          <w:rStyle w:val="tlid-translation"/>
          <w:rFonts w:ascii="Times New Roman" w:hAnsi="Times New Roman" w:cs="Times New Roman"/>
          <w:b w:val="0"/>
          <w:bCs w:val="0"/>
          <w:sz w:val="24"/>
          <w:szCs w:val="24"/>
          <w:lang w:val="en" w:bidi="ar"/>
        </w:rPr>
        <w:t>s</w:t>
      </w:r>
      <w:r w:rsidR="00FB53BB" w:rsidRPr="00C801D5">
        <w:rPr>
          <w:rStyle w:val="tlid-translation"/>
          <w:rFonts w:ascii="Times New Roman" w:hAnsi="Times New Roman" w:cs="Times New Roman"/>
          <w:b w:val="0"/>
          <w:bCs w:val="0"/>
          <w:sz w:val="24"/>
          <w:szCs w:val="24"/>
          <w:lang w:val="en" w:bidi="ar"/>
        </w:rPr>
        <w:t xml:space="preserve">uch as the </w:t>
      </w:r>
      <w:r w:rsidR="00FB53BB" w:rsidRPr="00C801D5">
        <w:rPr>
          <w:rStyle w:val="alt-edited2"/>
          <w:rFonts w:ascii="Times New Roman" w:hAnsi="Times New Roman" w:cs="Times New Roman"/>
          <w:b w:val="0"/>
          <w:bCs w:val="0"/>
          <w:sz w:val="24"/>
          <w:szCs w:val="24"/>
          <w:lang w:val="en" w:bidi="ar"/>
        </w:rPr>
        <w:t>nominal</w:t>
      </w:r>
      <w:r w:rsidR="00FB53BB" w:rsidRPr="00C801D5">
        <w:rPr>
          <w:rStyle w:val="alt-edited2"/>
          <w:rFonts w:ascii="Times New Roman" w:hAnsi="Times New Roman" w:cs="Times New Roman"/>
          <w:b w:val="0"/>
          <w:bCs w:val="0"/>
          <w:sz w:val="24"/>
          <w:szCs w:val="24"/>
          <w:rtl/>
          <w:lang w:val="en" w:bidi="ar"/>
        </w:rPr>
        <w:t xml:space="preserve"> </w:t>
      </w:r>
      <w:r w:rsidR="00FB53BB" w:rsidRPr="00C801D5">
        <w:rPr>
          <w:rStyle w:val="tlid-translation"/>
          <w:rFonts w:ascii="Times New Roman" w:hAnsi="Times New Roman" w:cs="Times New Roman"/>
          <w:b w:val="0"/>
          <w:bCs w:val="0"/>
          <w:sz w:val="24"/>
          <w:szCs w:val="24"/>
          <w:lang w:val="en" w:bidi="ar"/>
        </w:rPr>
        <w:t>value of non-accumulating preferred shares (dividends) and similar instruments</w:t>
      </w:r>
      <w:r w:rsidR="00AD34FD">
        <w:rPr>
          <w:rStyle w:val="tlid-translation"/>
          <w:rFonts w:ascii="Times New Roman" w:hAnsi="Times New Roman" w:cs="Times New Roman"/>
          <w:b w:val="0"/>
          <w:bCs w:val="0"/>
          <w:sz w:val="24"/>
          <w:szCs w:val="24"/>
          <w:lang w:val="en" w:bidi="ar"/>
        </w:rPr>
        <w:t>.</w:t>
      </w:r>
    </w:p>
    <w:p w:rsidR="00FB53BB" w:rsidRPr="00C801D5" w:rsidRDefault="00FB53BB" w:rsidP="00A040D2">
      <w:pPr>
        <w:bidi w:val="0"/>
        <w:spacing w:after="0" w:line="276" w:lineRule="auto"/>
        <w:ind w:left="2070" w:hanging="900"/>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val="en" w:bidi="ar"/>
        </w:rPr>
        <w:t xml:space="preserve">2.1.2 </w:t>
      </w:r>
      <w:r w:rsidR="00A040D2" w:rsidRPr="00C801D5">
        <w:rPr>
          <w:rStyle w:val="tlid-translation"/>
          <w:rFonts w:ascii="Times New Roman" w:hAnsi="Times New Roman" w:cs="Times New Roman"/>
          <w:b w:val="0"/>
          <w:bCs w:val="0"/>
          <w:sz w:val="24"/>
          <w:szCs w:val="24"/>
          <w:lang w:val="en" w:bidi="ar"/>
        </w:rPr>
        <w:tab/>
      </w:r>
      <w:r w:rsidRPr="00C801D5">
        <w:rPr>
          <w:rStyle w:val="tlid-translation"/>
          <w:rFonts w:ascii="Times New Roman" w:hAnsi="Times New Roman" w:cs="Times New Roman"/>
          <w:b w:val="0"/>
          <w:bCs w:val="0"/>
          <w:sz w:val="24"/>
          <w:szCs w:val="24"/>
          <w:lang w:val="en" w:bidi="ar"/>
        </w:rPr>
        <w:t>Stock surplus (share premium) resulting from the issue of instruments includ</w:t>
      </w:r>
      <w:r w:rsidR="002629BE">
        <w:rPr>
          <w:rStyle w:val="tlid-translation"/>
          <w:rFonts w:ascii="Times New Roman" w:hAnsi="Times New Roman" w:cs="Times New Roman"/>
          <w:b w:val="0"/>
          <w:bCs w:val="0"/>
          <w:sz w:val="24"/>
          <w:szCs w:val="24"/>
          <w:lang w:val="en" w:bidi="ar"/>
        </w:rPr>
        <w:t>ed in Additional Tier 1 capital.</w:t>
      </w:r>
    </w:p>
    <w:p w:rsidR="00FB53BB" w:rsidRPr="00C801D5" w:rsidRDefault="00FB53BB" w:rsidP="00A040D2">
      <w:pPr>
        <w:bidi w:val="0"/>
        <w:spacing w:after="0" w:line="276" w:lineRule="auto"/>
        <w:ind w:left="2070" w:hanging="900"/>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val="en" w:bidi="ar"/>
        </w:rPr>
        <w:t xml:space="preserve">2.1.3 </w:t>
      </w:r>
      <w:r w:rsidR="00A040D2" w:rsidRPr="00C801D5">
        <w:rPr>
          <w:rStyle w:val="tlid-translation"/>
          <w:rFonts w:ascii="Times New Roman" w:hAnsi="Times New Roman" w:cs="Times New Roman"/>
          <w:b w:val="0"/>
          <w:bCs w:val="0"/>
          <w:sz w:val="24"/>
          <w:szCs w:val="24"/>
          <w:lang w:val="en" w:bidi="ar"/>
        </w:rPr>
        <w:tab/>
      </w:r>
      <w:r w:rsidRPr="00C801D5">
        <w:rPr>
          <w:rStyle w:val="tlid-translation"/>
          <w:rFonts w:ascii="Times New Roman" w:hAnsi="Times New Roman" w:cs="Times New Roman"/>
          <w:b w:val="0"/>
          <w:bCs w:val="0"/>
          <w:sz w:val="24"/>
          <w:szCs w:val="24"/>
          <w:lang w:val="en" w:bidi="ar"/>
        </w:rPr>
        <w:t>Mi</w:t>
      </w:r>
      <w:r w:rsidR="00AD34FD">
        <w:rPr>
          <w:rStyle w:val="tlid-translation"/>
          <w:rFonts w:ascii="Times New Roman" w:hAnsi="Times New Roman" w:cs="Times New Roman"/>
          <w:b w:val="0"/>
          <w:bCs w:val="0"/>
          <w:sz w:val="24"/>
          <w:szCs w:val="24"/>
          <w:lang w:val="en" w:bidi="ar"/>
        </w:rPr>
        <w:t>nority interest, which are the i</w:t>
      </w:r>
      <w:r w:rsidRPr="00C801D5">
        <w:rPr>
          <w:rStyle w:val="tlid-translation"/>
          <w:rFonts w:ascii="Times New Roman" w:hAnsi="Times New Roman" w:cs="Times New Roman"/>
          <w:b w:val="0"/>
          <w:bCs w:val="0"/>
          <w:sz w:val="24"/>
          <w:szCs w:val="24"/>
          <w:lang w:val="en" w:bidi="ar"/>
        </w:rPr>
        <w:t xml:space="preserve">nstruments issued by consolidated subsidiaries of the bank and held by third parties that meet the criteria </w:t>
      </w:r>
      <w:r w:rsidRPr="00C801D5">
        <w:rPr>
          <w:rStyle w:val="tlid-translation"/>
          <w:rFonts w:ascii="Times New Roman" w:hAnsi="Times New Roman" w:cs="Times New Roman"/>
          <w:b w:val="0"/>
          <w:bCs w:val="0"/>
          <w:sz w:val="24"/>
          <w:szCs w:val="24"/>
          <w:lang w:val="en" w:bidi="ar"/>
        </w:rPr>
        <w:lastRenderedPageBreak/>
        <w:t>for inclusion in Additional Tier 1 capital and are not included in Common Equity Tier 1.</w:t>
      </w:r>
    </w:p>
    <w:p w:rsidR="00FB53BB" w:rsidRPr="00C801D5" w:rsidRDefault="00FB53BB" w:rsidP="00A040D2">
      <w:pPr>
        <w:bidi w:val="0"/>
        <w:spacing w:after="0" w:line="276" w:lineRule="auto"/>
        <w:ind w:left="1170" w:hanging="450"/>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val="en" w:bidi="ar"/>
        </w:rPr>
        <w:t xml:space="preserve">2.2 </w:t>
      </w:r>
      <w:r w:rsidR="00A040D2" w:rsidRPr="00C801D5">
        <w:rPr>
          <w:rStyle w:val="tlid-translation"/>
          <w:rFonts w:ascii="Times New Roman" w:hAnsi="Times New Roman" w:cs="Times New Roman"/>
          <w:b w:val="0"/>
          <w:bCs w:val="0"/>
          <w:sz w:val="24"/>
          <w:szCs w:val="24"/>
          <w:lang w:val="en" w:bidi="ar"/>
        </w:rPr>
        <w:tab/>
      </w:r>
      <w:r w:rsidRPr="00C801D5">
        <w:rPr>
          <w:rStyle w:val="tlid-translation"/>
          <w:rFonts w:ascii="Times New Roman" w:hAnsi="Times New Roman" w:cs="Times New Roman"/>
          <w:b w:val="0"/>
          <w:bCs w:val="0"/>
          <w:sz w:val="24"/>
          <w:szCs w:val="24"/>
          <w:lang w:val="en" w:bidi="ar"/>
        </w:rPr>
        <w:t>The following list sets out the minimum set of criteria for an instrument issued by the bank to meet or exceed in order for it to be included in Additional Tier 1 capital. Criteria for inclusion in Additional Tier 1 capital:</w:t>
      </w:r>
    </w:p>
    <w:p w:rsidR="00FB53BB" w:rsidRPr="00C801D5" w:rsidRDefault="00FB53BB" w:rsidP="00A040D2">
      <w:pPr>
        <w:bidi w:val="0"/>
        <w:spacing w:after="0" w:line="276" w:lineRule="auto"/>
        <w:ind w:left="2070" w:hanging="900"/>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val="en" w:bidi="ar"/>
        </w:rPr>
        <w:t>2.2.1</w:t>
      </w:r>
      <w:r w:rsidR="00A040D2" w:rsidRPr="00C801D5">
        <w:rPr>
          <w:rStyle w:val="tlid-translation"/>
          <w:rFonts w:ascii="Times New Roman" w:hAnsi="Times New Roman" w:cs="Times New Roman"/>
          <w:b w:val="0"/>
          <w:bCs w:val="0"/>
          <w:sz w:val="24"/>
          <w:szCs w:val="24"/>
          <w:lang w:val="en" w:bidi="ar"/>
        </w:rPr>
        <w:tab/>
      </w:r>
      <w:r w:rsidRPr="00C801D5">
        <w:rPr>
          <w:rStyle w:val="tlid-translation"/>
          <w:rFonts w:ascii="Times New Roman" w:hAnsi="Times New Roman" w:cs="Times New Roman"/>
          <w:b w:val="0"/>
          <w:bCs w:val="0"/>
          <w:sz w:val="24"/>
          <w:szCs w:val="24"/>
          <w:lang w:val="en" w:bidi="ar"/>
        </w:rPr>
        <w:t>Issued and paid-in.</w:t>
      </w:r>
    </w:p>
    <w:p w:rsidR="00FB53BB" w:rsidRPr="00C801D5" w:rsidRDefault="00FB53BB" w:rsidP="00A040D2">
      <w:pPr>
        <w:bidi w:val="0"/>
        <w:spacing w:after="0" w:line="276" w:lineRule="auto"/>
        <w:ind w:left="2070" w:hanging="900"/>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val="en" w:bidi="ar"/>
        </w:rPr>
        <w:t xml:space="preserve">2.2.2 </w:t>
      </w:r>
      <w:r w:rsidR="00A040D2" w:rsidRPr="00C801D5">
        <w:rPr>
          <w:rStyle w:val="tlid-translation"/>
          <w:rFonts w:ascii="Times New Roman" w:hAnsi="Times New Roman" w:cs="Times New Roman"/>
          <w:b w:val="0"/>
          <w:bCs w:val="0"/>
          <w:sz w:val="24"/>
          <w:szCs w:val="24"/>
          <w:lang w:val="en" w:bidi="ar"/>
        </w:rPr>
        <w:tab/>
      </w:r>
      <w:r w:rsidRPr="00C801D5">
        <w:rPr>
          <w:rStyle w:val="tlid-translation"/>
          <w:rFonts w:ascii="Times New Roman" w:hAnsi="Times New Roman" w:cs="Times New Roman"/>
          <w:b w:val="0"/>
          <w:bCs w:val="0"/>
          <w:sz w:val="24"/>
          <w:szCs w:val="24"/>
          <w:lang w:val="en" w:bidi="ar"/>
        </w:rPr>
        <w:t>Subordinated to depositors, general creditors and subordinated debt of the bank</w:t>
      </w:r>
      <w:r w:rsidR="002629BE">
        <w:rPr>
          <w:rStyle w:val="tlid-translation"/>
          <w:rFonts w:ascii="Times New Roman" w:hAnsi="Times New Roman" w:cs="Times New Roman"/>
          <w:b w:val="0"/>
          <w:bCs w:val="0"/>
          <w:sz w:val="24"/>
          <w:szCs w:val="24"/>
          <w:lang w:val="en" w:bidi="ar"/>
        </w:rPr>
        <w:t>.</w:t>
      </w:r>
    </w:p>
    <w:p w:rsidR="00FB53BB" w:rsidRPr="00C801D5" w:rsidRDefault="00FB53BB" w:rsidP="008C5902">
      <w:pPr>
        <w:bidi w:val="0"/>
        <w:spacing w:after="0" w:line="276" w:lineRule="auto"/>
        <w:ind w:left="2070" w:hanging="900"/>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val="en" w:bidi="ar"/>
        </w:rPr>
        <w:t>2.2.3</w:t>
      </w:r>
      <w:r w:rsidRPr="00C801D5">
        <w:rPr>
          <w:rFonts w:ascii="Times New Roman" w:hAnsi="Times New Roman" w:cs="Times New Roman"/>
          <w:b w:val="0"/>
          <w:bCs w:val="0"/>
          <w:sz w:val="24"/>
          <w:szCs w:val="24"/>
        </w:rPr>
        <w:t xml:space="preserve"> </w:t>
      </w:r>
      <w:r w:rsidR="00A040D2" w:rsidRPr="00C801D5">
        <w:rPr>
          <w:rFonts w:ascii="Times New Roman" w:hAnsi="Times New Roman" w:cs="Times New Roman"/>
          <w:b w:val="0"/>
          <w:bCs w:val="0"/>
          <w:sz w:val="24"/>
          <w:szCs w:val="24"/>
        </w:rPr>
        <w:tab/>
      </w:r>
      <w:r w:rsidRPr="00C801D5">
        <w:rPr>
          <w:rStyle w:val="tlid-translation"/>
          <w:rFonts w:ascii="Times New Roman" w:hAnsi="Times New Roman" w:cs="Times New Roman"/>
          <w:b w:val="0"/>
          <w:bCs w:val="0"/>
          <w:sz w:val="24"/>
          <w:szCs w:val="24"/>
          <w:lang w:val="en" w:bidi="ar"/>
        </w:rPr>
        <w:t xml:space="preserve">Is neither secured nor covered by a guarantee of the issuer or related entity or other arrangement that legally or economically enhances the </w:t>
      </w:r>
      <w:r w:rsidR="008C5902">
        <w:rPr>
          <w:rFonts w:ascii="Times New Roman" w:hAnsi="Times New Roman" w:cs="Times New Roman"/>
          <w:b w:val="0"/>
          <w:bCs w:val="0"/>
          <w:sz w:val="24"/>
          <w:szCs w:val="24"/>
        </w:rPr>
        <w:t>seniority</w:t>
      </w:r>
      <w:r w:rsidR="008C5902" w:rsidRPr="00C801D5">
        <w:rPr>
          <w:rFonts w:ascii="Times New Roman" w:hAnsi="Times New Roman" w:cs="Times New Roman"/>
          <w:b w:val="0"/>
          <w:bCs w:val="0"/>
          <w:sz w:val="24"/>
          <w:szCs w:val="24"/>
        </w:rPr>
        <w:t xml:space="preserve"> </w:t>
      </w:r>
      <w:r w:rsidRPr="00C801D5">
        <w:rPr>
          <w:rStyle w:val="tlid-translation"/>
          <w:rFonts w:ascii="Times New Roman" w:hAnsi="Times New Roman" w:cs="Times New Roman"/>
          <w:b w:val="0"/>
          <w:bCs w:val="0"/>
          <w:sz w:val="24"/>
          <w:szCs w:val="24"/>
          <w:lang w:val="en" w:bidi="ar"/>
        </w:rPr>
        <w:t>of the claim vis-à-vis bank creditors.</w:t>
      </w:r>
    </w:p>
    <w:p w:rsidR="00FB53BB" w:rsidRPr="00C801D5" w:rsidRDefault="00FB53BB" w:rsidP="00A040D2">
      <w:pPr>
        <w:bidi w:val="0"/>
        <w:spacing w:after="0" w:line="276" w:lineRule="auto"/>
        <w:ind w:left="2070" w:hanging="900"/>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val="en" w:bidi="ar"/>
        </w:rPr>
        <w:t xml:space="preserve">2.2.4 </w:t>
      </w:r>
      <w:r w:rsidR="00A040D2" w:rsidRPr="00C801D5">
        <w:rPr>
          <w:rStyle w:val="tlid-translation"/>
          <w:rFonts w:ascii="Times New Roman" w:hAnsi="Times New Roman" w:cs="Times New Roman"/>
          <w:b w:val="0"/>
          <w:bCs w:val="0"/>
          <w:sz w:val="24"/>
          <w:szCs w:val="24"/>
          <w:lang w:val="en" w:bidi="ar"/>
        </w:rPr>
        <w:tab/>
      </w:r>
      <w:r w:rsidRPr="00C801D5">
        <w:rPr>
          <w:rStyle w:val="tlid-translation"/>
          <w:rFonts w:ascii="Times New Roman" w:hAnsi="Times New Roman" w:cs="Times New Roman"/>
          <w:b w:val="0"/>
          <w:bCs w:val="0"/>
          <w:sz w:val="24"/>
          <w:szCs w:val="24"/>
          <w:lang w:val="en" w:bidi="ar"/>
        </w:rPr>
        <w:t>Is perpetual, i.e. there is no maturity date and there are no step-ups or other incentives to redeem.</w:t>
      </w:r>
    </w:p>
    <w:p w:rsidR="00FB53BB" w:rsidRPr="00C801D5" w:rsidRDefault="00FB53BB" w:rsidP="00A040D2">
      <w:pPr>
        <w:bidi w:val="0"/>
        <w:spacing w:after="0" w:line="276" w:lineRule="auto"/>
        <w:ind w:left="2070" w:hanging="900"/>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val="en" w:bidi="ar"/>
        </w:rPr>
        <w:t xml:space="preserve">2.2.5 </w:t>
      </w:r>
      <w:r w:rsidR="00A040D2" w:rsidRPr="00C801D5">
        <w:rPr>
          <w:rStyle w:val="tlid-translation"/>
          <w:rFonts w:ascii="Times New Roman" w:hAnsi="Times New Roman" w:cs="Times New Roman"/>
          <w:b w:val="0"/>
          <w:bCs w:val="0"/>
          <w:sz w:val="24"/>
          <w:szCs w:val="24"/>
          <w:lang w:val="en" w:bidi="ar"/>
        </w:rPr>
        <w:tab/>
      </w:r>
      <w:r w:rsidR="00C91F01" w:rsidRPr="00C801D5">
        <w:rPr>
          <w:rStyle w:val="tlid-translation"/>
          <w:rFonts w:ascii="Times New Roman" w:hAnsi="Times New Roman" w:cs="Times New Roman"/>
          <w:b w:val="0"/>
          <w:bCs w:val="0"/>
          <w:sz w:val="24"/>
          <w:szCs w:val="24"/>
          <w:lang w:val="en" w:bidi="ar"/>
        </w:rPr>
        <w:t xml:space="preserve">May be callable at the initiative of the issuer only </w:t>
      </w:r>
      <w:r w:rsidR="00AD34FD">
        <w:rPr>
          <w:rStyle w:val="tlid-translation"/>
          <w:rFonts w:ascii="Times New Roman" w:hAnsi="Times New Roman" w:cs="Times New Roman"/>
          <w:b w:val="0"/>
          <w:bCs w:val="0"/>
          <w:sz w:val="24"/>
          <w:szCs w:val="24"/>
          <w:lang w:val="en" w:bidi="ar"/>
        </w:rPr>
        <w:t>after a minimum of five years, i</w:t>
      </w:r>
      <w:r w:rsidR="00C91F01" w:rsidRPr="00C801D5">
        <w:rPr>
          <w:rStyle w:val="tlid-translation"/>
          <w:rFonts w:ascii="Times New Roman" w:hAnsi="Times New Roman" w:cs="Times New Roman"/>
          <w:b w:val="0"/>
          <w:bCs w:val="0"/>
          <w:sz w:val="24"/>
          <w:szCs w:val="24"/>
          <w:lang w:val="en" w:bidi="ar"/>
        </w:rPr>
        <w:t xml:space="preserve">n the event that the bank has a right </w:t>
      </w:r>
      <w:r w:rsidR="00AD34FD" w:rsidRPr="00C801D5">
        <w:rPr>
          <w:rStyle w:val="tlid-translation"/>
          <w:rFonts w:ascii="Times New Roman" w:hAnsi="Times New Roman" w:cs="Times New Roman"/>
          <w:b w:val="0"/>
          <w:bCs w:val="0"/>
          <w:sz w:val="24"/>
          <w:szCs w:val="24"/>
          <w:lang w:val="en" w:bidi="ar"/>
        </w:rPr>
        <w:t>to</w:t>
      </w:r>
      <w:r w:rsidR="00C91F01" w:rsidRPr="00C801D5">
        <w:rPr>
          <w:rStyle w:val="tlid-translation"/>
          <w:rFonts w:ascii="Times New Roman" w:hAnsi="Times New Roman" w:cs="Times New Roman"/>
          <w:b w:val="0"/>
          <w:bCs w:val="0"/>
          <w:sz w:val="24"/>
          <w:szCs w:val="24"/>
          <w:lang w:val="en" w:bidi="ar"/>
        </w:rPr>
        <w:t xml:space="preserve"> exercise a call option, the bank must: </w:t>
      </w:r>
    </w:p>
    <w:p w:rsidR="00C91F01" w:rsidRPr="00C801D5" w:rsidRDefault="00C91F01" w:rsidP="00A040D2">
      <w:pPr>
        <w:bidi w:val="0"/>
        <w:spacing w:after="0" w:line="276" w:lineRule="auto"/>
        <w:ind w:left="2520" w:hanging="540"/>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val="en" w:bidi="ar"/>
        </w:rPr>
        <w:t xml:space="preserve">- </w:t>
      </w:r>
      <w:r w:rsidR="00A040D2" w:rsidRPr="00C801D5">
        <w:rPr>
          <w:rStyle w:val="tlid-translation"/>
          <w:rFonts w:ascii="Times New Roman" w:hAnsi="Times New Roman" w:cs="Times New Roman"/>
          <w:b w:val="0"/>
          <w:bCs w:val="0"/>
          <w:sz w:val="24"/>
          <w:szCs w:val="24"/>
          <w:lang w:val="en" w:bidi="ar"/>
        </w:rPr>
        <w:tab/>
      </w:r>
      <w:r w:rsidR="00AD34FD">
        <w:rPr>
          <w:rStyle w:val="tlid-translation"/>
          <w:rFonts w:ascii="Times New Roman" w:hAnsi="Times New Roman" w:cs="Times New Roman"/>
          <w:b w:val="0"/>
          <w:bCs w:val="0"/>
          <w:sz w:val="24"/>
          <w:szCs w:val="24"/>
          <w:lang w:val="en" w:bidi="ar"/>
        </w:rPr>
        <w:t>R</w:t>
      </w:r>
      <w:r w:rsidRPr="00C801D5">
        <w:rPr>
          <w:rStyle w:val="tlid-translation"/>
          <w:rFonts w:ascii="Times New Roman" w:hAnsi="Times New Roman" w:cs="Times New Roman"/>
          <w:b w:val="0"/>
          <w:bCs w:val="0"/>
          <w:sz w:val="24"/>
          <w:szCs w:val="24"/>
          <w:lang w:val="en" w:bidi="ar"/>
        </w:rPr>
        <w:t>eceive prior supervisory approval.</w:t>
      </w:r>
    </w:p>
    <w:p w:rsidR="00C91F01" w:rsidRPr="00C801D5" w:rsidRDefault="00C91F01" w:rsidP="00A040D2">
      <w:pPr>
        <w:bidi w:val="0"/>
        <w:spacing w:after="0" w:line="276" w:lineRule="auto"/>
        <w:ind w:left="2520" w:hanging="540"/>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val="en" w:bidi="ar"/>
        </w:rPr>
        <w:t xml:space="preserve">- </w:t>
      </w:r>
      <w:r w:rsidR="00A040D2" w:rsidRPr="00C801D5">
        <w:rPr>
          <w:rStyle w:val="tlid-translation"/>
          <w:rFonts w:ascii="Times New Roman" w:hAnsi="Times New Roman" w:cs="Times New Roman"/>
          <w:b w:val="0"/>
          <w:bCs w:val="0"/>
          <w:sz w:val="24"/>
          <w:szCs w:val="24"/>
          <w:lang w:val="en" w:bidi="ar"/>
        </w:rPr>
        <w:tab/>
      </w:r>
      <w:r w:rsidR="00AD34FD">
        <w:rPr>
          <w:rStyle w:val="tlid-translation"/>
          <w:rFonts w:ascii="Times New Roman" w:hAnsi="Times New Roman" w:cs="Times New Roman"/>
          <w:b w:val="0"/>
          <w:bCs w:val="0"/>
          <w:sz w:val="24"/>
          <w:szCs w:val="24"/>
          <w:lang w:val="en" w:bidi="ar"/>
        </w:rPr>
        <w:t>N</w:t>
      </w:r>
      <w:r w:rsidRPr="00C801D5">
        <w:rPr>
          <w:rStyle w:val="tlid-translation"/>
          <w:rFonts w:ascii="Times New Roman" w:hAnsi="Times New Roman" w:cs="Times New Roman"/>
          <w:b w:val="0"/>
          <w:bCs w:val="0"/>
          <w:sz w:val="24"/>
          <w:szCs w:val="24"/>
          <w:lang w:val="en" w:bidi="ar"/>
        </w:rPr>
        <w:t xml:space="preserve">ot do anything which creates an expectation that the call will be exercised; </w:t>
      </w:r>
      <w:r w:rsidR="007D685D" w:rsidRPr="00C801D5">
        <w:rPr>
          <w:rStyle w:val="tlid-translation"/>
          <w:rFonts w:ascii="Times New Roman" w:hAnsi="Times New Roman" w:cs="Times New Roman"/>
          <w:b w:val="0"/>
          <w:bCs w:val="0"/>
          <w:sz w:val="24"/>
          <w:szCs w:val="24"/>
          <w:lang w:val="en" w:bidi="ar"/>
        </w:rPr>
        <w:t xml:space="preserve">note that the bank </w:t>
      </w:r>
      <w:r w:rsidRPr="00C801D5">
        <w:rPr>
          <w:rStyle w:val="tlid-translation"/>
          <w:rFonts w:ascii="Times New Roman" w:hAnsi="Times New Roman" w:cs="Times New Roman"/>
          <w:b w:val="0"/>
          <w:bCs w:val="0"/>
          <w:sz w:val="24"/>
          <w:szCs w:val="24"/>
          <w:lang w:val="en" w:bidi="ar"/>
        </w:rPr>
        <w:t>must not exercise a call unless:</w:t>
      </w:r>
    </w:p>
    <w:p w:rsidR="007D685D" w:rsidRPr="00C801D5" w:rsidRDefault="007D685D" w:rsidP="00AD34FD">
      <w:pPr>
        <w:bidi w:val="0"/>
        <w:spacing w:after="0" w:line="276" w:lineRule="auto"/>
        <w:ind w:left="2970" w:hanging="450"/>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val="en" w:bidi="ar"/>
        </w:rPr>
        <w:t xml:space="preserve">a. </w:t>
      </w:r>
      <w:r w:rsidR="00A040D2" w:rsidRPr="00C801D5">
        <w:rPr>
          <w:rStyle w:val="tlid-translation"/>
          <w:rFonts w:ascii="Times New Roman" w:hAnsi="Times New Roman" w:cs="Times New Roman"/>
          <w:b w:val="0"/>
          <w:bCs w:val="0"/>
          <w:sz w:val="24"/>
          <w:szCs w:val="24"/>
          <w:lang w:val="en" w:bidi="ar"/>
        </w:rPr>
        <w:tab/>
      </w:r>
      <w:r w:rsidRPr="00C801D5">
        <w:rPr>
          <w:rStyle w:val="tlid-translation"/>
          <w:rFonts w:ascii="Times New Roman" w:hAnsi="Times New Roman" w:cs="Times New Roman"/>
          <w:b w:val="0"/>
          <w:bCs w:val="0"/>
          <w:sz w:val="24"/>
          <w:szCs w:val="24"/>
          <w:lang w:val="en" w:bidi="ar"/>
        </w:rPr>
        <w:t xml:space="preserve">They replace the called instrument with capital of the same or better quality and the replacement of this capital is done at conditions </w:t>
      </w:r>
      <w:r w:rsidR="00AD34FD">
        <w:rPr>
          <w:rStyle w:val="tlid-translation"/>
          <w:rFonts w:ascii="Times New Roman" w:hAnsi="Times New Roman" w:cs="Times New Roman"/>
          <w:b w:val="0"/>
          <w:bCs w:val="0"/>
          <w:sz w:val="24"/>
          <w:szCs w:val="24"/>
          <w:lang w:val="en" w:bidi="ar"/>
        </w:rPr>
        <w:t xml:space="preserve">maintains the banks’ ability to maintain </w:t>
      </w:r>
      <w:r w:rsidRPr="00C801D5">
        <w:rPr>
          <w:rStyle w:val="tlid-translation"/>
          <w:rFonts w:ascii="Times New Roman" w:hAnsi="Times New Roman" w:cs="Times New Roman"/>
          <w:b w:val="0"/>
          <w:bCs w:val="0"/>
          <w:sz w:val="24"/>
          <w:szCs w:val="24"/>
          <w:lang w:val="en" w:bidi="ar"/>
        </w:rPr>
        <w:t>sustainable income</w:t>
      </w:r>
      <w:r w:rsidRPr="00C801D5">
        <w:rPr>
          <w:rStyle w:val="FootnoteReference"/>
          <w:rFonts w:ascii="Times New Roman" w:hAnsi="Times New Roman" w:cs="Times New Roman"/>
          <w:b w:val="0"/>
          <w:bCs w:val="0"/>
          <w:sz w:val="24"/>
          <w:szCs w:val="24"/>
          <w:lang w:val="en" w:bidi="ar"/>
        </w:rPr>
        <w:footnoteReference w:id="8"/>
      </w:r>
      <w:r w:rsidR="00AD34FD">
        <w:rPr>
          <w:rStyle w:val="tlid-translation"/>
          <w:rFonts w:ascii="Times New Roman" w:hAnsi="Times New Roman" w:cs="Times New Roman"/>
          <w:b w:val="0"/>
          <w:bCs w:val="0"/>
          <w:sz w:val="24"/>
          <w:szCs w:val="24"/>
          <w:lang w:val="en" w:bidi="ar"/>
        </w:rPr>
        <w:t>.</w:t>
      </w:r>
    </w:p>
    <w:p w:rsidR="007D685D" w:rsidRPr="00C801D5" w:rsidRDefault="007D685D" w:rsidP="00AD34FD">
      <w:pPr>
        <w:bidi w:val="0"/>
        <w:spacing w:after="0" w:line="276" w:lineRule="auto"/>
        <w:ind w:left="2970" w:hanging="450"/>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val="en" w:bidi="ar"/>
        </w:rPr>
        <w:t xml:space="preserve">b.  </w:t>
      </w:r>
      <w:r w:rsidR="00A040D2" w:rsidRPr="00C801D5">
        <w:rPr>
          <w:rStyle w:val="tlid-translation"/>
          <w:rFonts w:ascii="Times New Roman" w:hAnsi="Times New Roman" w:cs="Times New Roman"/>
          <w:b w:val="0"/>
          <w:bCs w:val="0"/>
          <w:sz w:val="24"/>
          <w:szCs w:val="24"/>
          <w:lang w:val="en" w:bidi="ar"/>
        </w:rPr>
        <w:tab/>
      </w:r>
      <w:r w:rsidRPr="00C801D5">
        <w:rPr>
          <w:rStyle w:val="tlid-translation"/>
          <w:rFonts w:ascii="Times New Roman" w:hAnsi="Times New Roman" w:cs="Times New Roman"/>
          <w:b w:val="0"/>
          <w:bCs w:val="0"/>
          <w:sz w:val="24"/>
          <w:szCs w:val="24"/>
          <w:lang w:val="en" w:bidi="ar"/>
        </w:rPr>
        <w:t xml:space="preserve">The bank </w:t>
      </w:r>
      <w:r w:rsidR="00AD34FD">
        <w:rPr>
          <w:rStyle w:val="tlid-translation"/>
          <w:rFonts w:ascii="Times New Roman" w:hAnsi="Times New Roman" w:cs="Times New Roman"/>
          <w:b w:val="0"/>
          <w:bCs w:val="0"/>
          <w:sz w:val="24"/>
          <w:szCs w:val="24"/>
          <w:lang w:val="en" w:bidi="ar"/>
        </w:rPr>
        <w:t>proves</w:t>
      </w:r>
      <w:r w:rsidRPr="00C801D5">
        <w:rPr>
          <w:rStyle w:val="tlid-translation"/>
          <w:rFonts w:ascii="Times New Roman" w:hAnsi="Times New Roman" w:cs="Times New Roman"/>
          <w:b w:val="0"/>
          <w:bCs w:val="0"/>
          <w:sz w:val="24"/>
          <w:szCs w:val="24"/>
          <w:lang w:val="en" w:bidi="ar"/>
        </w:rPr>
        <w:t xml:space="preserve"> that its capital position is above the minimum capital requirements after the call option is exercised</w:t>
      </w:r>
      <w:r w:rsidRPr="00C801D5">
        <w:rPr>
          <w:rStyle w:val="FootnoteReference"/>
          <w:rFonts w:ascii="Times New Roman" w:hAnsi="Times New Roman" w:cs="Times New Roman"/>
          <w:b w:val="0"/>
          <w:bCs w:val="0"/>
          <w:sz w:val="24"/>
          <w:szCs w:val="24"/>
          <w:lang w:val="en" w:bidi="ar"/>
        </w:rPr>
        <w:footnoteReference w:id="9"/>
      </w:r>
      <w:r w:rsidRPr="00C801D5">
        <w:rPr>
          <w:rStyle w:val="tlid-translation"/>
          <w:rFonts w:ascii="Times New Roman" w:hAnsi="Times New Roman" w:cs="Times New Roman"/>
          <w:b w:val="0"/>
          <w:bCs w:val="0"/>
          <w:sz w:val="24"/>
          <w:szCs w:val="24"/>
          <w:lang w:val="en" w:bidi="ar"/>
        </w:rPr>
        <w:t>.</w:t>
      </w:r>
    </w:p>
    <w:p w:rsidR="002063C3" w:rsidRPr="00C801D5" w:rsidRDefault="002063C3" w:rsidP="00A040D2">
      <w:pPr>
        <w:bidi w:val="0"/>
        <w:spacing w:after="0" w:line="276" w:lineRule="auto"/>
        <w:ind w:left="1980" w:hanging="810"/>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val="en" w:bidi="ar"/>
        </w:rPr>
        <w:t>2.2.6</w:t>
      </w:r>
      <w:r w:rsidR="00A040D2" w:rsidRPr="00C801D5">
        <w:rPr>
          <w:rStyle w:val="tlid-translation"/>
          <w:rFonts w:ascii="Times New Roman" w:hAnsi="Times New Roman" w:cs="Times New Roman"/>
          <w:b w:val="0"/>
          <w:bCs w:val="0"/>
          <w:sz w:val="24"/>
          <w:szCs w:val="24"/>
          <w:lang w:val="en" w:bidi="ar"/>
        </w:rPr>
        <w:tab/>
      </w:r>
      <w:r w:rsidRPr="00C801D5">
        <w:rPr>
          <w:rStyle w:val="tlid-translation"/>
          <w:rFonts w:ascii="Times New Roman" w:hAnsi="Times New Roman" w:cs="Times New Roman"/>
          <w:b w:val="0"/>
          <w:bCs w:val="0"/>
          <w:sz w:val="24"/>
          <w:szCs w:val="24"/>
          <w:lang w:val="en" w:bidi="ar"/>
        </w:rPr>
        <w:t xml:space="preserve">Any repayment of principal (through repurchase or redemption) must be with prior </w:t>
      </w:r>
      <w:r w:rsidRPr="00C801D5">
        <w:rPr>
          <w:rStyle w:val="tlid-translation"/>
          <w:rFonts w:ascii="Times New Roman" w:hAnsi="Times New Roman" w:cs="Times New Roman"/>
          <w:b w:val="0"/>
          <w:bCs w:val="0"/>
          <w:sz w:val="24"/>
          <w:szCs w:val="24"/>
          <w:lang w:bidi="ar"/>
        </w:rPr>
        <w:t>CBJ</w:t>
      </w:r>
      <w:r w:rsidRPr="00C801D5">
        <w:rPr>
          <w:rStyle w:val="tlid-translation"/>
          <w:rFonts w:ascii="Times New Roman" w:hAnsi="Times New Roman" w:cs="Times New Roman"/>
          <w:b w:val="0"/>
          <w:bCs w:val="0"/>
          <w:sz w:val="24"/>
          <w:szCs w:val="24"/>
          <w:lang w:val="en" w:bidi="ar"/>
        </w:rPr>
        <w:t xml:space="preserve"> approval and banks should not assume or create market expectations that CBJ approval will be given.</w:t>
      </w:r>
    </w:p>
    <w:p w:rsidR="002063C3" w:rsidRPr="00C801D5" w:rsidRDefault="002063C3" w:rsidP="00A040D2">
      <w:pPr>
        <w:bidi w:val="0"/>
        <w:spacing w:after="0" w:line="276" w:lineRule="auto"/>
        <w:ind w:left="1980" w:hanging="810"/>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val="en" w:bidi="ar"/>
        </w:rPr>
        <w:t xml:space="preserve">2.2.7 </w:t>
      </w:r>
      <w:r w:rsidR="00A040D2" w:rsidRPr="00C801D5">
        <w:rPr>
          <w:rStyle w:val="tlid-translation"/>
          <w:rFonts w:ascii="Times New Roman" w:hAnsi="Times New Roman" w:cs="Times New Roman"/>
          <w:b w:val="0"/>
          <w:bCs w:val="0"/>
          <w:sz w:val="24"/>
          <w:szCs w:val="24"/>
          <w:lang w:val="en" w:bidi="ar"/>
        </w:rPr>
        <w:tab/>
      </w:r>
      <w:r w:rsidRPr="00C801D5">
        <w:rPr>
          <w:rStyle w:val="tlid-translation"/>
          <w:rFonts w:ascii="Times New Roman" w:hAnsi="Times New Roman" w:cs="Times New Roman"/>
          <w:b w:val="0"/>
          <w:bCs w:val="0"/>
          <w:sz w:val="24"/>
          <w:szCs w:val="24"/>
          <w:lang w:val="en" w:bidi="ar"/>
        </w:rPr>
        <w:t>Dividend/</w:t>
      </w:r>
      <w:r w:rsidRPr="00C801D5">
        <w:rPr>
          <w:rStyle w:val="Heading1Char"/>
          <w:rFonts w:ascii="Times New Roman" w:hAnsi="Times New Roman" w:cs="Times New Roman"/>
          <w:b w:val="0"/>
          <w:bCs w:val="0"/>
          <w:sz w:val="24"/>
          <w:szCs w:val="24"/>
          <w:lang w:val="en" w:bidi="ar"/>
        </w:rPr>
        <w:t xml:space="preserve"> </w:t>
      </w:r>
      <w:r w:rsidRPr="00C801D5">
        <w:rPr>
          <w:rStyle w:val="tlid-translation"/>
          <w:rFonts w:ascii="Times New Roman" w:hAnsi="Times New Roman" w:cs="Times New Roman"/>
          <w:b w:val="0"/>
          <w:bCs w:val="0"/>
          <w:sz w:val="24"/>
          <w:szCs w:val="24"/>
          <w:lang w:val="en" w:bidi="ar"/>
        </w:rPr>
        <w:t>interest payment:</w:t>
      </w:r>
    </w:p>
    <w:p w:rsidR="002063C3" w:rsidRPr="00C801D5" w:rsidRDefault="002063C3" w:rsidP="00AD34FD">
      <w:pPr>
        <w:bidi w:val="0"/>
        <w:spacing w:after="0" w:line="276" w:lineRule="auto"/>
        <w:ind w:left="2520" w:hanging="540"/>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val="en" w:bidi="ar"/>
        </w:rPr>
        <w:t xml:space="preserve">- </w:t>
      </w:r>
      <w:r w:rsidR="00E717BD" w:rsidRPr="00C801D5">
        <w:rPr>
          <w:rStyle w:val="tlid-translation"/>
          <w:rFonts w:ascii="Times New Roman" w:hAnsi="Times New Roman" w:cs="Times New Roman"/>
          <w:b w:val="0"/>
          <w:bCs w:val="0"/>
          <w:sz w:val="24"/>
          <w:szCs w:val="24"/>
          <w:lang w:val="en" w:bidi="ar"/>
        </w:rPr>
        <w:tab/>
      </w:r>
      <w:r w:rsidRPr="00C801D5">
        <w:rPr>
          <w:rStyle w:val="tlid-translation"/>
          <w:rFonts w:ascii="Times New Roman" w:hAnsi="Times New Roman" w:cs="Times New Roman"/>
          <w:b w:val="0"/>
          <w:bCs w:val="0"/>
          <w:sz w:val="24"/>
          <w:szCs w:val="24"/>
          <w:lang w:val="en" w:bidi="ar"/>
        </w:rPr>
        <w:t xml:space="preserve">The bank </w:t>
      </w:r>
      <w:r w:rsidR="00AD34FD">
        <w:rPr>
          <w:rStyle w:val="tlid-translation"/>
          <w:rFonts w:ascii="Times New Roman" w:hAnsi="Times New Roman" w:cs="Times New Roman"/>
          <w:b w:val="0"/>
          <w:bCs w:val="0"/>
          <w:sz w:val="24"/>
          <w:szCs w:val="24"/>
          <w:lang w:val="en" w:bidi="ar"/>
        </w:rPr>
        <w:t>has the right</w:t>
      </w:r>
      <w:r w:rsidRPr="00C801D5">
        <w:rPr>
          <w:rStyle w:val="tlid-translation"/>
          <w:rFonts w:ascii="Times New Roman" w:hAnsi="Times New Roman" w:cs="Times New Roman"/>
          <w:b w:val="0"/>
          <w:bCs w:val="0"/>
          <w:sz w:val="24"/>
          <w:szCs w:val="24"/>
          <w:lang w:val="en" w:bidi="ar"/>
        </w:rPr>
        <w:t xml:space="preserve"> at all times to cancel </w:t>
      </w:r>
      <w:r w:rsidR="00AD34FD">
        <w:rPr>
          <w:rStyle w:val="tlid-translation"/>
          <w:rFonts w:ascii="Times New Roman" w:hAnsi="Times New Roman" w:cs="Times New Roman"/>
          <w:b w:val="0"/>
          <w:bCs w:val="0"/>
          <w:sz w:val="24"/>
          <w:szCs w:val="24"/>
          <w:lang w:val="en" w:bidi="ar"/>
        </w:rPr>
        <w:t>dividends</w:t>
      </w:r>
      <w:r w:rsidRPr="00C801D5">
        <w:rPr>
          <w:rStyle w:val="tlid-translation"/>
          <w:rFonts w:ascii="Times New Roman" w:hAnsi="Times New Roman" w:cs="Times New Roman"/>
          <w:b w:val="0"/>
          <w:bCs w:val="0"/>
          <w:sz w:val="24"/>
          <w:szCs w:val="24"/>
          <w:lang w:val="en" w:bidi="ar"/>
        </w:rPr>
        <w:t>/interest payments.</w:t>
      </w:r>
    </w:p>
    <w:p w:rsidR="002063C3" w:rsidRPr="00C801D5" w:rsidRDefault="002063C3" w:rsidP="00AD34FD">
      <w:pPr>
        <w:bidi w:val="0"/>
        <w:spacing w:after="0" w:line="276" w:lineRule="auto"/>
        <w:ind w:left="2520" w:hanging="540"/>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val="en" w:bidi="ar"/>
        </w:rPr>
        <w:t xml:space="preserve">- </w:t>
      </w:r>
      <w:r w:rsidR="00E717BD" w:rsidRPr="00C801D5">
        <w:rPr>
          <w:rStyle w:val="tlid-translation"/>
          <w:rFonts w:ascii="Times New Roman" w:hAnsi="Times New Roman" w:cs="Times New Roman"/>
          <w:b w:val="0"/>
          <w:bCs w:val="0"/>
          <w:sz w:val="24"/>
          <w:szCs w:val="24"/>
          <w:lang w:val="en" w:bidi="ar"/>
        </w:rPr>
        <w:tab/>
        <w:t>C</w:t>
      </w:r>
      <w:r w:rsidRPr="00C801D5">
        <w:rPr>
          <w:rStyle w:val="tlid-translation"/>
          <w:rFonts w:ascii="Times New Roman" w:hAnsi="Times New Roman" w:cs="Times New Roman"/>
          <w:b w:val="0"/>
          <w:bCs w:val="0"/>
          <w:sz w:val="24"/>
          <w:szCs w:val="24"/>
          <w:lang w:val="en" w:bidi="ar"/>
        </w:rPr>
        <w:t>ancellation of payments must not be an event of default.</w:t>
      </w:r>
    </w:p>
    <w:p w:rsidR="002063C3" w:rsidRPr="00C801D5" w:rsidRDefault="002063C3" w:rsidP="00E717BD">
      <w:pPr>
        <w:bidi w:val="0"/>
        <w:spacing w:after="0" w:line="276" w:lineRule="auto"/>
        <w:ind w:left="2520" w:hanging="540"/>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val="en" w:bidi="ar"/>
        </w:rPr>
        <w:t xml:space="preserve">- </w:t>
      </w:r>
      <w:r w:rsidR="00E717BD" w:rsidRPr="00C801D5">
        <w:rPr>
          <w:rStyle w:val="tlid-translation"/>
          <w:rFonts w:ascii="Times New Roman" w:hAnsi="Times New Roman" w:cs="Times New Roman"/>
          <w:b w:val="0"/>
          <w:bCs w:val="0"/>
          <w:sz w:val="24"/>
          <w:szCs w:val="24"/>
          <w:lang w:val="en" w:bidi="ar"/>
        </w:rPr>
        <w:tab/>
        <w:t>B</w:t>
      </w:r>
      <w:r w:rsidRPr="00C801D5">
        <w:rPr>
          <w:rStyle w:val="tlid-translation"/>
          <w:rFonts w:ascii="Times New Roman" w:hAnsi="Times New Roman" w:cs="Times New Roman"/>
          <w:b w:val="0"/>
          <w:bCs w:val="0"/>
          <w:sz w:val="24"/>
          <w:szCs w:val="24"/>
          <w:lang w:val="en" w:bidi="ar"/>
        </w:rPr>
        <w:t>anks must have full access to cancelled payments to meet obligations as they fall due.</w:t>
      </w:r>
    </w:p>
    <w:p w:rsidR="002063C3" w:rsidRPr="00C801D5" w:rsidRDefault="002063C3" w:rsidP="00AD34FD">
      <w:pPr>
        <w:bidi w:val="0"/>
        <w:spacing w:after="0" w:line="276" w:lineRule="auto"/>
        <w:ind w:left="2520" w:hanging="540"/>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val="en" w:bidi="ar"/>
        </w:rPr>
        <w:t xml:space="preserve">- </w:t>
      </w:r>
      <w:r w:rsidR="00E717BD" w:rsidRPr="00C801D5">
        <w:rPr>
          <w:rStyle w:val="tlid-translation"/>
          <w:rFonts w:ascii="Times New Roman" w:hAnsi="Times New Roman" w:cs="Times New Roman"/>
          <w:b w:val="0"/>
          <w:bCs w:val="0"/>
          <w:sz w:val="24"/>
          <w:szCs w:val="24"/>
          <w:lang w:val="en" w:bidi="ar"/>
        </w:rPr>
        <w:tab/>
      </w:r>
      <w:r w:rsidR="007536AB" w:rsidRPr="00C801D5">
        <w:rPr>
          <w:rStyle w:val="tlid-translation"/>
          <w:rFonts w:ascii="Times New Roman" w:hAnsi="Times New Roman" w:cs="Times New Roman"/>
          <w:b w:val="0"/>
          <w:bCs w:val="0"/>
          <w:sz w:val="24"/>
          <w:szCs w:val="24"/>
          <w:lang w:val="en" w:bidi="ar"/>
        </w:rPr>
        <w:t xml:space="preserve">The </w:t>
      </w:r>
      <w:r w:rsidRPr="00C801D5">
        <w:rPr>
          <w:rStyle w:val="tlid-translation"/>
          <w:rFonts w:ascii="Times New Roman" w:hAnsi="Times New Roman" w:cs="Times New Roman"/>
          <w:b w:val="0"/>
          <w:bCs w:val="0"/>
          <w:sz w:val="24"/>
          <w:szCs w:val="24"/>
          <w:lang w:val="en" w:bidi="ar"/>
        </w:rPr>
        <w:t xml:space="preserve">cancellation of </w:t>
      </w:r>
      <w:r w:rsidR="00AD34FD">
        <w:rPr>
          <w:rStyle w:val="tlid-translation"/>
          <w:rFonts w:ascii="Times New Roman" w:hAnsi="Times New Roman" w:cs="Times New Roman"/>
          <w:b w:val="0"/>
          <w:bCs w:val="0"/>
          <w:sz w:val="24"/>
          <w:szCs w:val="24"/>
          <w:lang w:val="en" w:bidi="ar"/>
        </w:rPr>
        <w:t>dividends</w:t>
      </w:r>
      <w:r w:rsidRPr="00C801D5">
        <w:rPr>
          <w:rStyle w:val="tlid-translation"/>
          <w:rFonts w:ascii="Times New Roman" w:hAnsi="Times New Roman" w:cs="Times New Roman"/>
          <w:b w:val="0"/>
          <w:bCs w:val="0"/>
          <w:sz w:val="24"/>
          <w:szCs w:val="24"/>
          <w:lang w:val="en" w:bidi="ar"/>
        </w:rPr>
        <w:t xml:space="preserve">/interest payments must not impose </w:t>
      </w:r>
      <w:r w:rsidR="006B205A" w:rsidRPr="00C801D5">
        <w:rPr>
          <w:rStyle w:val="tlid-translation"/>
          <w:rFonts w:ascii="Times New Roman" w:hAnsi="Times New Roman" w:cs="Times New Roman"/>
          <w:b w:val="0"/>
          <w:bCs w:val="0"/>
          <w:sz w:val="24"/>
          <w:szCs w:val="24"/>
          <w:lang w:val="en" w:bidi="ar"/>
        </w:rPr>
        <w:t>legal or regulatory</w:t>
      </w:r>
      <w:r w:rsidR="006B205A" w:rsidRPr="00C801D5">
        <w:rPr>
          <w:rStyle w:val="tlid-translation"/>
          <w:rFonts w:ascii="Times New Roman" w:hAnsi="Times New Roman" w:cs="Times New Roman"/>
          <w:b w:val="0"/>
          <w:bCs w:val="0"/>
          <w:sz w:val="24"/>
          <w:szCs w:val="24"/>
          <w:rtl/>
          <w:lang w:val="en" w:bidi="ar"/>
        </w:rPr>
        <w:t xml:space="preserve"> </w:t>
      </w:r>
      <w:r w:rsidRPr="00C801D5">
        <w:rPr>
          <w:rStyle w:val="tlid-translation"/>
          <w:rFonts w:ascii="Times New Roman" w:hAnsi="Times New Roman" w:cs="Times New Roman"/>
          <w:b w:val="0"/>
          <w:bCs w:val="0"/>
          <w:sz w:val="24"/>
          <w:szCs w:val="24"/>
          <w:lang w:val="en" w:bidi="ar"/>
        </w:rPr>
        <w:t xml:space="preserve">restrictions on the </w:t>
      </w:r>
      <w:r w:rsidR="00E717BD" w:rsidRPr="00C801D5">
        <w:rPr>
          <w:rStyle w:val="tlid-translation"/>
          <w:rFonts w:ascii="Times New Roman" w:hAnsi="Times New Roman" w:cs="Times New Roman"/>
          <w:b w:val="0"/>
          <w:bCs w:val="0"/>
          <w:sz w:val="24"/>
          <w:szCs w:val="24"/>
          <w:lang w:val="en" w:bidi="ar"/>
        </w:rPr>
        <w:t>bank.</w:t>
      </w:r>
    </w:p>
    <w:p w:rsidR="001A4906" w:rsidRPr="00C801D5" w:rsidRDefault="001A4906" w:rsidP="00E717BD">
      <w:pPr>
        <w:bidi w:val="0"/>
        <w:spacing w:after="0" w:line="276" w:lineRule="auto"/>
        <w:ind w:left="1980" w:hanging="810"/>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val="en" w:bidi="ar"/>
        </w:rPr>
        <w:t>2.2.8</w:t>
      </w:r>
      <w:r w:rsidR="007536AB" w:rsidRPr="00C801D5">
        <w:rPr>
          <w:rStyle w:val="tlid-translation"/>
          <w:rFonts w:ascii="Times New Roman" w:hAnsi="Times New Roman" w:cs="Times New Roman"/>
          <w:b w:val="0"/>
          <w:bCs w:val="0"/>
          <w:sz w:val="24"/>
          <w:szCs w:val="24"/>
          <w:lang w:val="en" w:bidi="ar"/>
        </w:rPr>
        <w:t xml:space="preserve"> </w:t>
      </w:r>
      <w:r w:rsidR="00E717BD" w:rsidRPr="00C801D5">
        <w:rPr>
          <w:rStyle w:val="tlid-translation"/>
          <w:rFonts w:ascii="Times New Roman" w:hAnsi="Times New Roman" w:cs="Times New Roman"/>
          <w:b w:val="0"/>
          <w:bCs w:val="0"/>
          <w:sz w:val="24"/>
          <w:szCs w:val="24"/>
          <w:lang w:val="en" w:bidi="ar"/>
        </w:rPr>
        <w:tab/>
      </w:r>
      <w:r w:rsidR="007536AB" w:rsidRPr="00C801D5">
        <w:rPr>
          <w:rStyle w:val="tlid-translation"/>
          <w:rFonts w:ascii="Times New Roman" w:hAnsi="Times New Roman" w:cs="Times New Roman"/>
          <w:b w:val="0"/>
          <w:bCs w:val="0"/>
          <w:sz w:val="24"/>
          <w:szCs w:val="24"/>
          <w:lang w:val="en" w:bidi="ar"/>
        </w:rPr>
        <w:t>Dividends/ interest payment must be paid out of distributable items.</w:t>
      </w:r>
    </w:p>
    <w:p w:rsidR="001A4906" w:rsidRPr="00C801D5" w:rsidRDefault="001A4906" w:rsidP="00E717BD">
      <w:pPr>
        <w:bidi w:val="0"/>
        <w:spacing w:after="0" w:line="276" w:lineRule="auto"/>
        <w:ind w:left="1980" w:hanging="810"/>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val="en" w:bidi="ar"/>
        </w:rPr>
        <w:lastRenderedPageBreak/>
        <w:t>2.2.9</w:t>
      </w:r>
      <w:r w:rsidR="007536AB" w:rsidRPr="00C801D5">
        <w:rPr>
          <w:rStyle w:val="tlid-translation"/>
          <w:rFonts w:ascii="Times New Roman" w:hAnsi="Times New Roman" w:cs="Times New Roman"/>
          <w:b w:val="0"/>
          <w:bCs w:val="0"/>
          <w:sz w:val="24"/>
          <w:szCs w:val="24"/>
          <w:lang w:val="en" w:bidi="ar"/>
        </w:rPr>
        <w:t xml:space="preserve"> </w:t>
      </w:r>
      <w:r w:rsidR="00E717BD" w:rsidRPr="00C801D5">
        <w:rPr>
          <w:rStyle w:val="tlid-translation"/>
          <w:rFonts w:ascii="Times New Roman" w:hAnsi="Times New Roman" w:cs="Times New Roman"/>
          <w:b w:val="0"/>
          <w:bCs w:val="0"/>
          <w:sz w:val="24"/>
          <w:szCs w:val="24"/>
          <w:lang w:val="en" w:bidi="ar"/>
        </w:rPr>
        <w:tab/>
      </w:r>
      <w:r w:rsidR="007536AB" w:rsidRPr="00C801D5">
        <w:rPr>
          <w:rStyle w:val="tlid-translation"/>
          <w:rFonts w:ascii="Times New Roman" w:hAnsi="Times New Roman" w:cs="Times New Roman"/>
          <w:b w:val="0"/>
          <w:bCs w:val="0"/>
          <w:sz w:val="24"/>
          <w:szCs w:val="24"/>
          <w:lang w:val="en" w:bidi="ar"/>
        </w:rPr>
        <w:t>The instrument cannot have a credit sensitive dividend feature, that is a dividend/coupon that is reset periodically based in whole or in part on the banking organization’s credit standing.</w:t>
      </w:r>
    </w:p>
    <w:p w:rsidR="00230C5D" w:rsidRPr="00C801D5" w:rsidRDefault="001A4906" w:rsidP="00E717BD">
      <w:pPr>
        <w:bidi w:val="0"/>
        <w:spacing w:after="0" w:line="276" w:lineRule="auto"/>
        <w:ind w:left="1980" w:hanging="810"/>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val="en" w:bidi="ar"/>
        </w:rPr>
        <w:t>2.2.10</w:t>
      </w:r>
      <w:r w:rsidR="00E717BD" w:rsidRPr="00C801D5">
        <w:rPr>
          <w:rStyle w:val="tlid-translation"/>
          <w:rFonts w:ascii="Times New Roman" w:hAnsi="Times New Roman" w:cs="Times New Roman"/>
          <w:b w:val="0"/>
          <w:bCs w:val="0"/>
          <w:sz w:val="24"/>
          <w:szCs w:val="24"/>
          <w:lang w:val="en" w:bidi="ar"/>
        </w:rPr>
        <w:tab/>
      </w:r>
      <w:r w:rsidR="007536AB" w:rsidRPr="00C801D5">
        <w:rPr>
          <w:rStyle w:val="tlid-translation"/>
          <w:rFonts w:ascii="Times New Roman" w:hAnsi="Times New Roman" w:cs="Times New Roman"/>
          <w:b w:val="0"/>
          <w:bCs w:val="0"/>
          <w:sz w:val="24"/>
          <w:szCs w:val="24"/>
          <w:lang w:val="en" w:bidi="ar"/>
        </w:rPr>
        <w:t xml:space="preserve">Instruments classified as liabilities for accounting purposes </w:t>
      </w:r>
      <w:r w:rsidR="00230C5D" w:rsidRPr="00C801D5">
        <w:rPr>
          <w:rStyle w:val="tlid-translation"/>
          <w:rFonts w:ascii="Times New Roman" w:hAnsi="Times New Roman" w:cs="Times New Roman"/>
          <w:b w:val="0"/>
          <w:bCs w:val="0"/>
          <w:sz w:val="24"/>
          <w:szCs w:val="24"/>
          <w:lang w:val="en" w:bidi="ar"/>
        </w:rPr>
        <w:t xml:space="preserve">(Such as long-term bonds and classified under AT1) </w:t>
      </w:r>
      <w:r w:rsidR="007536AB" w:rsidRPr="00C801D5">
        <w:rPr>
          <w:rStyle w:val="tlid-translation"/>
          <w:rFonts w:ascii="Times New Roman" w:hAnsi="Times New Roman" w:cs="Times New Roman"/>
          <w:b w:val="0"/>
          <w:bCs w:val="0"/>
          <w:sz w:val="24"/>
          <w:szCs w:val="24"/>
          <w:lang w:val="en" w:bidi="ar"/>
        </w:rPr>
        <w:t>must have principal loss absorption through either</w:t>
      </w:r>
      <w:r w:rsidR="00230C5D" w:rsidRPr="00C801D5">
        <w:rPr>
          <w:rStyle w:val="tlid-translation"/>
          <w:rFonts w:ascii="Times New Roman" w:hAnsi="Times New Roman" w:cs="Times New Roman"/>
          <w:b w:val="0"/>
          <w:bCs w:val="0"/>
          <w:sz w:val="24"/>
          <w:szCs w:val="24"/>
          <w:lang w:val="en" w:bidi="ar"/>
        </w:rPr>
        <w:t>:</w:t>
      </w:r>
    </w:p>
    <w:p w:rsidR="00230C5D" w:rsidRPr="00C801D5" w:rsidRDefault="00230C5D" w:rsidP="00E717BD">
      <w:pPr>
        <w:bidi w:val="0"/>
        <w:spacing w:after="0" w:line="276" w:lineRule="auto"/>
        <w:ind w:left="2520" w:hanging="540"/>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val="en" w:bidi="ar"/>
        </w:rPr>
        <w:t>-</w:t>
      </w:r>
      <w:r w:rsidR="007536AB" w:rsidRPr="00C801D5">
        <w:rPr>
          <w:rStyle w:val="tlid-translation"/>
          <w:rFonts w:ascii="Times New Roman" w:hAnsi="Times New Roman" w:cs="Times New Roman"/>
          <w:b w:val="0"/>
          <w:bCs w:val="0"/>
          <w:sz w:val="24"/>
          <w:szCs w:val="24"/>
          <w:lang w:val="en" w:bidi="ar"/>
        </w:rPr>
        <w:t xml:space="preserve"> </w:t>
      </w:r>
      <w:r w:rsidR="00E717BD" w:rsidRPr="00C801D5">
        <w:rPr>
          <w:rStyle w:val="tlid-translation"/>
          <w:rFonts w:ascii="Times New Roman" w:hAnsi="Times New Roman" w:cs="Times New Roman"/>
          <w:b w:val="0"/>
          <w:bCs w:val="0"/>
          <w:sz w:val="24"/>
          <w:szCs w:val="24"/>
          <w:lang w:val="en" w:bidi="ar"/>
        </w:rPr>
        <w:tab/>
        <w:t>C</w:t>
      </w:r>
      <w:r w:rsidR="007536AB" w:rsidRPr="00C801D5">
        <w:rPr>
          <w:rStyle w:val="tlid-translation"/>
          <w:rFonts w:ascii="Times New Roman" w:hAnsi="Times New Roman" w:cs="Times New Roman"/>
          <w:b w:val="0"/>
          <w:bCs w:val="0"/>
          <w:sz w:val="24"/>
          <w:szCs w:val="24"/>
          <w:lang w:val="en" w:bidi="ar"/>
        </w:rPr>
        <w:t>onversion to common shares at an object</w:t>
      </w:r>
      <w:r w:rsidRPr="00C801D5">
        <w:rPr>
          <w:rStyle w:val="tlid-translation"/>
          <w:rFonts w:ascii="Times New Roman" w:hAnsi="Times New Roman" w:cs="Times New Roman"/>
          <w:b w:val="0"/>
          <w:bCs w:val="0"/>
          <w:sz w:val="24"/>
          <w:szCs w:val="24"/>
          <w:lang w:val="en" w:bidi="ar"/>
        </w:rPr>
        <w:t xml:space="preserve">ive pre-specified trigger point, so that the trigger point is (30%) of CET1, or </w:t>
      </w:r>
    </w:p>
    <w:p w:rsidR="00230C5D" w:rsidRPr="00C801D5" w:rsidRDefault="00230C5D" w:rsidP="00E717BD">
      <w:pPr>
        <w:bidi w:val="0"/>
        <w:spacing w:after="0" w:line="276" w:lineRule="auto"/>
        <w:ind w:left="2520" w:hanging="540"/>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val="en" w:bidi="ar"/>
        </w:rPr>
        <w:t xml:space="preserve">- </w:t>
      </w:r>
      <w:r w:rsidR="00E717BD" w:rsidRPr="00C801D5">
        <w:rPr>
          <w:rStyle w:val="tlid-translation"/>
          <w:rFonts w:ascii="Times New Roman" w:hAnsi="Times New Roman" w:cs="Times New Roman"/>
          <w:b w:val="0"/>
          <w:bCs w:val="0"/>
          <w:sz w:val="24"/>
          <w:szCs w:val="24"/>
          <w:lang w:val="en" w:bidi="ar"/>
        </w:rPr>
        <w:tab/>
        <w:t>A</w:t>
      </w:r>
      <w:r w:rsidR="007536AB" w:rsidRPr="00C801D5">
        <w:rPr>
          <w:rStyle w:val="tlid-translation"/>
          <w:rFonts w:ascii="Times New Roman" w:hAnsi="Times New Roman" w:cs="Times New Roman"/>
          <w:b w:val="0"/>
          <w:bCs w:val="0"/>
          <w:sz w:val="24"/>
          <w:szCs w:val="24"/>
          <w:lang w:val="en" w:bidi="ar"/>
        </w:rPr>
        <w:t xml:space="preserve"> write-down mechanism which allocates losses to the instrument at a pre-specified trigger point. The write-down will have the following effects: </w:t>
      </w:r>
    </w:p>
    <w:p w:rsidR="00230C5D" w:rsidRPr="00C801D5" w:rsidRDefault="007536AB" w:rsidP="00E717BD">
      <w:pPr>
        <w:bidi w:val="0"/>
        <w:spacing w:after="0" w:line="276" w:lineRule="auto"/>
        <w:ind w:left="3060" w:hanging="540"/>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val="en" w:bidi="ar"/>
        </w:rPr>
        <w:t xml:space="preserve">a. </w:t>
      </w:r>
      <w:r w:rsidR="00E717BD" w:rsidRPr="00C801D5">
        <w:rPr>
          <w:rStyle w:val="tlid-translation"/>
          <w:rFonts w:ascii="Times New Roman" w:hAnsi="Times New Roman" w:cs="Times New Roman"/>
          <w:b w:val="0"/>
          <w:bCs w:val="0"/>
          <w:sz w:val="24"/>
          <w:szCs w:val="24"/>
          <w:lang w:val="en" w:bidi="ar"/>
        </w:rPr>
        <w:tab/>
      </w:r>
      <w:r w:rsidRPr="00C801D5">
        <w:rPr>
          <w:rStyle w:val="tlid-translation"/>
          <w:rFonts w:ascii="Times New Roman" w:hAnsi="Times New Roman" w:cs="Times New Roman"/>
          <w:b w:val="0"/>
          <w:bCs w:val="0"/>
          <w:sz w:val="24"/>
          <w:szCs w:val="24"/>
          <w:lang w:val="en" w:bidi="ar"/>
        </w:rPr>
        <w:t xml:space="preserve">Reduce the claim of the instrument in liquidation; </w:t>
      </w:r>
    </w:p>
    <w:p w:rsidR="00230C5D" w:rsidRPr="00C801D5" w:rsidRDefault="007536AB" w:rsidP="00E717BD">
      <w:pPr>
        <w:bidi w:val="0"/>
        <w:spacing w:after="0" w:line="276" w:lineRule="auto"/>
        <w:ind w:left="3060" w:hanging="540"/>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val="en" w:bidi="ar"/>
        </w:rPr>
        <w:t xml:space="preserve">b. </w:t>
      </w:r>
      <w:r w:rsidR="00E717BD" w:rsidRPr="00C801D5">
        <w:rPr>
          <w:rStyle w:val="tlid-translation"/>
          <w:rFonts w:ascii="Times New Roman" w:hAnsi="Times New Roman" w:cs="Times New Roman"/>
          <w:b w:val="0"/>
          <w:bCs w:val="0"/>
          <w:sz w:val="24"/>
          <w:szCs w:val="24"/>
          <w:lang w:val="en" w:bidi="ar"/>
        </w:rPr>
        <w:tab/>
      </w:r>
      <w:r w:rsidRPr="00C801D5">
        <w:rPr>
          <w:rStyle w:val="tlid-translation"/>
          <w:rFonts w:ascii="Times New Roman" w:hAnsi="Times New Roman" w:cs="Times New Roman"/>
          <w:b w:val="0"/>
          <w:bCs w:val="0"/>
          <w:sz w:val="24"/>
          <w:szCs w:val="24"/>
          <w:lang w:val="en" w:bidi="ar"/>
        </w:rPr>
        <w:t xml:space="preserve">Reduce the amount re-paid when a call is exercised; </w:t>
      </w:r>
    </w:p>
    <w:p w:rsidR="001A4906" w:rsidRPr="00C801D5" w:rsidRDefault="007536AB" w:rsidP="00E717BD">
      <w:pPr>
        <w:bidi w:val="0"/>
        <w:spacing w:after="0" w:line="276" w:lineRule="auto"/>
        <w:ind w:left="3060" w:hanging="540"/>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val="en" w:bidi="ar"/>
        </w:rPr>
        <w:t xml:space="preserve">c. </w:t>
      </w:r>
      <w:r w:rsidR="00E717BD" w:rsidRPr="00C801D5">
        <w:rPr>
          <w:rStyle w:val="tlid-translation"/>
          <w:rFonts w:ascii="Times New Roman" w:hAnsi="Times New Roman" w:cs="Times New Roman"/>
          <w:b w:val="0"/>
          <w:bCs w:val="0"/>
          <w:sz w:val="24"/>
          <w:szCs w:val="24"/>
          <w:lang w:val="en" w:bidi="ar"/>
        </w:rPr>
        <w:tab/>
      </w:r>
      <w:r w:rsidRPr="00C801D5">
        <w:rPr>
          <w:rStyle w:val="tlid-translation"/>
          <w:rFonts w:ascii="Times New Roman" w:hAnsi="Times New Roman" w:cs="Times New Roman"/>
          <w:b w:val="0"/>
          <w:bCs w:val="0"/>
          <w:sz w:val="24"/>
          <w:szCs w:val="24"/>
          <w:lang w:val="en" w:bidi="ar"/>
        </w:rPr>
        <w:t>Partially or fully reduce coupon/dividend payments on the instrument.</w:t>
      </w:r>
    </w:p>
    <w:p w:rsidR="002F3EB4" w:rsidRPr="00C801D5" w:rsidRDefault="002F3EB4" w:rsidP="00E717BD">
      <w:pPr>
        <w:bidi w:val="0"/>
        <w:spacing w:after="0" w:line="276" w:lineRule="auto"/>
        <w:ind w:left="2070" w:hanging="900"/>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val="en" w:bidi="ar"/>
        </w:rPr>
        <w:t xml:space="preserve">2.2.11 </w:t>
      </w:r>
      <w:r w:rsidR="00E717BD" w:rsidRPr="00C801D5">
        <w:rPr>
          <w:rStyle w:val="tlid-translation"/>
          <w:rFonts w:ascii="Times New Roman" w:hAnsi="Times New Roman" w:cs="Times New Roman"/>
          <w:b w:val="0"/>
          <w:bCs w:val="0"/>
          <w:sz w:val="24"/>
          <w:szCs w:val="24"/>
          <w:lang w:val="en" w:bidi="ar"/>
        </w:rPr>
        <w:tab/>
      </w:r>
      <w:r w:rsidRPr="00C801D5">
        <w:rPr>
          <w:rStyle w:val="tlid-translation"/>
          <w:rFonts w:ascii="Times New Roman" w:hAnsi="Times New Roman" w:cs="Times New Roman"/>
          <w:b w:val="0"/>
          <w:bCs w:val="0"/>
          <w:sz w:val="24"/>
          <w:szCs w:val="24"/>
          <w:lang w:val="en" w:bidi="ar"/>
        </w:rPr>
        <w:t>Neither the bank nor a related party over which the bank exercises control or significant influence can have purchased the instrument, nor can the bank directly or indirectly have funded the purchase of the instrument</w:t>
      </w:r>
      <w:r w:rsidR="00F4510F">
        <w:rPr>
          <w:rStyle w:val="tlid-translation"/>
          <w:rFonts w:ascii="Times New Roman" w:hAnsi="Times New Roman" w:cs="Times New Roman"/>
          <w:b w:val="0"/>
          <w:bCs w:val="0"/>
          <w:sz w:val="24"/>
          <w:szCs w:val="24"/>
          <w:lang w:val="en" w:bidi="ar"/>
        </w:rPr>
        <w:t>.</w:t>
      </w:r>
    </w:p>
    <w:p w:rsidR="002F3EB4" w:rsidRPr="00C801D5" w:rsidRDefault="002F3EB4" w:rsidP="00E717BD">
      <w:pPr>
        <w:bidi w:val="0"/>
        <w:spacing w:after="0" w:line="276" w:lineRule="auto"/>
        <w:ind w:left="2070" w:hanging="900"/>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val="en" w:bidi="ar"/>
        </w:rPr>
        <w:t xml:space="preserve">2.2.12 </w:t>
      </w:r>
      <w:r w:rsidR="00E717BD" w:rsidRPr="00C801D5">
        <w:rPr>
          <w:rStyle w:val="tlid-translation"/>
          <w:rFonts w:ascii="Times New Roman" w:hAnsi="Times New Roman" w:cs="Times New Roman"/>
          <w:b w:val="0"/>
          <w:bCs w:val="0"/>
          <w:sz w:val="24"/>
          <w:szCs w:val="24"/>
          <w:lang w:val="en" w:bidi="ar"/>
        </w:rPr>
        <w:tab/>
      </w:r>
      <w:r w:rsidRPr="00C801D5">
        <w:rPr>
          <w:rStyle w:val="tlid-translation"/>
          <w:rFonts w:ascii="Times New Roman" w:hAnsi="Times New Roman" w:cs="Times New Roman"/>
          <w:b w:val="0"/>
          <w:bCs w:val="0"/>
          <w:sz w:val="24"/>
          <w:szCs w:val="24"/>
          <w:lang w:val="en" w:bidi="ar"/>
        </w:rPr>
        <w:t>The instrument cannot have any features that hinder recapitalization, such as provisions that require the issuer to compensate investors if a new instrument is issued at a lower price during a specified time frame</w:t>
      </w:r>
      <w:r w:rsidR="00033476" w:rsidRPr="00C801D5">
        <w:rPr>
          <w:rStyle w:val="tlid-translation"/>
          <w:rFonts w:ascii="Times New Roman" w:hAnsi="Times New Roman" w:cs="Times New Roman"/>
          <w:b w:val="0"/>
          <w:bCs w:val="0"/>
          <w:sz w:val="24"/>
          <w:szCs w:val="24"/>
          <w:lang w:val="en" w:bidi="ar"/>
        </w:rPr>
        <w:t>.</w:t>
      </w:r>
    </w:p>
    <w:p w:rsidR="00033476" w:rsidRPr="00C801D5" w:rsidRDefault="00033476" w:rsidP="00E717BD">
      <w:pPr>
        <w:bidi w:val="0"/>
        <w:spacing w:after="0" w:line="276" w:lineRule="auto"/>
        <w:ind w:left="2070" w:hanging="900"/>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val="en" w:bidi="ar"/>
        </w:rPr>
        <w:t xml:space="preserve">2.2.13 </w:t>
      </w:r>
      <w:r w:rsidR="00E717BD" w:rsidRPr="00C801D5">
        <w:rPr>
          <w:rStyle w:val="tlid-translation"/>
          <w:rFonts w:ascii="Times New Roman" w:hAnsi="Times New Roman" w:cs="Times New Roman"/>
          <w:b w:val="0"/>
          <w:bCs w:val="0"/>
          <w:sz w:val="24"/>
          <w:szCs w:val="24"/>
          <w:lang w:val="en" w:bidi="ar"/>
        </w:rPr>
        <w:tab/>
      </w:r>
      <w:r w:rsidRPr="00C801D5">
        <w:rPr>
          <w:rStyle w:val="tlid-translation"/>
          <w:rFonts w:ascii="Times New Roman" w:hAnsi="Times New Roman" w:cs="Times New Roman"/>
          <w:b w:val="0"/>
          <w:bCs w:val="0"/>
          <w:sz w:val="24"/>
          <w:szCs w:val="24"/>
          <w:lang w:val="en" w:bidi="ar"/>
        </w:rPr>
        <w:t>If the instrument is not issued out of an operating entity or the holding company in the consolidated group (</w:t>
      </w:r>
      <w:r w:rsidR="00E717BD" w:rsidRPr="00C801D5">
        <w:rPr>
          <w:rStyle w:val="tlid-translation"/>
          <w:rFonts w:ascii="Times New Roman" w:hAnsi="Times New Roman" w:cs="Times New Roman"/>
          <w:b w:val="0"/>
          <w:bCs w:val="0"/>
          <w:sz w:val="24"/>
          <w:szCs w:val="24"/>
          <w:lang w:val="en" w:bidi="ar"/>
        </w:rPr>
        <w:t>e.g.</w:t>
      </w:r>
      <w:r w:rsidRPr="00C801D5">
        <w:rPr>
          <w:rStyle w:val="tlid-translation"/>
          <w:rFonts w:ascii="Times New Roman" w:hAnsi="Times New Roman" w:cs="Times New Roman"/>
          <w:b w:val="0"/>
          <w:bCs w:val="0"/>
          <w:sz w:val="24"/>
          <w:szCs w:val="24"/>
          <w:lang w:val="en" w:bidi="ar"/>
        </w:rPr>
        <w:t xml:space="preserve"> a special purpose vehicle – “SPV”), proceeds must be immediately available without limitation to an operating entity or the holding company in the consolidated group in a form which meets or exceeds all of the other criteria for inclusion in Additional Tier 1 capital.</w:t>
      </w:r>
    </w:p>
    <w:p w:rsidR="00033476" w:rsidRPr="00C801D5" w:rsidRDefault="00033476" w:rsidP="00E717BD">
      <w:pPr>
        <w:bidi w:val="0"/>
        <w:spacing w:after="0" w:line="276" w:lineRule="auto"/>
        <w:ind w:left="1170" w:hanging="450"/>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val="en" w:bidi="ar"/>
        </w:rPr>
        <w:t xml:space="preserve">2.3 </w:t>
      </w:r>
      <w:r w:rsidR="00E717BD" w:rsidRPr="00C801D5">
        <w:rPr>
          <w:rStyle w:val="tlid-translation"/>
          <w:rFonts w:ascii="Times New Roman" w:hAnsi="Times New Roman" w:cs="Times New Roman"/>
          <w:b w:val="0"/>
          <w:bCs w:val="0"/>
          <w:sz w:val="24"/>
          <w:szCs w:val="24"/>
          <w:lang w:val="en" w:bidi="ar"/>
        </w:rPr>
        <w:tab/>
      </w:r>
      <w:r w:rsidRPr="00C801D5">
        <w:rPr>
          <w:rStyle w:val="tlid-translation"/>
          <w:rFonts w:ascii="Times New Roman" w:hAnsi="Times New Roman" w:cs="Times New Roman"/>
          <w:b w:val="0"/>
          <w:bCs w:val="0"/>
          <w:sz w:val="24"/>
          <w:szCs w:val="24"/>
          <w:lang w:val="en" w:bidi="ar"/>
        </w:rPr>
        <w:t xml:space="preserve">Stock surplus (share premium) resulting from the issue of </w:t>
      </w:r>
      <w:r w:rsidR="002C2B76">
        <w:rPr>
          <w:rStyle w:val="tlid-translation"/>
          <w:rFonts w:ascii="Times New Roman" w:hAnsi="Times New Roman" w:cs="Times New Roman"/>
          <w:b w:val="0"/>
          <w:bCs w:val="0"/>
          <w:sz w:val="24"/>
          <w:szCs w:val="24"/>
          <w:lang w:val="en" w:bidi="ar"/>
        </w:rPr>
        <w:t xml:space="preserve">financial </w:t>
      </w:r>
      <w:r w:rsidRPr="00C801D5">
        <w:rPr>
          <w:rStyle w:val="tlid-translation"/>
          <w:rFonts w:ascii="Times New Roman" w:hAnsi="Times New Roman" w:cs="Times New Roman"/>
          <w:b w:val="0"/>
          <w:bCs w:val="0"/>
          <w:sz w:val="24"/>
          <w:szCs w:val="24"/>
          <w:lang w:val="en" w:bidi="ar"/>
        </w:rPr>
        <w:t>instruments included in Additional Tier 1 capital:</w:t>
      </w:r>
    </w:p>
    <w:p w:rsidR="00033476" w:rsidRPr="00C801D5" w:rsidRDefault="00033476" w:rsidP="00F4510F">
      <w:pPr>
        <w:bidi w:val="0"/>
        <w:spacing w:after="0" w:line="276" w:lineRule="auto"/>
        <w:ind w:left="1170"/>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val="en" w:bidi="ar"/>
        </w:rPr>
        <w:t>Stock surplus (share premium) that is not eligible for inclusion in Common Equity Tier 1, will only be permitted to be included in Additional Tier 1 capital if the shares giving rise to the stock surplus are permitted to be included in Additional Tier 1 capital.</w:t>
      </w:r>
    </w:p>
    <w:p w:rsidR="00033476" w:rsidRPr="00C801D5" w:rsidRDefault="00033476" w:rsidP="00A040D2">
      <w:pPr>
        <w:tabs>
          <w:tab w:val="left" w:pos="1047"/>
        </w:tabs>
        <w:bidi w:val="0"/>
        <w:spacing w:after="0" w:line="276" w:lineRule="auto"/>
        <w:rPr>
          <w:rStyle w:val="tlid-translation"/>
          <w:rFonts w:ascii="Times New Roman" w:hAnsi="Times New Roman" w:cs="Times New Roman"/>
          <w:b w:val="0"/>
          <w:bCs w:val="0"/>
          <w:sz w:val="24"/>
          <w:szCs w:val="24"/>
          <w:lang w:val="en" w:bidi="ar"/>
        </w:rPr>
      </w:pPr>
    </w:p>
    <w:p w:rsidR="00033476" w:rsidRPr="00C801D5" w:rsidRDefault="00033476" w:rsidP="00E717BD">
      <w:pPr>
        <w:bidi w:val="0"/>
        <w:spacing w:after="0" w:line="276" w:lineRule="auto"/>
        <w:ind w:left="630" w:hanging="630"/>
        <w:rPr>
          <w:rStyle w:val="tlid-translation"/>
          <w:rFonts w:ascii="Times New Roman" w:hAnsi="Times New Roman" w:cs="Times New Roman"/>
          <w:sz w:val="24"/>
          <w:szCs w:val="24"/>
          <w:lang w:val="en" w:bidi="ar"/>
        </w:rPr>
      </w:pPr>
      <w:r w:rsidRPr="00C801D5">
        <w:rPr>
          <w:rStyle w:val="tlid-translation"/>
          <w:rFonts w:ascii="Times New Roman" w:hAnsi="Times New Roman" w:cs="Times New Roman"/>
          <w:sz w:val="24"/>
          <w:szCs w:val="24"/>
          <w:lang w:val="en" w:bidi="ar"/>
        </w:rPr>
        <w:t xml:space="preserve">3. </w:t>
      </w:r>
      <w:r w:rsidR="00E717BD" w:rsidRPr="00C801D5">
        <w:rPr>
          <w:rStyle w:val="tlid-translation"/>
          <w:rFonts w:ascii="Times New Roman" w:hAnsi="Times New Roman" w:cs="Times New Roman"/>
          <w:sz w:val="24"/>
          <w:szCs w:val="24"/>
          <w:lang w:val="en" w:bidi="ar"/>
        </w:rPr>
        <w:tab/>
      </w:r>
      <w:r w:rsidR="00C13EF6" w:rsidRPr="00C801D5">
        <w:rPr>
          <w:rStyle w:val="tlid-translation"/>
          <w:rFonts w:ascii="Times New Roman" w:hAnsi="Times New Roman" w:cs="Times New Roman"/>
          <w:sz w:val="24"/>
          <w:szCs w:val="24"/>
          <w:lang w:val="en" w:bidi="ar"/>
        </w:rPr>
        <w:t>Tier 2 Capital</w:t>
      </w:r>
    </w:p>
    <w:p w:rsidR="00C13EF6" w:rsidRPr="00C801D5" w:rsidRDefault="00C13EF6" w:rsidP="00E717BD">
      <w:pPr>
        <w:bidi w:val="0"/>
        <w:spacing w:after="0" w:line="276" w:lineRule="auto"/>
        <w:ind w:left="1170" w:hanging="450"/>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val="en" w:bidi="ar"/>
        </w:rPr>
        <w:t xml:space="preserve">3.1 </w:t>
      </w:r>
      <w:r w:rsidR="00E717BD" w:rsidRPr="00C801D5">
        <w:rPr>
          <w:rStyle w:val="tlid-translation"/>
          <w:rFonts w:ascii="Times New Roman" w:hAnsi="Times New Roman" w:cs="Times New Roman"/>
          <w:b w:val="0"/>
          <w:bCs w:val="0"/>
          <w:sz w:val="24"/>
          <w:szCs w:val="24"/>
          <w:lang w:val="en" w:bidi="ar"/>
        </w:rPr>
        <w:tab/>
      </w:r>
      <w:r w:rsidRPr="00C801D5">
        <w:rPr>
          <w:rStyle w:val="tlid-translation"/>
          <w:rFonts w:ascii="Times New Roman" w:hAnsi="Times New Roman" w:cs="Times New Roman"/>
          <w:b w:val="0"/>
          <w:bCs w:val="0"/>
          <w:sz w:val="24"/>
          <w:szCs w:val="24"/>
          <w:lang w:val="en" w:bidi="ar"/>
        </w:rPr>
        <w:t>Tier 2 capital consists of the sum of the following elements (Regulatory adjustments applied in the calculation of Tier 2 Capital):</w:t>
      </w:r>
    </w:p>
    <w:p w:rsidR="00C13EF6" w:rsidRPr="00C801D5" w:rsidRDefault="00C13EF6" w:rsidP="00E717BD">
      <w:pPr>
        <w:bidi w:val="0"/>
        <w:spacing w:after="0" w:line="276" w:lineRule="auto"/>
        <w:ind w:left="2160" w:hanging="990"/>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val="en" w:bidi="ar"/>
        </w:rPr>
        <w:t xml:space="preserve">3.1.1 </w:t>
      </w:r>
      <w:r w:rsidR="00E717BD" w:rsidRPr="00C801D5">
        <w:rPr>
          <w:rStyle w:val="tlid-translation"/>
          <w:rFonts w:ascii="Times New Roman" w:hAnsi="Times New Roman" w:cs="Times New Roman"/>
          <w:b w:val="0"/>
          <w:bCs w:val="0"/>
          <w:sz w:val="24"/>
          <w:szCs w:val="24"/>
          <w:lang w:val="en" w:bidi="ar"/>
        </w:rPr>
        <w:tab/>
      </w:r>
      <w:r w:rsidRPr="00C801D5">
        <w:rPr>
          <w:rStyle w:val="tlid-translation"/>
          <w:rFonts w:ascii="Times New Roman" w:hAnsi="Times New Roman" w:cs="Times New Roman"/>
          <w:b w:val="0"/>
          <w:bCs w:val="0"/>
          <w:sz w:val="24"/>
          <w:szCs w:val="24"/>
          <w:lang w:val="en" w:bidi="ar"/>
        </w:rPr>
        <w:t xml:space="preserve">Instruments issued by the bank that meet the criteria for inclusion in Tier 2 capital (and are </w:t>
      </w:r>
      <w:r w:rsidR="00BD5854">
        <w:rPr>
          <w:rStyle w:val="tlid-translation"/>
          <w:rFonts w:ascii="Times New Roman" w:hAnsi="Times New Roman" w:cs="Times New Roman"/>
          <w:b w:val="0"/>
          <w:bCs w:val="0"/>
          <w:sz w:val="24"/>
          <w:szCs w:val="24"/>
          <w:lang w:val="en" w:bidi="ar"/>
        </w:rPr>
        <w:t>not included in Tier 1 capital).</w:t>
      </w:r>
    </w:p>
    <w:p w:rsidR="00033476" w:rsidRPr="00C801D5" w:rsidRDefault="00C13EF6" w:rsidP="00E717BD">
      <w:pPr>
        <w:bidi w:val="0"/>
        <w:spacing w:after="0" w:line="276" w:lineRule="auto"/>
        <w:ind w:left="2160" w:hanging="990"/>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val="en" w:bidi="ar"/>
        </w:rPr>
        <w:t xml:space="preserve">3.1.2 </w:t>
      </w:r>
      <w:r w:rsidR="00E717BD" w:rsidRPr="00C801D5">
        <w:rPr>
          <w:rStyle w:val="tlid-translation"/>
          <w:rFonts w:ascii="Times New Roman" w:hAnsi="Times New Roman" w:cs="Times New Roman"/>
          <w:b w:val="0"/>
          <w:bCs w:val="0"/>
          <w:sz w:val="24"/>
          <w:szCs w:val="24"/>
          <w:lang w:val="en" w:bidi="ar"/>
        </w:rPr>
        <w:tab/>
      </w:r>
      <w:r w:rsidRPr="00C801D5">
        <w:rPr>
          <w:rStyle w:val="tlid-translation"/>
          <w:rFonts w:ascii="Times New Roman" w:hAnsi="Times New Roman" w:cs="Times New Roman"/>
          <w:b w:val="0"/>
          <w:bCs w:val="0"/>
          <w:sz w:val="24"/>
          <w:szCs w:val="24"/>
          <w:lang w:val="en" w:bidi="ar"/>
        </w:rPr>
        <w:t>Stock surplus (share premium) resulting from the issue of instrum</w:t>
      </w:r>
      <w:r w:rsidR="00BD5854">
        <w:rPr>
          <w:rStyle w:val="tlid-translation"/>
          <w:rFonts w:ascii="Times New Roman" w:hAnsi="Times New Roman" w:cs="Times New Roman"/>
          <w:b w:val="0"/>
          <w:bCs w:val="0"/>
          <w:sz w:val="24"/>
          <w:szCs w:val="24"/>
          <w:lang w:val="en" w:bidi="ar"/>
        </w:rPr>
        <w:t>ents included in Tier 2 capital.</w:t>
      </w:r>
    </w:p>
    <w:p w:rsidR="00C13EF6" w:rsidRPr="00C801D5" w:rsidRDefault="00C13EF6" w:rsidP="00E717BD">
      <w:pPr>
        <w:bidi w:val="0"/>
        <w:spacing w:after="0" w:line="276" w:lineRule="auto"/>
        <w:ind w:left="2160" w:hanging="990"/>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val="en" w:bidi="ar"/>
        </w:rPr>
        <w:lastRenderedPageBreak/>
        <w:t xml:space="preserve">3.1.3 </w:t>
      </w:r>
      <w:r w:rsidR="00E717BD" w:rsidRPr="00C801D5">
        <w:rPr>
          <w:rStyle w:val="tlid-translation"/>
          <w:rFonts w:ascii="Times New Roman" w:hAnsi="Times New Roman" w:cs="Times New Roman"/>
          <w:b w:val="0"/>
          <w:bCs w:val="0"/>
          <w:sz w:val="24"/>
          <w:szCs w:val="24"/>
          <w:lang w:val="en" w:bidi="ar"/>
        </w:rPr>
        <w:tab/>
      </w:r>
      <w:r w:rsidRPr="00C801D5">
        <w:rPr>
          <w:rStyle w:val="tlid-translation"/>
          <w:rFonts w:ascii="Times New Roman" w:hAnsi="Times New Roman" w:cs="Times New Roman"/>
          <w:b w:val="0"/>
          <w:bCs w:val="0"/>
          <w:sz w:val="24"/>
          <w:szCs w:val="24"/>
          <w:lang w:val="en" w:bidi="ar"/>
        </w:rPr>
        <w:t>Minority interest, which are the Instruments issued by consolidated subsidiaries of the bank and held by third parties that meet the criteria for inclusion in Tier 2 capital and are not included in Tier 1 capital.</w:t>
      </w:r>
    </w:p>
    <w:p w:rsidR="00C13EF6" w:rsidRPr="00C801D5" w:rsidRDefault="00C13EF6" w:rsidP="00F4510F">
      <w:pPr>
        <w:bidi w:val="0"/>
        <w:spacing w:after="0" w:line="276" w:lineRule="auto"/>
        <w:ind w:left="2160" w:hanging="990"/>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val="en" w:bidi="ar"/>
        </w:rPr>
        <w:t xml:space="preserve">3.1.4 </w:t>
      </w:r>
      <w:r w:rsidR="00E717BD" w:rsidRPr="00C801D5">
        <w:rPr>
          <w:rStyle w:val="tlid-translation"/>
          <w:rFonts w:ascii="Times New Roman" w:hAnsi="Times New Roman" w:cs="Times New Roman"/>
          <w:b w:val="0"/>
          <w:bCs w:val="0"/>
          <w:sz w:val="24"/>
          <w:szCs w:val="24"/>
          <w:lang w:val="en" w:bidi="ar"/>
        </w:rPr>
        <w:tab/>
        <w:t>G</w:t>
      </w:r>
      <w:r w:rsidRPr="00C801D5">
        <w:rPr>
          <w:rStyle w:val="tlid-translation"/>
          <w:rFonts w:ascii="Times New Roman" w:hAnsi="Times New Roman" w:cs="Times New Roman"/>
          <w:b w:val="0"/>
          <w:bCs w:val="0"/>
          <w:sz w:val="24"/>
          <w:szCs w:val="24"/>
          <w:lang w:val="en" w:bidi="ar"/>
        </w:rPr>
        <w:t>eneral provisions/general loan-loss reserves</w:t>
      </w:r>
      <w:r w:rsidR="00301280" w:rsidRPr="00C801D5">
        <w:rPr>
          <w:rStyle w:val="tlid-translation"/>
          <w:rFonts w:ascii="Times New Roman" w:hAnsi="Times New Roman" w:cs="Times New Roman"/>
          <w:b w:val="0"/>
          <w:bCs w:val="0"/>
          <w:sz w:val="24"/>
          <w:szCs w:val="24"/>
          <w:lang w:val="en" w:bidi="ar"/>
        </w:rPr>
        <w:t xml:space="preserve">: </w:t>
      </w:r>
      <w:r w:rsidRPr="00C801D5">
        <w:rPr>
          <w:rStyle w:val="tlid-translation"/>
          <w:rFonts w:ascii="Times New Roman" w:hAnsi="Times New Roman" w:cs="Times New Roman"/>
          <w:b w:val="0"/>
          <w:bCs w:val="0"/>
          <w:sz w:val="24"/>
          <w:szCs w:val="24"/>
          <w:lang w:val="en" w:bidi="ar"/>
        </w:rPr>
        <w:t xml:space="preserve"> will be limited to a maximum of 1.25 percentage points of credit risk-weighted assets calculated under the </w:t>
      </w:r>
      <w:r w:rsidR="00301280" w:rsidRPr="00C801D5">
        <w:rPr>
          <w:rStyle w:val="tlid-translation"/>
          <w:rFonts w:ascii="Times New Roman" w:hAnsi="Times New Roman" w:cs="Times New Roman"/>
          <w:b w:val="0"/>
          <w:bCs w:val="0"/>
          <w:sz w:val="24"/>
          <w:szCs w:val="24"/>
          <w:lang w:val="en" w:bidi="ar"/>
        </w:rPr>
        <w:t>standardized</w:t>
      </w:r>
      <w:r w:rsidRPr="00C801D5">
        <w:rPr>
          <w:rStyle w:val="tlid-translation"/>
          <w:rFonts w:ascii="Times New Roman" w:hAnsi="Times New Roman" w:cs="Times New Roman"/>
          <w:b w:val="0"/>
          <w:bCs w:val="0"/>
          <w:sz w:val="24"/>
          <w:szCs w:val="24"/>
          <w:lang w:val="en" w:bidi="ar"/>
        </w:rPr>
        <w:t xml:space="preserve"> approach.</w:t>
      </w:r>
      <w:r w:rsidR="00301280" w:rsidRPr="00C801D5">
        <w:rPr>
          <w:rStyle w:val="tlid-translation"/>
          <w:rFonts w:ascii="Times New Roman" w:hAnsi="Times New Roman" w:cs="Times New Roman"/>
          <w:b w:val="0"/>
          <w:bCs w:val="0"/>
          <w:sz w:val="24"/>
          <w:szCs w:val="24"/>
          <w:lang w:val="en" w:bidi="ar"/>
        </w:rPr>
        <w:t xml:space="preserve"> Note that any provisions or reserves deducted by the bank to meet losses that have occurred are not recognized. </w:t>
      </w:r>
    </w:p>
    <w:p w:rsidR="00301280" w:rsidRPr="00C801D5" w:rsidRDefault="00301280" w:rsidP="00BD5854">
      <w:pPr>
        <w:bidi w:val="0"/>
        <w:spacing w:after="0" w:line="276" w:lineRule="auto"/>
        <w:ind w:left="1134" w:hanging="504"/>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val="en" w:bidi="ar"/>
        </w:rPr>
        <w:t xml:space="preserve">3.2 </w:t>
      </w:r>
      <w:r w:rsidR="00E717BD" w:rsidRPr="00C801D5">
        <w:rPr>
          <w:rStyle w:val="tlid-translation"/>
          <w:rFonts w:ascii="Times New Roman" w:hAnsi="Times New Roman" w:cs="Times New Roman"/>
          <w:b w:val="0"/>
          <w:bCs w:val="0"/>
          <w:sz w:val="24"/>
          <w:szCs w:val="24"/>
          <w:lang w:val="en" w:bidi="ar"/>
        </w:rPr>
        <w:tab/>
      </w:r>
      <w:r w:rsidRPr="00C801D5">
        <w:rPr>
          <w:rStyle w:val="tlid-translation"/>
          <w:rFonts w:ascii="Times New Roman" w:hAnsi="Times New Roman" w:cs="Times New Roman"/>
          <w:b w:val="0"/>
          <w:bCs w:val="0"/>
          <w:sz w:val="24"/>
          <w:szCs w:val="24"/>
          <w:lang w:val="en" w:bidi="ar"/>
        </w:rPr>
        <w:t>Instruments issued by the bank that meets Tier 2 criteria:</w:t>
      </w:r>
    </w:p>
    <w:p w:rsidR="00301280" w:rsidRPr="00C801D5" w:rsidRDefault="00301280" w:rsidP="00BD5854">
      <w:pPr>
        <w:bidi w:val="0"/>
        <w:spacing w:after="0" w:line="276" w:lineRule="auto"/>
        <w:ind w:left="1134"/>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val="en" w:bidi="ar"/>
        </w:rPr>
        <w:t>The objective of Tier 2 is to provide loss absorption on a gone-concern basis. Based on this objective, the following list sets out the minimum set of criteria for an instrument to meet or exceed in order for it to be included in Tier 2 capital:</w:t>
      </w:r>
    </w:p>
    <w:p w:rsidR="00301280" w:rsidRPr="00C801D5" w:rsidRDefault="00301280" w:rsidP="00E717BD">
      <w:pPr>
        <w:bidi w:val="0"/>
        <w:spacing w:after="0" w:line="276" w:lineRule="auto"/>
        <w:ind w:left="2160" w:hanging="990"/>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val="en" w:bidi="ar"/>
        </w:rPr>
        <w:t xml:space="preserve">3.2.1 </w:t>
      </w:r>
      <w:r w:rsidR="00E717BD" w:rsidRPr="00C801D5">
        <w:rPr>
          <w:rStyle w:val="tlid-translation"/>
          <w:rFonts w:ascii="Times New Roman" w:hAnsi="Times New Roman" w:cs="Times New Roman"/>
          <w:b w:val="0"/>
          <w:bCs w:val="0"/>
          <w:sz w:val="24"/>
          <w:szCs w:val="24"/>
          <w:lang w:val="en" w:bidi="ar"/>
        </w:rPr>
        <w:tab/>
      </w:r>
      <w:r w:rsidRPr="00C801D5">
        <w:rPr>
          <w:rStyle w:val="tlid-translation"/>
          <w:rFonts w:ascii="Times New Roman" w:hAnsi="Times New Roman" w:cs="Times New Roman"/>
          <w:b w:val="0"/>
          <w:bCs w:val="0"/>
          <w:sz w:val="24"/>
          <w:szCs w:val="24"/>
          <w:lang w:val="en" w:bidi="ar"/>
        </w:rPr>
        <w:t>Issued and paid-in.</w:t>
      </w:r>
    </w:p>
    <w:p w:rsidR="00301280" w:rsidRPr="00C801D5" w:rsidRDefault="00301280" w:rsidP="00E717BD">
      <w:pPr>
        <w:bidi w:val="0"/>
        <w:spacing w:after="0" w:line="276" w:lineRule="auto"/>
        <w:ind w:left="2160" w:hanging="990"/>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val="en" w:bidi="ar"/>
        </w:rPr>
        <w:t xml:space="preserve">3.2.2 </w:t>
      </w:r>
      <w:r w:rsidR="00E717BD" w:rsidRPr="00C801D5">
        <w:rPr>
          <w:rStyle w:val="tlid-translation"/>
          <w:rFonts w:ascii="Times New Roman" w:hAnsi="Times New Roman" w:cs="Times New Roman"/>
          <w:b w:val="0"/>
          <w:bCs w:val="0"/>
          <w:sz w:val="24"/>
          <w:szCs w:val="24"/>
          <w:lang w:val="en" w:bidi="ar"/>
        </w:rPr>
        <w:tab/>
      </w:r>
      <w:r w:rsidRPr="00C801D5">
        <w:rPr>
          <w:rStyle w:val="tlid-translation"/>
          <w:rFonts w:ascii="Times New Roman" w:hAnsi="Times New Roman" w:cs="Times New Roman"/>
          <w:b w:val="0"/>
          <w:bCs w:val="0"/>
          <w:sz w:val="24"/>
          <w:szCs w:val="24"/>
          <w:lang w:val="en" w:bidi="ar"/>
        </w:rPr>
        <w:t>Subordinated to depositors and general creditors of the bank.</w:t>
      </w:r>
    </w:p>
    <w:p w:rsidR="00301280" w:rsidRPr="00C801D5" w:rsidRDefault="00301280" w:rsidP="00E717BD">
      <w:pPr>
        <w:bidi w:val="0"/>
        <w:spacing w:after="0" w:line="276" w:lineRule="auto"/>
        <w:ind w:left="2160" w:hanging="990"/>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val="en" w:bidi="ar"/>
        </w:rPr>
        <w:t xml:space="preserve">3.2.3 </w:t>
      </w:r>
      <w:r w:rsidR="00E717BD" w:rsidRPr="00C801D5">
        <w:rPr>
          <w:rStyle w:val="tlid-translation"/>
          <w:rFonts w:ascii="Times New Roman" w:hAnsi="Times New Roman" w:cs="Times New Roman"/>
          <w:b w:val="0"/>
          <w:bCs w:val="0"/>
          <w:sz w:val="24"/>
          <w:szCs w:val="24"/>
          <w:lang w:val="en" w:bidi="ar"/>
        </w:rPr>
        <w:tab/>
      </w:r>
      <w:r w:rsidRPr="00C801D5">
        <w:rPr>
          <w:rStyle w:val="tlid-translation"/>
          <w:rFonts w:ascii="Times New Roman" w:hAnsi="Times New Roman" w:cs="Times New Roman"/>
          <w:b w:val="0"/>
          <w:bCs w:val="0"/>
          <w:sz w:val="24"/>
          <w:szCs w:val="24"/>
          <w:lang w:val="en" w:bidi="ar"/>
        </w:rPr>
        <w:t>Is neither secured nor covered by a guarantee of the issuer or related entity or other arrangement that legally or economically enhances the seniority of the claim vis-à-vis depositors and general bank creditors.</w:t>
      </w:r>
    </w:p>
    <w:p w:rsidR="00301280" w:rsidRPr="00C801D5" w:rsidRDefault="00301280" w:rsidP="00E717BD">
      <w:pPr>
        <w:bidi w:val="0"/>
        <w:spacing w:after="0" w:line="276" w:lineRule="auto"/>
        <w:ind w:left="2160" w:hanging="990"/>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val="en" w:bidi="ar"/>
        </w:rPr>
        <w:t xml:space="preserve">3.2.4 </w:t>
      </w:r>
      <w:r w:rsidR="00E717BD" w:rsidRPr="00C801D5">
        <w:rPr>
          <w:rStyle w:val="tlid-translation"/>
          <w:rFonts w:ascii="Times New Roman" w:hAnsi="Times New Roman" w:cs="Times New Roman"/>
          <w:b w:val="0"/>
          <w:bCs w:val="0"/>
          <w:sz w:val="24"/>
          <w:szCs w:val="24"/>
          <w:lang w:val="en" w:bidi="ar"/>
        </w:rPr>
        <w:tab/>
      </w:r>
      <w:r w:rsidRPr="00C801D5">
        <w:rPr>
          <w:rStyle w:val="tlid-translation"/>
          <w:rFonts w:ascii="Times New Roman" w:hAnsi="Times New Roman" w:cs="Times New Roman"/>
          <w:b w:val="0"/>
          <w:bCs w:val="0"/>
          <w:sz w:val="24"/>
          <w:szCs w:val="24"/>
          <w:lang w:val="en" w:bidi="ar"/>
        </w:rPr>
        <w:t>Maturity:</w:t>
      </w:r>
    </w:p>
    <w:p w:rsidR="00301280" w:rsidRPr="00C801D5" w:rsidRDefault="00301280" w:rsidP="00E717BD">
      <w:pPr>
        <w:bidi w:val="0"/>
        <w:spacing w:after="0" w:line="276" w:lineRule="auto"/>
        <w:ind w:left="2700" w:hanging="540"/>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val="en" w:bidi="ar"/>
        </w:rPr>
        <w:t xml:space="preserve">- </w:t>
      </w:r>
      <w:r w:rsidR="00E717BD" w:rsidRPr="00C801D5">
        <w:rPr>
          <w:rStyle w:val="tlid-translation"/>
          <w:rFonts w:ascii="Times New Roman" w:hAnsi="Times New Roman" w:cs="Times New Roman"/>
          <w:b w:val="0"/>
          <w:bCs w:val="0"/>
          <w:sz w:val="24"/>
          <w:szCs w:val="24"/>
          <w:lang w:val="en" w:bidi="ar"/>
        </w:rPr>
        <w:tab/>
        <w:t>M</w:t>
      </w:r>
      <w:r w:rsidRPr="00C801D5">
        <w:rPr>
          <w:rStyle w:val="tlid-translation"/>
          <w:rFonts w:ascii="Times New Roman" w:hAnsi="Times New Roman" w:cs="Times New Roman"/>
          <w:b w:val="0"/>
          <w:bCs w:val="0"/>
          <w:sz w:val="24"/>
          <w:szCs w:val="24"/>
          <w:lang w:val="en" w:bidi="ar"/>
        </w:rPr>
        <w:t>inimum original maturity of at least five years;</w:t>
      </w:r>
    </w:p>
    <w:p w:rsidR="00301280" w:rsidRPr="00C801D5" w:rsidRDefault="00301280" w:rsidP="00E717BD">
      <w:pPr>
        <w:bidi w:val="0"/>
        <w:spacing w:after="0" w:line="276" w:lineRule="auto"/>
        <w:ind w:left="2700" w:hanging="540"/>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val="en" w:bidi="ar"/>
        </w:rPr>
        <w:t xml:space="preserve">- </w:t>
      </w:r>
      <w:r w:rsidR="00E717BD" w:rsidRPr="00C801D5">
        <w:rPr>
          <w:rStyle w:val="tlid-translation"/>
          <w:rFonts w:ascii="Times New Roman" w:hAnsi="Times New Roman" w:cs="Times New Roman"/>
          <w:b w:val="0"/>
          <w:bCs w:val="0"/>
          <w:sz w:val="24"/>
          <w:szCs w:val="24"/>
          <w:lang w:val="en" w:bidi="ar"/>
        </w:rPr>
        <w:tab/>
        <w:t>R</w:t>
      </w:r>
      <w:r w:rsidRPr="00C801D5">
        <w:rPr>
          <w:rStyle w:val="tlid-translation"/>
          <w:rFonts w:ascii="Times New Roman" w:hAnsi="Times New Roman" w:cs="Times New Roman"/>
          <w:b w:val="0"/>
          <w:bCs w:val="0"/>
          <w:sz w:val="24"/>
          <w:szCs w:val="24"/>
          <w:lang w:val="en" w:bidi="ar"/>
        </w:rPr>
        <w:t>ecognition in regulatory capital in the remaining five years before maturity will be amortized according to the following:</w:t>
      </w:r>
    </w:p>
    <w:tbl>
      <w:tblPr>
        <w:tblStyle w:val="TableGrid"/>
        <w:tblW w:w="0" w:type="auto"/>
        <w:tblInd w:w="2729" w:type="dxa"/>
        <w:tblLook w:val="04A0" w:firstRow="1" w:lastRow="0" w:firstColumn="1" w:lastColumn="0" w:noHBand="0" w:noVBand="1"/>
      </w:tblPr>
      <w:tblGrid>
        <w:gridCol w:w="4135"/>
        <w:gridCol w:w="1080"/>
      </w:tblGrid>
      <w:tr w:rsidR="00301280" w:rsidRPr="00C801D5" w:rsidTr="00F4510F">
        <w:tc>
          <w:tcPr>
            <w:tcW w:w="4135" w:type="dxa"/>
            <w:shd w:val="clear" w:color="auto" w:fill="E7E6E6" w:themeFill="background2"/>
          </w:tcPr>
          <w:p w:rsidR="00301280" w:rsidRPr="00C801D5" w:rsidRDefault="00301280" w:rsidP="00DC488A">
            <w:pPr>
              <w:bidi w:val="0"/>
              <w:spacing w:after="0"/>
              <w:rPr>
                <w:rStyle w:val="tlid-translation"/>
                <w:rFonts w:ascii="Times New Roman" w:hAnsi="Times New Roman" w:cs="Times New Roman"/>
                <w:b w:val="0"/>
                <w:bCs w:val="0"/>
                <w:sz w:val="22"/>
                <w:szCs w:val="22"/>
                <w:lang w:val="en" w:bidi="ar"/>
              </w:rPr>
            </w:pPr>
            <w:r w:rsidRPr="00C801D5">
              <w:rPr>
                <w:rStyle w:val="tlid-translation"/>
                <w:rFonts w:ascii="Times New Roman" w:hAnsi="Times New Roman" w:cs="Times New Roman"/>
                <w:b w:val="0"/>
                <w:bCs w:val="0"/>
                <w:sz w:val="22"/>
                <w:szCs w:val="22"/>
                <w:lang w:val="en" w:bidi="ar"/>
              </w:rPr>
              <w:t>The remaining period of maturity</w:t>
            </w:r>
          </w:p>
        </w:tc>
        <w:tc>
          <w:tcPr>
            <w:tcW w:w="1080" w:type="dxa"/>
            <w:shd w:val="clear" w:color="auto" w:fill="E7E6E6" w:themeFill="background2"/>
          </w:tcPr>
          <w:p w:rsidR="00301280" w:rsidRPr="00C801D5" w:rsidRDefault="00366474" w:rsidP="00DC488A">
            <w:pPr>
              <w:bidi w:val="0"/>
              <w:spacing w:after="0"/>
              <w:rPr>
                <w:rStyle w:val="tlid-translation"/>
                <w:rFonts w:ascii="Times New Roman" w:hAnsi="Times New Roman" w:cs="Times New Roman"/>
                <w:b w:val="0"/>
                <w:bCs w:val="0"/>
                <w:sz w:val="22"/>
                <w:szCs w:val="22"/>
                <w:lang w:val="en" w:bidi="ar"/>
              </w:rPr>
            </w:pPr>
            <w:r w:rsidRPr="00C801D5">
              <w:rPr>
                <w:rStyle w:val="tlid-translation"/>
                <w:rFonts w:ascii="Times New Roman" w:hAnsi="Times New Roman" w:cs="Times New Roman"/>
                <w:b w:val="0"/>
                <w:bCs w:val="0"/>
                <w:sz w:val="22"/>
                <w:szCs w:val="22"/>
                <w:lang w:val="en" w:bidi="ar"/>
              </w:rPr>
              <w:t>weight</w:t>
            </w:r>
          </w:p>
        </w:tc>
      </w:tr>
      <w:tr w:rsidR="00301280" w:rsidRPr="00C801D5" w:rsidTr="00E717BD">
        <w:tc>
          <w:tcPr>
            <w:tcW w:w="4135" w:type="dxa"/>
          </w:tcPr>
          <w:p w:rsidR="00301280" w:rsidRPr="00C801D5" w:rsidRDefault="00366474" w:rsidP="00DC488A">
            <w:pPr>
              <w:bidi w:val="0"/>
              <w:spacing w:after="0"/>
              <w:rPr>
                <w:rStyle w:val="tlid-translation"/>
                <w:rFonts w:ascii="Times New Roman" w:hAnsi="Times New Roman" w:cs="Times New Roman"/>
                <w:b w:val="0"/>
                <w:bCs w:val="0"/>
                <w:sz w:val="22"/>
                <w:szCs w:val="22"/>
                <w:lang w:val="en" w:bidi="ar"/>
              </w:rPr>
            </w:pPr>
            <w:r w:rsidRPr="00C801D5">
              <w:rPr>
                <w:rStyle w:val="tlid-translation"/>
                <w:rFonts w:ascii="Times New Roman" w:hAnsi="Times New Roman" w:cs="Times New Roman"/>
                <w:b w:val="0"/>
                <w:bCs w:val="0"/>
                <w:sz w:val="22"/>
                <w:szCs w:val="22"/>
                <w:lang w:val="en" w:bidi="ar"/>
              </w:rPr>
              <w:t>Year or less</w:t>
            </w:r>
          </w:p>
        </w:tc>
        <w:tc>
          <w:tcPr>
            <w:tcW w:w="1080" w:type="dxa"/>
          </w:tcPr>
          <w:p w:rsidR="00301280" w:rsidRPr="00C801D5" w:rsidRDefault="00366474" w:rsidP="00DC488A">
            <w:pPr>
              <w:bidi w:val="0"/>
              <w:spacing w:after="0"/>
              <w:jc w:val="center"/>
              <w:rPr>
                <w:rStyle w:val="tlid-translation"/>
                <w:rFonts w:ascii="Times New Roman" w:hAnsi="Times New Roman" w:cs="Times New Roman"/>
                <w:b w:val="0"/>
                <w:bCs w:val="0"/>
                <w:sz w:val="22"/>
                <w:szCs w:val="22"/>
                <w:lang w:val="en" w:bidi="ar"/>
              </w:rPr>
            </w:pPr>
            <w:r w:rsidRPr="00C801D5">
              <w:rPr>
                <w:rStyle w:val="tlid-translation"/>
                <w:rFonts w:ascii="Times New Roman" w:hAnsi="Times New Roman" w:cs="Times New Roman"/>
                <w:b w:val="0"/>
                <w:bCs w:val="0"/>
                <w:sz w:val="22"/>
                <w:szCs w:val="22"/>
                <w:lang w:val="en" w:bidi="ar"/>
              </w:rPr>
              <w:t>0%</w:t>
            </w:r>
          </w:p>
        </w:tc>
      </w:tr>
      <w:tr w:rsidR="00301280" w:rsidRPr="00C801D5" w:rsidTr="00E717BD">
        <w:tc>
          <w:tcPr>
            <w:tcW w:w="4135" w:type="dxa"/>
          </w:tcPr>
          <w:p w:rsidR="00301280" w:rsidRPr="00C801D5" w:rsidRDefault="00366474" w:rsidP="00DC488A">
            <w:pPr>
              <w:bidi w:val="0"/>
              <w:spacing w:after="0"/>
              <w:rPr>
                <w:rStyle w:val="tlid-translation"/>
                <w:rFonts w:ascii="Times New Roman" w:hAnsi="Times New Roman" w:cs="Times New Roman"/>
                <w:b w:val="0"/>
                <w:bCs w:val="0"/>
                <w:sz w:val="22"/>
                <w:szCs w:val="22"/>
                <w:lang w:val="en" w:bidi="ar"/>
              </w:rPr>
            </w:pPr>
            <w:r w:rsidRPr="00C801D5">
              <w:rPr>
                <w:rStyle w:val="tlid-translation"/>
                <w:rFonts w:ascii="Times New Roman" w:hAnsi="Times New Roman" w:cs="Times New Roman"/>
                <w:b w:val="0"/>
                <w:bCs w:val="0"/>
                <w:sz w:val="22"/>
                <w:szCs w:val="22"/>
                <w:lang w:val="en" w:bidi="ar"/>
              </w:rPr>
              <w:t>More than a year - two years</w:t>
            </w:r>
          </w:p>
        </w:tc>
        <w:tc>
          <w:tcPr>
            <w:tcW w:w="1080" w:type="dxa"/>
          </w:tcPr>
          <w:p w:rsidR="00301280" w:rsidRPr="00C801D5" w:rsidRDefault="00366474" w:rsidP="00DC488A">
            <w:pPr>
              <w:bidi w:val="0"/>
              <w:spacing w:after="0"/>
              <w:jc w:val="center"/>
              <w:rPr>
                <w:rStyle w:val="tlid-translation"/>
                <w:rFonts w:ascii="Times New Roman" w:hAnsi="Times New Roman" w:cs="Times New Roman"/>
                <w:b w:val="0"/>
                <w:bCs w:val="0"/>
                <w:sz w:val="22"/>
                <w:szCs w:val="22"/>
                <w:lang w:val="en" w:bidi="ar"/>
              </w:rPr>
            </w:pPr>
            <w:r w:rsidRPr="00C801D5">
              <w:rPr>
                <w:rStyle w:val="tlid-translation"/>
                <w:rFonts w:ascii="Times New Roman" w:hAnsi="Times New Roman" w:cs="Times New Roman"/>
                <w:b w:val="0"/>
                <w:bCs w:val="0"/>
                <w:sz w:val="22"/>
                <w:szCs w:val="22"/>
                <w:lang w:val="en" w:bidi="ar"/>
              </w:rPr>
              <w:t>20%</w:t>
            </w:r>
          </w:p>
        </w:tc>
      </w:tr>
      <w:tr w:rsidR="00301280" w:rsidRPr="00C801D5" w:rsidTr="00E717BD">
        <w:tc>
          <w:tcPr>
            <w:tcW w:w="4135" w:type="dxa"/>
          </w:tcPr>
          <w:p w:rsidR="00301280" w:rsidRPr="00C801D5" w:rsidRDefault="00366474" w:rsidP="00DC488A">
            <w:pPr>
              <w:bidi w:val="0"/>
              <w:spacing w:after="0"/>
              <w:rPr>
                <w:rStyle w:val="tlid-translation"/>
                <w:rFonts w:ascii="Times New Roman" w:hAnsi="Times New Roman" w:cs="Times New Roman"/>
                <w:b w:val="0"/>
                <w:bCs w:val="0"/>
                <w:sz w:val="22"/>
                <w:szCs w:val="22"/>
                <w:lang w:val="en" w:bidi="ar"/>
              </w:rPr>
            </w:pPr>
            <w:r w:rsidRPr="00C801D5">
              <w:rPr>
                <w:rStyle w:val="tlid-translation"/>
                <w:rFonts w:ascii="Times New Roman" w:hAnsi="Times New Roman" w:cs="Times New Roman"/>
                <w:b w:val="0"/>
                <w:bCs w:val="0"/>
                <w:sz w:val="22"/>
                <w:szCs w:val="22"/>
                <w:lang w:val="en" w:bidi="ar"/>
              </w:rPr>
              <w:t>More than two years - three years</w:t>
            </w:r>
          </w:p>
        </w:tc>
        <w:tc>
          <w:tcPr>
            <w:tcW w:w="1080" w:type="dxa"/>
          </w:tcPr>
          <w:p w:rsidR="00301280" w:rsidRPr="00C801D5" w:rsidRDefault="00366474" w:rsidP="00DC488A">
            <w:pPr>
              <w:bidi w:val="0"/>
              <w:spacing w:after="0"/>
              <w:jc w:val="center"/>
              <w:rPr>
                <w:rStyle w:val="tlid-translation"/>
                <w:rFonts w:ascii="Times New Roman" w:hAnsi="Times New Roman" w:cs="Times New Roman"/>
                <w:b w:val="0"/>
                <w:bCs w:val="0"/>
                <w:sz w:val="22"/>
                <w:szCs w:val="22"/>
                <w:lang w:val="en" w:bidi="ar"/>
              </w:rPr>
            </w:pPr>
            <w:r w:rsidRPr="00C801D5">
              <w:rPr>
                <w:rStyle w:val="tlid-translation"/>
                <w:rFonts w:ascii="Times New Roman" w:hAnsi="Times New Roman" w:cs="Times New Roman"/>
                <w:b w:val="0"/>
                <w:bCs w:val="0"/>
                <w:sz w:val="22"/>
                <w:szCs w:val="22"/>
                <w:lang w:val="en" w:bidi="ar"/>
              </w:rPr>
              <w:t>40%</w:t>
            </w:r>
          </w:p>
        </w:tc>
      </w:tr>
      <w:tr w:rsidR="00366474" w:rsidRPr="00C801D5" w:rsidTr="00E717BD">
        <w:tc>
          <w:tcPr>
            <w:tcW w:w="4135" w:type="dxa"/>
          </w:tcPr>
          <w:p w:rsidR="00366474" w:rsidRPr="00C801D5" w:rsidRDefault="00366474" w:rsidP="00DC488A">
            <w:pPr>
              <w:bidi w:val="0"/>
              <w:spacing w:after="0"/>
              <w:rPr>
                <w:rStyle w:val="tlid-translation"/>
                <w:rFonts w:ascii="Times New Roman" w:hAnsi="Times New Roman" w:cs="Times New Roman"/>
                <w:b w:val="0"/>
                <w:bCs w:val="0"/>
                <w:sz w:val="22"/>
                <w:szCs w:val="22"/>
                <w:lang w:val="en" w:bidi="ar"/>
              </w:rPr>
            </w:pPr>
            <w:r w:rsidRPr="00C801D5">
              <w:rPr>
                <w:rStyle w:val="tlid-translation"/>
                <w:rFonts w:ascii="Times New Roman" w:hAnsi="Times New Roman" w:cs="Times New Roman"/>
                <w:b w:val="0"/>
                <w:bCs w:val="0"/>
                <w:sz w:val="22"/>
                <w:szCs w:val="22"/>
                <w:lang w:val="en" w:bidi="ar"/>
              </w:rPr>
              <w:t>More than three years - four years</w:t>
            </w:r>
          </w:p>
        </w:tc>
        <w:tc>
          <w:tcPr>
            <w:tcW w:w="1080" w:type="dxa"/>
          </w:tcPr>
          <w:p w:rsidR="00366474" w:rsidRPr="00C801D5" w:rsidRDefault="00366474" w:rsidP="00DC488A">
            <w:pPr>
              <w:bidi w:val="0"/>
              <w:spacing w:after="0"/>
              <w:jc w:val="center"/>
              <w:rPr>
                <w:rStyle w:val="tlid-translation"/>
                <w:rFonts w:ascii="Times New Roman" w:hAnsi="Times New Roman" w:cs="Times New Roman"/>
                <w:b w:val="0"/>
                <w:bCs w:val="0"/>
                <w:sz w:val="22"/>
                <w:szCs w:val="22"/>
                <w:lang w:val="en" w:bidi="ar"/>
              </w:rPr>
            </w:pPr>
            <w:r w:rsidRPr="00C801D5">
              <w:rPr>
                <w:rStyle w:val="tlid-translation"/>
                <w:rFonts w:ascii="Times New Roman" w:hAnsi="Times New Roman" w:cs="Times New Roman"/>
                <w:b w:val="0"/>
                <w:bCs w:val="0"/>
                <w:sz w:val="22"/>
                <w:szCs w:val="22"/>
                <w:lang w:val="en" w:bidi="ar"/>
              </w:rPr>
              <w:t>60%</w:t>
            </w:r>
          </w:p>
        </w:tc>
      </w:tr>
      <w:tr w:rsidR="00366474" w:rsidRPr="00C801D5" w:rsidTr="00E717BD">
        <w:tc>
          <w:tcPr>
            <w:tcW w:w="4135" w:type="dxa"/>
          </w:tcPr>
          <w:p w:rsidR="00366474" w:rsidRPr="00C801D5" w:rsidRDefault="00366474" w:rsidP="00DC488A">
            <w:pPr>
              <w:bidi w:val="0"/>
              <w:spacing w:after="0"/>
              <w:rPr>
                <w:rStyle w:val="tlid-translation"/>
                <w:rFonts w:ascii="Times New Roman" w:hAnsi="Times New Roman" w:cs="Times New Roman"/>
                <w:b w:val="0"/>
                <w:bCs w:val="0"/>
                <w:sz w:val="22"/>
                <w:szCs w:val="22"/>
                <w:lang w:val="en" w:bidi="ar"/>
              </w:rPr>
            </w:pPr>
            <w:r w:rsidRPr="00C801D5">
              <w:rPr>
                <w:rStyle w:val="tlid-translation"/>
                <w:rFonts w:ascii="Times New Roman" w:hAnsi="Times New Roman" w:cs="Times New Roman"/>
                <w:b w:val="0"/>
                <w:bCs w:val="0"/>
                <w:sz w:val="22"/>
                <w:szCs w:val="22"/>
                <w:lang w:val="en" w:bidi="ar"/>
              </w:rPr>
              <w:t>More than four years - five years</w:t>
            </w:r>
          </w:p>
        </w:tc>
        <w:tc>
          <w:tcPr>
            <w:tcW w:w="1080" w:type="dxa"/>
          </w:tcPr>
          <w:p w:rsidR="00366474" w:rsidRPr="00C801D5" w:rsidRDefault="00366474" w:rsidP="00DC488A">
            <w:pPr>
              <w:bidi w:val="0"/>
              <w:spacing w:after="0"/>
              <w:jc w:val="center"/>
              <w:rPr>
                <w:rStyle w:val="tlid-translation"/>
                <w:rFonts w:ascii="Times New Roman" w:hAnsi="Times New Roman" w:cs="Times New Roman"/>
                <w:b w:val="0"/>
                <w:bCs w:val="0"/>
                <w:sz w:val="22"/>
                <w:szCs w:val="22"/>
                <w:lang w:val="en" w:bidi="ar"/>
              </w:rPr>
            </w:pPr>
            <w:r w:rsidRPr="00C801D5">
              <w:rPr>
                <w:rStyle w:val="tlid-translation"/>
                <w:rFonts w:ascii="Times New Roman" w:hAnsi="Times New Roman" w:cs="Times New Roman"/>
                <w:b w:val="0"/>
                <w:bCs w:val="0"/>
                <w:sz w:val="22"/>
                <w:szCs w:val="22"/>
                <w:lang w:val="en" w:bidi="ar"/>
              </w:rPr>
              <w:t>80%</w:t>
            </w:r>
          </w:p>
        </w:tc>
      </w:tr>
      <w:tr w:rsidR="00366474" w:rsidRPr="00C801D5" w:rsidTr="00E717BD">
        <w:tc>
          <w:tcPr>
            <w:tcW w:w="4135" w:type="dxa"/>
          </w:tcPr>
          <w:p w:rsidR="00366474" w:rsidRPr="00C801D5" w:rsidRDefault="00366474" w:rsidP="00DC488A">
            <w:pPr>
              <w:bidi w:val="0"/>
              <w:spacing w:after="0"/>
              <w:rPr>
                <w:rStyle w:val="tlid-translation"/>
                <w:rFonts w:ascii="Times New Roman" w:hAnsi="Times New Roman" w:cs="Times New Roman"/>
                <w:b w:val="0"/>
                <w:bCs w:val="0"/>
                <w:sz w:val="22"/>
                <w:szCs w:val="22"/>
                <w:lang w:val="en" w:bidi="ar"/>
              </w:rPr>
            </w:pPr>
            <w:r w:rsidRPr="00C801D5">
              <w:rPr>
                <w:rStyle w:val="tlid-translation"/>
                <w:rFonts w:ascii="Times New Roman" w:hAnsi="Times New Roman" w:cs="Times New Roman"/>
                <w:b w:val="0"/>
                <w:bCs w:val="0"/>
                <w:sz w:val="22"/>
                <w:szCs w:val="22"/>
                <w:lang w:val="en" w:bidi="ar"/>
              </w:rPr>
              <w:t>more than five years</w:t>
            </w:r>
          </w:p>
        </w:tc>
        <w:tc>
          <w:tcPr>
            <w:tcW w:w="1080" w:type="dxa"/>
          </w:tcPr>
          <w:p w:rsidR="00366474" w:rsidRPr="00C801D5" w:rsidRDefault="00366474" w:rsidP="00DC488A">
            <w:pPr>
              <w:bidi w:val="0"/>
              <w:spacing w:after="0"/>
              <w:jc w:val="center"/>
              <w:rPr>
                <w:rStyle w:val="tlid-translation"/>
                <w:rFonts w:ascii="Times New Roman" w:hAnsi="Times New Roman" w:cs="Times New Roman"/>
                <w:b w:val="0"/>
                <w:bCs w:val="0"/>
                <w:sz w:val="22"/>
                <w:szCs w:val="22"/>
                <w:lang w:val="en" w:bidi="ar"/>
              </w:rPr>
            </w:pPr>
            <w:r w:rsidRPr="00C801D5">
              <w:rPr>
                <w:rStyle w:val="tlid-translation"/>
                <w:rFonts w:ascii="Times New Roman" w:hAnsi="Times New Roman" w:cs="Times New Roman"/>
                <w:b w:val="0"/>
                <w:bCs w:val="0"/>
                <w:sz w:val="22"/>
                <w:szCs w:val="22"/>
                <w:lang w:val="en" w:bidi="ar"/>
              </w:rPr>
              <w:t>100%</w:t>
            </w:r>
          </w:p>
        </w:tc>
      </w:tr>
    </w:tbl>
    <w:p w:rsidR="00033476" w:rsidRPr="00C801D5" w:rsidRDefault="00E717BD" w:rsidP="00E717BD">
      <w:pPr>
        <w:pStyle w:val="ListParagraph"/>
        <w:numPr>
          <w:ilvl w:val="0"/>
          <w:numId w:val="9"/>
        </w:numPr>
        <w:tabs>
          <w:tab w:val="left" w:pos="2700"/>
        </w:tabs>
        <w:bidi w:val="0"/>
        <w:ind w:firstLine="1440"/>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val="en" w:bidi="ar"/>
        </w:rPr>
        <w:t>T</w:t>
      </w:r>
      <w:r w:rsidR="00366474" w:rsidRPr="00C801D5">
        <w:rPr>
          <w:rStyle w:val="tlid-translation"/>
          <w:rFonts w:ascii="Times New Roman" w:hAnsi="Times New Roman" w:cs="Times New Roman"/>
          <w:b w:val="0"/>
          <w:bCs w:val="0"/>
          <w:sz w:val="24"/>
          <w:szCs w:val="24"/>
          <w:lang w:val="en" w:bidi="ar"/>
        </w:rPr>
        <w:t>here are no step-ups or other incentives to redeem.</w:t>
      </w:r>
    </w:p>
    <w:p w:rsidR="00366474" w:rsidRPr="00C801D5" w:rsidRDefault="00366474" w:rsidP="007D1BFB">
      <w:pPr>
        <w:bidi w:val="0"/>
        <w:spacing w:after="0" w:line="276" w:lineRule="auto"/>
        <w:ind w:left="2160" w:hanging="990"/>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val="en" w:bidi="ar"/>
        </w:rPr>
        <w:t xml:space="preserve">3.2.5 </w:t>
      </w:r>
      <w:r w:rsidR="007D1BFB" w:rsidRPr="00C801D5">
        <w:rPr>
          <w:rStyle w:val="tlid-translation"/>
          <w:rFonts w:ascii="Times New Roman" w:hAnsi="Times New Roman" w:cs="Times New Roman"/>
          <w:b w:val="0"/>
          <w:bCs w:val="0"/>
          <w:sz w:val="24"/>
          <w:szCs w:val="24"/>
          <w:lang w:val="en" w:bidi="ar"/>
        </w:rPr>
        <w:tab/>
      </w:r>
      <w:r w:rsidR="00282311" w:rsidRPr="00C801D5">
        <w:rPr>
          <w:rStyle w:val="tlid-translation"/>
          <w:rFonts w:ascii="Times New Roman" w:hAnsi="Times New Roman" w:cs="Times New Roman"/>
          <w:b w:val="0"/>
          <w:bCs w:val="0"/>
          <w:sz w:val="24"/>
          <w:szCs w:val="24"/>
          <w:lang w:val="en" w:bidi="ar"/>
        </w:rPr>
        <w:t>May be callable at the initiative of the issuer only after a minimum of five years, and to exercise a call option a bank must:</w:t>
      </w:r>
    </w:p>
    <w:p w:rsidR="00282311" w:rsidRPr="00C801D5" w:rsidRDefault="00282311" w:rsidP="007D1BFB">
      <w:pPr>
        <w:bidi w:val="0"/>
        <w:spacing w:after="0" w:line="276" w:lineRule="auto"/>
        <w:ind w:left="2700" w:hanging="540"/>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val="en" w:bidi="ar"/>
        </w:rPr>
        <w:t xml:space="preserve">- </w:t>
      </w:r>
      <w:r w:rsidR="007D1BFB" w:rsidRPr="00C801D5">
        <w:rPr>
          <w:rStyle w:val="tlid-translation"/>
          <w:rFonts w:ascii="Times New Roman" w:hAnsi="Times New Roman" w:cs="Times New Roman"/>
          <w:b w:val="0"/>
          <w:bCs w:val="0"/>
          <w:sz w:val="24"/>
          <w:szCs w:val="24"/>
          <w:lang w:val="en" w:bidi="ar"/>
        </w:rPr>
        <w:tab/>
        <w:t>R</w:t>
      </w:r>
      <w:r w:rsidRPr="00C801D5">
        <w:rPr>
          <w:rStyle w:val="tlid-translation"/>
          <w:rFonts w:ascii="Times New Roman" w:hAnsi="Times New Roman" w:cs="Times New Roman"/>
          <w:b w:val="0"/>
          <w:bCs w:val="0"/>
          <w:sz w:val="24"/>
          <w:szCs w:val="24"/>
          <w:lang w:val="en" w:bidi="ar"/>
        </w:rPr>
        <w:t xml:space="preserve">eceive prior Central Bank approval; and </w:t>
      </w:r>
    </w:p>
    <w:p w:rsidR="00282311" w:rsidRPr="00C801D5" w:rsidRDefault="00282311" w:rsidP="007D1BFB">
      <w:pPr>
        <w:bidi w:val="0"/>
        <w:spacing w:after="0" w:line="276" w:lineRule="auto"/>
        <w:ind w:left="2700" w:hanging="540"/>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val="en" w:bidi="ar"/>
        </w:rPr>
        <w:t>-</w:t>
      </w:r>
      <w:r w:rsidRPr="00C801D5">
        <w:rPr>
          <w:rStyle w:val="tlid-translation"/>
          <w:rFonts w:ascii="Times New Roman" w:hAnsi="Times New Roman" w:cs="Times New Roman"/>
          <w:b w:val="0"/>
          <w:bCs w:val="0"/>
          <w:sz w:val="24"/>
          <w:szCs w:val="24"/>
          <w:lang w:val="en" w:bidi="ar"/>
        </w:rPr>
        <w:tab/>
      </w:r>
      <w:r w:rsidR="007D1BFB" w:rsidRPr="00C801D5">
        <w:rPr>
          <w:rStyle w:val="tlid-translation"/>
          <w:rFonts w:ascii="Times New Roman" w:hAnsi="Times New Roman" w:cs="Times New Roman"/>
          <w:b w:val="0"/>
          <w:bCs w:val="0"/>
          <w:sz w:val="24"/>
          <w:szCs w:val="24"/>
          <w:lang w:val="en" w:bidi="ar"/>
        </w:rPr>
        <w:t>N</w:t>
      </w:r>
      <w:r w:rsidRPr="00C801D5">
        <w:rPr>
          <w:rStyle w:val="tlid-translation"/>
          <w:rFonts w:ascii="Times New Roman" w:hAnsi="Times New Roman" w:cs="Times New Roman"/>
          <w:b w:val="0"/>
          <w:bCs w:val="0"/>
          <w:sz w:val="24"/>
          <w:szCs w:val="24"/>
          <w:lang w:val="en" w:bidi="ar"/>
        </w:rPr>
        <w:t>ot do anything that creates an expectation that the call will be exercised;</w:t>
      </w:r>
      <w:r w:rsidR="00DD03C3" w:rsidRPr="00C801D5">
        <w:rPr>
          <w:rStyle w:val="tlid-translation"/>
          <w:rFonts w:ascii="Times New Roman" w:hAnsi="Times New Roman" w:cs="Times New Roman"/>
          <w:b w:val="0"/>
          <w:bCs w:val="0"/>
          <w:sz w:val="24"/>
          <w:szCs w:val="24"/>
          <w:lang w:val="en" w:bidi="ar"/>
        </w:rPr>
        <w:t xml:space="preserve"> note that banks must not exercise a call unless:</w:t>
      </w:r>
    </w:p>
    <w:p w:rsidR="00DD03C3" w:rsidRPr="00C801D5" w:rsidRDefault="00DD03C3" w:rsidP="007D1BFB">
      <w:pPr>
        <w:bidi w:val="0"/>
        <w:spacing w:after="0" w:line="276" w:lineRule="auto"/>
        <w:ind w:left="3240" w:hanging="540"/>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val="en" w:bidi="ar"/>
        </w:rPr>
        <w:t>a.</w:t>
      </w:r>
      <w:r w:rsidRPr="00C801D5">
        <w:rPr>
          <w:rStyle w:val="tlid-translation"/>
          <w:rFonts w:ascii="Times New Roman" w:hAnsi="Times New Roman" w:cs="Times New Roman"/>
          <w:b w:val="0"/>
          <w:bCs w:val="0"/>
          <w:sz w:val="24"/>
          <w:szCs w:val="24"/>
          <w:lang w:val="en" w:bidi="ar"/>
        </w:rPr>
        <w:tab/>
        <w:t>They replace the called instrument with capital of the same or better quality and the replacement of this capital is done at conditions which are sustainable for the income capacity of the bank</w:t>
      </w:r>
      <w:r w:rsidRPr="00C801D5">
        <w:rPr>
          <w:rStyle w:val="FootnoteReference"/>
          <w:rFonts w:ascii="Times New Roman" w:hAnsi="Times New Roman" w:cs="Times New Roman"/>
          <w:b w:val="0"/>
          <w:bCs w:val="0"/>
          <w:sz w:val="24"/>
          <w:szCs w:val="24"/>
          <w:lang w:val="en" w:bidi="ar"/>
        </w:rPr>
        <w:footnoteReference w:id="10"/>
      </w:r>
      <w:r w:rsidRPr="00C801D5">
        <w:rPr>
          <w:rStyle w:val="tlid-translation"/>
          <w:rFonts w:ascii="Times New Roman" w:hAnsi="Times New Roman" w:cs="Times New Roman"/>
          <w:b w:val="0"/>
          <w:bCs w:val="0"/>
          <w:sz w:val="24"/>
          <w:szCs w:val="24"/>
          <w:lang w:val="en" w:bidi="ar"/>
        </w:rPr>
        <w:t>.</w:t>
      </w:r>
    </w:p>
    <w:p w:rsidR="00DD03C3" w:rsidRPr="00C801D5" w:rsidRDefault="00DD03C3" w:rsidP="007D1BFB">
      <w:pPr>
        <w:bidi w:val="0"/>
        <w:spacing w:after="0" w:line="276" w:lineRule="auto"/>
        <w:ind w:left="3240" w:hanging="540"/>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val="en" w:bidi="ar"/>
        </w:rPr>
        <w:lastRenderedPageBreak/>
        <w:t>b.</w:t>
      </w:r>
      <w:r w:rsidRPr="00C801D5">
        <w:rPr>
          <w:rStyle w:val="tlid-translation"/>
          <w:rFonts w:ascii="Times New Roman" w:hAnsi="Times New Roman" w:cs="Times New Roman"/>
          <w:b w:val="0"/>
          <w:bCs w:val="0"/>
          <w:sz w:val="24"/>
          <w:szCs w:val="24"/>
          <w:lang w:val="en" w:bidi="ar"/>
        </w:rPr>
        <w:tab/>
        <w:t>The bank demonstrates that its capital position is well above the total applicable capital requirements after the call option is exercised</w:t>
      </w:r>
      <w:r w:rsidRPr="00C801D5">
        <w:rPr>
          <w:rStyle w:val="FootnoteReference"/>
          <w:rFonts w:ascii="Times New Roman" w:hAnsi="Times New Roman" w:cs="Times New Roman"/>
          <w:b w:val="0"/>
          <w:bCs w:val="0"/>
          <w:sz w:val="24"/>
          <w:szCs w:val="24"/>
          <w:lang w:val="en" w:bidi="ar"/>
        </w:rPr>
        <w:footnoteReference w:id="11"/>
      </w:r>
      <w:r w:rsidR="0068055F" w:rsidRPr="00C801D5">
        <w:rPr>
          <w:rStyle w:val="tlid-translation"/>
          <w:rFonts w:ascii="Times New Roman" w:hAnsi="Times New Roman" w:cs="Times New Roman"/>
          <w:b w:val="0"/>
          <w:bCs w:val="0"/>
          <w:sz w:val="24"/>
          <w:szCs w:val="24"/>
          <w:lang w:val="en" w:bidi="ar"/>
        </w:rPr>
        <w:t>.</w:t>
      </w:r>
    </w:p>
    <w:p w:rsidR="0068055F" w:rsidRPr="00C801D5" w:rsidRDefault="0068055F" w:rsidP="007D1BFB">
      <w:pPr>
        <w:bidi w:val="0"/>
        <w:spacing w:after="0" w:line="276" w:lineRule="auto"/>
        <w:ind w:left="2160" w:hanging="990"/>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val="en" w:bidi="ar"/>
        </w:rPr>
        <w:t>3.2.6</w:t>
      </w:r>
      <w:r w:rsidRPr="00C801D5">
        <w:rPr>
          <w:rStyle w:val="tlid-translation"/>
          <w:rFonts w:ascii="Times New Roman" w:hAnsi="Times New Roman" w:cs="Times New Roman"/>
          <w:b w:val="0"/>
          <w:bCs w:val="0"/>
          <w:sz w:val="24"/>
          <w:szCs w:val="24"/>
          <w:lang w:val="en" w:bidi="ar"/>
        </w:rPr>
        <w:tab/>
      </w:r>
      <w:r w:rsidR="00612EF6" w:rsidRPr="00C801D5">
        <w:rPr>
          <w:rStyle w:val="tlid-translation"/>
          <w:rFonts w:ascii="Times New Roman" w:hAnsi="Times New Roman" w:cs="Times New Roman"/>
          <w:b w:val="0"/>
          <w:bCs w:val="0"/>
          <w:sz w:val="24"/>
          <w:szCs w:val="24"/>
          <w:lang w:val="en" w:bidi="ar"/>
        </w:rPr>
        <w:t>The investor must have no rights to accelerate the repayment of future scheduled payments (coupon or principal), except in bankruptcy and liquidation.</w:t>
      </w:r>
    </w:p>
    <w:p w:rsidR="00612EF6" w:rsidRPr="00C801D5" w:rsidRDefault="00612EF6" w:rsidP="007D1BFB">
      <w:pPr>
        <w:bidi w:val="0"/>
        <w:spacing w:after="0" w:line="276" w:lineRule="auto"/>
        <w:ind w:left="2160" w:hanging="990"/>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val="en" w:bidi="ar"/>
        </w:rPr>
        <w:t>3.2.7</w:t>
      </w:r>
      <w:r w:rsidRPr="00C801D5">
        <w:rPr>
          <w:rStyle w:val="tlid-translation"/>
          <w:rFonts w:ascii="Times New Roman" w:hAnsi="Times New Roman" w:cs="Times New Roman"/>
          <w:b w:val="0"/>
          <w:bCs w:val="0"/>
          <w:sz w:val="24"/>
          <w:szCs w:val="24"/>
          <w:lang w:val="en" w:bidi="ar"/>
        </w:rPr>
        <w:tab/>
        <w:t>The instrument cannot have a credit sensitive dividend feature, that is a dividend/coupon that is reset periodically based in whole or in part on the banking organisation’s credit standing.</w:t>
      </w:r>
    </w:p>
    <w:p w:rsidR="00612EF6" w:rsidRPr="00C801D5" w:rsidRDefault="00612EF6" w:rsidP="007D1BFB">
      <w:pPr>
        <w:bidi w:val="0"/>
        <w:spacing w:after="0" w:line="276" w:lineRule="auto"/>
        <w:ind w:left="2160" w:hanging="990"/>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val="en" w:bidi="ar"/>
        </w:rPr>
        <w:t>3.2.8</w:t>
      </w:r>
      <w:r w:rsidRPr="00C801D5">
        <w:rPr>
          <w:rStyle w:val="tlid-translation"/>
          <w:rFonts w:ascii="Times New Roman" w:hAnsi="Times New Roman" w:cs="Times New Roman"/>
          <w:b w:val="0"/>
          <w:bCs w:val="0"/>
          <w:sz w:val="24"/>
          <w:szCs w:val="24"/>
          <w:lang w:val="en" w:bidi="ar"/>
        </w:rPr>
        <w:tab/>
        <w:t>Neither the bank nor a related party over which the bank exercises control or significant influence can have purchased the instrument, nor can the bank directly or indirectly have funded the purchase of the instrument.</w:t>
      </w:r>
    </w:p>
    <w:p w:rsidR="00612EF6" w:rsidRPr="00C801D5" w:rsidRDefault="00612EF6" w:rsidP="007D1BFB">
      <w:pPr>
        <w:bidi w:val="0"/>
        <w:spacing w:after="0" w:line="276" w:lineRule="auto"/>
        <w:ind w:left="2160" w:hanging="990"/>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val="en" w:bidi="ar"/>
        </w:rPr>
        <w:t>3.2.9</w:t>
      </w:r>
      <w:r w:rsidRPr="00C801D5">
        <w:rPr>
          <w:rStyle w:val="tlid-translation"/>
          <w:rFonts w:ascii="Times New Roman" w:hAnsi="Times New Roman" w:cs="Times New Roman"/>
          <w:b w:val="0"/>
          <w:bCs w:val="0"/>
          <w:sz w:val="24"/>
          <w:szCs w:val="24"/>
          <w:lang w:val="en" w:bidi="ar"/>
        </w:rPr>
        <w:tab/>
        <w:t>If the instrument is not issued out of an operating entity or the holding company in the consolidated group (e.g. an SPV), proceeds must be immediately available without limitation to an operating entity or the holding company in the consolidated group in a form which meets or exceeds all of the other criteria for inclusion in Tier 2 Capital.</w:t>
      </w:r>
    </w:p>
    <w:p w:rsidR="00612EF6" w:rsidRPr="00C801D5" w:rsidRDefault="00612EF6" w:rsidP="007D1BFB">
      <w:pPr>
        <w:bidi w:val="0"/>
        <w:spacing w:after="0" w:line="276" w:lineRule="auto"/>
        <w:ind w:left="1170" w:hanging="540"/>
        <w:rPr>
          <w:rStyle w:val="tlid-translation"/>
          <w:rFonts w:ascii="Times New Roman" w:hAnsi="Times New Roman" w:cs="Times New Roman"/>
          <w:b w:val="0"/>
          <w:bCs w:val="0"/>
          <w:sz w:val="24"/>
          <w:szCs w:val="24"/>
          <w:lang w:val="en" w:bidi="ar"/>
        </w:rPr>
      </w:pPr>
      <w:r w:rsidRPr="00C801D5">
        <w:rPr>
          <w:rStyle w:val="tlid-translation"/>
          <w:rFonts w:ascii="Times New Roman" w:hAnsi="Times New Roman" w:cs="Times New Roman"/>
          <w:b w:val="0"/>
          <w:bCs w:val="0"/>
          <w:sz w:val="24"/>
          <w:szCs w:val="24"/>
          <w:lang w:val="en" w:bidi="ar"/>
        </w:rPr>
        <w:t>3.3</w:t>
      </w:r>
      <w:r w:rsidRPr="00C801D5">
        <w:rPr>
          <w:rStyle w:val="tlid-translation"/>
          <w:rFonts w:ascii="Times New Roman" w:hAnsi="Times New Roman" w:cs="Times New Roman"/>
          <w:b w:val="0"/>
          <w:bCs w:val="0"/>
          <w:sz w:val="24"/>
          <w:szCs w:val="24"/>
          <w:lang w:val="en" w:bidi="ar"/>
        </w:rPr>
        <w:tab/>
        <w:t>Stock surplus (share premium) resulting from the issue of</w:t>
      </w:r>
      <w:r w:rsidR="002C2B76" w:rsidRPr="002C2B76">
        <w:rPr>
          <w:rStyle w:val="tlid-translation"/>
          <w:rFonts w:ascii="Times New Roman" w:hAnsi="Times New Roman" w:cs="Times New Roman"/>
          <w:b w:val="0"/>
          <w:bCs w:val="0"/>
          <w:sz w:val="24"/>
          <w:szCs w:val="24"/>
          <w:lang w:val="en" w:bidi="ar"/>
        </w:rPr>
        <w:t xml:space="preserve"> </w:t>
      </w:r>
      <w:r w:rsidR="002C2B76">
        <w:rPr>
          <w:rStyle w:val="tlid-translation"/>
          <w:rFonts w:ascii="Times New Roman" w:hAnsi="Times New Roman" w:cs="Times New Roman"/>
          <w:b w:val="0"/>
          <w:bCs w:val="0"/>
          <w:sz w:val="24"/>
          <w:szCs w:val="24"/>
          <w:lang w:val="en" w:bidi="ar"/>
        </w:rPr>
        <w:t>financial</w:t>
      </w:r>
      <w:r w:rsidRPr="00C801D5">
        <w:rPr>
          <w:rStyle w:val="tlid-translation"/>
          <w:rFonts w:ascii="Times New Roman" w:hAnsi="Times New Roman" w:cs="Times New Roman"/>
          <w:b w:val="0"/>
          <w:bCs w:val="0"/>
          <w:sz w:val="24"/>
          <w:szCs w:val="24"/>
          <w:lang w:val="en" w:bidi="ar"/>
        </w:rPr>
        <w:t xml:space="preserve"> instruments included in Tier 2 capital:</w:t>
      </w:r>
    </w:p>
    <w:p w:rsidR="00612EF6" w:rsidRPr="00C801D5" w:rsidRDefault="00BD5854" w:rsidP="00BD5854">
      <w:pPr>
        <w:bidi w:val="0"/>
        <w:spacing w:after="0" w:line="276" w:lineRule="auto"/>
        <w:ind w:left="1170"/>
        <w:rPr>
          <w:rStyle w:val="tlid-translation"/>
          <w:rFonts w:ascii="Times New Roman" w:hAnsi="Times New Roman" w:cs="Times New Roman"/>
          <w:b w:val="0"/>
          <w:bCs w:val="0"/>
          <w:sz w:val="24"/>
          <w:szCs w:val="24"/>
          <w:lang w:val="en" w:bidi="ar"/>
        </w:rPr>
      </w:pPr>
      <w:r>
        <w:rPr>
          <w:rStyle w:val="tlid-translation"/>
          <w:rFonts w:ascii="Times New Roman" w:hAnsi="Times New Roman" w:cs="Times New Roman"/>
          <w:b w:val="0"/>
          <w:bCs w:val="0"/>
          <w:sz w:val="24"/>
          <w:szCs w:val="24"/>
          <w:lang w:val="en" w:bidi="ar"/>
        </w:rPr>
        <w:t>Stock surplus (</w:t>
      </w:r>
      <w:r w:rsidR="00612EF6" w:rsidRPr="00C801D5">
        <w:rPr>
          <w:rStyle w:val="tlid-translation"/>
          <w:rFonts w:ascii="Times New Roman" w:hAnsi="Times New Roman" w:cs="Times New Roman"/>
          <w:b w:val="0"/>
          <w:bCs w:val="0"/>
          <w:sz w:val="24"/>
          <w:szCs w:val="24"/>
          <w:lang w:val="en" w:bidi="ar"/>
        </w:rPr>
        <w:t>share premium) that is not eligible for inclusion in Tier 1, will only be permitted to be included in Tier 2 capital if the shares giving rise to the stock surplus are permitted to be included in Tier 2 capital.</w:t>
      </w:r>
    </w:p>
    <w:p w:rsidR="00612EF6" w:rsidRPr="00AD38CE" w:rsidRDefault="00612EF6" w:rsidP="007D1BFB">
      <w:pPr>
        <w:bidi w:val="0"/>
        <w:spacing w:after="0" w:line="276" w:lineRule="auto"/>
        <w:rPr>
          <w:rStyle w:val="tlid-translation"/>
          <w:rFonts w:ascii="Times New Roman" w:hAnsi="Times New Roman" w:cs="Times New Roman"/>
          <w:b w:val="0"/>
          <w:bCs w:val="0"/>
          <w:sz w:val="16"/>
          <w:szCs w:val="16"/>
          <w:lang w:val="en" w:bidi="ar"/>
        </w:rPr>
      </w:pPr>
    </w:p>
    <w:p w:rsidR="006A334F" w:rsidRPr="005A2107" w:rsidRDefault="00612EF6" w:rsidP="004D3FEB">
      <w:pPr>
        <w:bidi w:val="0"/>
        <w:spacing w:after="0" w:line="276" w:lineRule="auto"/>
        <w:ind w:left="630" w:hanging="630"/>
        <w:rPr>
          <w:rStyle w:val="tlid-translation"/>
          <w:rFonts w:ascii="Times New Roman" w:hAnsi="Times New Roman" w:cs="Times New Roman"/>
          <w:sz w:val="24"/>
          <w:szCs w:val="24"/>
          <w:lang w:val="en" w:bidi="ar"/>
        </w:rPr>
      </w:pPr>
      <w:r w:rsidRPr="005A2107">
        <w:rPr>
          <w:rStyle w:val="tlid-translation"/>
          <w:rFonts w:ascii="Times New Roman" w:hAnsi="Times New Roman" w:cs="Times New Roman"/>
          <w:sz w:val="24"/>
          <w:szCs w:val="24"/>
          <w:lang w:val="en" w:bidi="ar"/>
        </w:rPr>
        <w:t>4.</w:t>
      </w:r>
      <w:r w:rsidRPr="005A2107">
        <w:rPr>
          <w:rStyle w:val="tlid-translation"/>
          <w:rFonts w:ascii="Times New Roman" w:hAnsi="Times New Roman" w:cs="Times New Roman"/>
          <w:sz w:val="24"/>
          <w:szCs w:val="24"/>
          <w:lang w:val="en" w:bidi="ar"/>
        </w:rPr>
        <w:tab/>
      </w:r>
      <w:r w:rsidR="00AD38CE">
        <w:rPr>
          <w:rStyle w:val="tlid-translation"/>
          <w:rFonts w:ascii="Times New Roman" w:hAnsi="Times New Roman" w:cs="Times New Roman"/>
          <w:sz w:val="24"/>
          <w:szCs w:val="24"/>
          <w:lang w:val="en" w:bidi="ar"/>
        </w:rPr>
        <w:t>Minority interest (</w:t>
      </w:r>
      <w:r w:rsidR="006A334F" w:rsidRPr="005A2107">
        <w:rPr>
          <w:rStyle w:val="tlid-translation"/>
          <w:rFonts w:ascii="Times New Roman" w:hAnsi="Times New Roman" w:cs="Times New Roman"/>
          <w:sz w:val="24"/>
          <w:szCs w:val="24"/>
          <w:lang w:val="en" w:bidi="ar"/>
        </w:rPr>
        <w:t xml:space="preserve">non-controlling interest) and other capital issued out of consolidated subsidiaries that is held by third parties </w:t>
      </w:r>
    </w:p>
    <w:p w:rsidR="003B1FC3" w:rsidRPr="005A2107" w:rsidRDefault="003B1FC3" w:rsidP="004D3FEB">
      <w:pPr>
        <w:bidi w:val="0"/>
        <w:spacing w:after="0" w:line="276" w:lineRule="auto"/>
        <w:ind w:left="1260" w:hanging="630"/>
        <w:rPr>
          <w:rStyle w:val="tlid-translation"/>
          <w:rFonts w:ascii="Times New Roman" w:hAnsi="Times New Roman" w:cs="Times New Roman"/>
          <w:b w:val="0"/>
          <w:bCs w:val="0"/>
          <w:sz w:val="24"/>
          <w:szCs w:val="24"/>
          <w:lang w:val="en" w:bidi="ar"/>
        </w:rPr>
      </w:pPr>
      <w:r w:rsidRPr="005A2107">
        <w:rPr>
          <w:rStyle w:val="tlid-translation"/>
          <w:rFonts w:ascii="Times New Roman" w:hAnsi="Times New Roman" w:cs="Times New Roman"/>
          <w:b w:val="0"/>
          <w:bCs w:val="0"/>
          <w:sz w:val="24"/>
          <w:szCs w:val="24"/>
          <w:lang w:val="en" w:bidi="ar"/>
        </w:rPr>
        <w:t>4.1</w:t>
      </w:r>
      <w:r w:rsidRPr="005A2107">
        <w:rPr>
          <w:rStyle w:val="tlid-translation"/>
          <w:rFonts w:ascii="Times New Roman" w:hAnsi="Times New Roman" w:cs="Times New Roman"/>
          <w:b w:val="0"/>
          <w:bCs w:val="0"/>
          <w:sz w:val="24"/>
          <w:szCs w:val="24"/>
          <w:lang w:val="en" w:bidi="ar"/>
        </w:rPr>
        <w:tab/>
        <w:t>Common shares issued by consolidated subsidiaries:</w:t>
      </w:r>
    </w:p>
    <w:p w:rsidR="003B1FC3" w:rsidRPr="005A2107" w:rsidRDefault="003B1FC3" w:rsidP="004D3FEB">
      <w:pPr>
        <w:bidi w:val="0"/>
        <w:spacing w:after="0" w:line="276" w:lineRule="auto"/>
        <w:ind w:left="1350"/>
        <w:rPr>
          <w:rStyle w:val="tlid-translation"/>
          <w:rFonts w:ascii="Times New Roman" w:hAnsi="Times New Roman" w:cs="Times New Roman"/>
          <w:b w:val="0"/>
          <w:bCs w:val="0"/>
          <w:sz w:val="24"/>
          <w:szCs w:val="24"/>
          <w:lang w:val="en" w:bidi="ar"/>
        </w:rPr>
      </w:pPr>
      <w:r w:rsidRPr="005A2107">
        <w:rPr>
          <w:rStyle w:val="tlid-translation"/>
          <w:rFonts w:ascii="Times New Roman" w:hAnsi="Times New Roman" w:cs="Times New Roman"/>
          <w:b w:val="0"/>
          <w:bCs w:val="0"/>
          <w:sz w:val="24"/>
          <w:szCs w:val="24"/>
          <w:lang w:val="en" w:bidi="ar"/>
        </w:rPr>
        <w:t>Minority interest arising from the issue of common shares by a fully consolidated subsidiary of the bank may receive recognition in Common Equity Tier 1 only if:</w:t>
      </w:r>
    </w:p>
    <w:p w:rsidR="003B1FC3" w:rsidRPr="005A2107" w:rsidRDefault="003B1FC3" w:rsidP="004D3FEB">
      <w:pPr>
        <w:bidi w:val="0"/>
        <w:spacing w:after="0" w:line="276" w:lineRule="auto"/>
        <w:ind w:left="2160" w:hanging="900"/>
        <w:rPr>
          <w:rStyle w:val="tlid-translation"/>
          <w:rFonts w:ascii="Times New Roman" w:hAnsi="Times New Roman" w:cs="Times New Roman"/>
          <w:b w:val="0"/>
          <w:bCs w:val="0"/>
          <w:sz w:val="24"/>
          <w:szCs w:val="24"/>
          <w:lang w:val="en" w:bidi="ar"/>
        </w:rPr>
      </w:pPr>
      <w:r w:rsidRPr="005A2107">
        <w:rPr>
          <w:rStyle w:val="tlid-translation"/>
          <w:rFonts w:ascii="Times New Roman" w:hAnsi="Times New Roman" w:cs="Times New Roman"/>
          <w:b w:val="0"/>
          <w:bCs w:val="0"/>
          <w:sz w:val="24"/>
          <w:szCs w:val="24"/>
          <w:lang w:val="en" w:bidi="ar"/>
        </w:rPr>
        <w:t xml:space="preserve">4.1.1 </w:t>
      </w:r>
      <w:r w:rsidR="004D3FEB" w:rsidRPr="005A2107">
        <w:rPr>
          <w:rStyle w:val="tlid-translation"/>
          <w:rFonts w:ascii="Times New Roman" w:hAnsi="Times New Roman" w:cs="Times New Roman"/>
          <w:b w:val="0"/>
          <w:bCs w:val="0"/>
          <w:sz w:val="24"/>
          <w:szCs w:val="24"/>
          <w:lang w:val="en" w:bidi="ar"/>
        </w:rPr>
        <w:tab/>
        <w:t xml:space="preserve">The </w:t>
      </w:r>
      <w:r w:rsidRPr="005A2107">
        <w:rPr>
          <w:rStyle w:val="tlid-translation"/>
          <w:rFonts w:ascii="Times New Roman" w:hAnsi="Times New Roman" w:cs="Times New Roman"/>
          <w:b w:val="0"/>
          <w:bCs w:val="0"/>
          <w:sz w:val="24"/>
          <w:szCs w:val="24"/>
          <w:lang w:val="en" w:bidi="ar"/>
        </w:rPr>
        <w:t xml:space="preserve">instrument giving rise to the minority interest would, if issued by the licensed bank, meet all of the criteria for classification as common shares </w:t>
      </w:r>
      <w:r w:rsidR="00BD5854">
        <w:rPr>
          <w:rStyle w:val="tlid-translation"/>
          <w:rFonts w:ascii="Times New Roman" w:hAnsi="Times New Roman" w:cs="Times New Roman"/>
          <w:b w:val="0"/>
          <w:bCs w:val="0"/>
          <w:sz w:val="24"/>
          <w:szCs w:val="24"/>
          <w:lang w:val="en" w:bidi="ar"/>
        </w:rPr>
        <w:t>for regulatory capital purposes.</w:t>
      </w:r>
    </w:p>
    <w:p w:rsidR="003B1FC3" w:rsidRPr="005A2107" w:rsidRDefault="003B1FC3" w:rsidP="004D3FEB">
      <w:pPr>
        <w:bidi w:val="0"/>
        <w:spacing w:after="0" w:line="276" w:lineRule="auto"/>
        <w:ind w:left="2160" w:hanging="900"/>
        <w:rPr>
          <w:rStyle w:val="tlid-translation"/>
          <w:rFonts w:ascii="Times New Roman" w:hAnsi="Times New Roman" w:cs="Times New Roman"/>
          <w:b w:val="0"/>
          <w:bCs w:val="0"/>
          <w:sz w:val="24"/>
          <w:szCs w:val="24"/>
          <w:lang w:val="en" w:bidi="ar"/>
        </w:rPr>
      </w:pPr>
      <w:r w:rsidRPr="005A2107">
        <w:rPr>
          <w:rStyle w:val="tlid-translation"/>
          <w:rFonts w:ascii="Times New Roman" w:hAnsi="Times New Roman" w:cs="Times New Roman"/>
          <w:b w:val="0"/>
          <w:bCs w:val="0"/>
          <w:sz w:val="24"/>
          <w:szCs w:val="24"/>
          <w:lang w:val="en" w:bidi="ar"/>
        </w:rPr>
        <w:t xml:space="preserve">4.1.2 </w:t>
      </w:r>
      <w:r w:rsidR="004D3FEB" w:rsidRPr="005A2107">
        <w:rPr>
          <w:rStyle w:val="tlid-translation"/>
          <w:rFonts w:ascii="Times New Roman" w:hAnsi="Times New Roman" w:cs="Times New Roman"/>
          <w:b w:val="0"/>
          <w:bCs w:val="0"/>
          <w:sz w:val="24"/>
          <w:szCs w:val="24"/>
          <w:lang w:val="en" w:bidi="ar"/>
        </w:rPr>
        <w:tab/>
        <w:t xml:space="preserve">The </w:t>
      </w:r>
      <w:r w:rsidRPr="005A2107">
        <w:rPr>
          <w:rStyle w:val="tlid-translation"/>
          <w:rFonts w:ascii="Times New Roman" w:hAnsi="Times New Roman" w:cs="Times New Roman"/>
          <w:b w:val="0"/>
          <w:bCs w:val="0"/>
          <w:sz w:val="24"/>
          <w:szCs w:val="24"/>
          <w:lang w:val="en" w:bidi="ar"/>
        </w:rPr>
        <w:t>subsidiary that issued the instrument is itself a bank.</w:t>
      </w:r>
    </w:p>
    <w:p w:rsidR="003B1FC3" w:rsidRPr="005A2107" w:rsidRDefault="003B1FC3" w:rsidP="004D3FEB">
      <w:pPr>
        <w:bidi w:val="0"/>
        <w:spacing w:after="0" w:line="276" w:lineRule="auto"/>
        <w:ind w:left="2160" w:hanging="900"/>
        <w:rPr>
          <w:rStyle w:val="tlid-translation"/>
          <w:rFonts w:ascii="Times New Roman" w:hAnsi="Times New Roman" w:cs="Times New Roman"/>
          <w:b w:val="0"/>
          <w:bCs w:val="0"/>
          <w:sz w:val="24"/>
          <w:szCs w:val="24"/>
          <w:lang w:val="en" w:bidi="ar"/>
        </w:rPr>
      </w:pPr>
      <w:r w:rsidRPr="005A2107">
        <w:rPr>
          <w:rStyle w:val="tlid-translation"/>
          <w:rFonts w:ascii="Times New Roman" w:hAnsi="Times New Roman" w:cs="Times New Roman"/>
          <w:b w:val="0"/>
          <w:bCs w:val="0"/>
          <w:sz w:val="24"/>
          <w:szCs w:val="24"/>
          <w:lang w:val="en" w:bidi="ar"/>
        </w:rPr>
        <w:t xml:space="preserve">4.1.3 </w:t>
      </w:r>
      <w:r w:rsidR="004D3FEB" w:rsidRPr="005A2107">
        <w:rPr>
          <w:rStyle w:val="tlid-translation"/>
          <w:rFonts w:ascii="Times New Roman" w:hAnsi="Times New Roman" w:cs="Times New Roman"/>
          <w:b w:val="0"/>
          <w:bCs w:val="0"/>
          <w:sz w:val="24"/>
          <w:szCs w:val="24"/>
          <w:lang w:val="en" w:bidi="ar"/>
        </w:rPr>
        <w:tab/>
      </w:r>
      <w:r w:rsidRPr="005A2107">
        <w:rPr>
          <w:rStyle w:val="tlid-translation"/>
          <w:rFonts w:ascii="Times New Roman" w:hAnsi="Times New Roman" w:cs="Times New Roman"/>
          <w:b w:val="0"/>
          <w:bCs w:val="0"/>
          <w:sz w:val="24"/>
          <w:szCs w:val="24"/>
          <w:lang w:val="en" w:bidi="ar"/>
        </w:rPr>
        <w:t>The amount of minority interest meeting the criteria above that will be recognised in consolidated Common Equity Tier 1 will be calculated as follows:</w:t>
      </w:r>
    </w:p>
    <w:p w:rsidR="003B1FC3" w:rsidRPr="005A2107" w:rsidRDefault="003B1FC3" w:rsidP="004D3FEB">
      <w:pPr>
        <w:bidi w:val="0"/>
        <w:spacing w:after="0" w:line="276" w:lineRule="auto"/>
        <w:ind w:left="2700" w:hanging="540"/>
        <w:rPr>
          <w:rStyle w:val="tlid-translation"/>
          <w:rFonts w:ascii="Times New Roman" w:hAnsi="Times New Roman" w:cs="Times New Roman"/>
          <w:b w:val="0"/>
          <w:bCs w:val="0"/>
          <w:sz w:val="24"/>
          <w:szCs w:val="24"/>
          <w:lang w:val="en" w:bidi="ar"/>
        </w:rPr>
      </w:pPr>
      <w:r w:rsidRPr="005A2107">
        <w:rPr>
          <w:rStyle w:val="tlid-translation"/>
          <w:rFonts w:ascii="Times New Roman" w:hAnsi="Times New Roman" w:cs="Times New Roman"/>
          <w:b w:val="0"/>
          <w:bCs w:val="0"/>
          <w:sz w:val="24"/>
          <w:szCs w:val="24"/>
          <w:lang w:val="en" w:bidi="ar"/>
        </w:rPr>
        <w:t xml:space="preserve">- </w:t>
      </w:r>
      <w:r w:rsidR="004D3FEB" w:rsidRPr="005A2107">
        <w:rPr>
          <w:rStyle w:val="tlid-translation"/>
          <w:rFonts w:ascii="Times New Roman" w:hAnsi="Times New Roman" w:cs="Times New Roman"/>
          <w:b w:val="0"/>
          <w:bCs w:val="0"/>
          <w:sz w:val="24"/>
          <w:szCs w:val="24"/>
          <w:lang w:val="en" w:bidi="ar"/>
        </w:rPr>
        <w:tab/>
      </w:r>
      <w:r w:rsidRPr="005A2107">
        <w:rPr>
          <w:rStyle w:val="tlid-translation"/>
          <w:rFonts w:ascii="Times New Roman" w:hAnsi="Times New Roman" w:cs="Times New Roman"/>
          <w:b w:val="0"/>
          <w:bCs w:val="0"/>
          <w:sz w:val="24"/>
          <w:szCs w:val="24"/>
          <w:lang w:val="en" w:bidi="ar"/>
        </w:rPr>
        <w:t>Total minority interest meeting the two criteria above minus the amount of the surplus Common Equity Tier 1 of the subsidiary attributable to the minority shareholders.</w:t>
      </w:r>
    </w:p>
    <w:p w:rsidR="003B1FC3" w:rsidRPr="005A2107" w:rsidRDefault="003B1FC3" w:rsidP="004D3FEB">
      <w:pPr>
        <w:bidi w:val="0"/>
        <w:spacing w:after="0" w:line="276" w:lineRule="auto"/>
        <w:ind w:left="2700" w:hanging="540"/>
        <w:rPr>
          <w:rStyle w:val="tlid-translation"/>
          <w:rFonts w:ascii="Times New Roman" w:hAnsi="Times New Roman" w:cs="Times New Roman"/>
          <w:b w:val="0"/>
          <w:bCs w:val="0"/>
          <w:sz w:val="24"/>
          <w:szCs w:val="24"/>
          <w:lang w:val="en" w:bidi="ar"/>
        </w:rPr>
      </w:pPr>
      <w:r w:rsidRPr="005A2107">
        <w:rPr>
          <w:rStyle w:val="tlid-translation"/>
          <w:rFonts w:ascii="Times New Roman" w:hAnsi="Times New Roman" w:cs="Times New Roman"/>
          <w:b w:val="0"/>
          <w:bCs w:val="0"/>
          <w:sz w:val="24"/>
          <w:szCs w:val="24"/>
          <w:lang w:val="en" w:bidi="ar"/>
        </w:rPr>
        <w:lastRenderedPageBreak/>
        <w:t>-</w:t>
      </w:r>
      <w:r w:rsidRPr="005A2107">
        <w:rPr>
          <w:rStyle w:val="tlid-translation"/>
          <w:rFonts w:ascii="Times New Roman" w:hAnsi="Times New Roman" w:cs="Times New Roman"/>
          <w:b w:val="0"/>
          <w:bCs w:val="0"/>
          <w:sz w:val="24"/>
          <w:szCs w:val="24"/>
          <w:lang w:val="en" w:bidi="ar"/>
        </w:rPr>
        <w:tab/>
      </w:r>
      <w:r w:rsidR="004D3FEB" w:rsidRPr="005A2107">
        <w:rPr>
          <w:rStyle w:val="tlid-translation"/>
          <w:rFonts w:ascii="Times New Roman" w:hAnsi="Times New Roman" w:cs="Times New Roman"/>
          <w:b w:val="0"/>
          <w:bCs w:val="0"/>
          <w:sz w:val="24"/>
          <w:szCs w:val="24"/>
          <w:lang w:val="en" w:bidi="ar"/>
        </w:rPr>
        <w:t>S</w:t>
      </w:r>
      <w:r w:rsidRPr="005A2107">
        <w:rPr>
          <w:rStyle w:val="tlid-translation"/>
          <w:rFonts w:ascii="Times New Roman" w:hAnsi="Times New Roman" w:cs="Times New Roman"/>
          <w:b w:val="0"/>
          <w:bCs w:val="0"/>
          <w:sz w:val="24"/>
          <w:szCs w:val="24"/>
          <w:lang w:val="en" w:bidi="ar"/>
        </w:rPr>
        <w:t>urplus Common Equity Tier 1 of the subsidiary is calculated as the Common Equity Tier 1 of the subsidiary minus the lower of:</w:t>
      </w:r>
    </w:p>
    <w:p w:rsidR="0006476F" w:rsidRPr="005A2107" w:rsidRDefault="0006476F" w:rsidP="004D3FEB">
      <w:pPr>
        <w:bidi w:val="0"/>
        <w:spacing w:after="0" w:line="276" w:lineRule="auto"/>
        <w:ind w:left="3240" w:hanging="540"/>
        <w:rPr>
          <w:rStyle w:val="tlid-translation"/>
          <w:rFonts w:ascii="Times New Roman" w:hAnsi="Times New Roman" w:cs="Times New Roman"/>
          <w:b w:val="0"/>
          <w:bCs w:val="0"/>
          <w:sz w:val="24"/>
          <w:szCs w:val="24"/>
          <w:lang w:val="en" w:bidi="ar"/>
        </w:rPr>
      </w:pPr>
      <w:r w:rsidRPr="005A2107">
        <w:rPr>
          <w:rStyle w:val="tlid-translation"/>
          <w:rFonts w:ascii="Times New Roman" w:hAnsi="Times New Roman" w:cs="Times New Roman"/>
          <w:b w:val="0"/>
          <w:bCs w:val="0"/>
          <w:sz w:val="24"/>
          <w:szCs w:val="24"/>
          <w:lang w:val="en" w:bidi="ar"/>
        </w:rPr>
        <w:t>a.</w:t>
      </w:r>
      <w:r w:rsidRPr="005A2107">
        <w:rPr>
          <w:rStyle w:val="tlid-translation"/>
          <w:rFonts w:ascii="Times New Roman" w:hAnsi="Times New Roman" w:cs="Times New Roman"/>
          <w:b w:val="0"/>
          <w:bCs w:val="0"/>
          <w:sz w:val="24"/>
          <w:szCs w:val="24"/>
          <w:lang w:val="en" w:bidi="ar"/>
        </w:rPr>
        <w:tab/>
      </w:r>
      <w:r w:rsidR="004D3FEB" w:rsidRPr="005A2107">
        <w:rPr>
          <w:rStyle w:val="tlid-translation"/>
          <w:rFonts w:ascii="Times New Roman" w:hAnsi="Times New Roman" w:cs="Times New Roman"/>
          <w:b w:val="0"/>
          <w:bCs w:val="0"/>
          <w:sz w:val="24"/>
          <w:szCs w:val="24"/>
          <w:lang w:val="en" w:bidi="ar"/>
        </w:rPr>
        <w:t>T</w:t>
      </w:r>
      <w:r w:rsidRPr="005A2107">
        <w:rPr>
          <w:rStyle w:val="tlid-translation"/>
          <w:rFonts w:ascii="Times New Roman" w:hAnsi="Times New Roman" w:cs="Times New Roman"/>
          <w:b w:val="0"/>
          <w:bCs w:val="0"/>
          <w:sz w:val="24"/>
          <w:szCs w:val="24"/>
          <w:lang w:val="en" w:bidi="ar"/>
        </w:rPr>
        <w:t xml:space="preserve">he minimum Common Equity Tier 1 requirement of the subsidiary plus the </w:t>
      </w:r>
      <w:r w:rsidRPr="005A2107">
        <w:rPr>
          <w:rFonts w:ascii="Times New Roman" w:hAnsi="Times New Roman" w:cs="Times New Roman"/>
          <w:b w:val="0"/>
          <w:bCs w:val="0"/>
          <w:sz w:val="24"/>
          <w:szCs w:val="24"/>
        </w:rPr>
        <w:t xml:space="preserve">Conservation Buffer (8.5% </w:t>
      </w:r>
      <w:r w:rsidRPr="005A2107">
        <w:rPr>
          <w:rStyle w:val="tlid-translation"/>
          <w:rFonts w:ascii="Times New Roman" w:hAnsi="Times New Roman" w:cs="Times New Roman"/>
          <w:b w:val="0"/>
          <w:bCs w:val="0"/>
          <w:sz w:val="24"/>
          <w:szCs w:val="24"/>
          <w:lang w:val="en" w:bidi="ar"/>
        </w:rPr>
        <w:t>of the risk weighted assets of the subsidiary) and</w:t>
      </w:r>
    </w:p>
    <w:p w:rsidR="005D6A94" w:rsidRPr="005A2107" w:rsidRDefault="005D6A94" w:rsidP="004D3FEB">
      <w:pPr>
        <w:bidi w:val="0"/>
        <w:spacing w:after="0" w:line="276" w:lineRule="auto"/>
        <w:ind w:left="3240" w:hanging="540"/>
        <w:rPr>
          <w:rStyle w:val="tlid-translation"/>
          <w:rFonts w:ascii="Times New Roman" w:hAnsi="Times New Roman" w:cs="Times New Roman"/>
          <w:b w:val="0"/>
          <w:bCs w:val="0"/>
          <w:sz w:val="24"/>
          <w:szCs w:val="24"/>
          <w:rtl/>
          <w:lang w:val="en" w:bidi="ar"/>
        </w:rPr>
      </w:pPr>
      <w:r w:rsidRPr="005A2107">
        <w:rPr>
          <w:rStyle w:val="tlid-translation"/>
          <w:rFonts w:ascii="Times New Roman" w:hAnsi="Times New Roman" w:cs="Times New Roman"/>
          <w:b w:val="0"/>
          <w:bCs w:val="0"/>
          <w:sz w:val="24"/>
          <w:szCs w:val="24"/>
          <w:lang w:val="en" w:bidi="ar"/>
        </w:rPr>
        <w:t xml:space="preserve">b. </w:t>
      </w:r>
      <w:r w:rsidR="004D3FEB" w:rsidRPr="005A2107">
        <w:rPr>
          <w:rStyle w:val="tlid-translation"/>
          <w:rFonts w:ascii="Times New Roman" w:hAnsi="Times New Roman" w:cs="Times New Roman"/>
          <w:b w:val="0"/>
          <w:bCs w:val="0"/>
          <w:sz w:val="24"/>
          <w:szCs w:val="24"/>
          <w:lang w:val="en" w:bidi="ar"/>
        </w:rPr>
        <w:tab/>
        <w:t>T</w:t>
      </w:r>
      <w:r w:rsidRPr="005A2107">
        <w:rPr>
          <w:rStyle w:val="tlid-translation"/>
          <w:rFonts w:ascii="Times New Roman" w:hAnsi="Times New Roman" w:cs="Times New Roman"/>
          <w:b w:val="0"/>
          <w:bCs w:val="0"/>
          <w:sz w:val="24"/>
          <w:szCs w:val="24"/>
          <w:lang w:val="en" w:bidi="ar"/>
        </w:rPr>
        <w:t xml:space="preserve">he portion of the consolidated minimum Common Equity Tier 1 requirement plus the </w:t>
      </w:r>
      <w:r w:rsidRPr="005A2107">
        <w:rPr>
          <w:rFonts w:ascii="Times New Roman" w:hAnsi="Times New Roman" w:cs="Times New Roman"/>
          <w:b w:val="0"/>
          <w:bCs w:val="0"/>
          <w:sz w:val="24"/>
          <w:szCs w:val="24"/>
        </w:rPr>
        <w:t xml:space="preserve">Conservation Buffer (8.5% </w:t>
      </w:r>
      <w:r w:rsidRPr="005A2107">
        <w:rPr>
          <w:rStyle w:val="tlid-translation"/>
          <w:rFonts w:ascii="Times New Roman" w:hAnsi="Times New Roman" w:cs="Times New Roman"/>
          <w:b w:val="0"/>
          <w:bCs w:val="0"/>
          <w:sz w:val="24"/>
          <w:szCs w:val="24"/>
          <w:lang w:val="en" w:bidi="ar"/>
        </w:rPr>
        <w:t xml:space="preserve">Of </w:t>
      </w:r>
      <w:r w:rsidR="00DC63AB" w:rsidRPr="005A2107">
        <w:rPr>
          <w:rStyle w:val="tlid-translation"/>
          <w:rFonts w:ascii="Times New Roman" w:hAnsi="Times New Roman" w:cs="Times New Roman"/>
          <w:b w:val="0"/>
          <w:bCs w:val="0"/>
          <w:sz w:val="24"/>
          <w:szCs w:val="24"/>
          <w:lang w:val="en" w:bidi="ar"/>
        </w:rPr>
        <w:t>consolidated risk weighted assets) that relates to the subsidiary</w:t>
      </w:r>
      <w:r w:rsidRPr="005A2107">
        <w:rPr>
          <w:rStyle w:val="tlid-translation"/>
          <w:rFonts w:ascii="Times New Roman" w:hAnsi="Times New Roman" w:cs="Times New Roman"/>
          <w:b w:val="0"/>
          <w:bCs w:val="0"/>
          <w:sz w:val="24"/>
          <w:szCs w:val="24"/>
          <w:lang w:val="en" w:bidi="ar"/>
        </w:rPr>
        <w:t>.</w:t>
      </w:r>
    </w:p>
    <w:p w:rsidR="005D6A94" w:rsidRPr="005A2107" w:rsidRDefault="005D6A94" w:rsidP="004D3FEB">
      <w:pPr>
        <w:bidi w:val="0"/>
        <w:spacing w:after="0" w:line="276" w:lineRule="auto"/>
        <w:ind w:left="2700" w:hanging="540"/>
        <w:rPr>
          <w:rStyle w:val="tlid-translation"/>
          <w:rFonts w:ascii="Times New Roman" w:hAnsi="Times New Roman" w:cs="Times New Roman"/>
          <w:b w:val="0"/>
          <w:bCs w:val="0"/>
          <w:sz w:val="24"/>
          <w:szCs w:val="24"/>
          <w:lang w:bidi="ar"/>
        </w:rPr>
      </w:pPr>
      <w:r w:rsidRPr="005A2107">
        <w:rPr>
          <w:rStyle w:val="tlid-translation"/>
          <w:rFonts w:ascii="Times New Roman" w:hAnsi="Times New Roman" w:cs="Times New Roman"/>
          <w:b w:val="0"/>
          <w:bCs w:val="0"/>
          <w:sz w:val="24"/>
          <w:szCs w:val="24"/>
          <w:lang w:bidi="ar"/>
        </w:rPr>
        <w:t>-</w:t>
      </w:r>
      <w:r w:rsidRPr="005A2107">
        <w:rPr>
          <w:rStyle w:val="tlid-translation"/>
          <w:rFonts w:ascii="Times New Roman" w:hAnsi="Times New Roman" w:cs="Times New Roman"/>
          <w:b w:val="0"/>
          <w:bCs w:val="0"/>
          <w:sz w:val="24"/>
          <w:szCs w:val="24"/>
          <w:lang w:bidi="ar"/>
        </w:rPr>
        <w:tab/>
        <w:t>The amount of the surplus Common Equity Tier 1 that is attributable to the minority shareholders is calculated by multiplying the surplus Common Equity Tier 1 by the percentage of Common Equity Tier 1 that is held by minority shareholders.</w:t>
      </w:r>
    </w:p>
    <w:p w:rsidR="005D6A94" w:rsidRPr="005A2107" w:rsidRDefault="005638C5" w:rsidP="005638C5">
      <w:pPr>
        <w:bidi w:val="0"/>
        <w:spacing w:after="0" w:line="276" w:lineRule="auto"/>
        <w:ind w:left="2700" w:hanging="540"/>
        <w:rPr>
          <w:rStyle w:val="tlid-translation"/>
          <w:rFonts w:ascii="Times New Roman" w:hAnsi="Times New Roman" w:cs="Times New Roman"/>
          <w:b w:val="0"/>
          <w:bCs w:val="0"/>
          <w:sz w:val="24"/>
          <w:szCs w:val="24"/>
          <w:lang w:val="en" w:bidi="ar"/>
        </w:rPr>
      </w:pPr>
      <w:r>
        <w:rPr>
          <w:rStyle w:val="tlid-translation"/>
          <w:rFonts w:ascii="Times New Roman" w:hAnsi="Times New Roman" w:cs="Times New Roman"/>
          <w:b w:val="0"/>
          <w:bCs w:val="0"/>
          <w:sz w:val="24"/>
          <w:szCs w:val="24"/>
          <w:lang w:val="en" w:bidi="ar"/>
        </w:rPr>
        <w:t>Annex</w:t>
      </w:r>
      <w:r w:rsidR="005D6A94" w:rsidRPr="005A2107">
        <w:rPr>
          <w:rStyle w:val="tlid-translation"/>
          <w:rFonts w:ascii="Times New Roman" w:hAnsi="Times New Roman" w:cs="Times New Roman"/>
          <w:b w:val="0"/>
          <w:bCs w:val="0"/>
          <w:sz w:val="24"/>
          <w:szCs w:val="24"/>
          <w:lang w:val="en" w:bidi="ar"/>
        </w:rPr>
        <w:t xml:space="preserve"> </w:t>
      </w:r>
      <w:r>
        <w:rPr>
          <w:rStyle w:val="tlid-translation"/>
          <w:rFonts w:ascii="Times New Roman" w:hAnsi="Times New Roman" w:cs="Times New Roman"/>
          <w:b w:val="0"/>
          <w:bCs w:val="0"/>
          <w:sz w:val="24"/>
          <w:szCs w:val="24"/>
          <w:lang w:val="en" w:bidi="ar"/>
        </w:rPr>
        <w:t>n</w:t>
      </w:r>
      <w:r w:rsidR="005D6A94" w:rsidRPr="005A2107">
        <w:rPr>
          <w:rStyle w:val="tlid-translation"/>
          <w:rFonts w:ascii="Times New Roman" w:hAnsi="Times New Roman" w:cs="Times New Roman"/>
          <w:b w:val="0"/>
          <w:bCs w:val="0"/>
          <w:sz w:val="24"/>
          <w:szCs w:val="24"/>
          <w:lang w:val="en" w:bidi="ar"/>
        </w:rPr>
        <w:t>o. (2) shows an example of the calculation method.</w:t>
      </w:r>
    </w:p>
    <w:p w:rsidR="005D6A94" w:rsidRPr="005A2107" w:rsidRDefault="005D6A94" w:rsidP="004D3FEB">
      <w:pPr>
        <w:bidi w:val="0"/>
        <w:spacing w:after="0" w:line="276" w:lineRule="auto"/>
        <w:ind w:left="1260" w:hanging="630"/>
        <w:rPr>
          <w:rStyle w:val="tlid-translation"/>
          <w:rFonts w:ascii="Times New Roman" w:hAnsi="Times New Roman" w:cs="Times New Roman"/>
          <w:b w:val="0"/>
          <w:bCs w:val="0"/>
          <w:sz w:val="24"/>
          <w:szCs w:val="24"/>
          <w:lang w:val="en" w:bidi="ar"/>
        </w:rPr>
      </w:pPr>
      <w:r w:rsidRPr="005A2107">
        <w:rPr>
          <w:rStyle w:val="tlid-translation"/>
          <w:rFonts w:ascii="Times New Roman" w:hAnsi="Times New Roman" w:cs="Times New Roman"/>
          <w:b w:val="0"/>
          <w:bCs w:val="0"/>
          <w:sz w:val="24"/>
          <w:szCs w:val="24"/>
          <w:lang w:val="en" w:bidi="ar"/>
        </w:rPr>
        <w:t>4.2</w:t>
      </w:r>
      <w:r w:rsidR="004D3FEB" w:rsidRPr="005A2107">
        <w:rPr>
          <w:rStyle w:val="tlid-translation"/>
          <w:rFonts w:ascii="Times New Roman" w:hAnsi="Times New Roman" w:cs="Times New Roman"/>
          <w:b w:val="0"/>
          <w:bCs w:val="0"/>
          <w:sz w:val="24"/>
          <w:szCs w:val="24"/>
          <w:lang w:val="en" w:bidi="ar"/>
        </w:rPr>
        <w:tab/>
      </w:r>
      <w:r w:rsidRPr="005A2107">
        <w:rPr>
          <w:rStyle w:val="tlid-translation"/>
          <w:rFonts w:ascii="Times New Roman" w:hAnsi="Times New Roman" w:cs="Times New Roman"/>
          <w:b w:val="0"/>
          <w:bCs w:val="0"/>
          <w:sz w:val="24"/>
          <w:szCs w:val="24"/>
          <w:lang w:val="en" w:bidi="ar"/>
        </w:rPr>
        <w:t>Tier 1 qualifying capital issued by consolidated subsidiaries:</w:t>
      </w:r>
    </w:p>
    <w:p w:rsidR="005D6A94" w:rsidRPr="005A2107" w:rsidRDefault="005D6A94" w:rsidP="004D3FEB">
      <w:pPr>
        <w:bidi w:val="0"/>
        <w:spacing w:after="0" w:line="276" w:lineRule="auto"/>
        <w:ind w:left="2160" w:hanging="900"/>
        <w:rPr>
          <w:rStyle w:val="tlid-translation"/>
          <w:rFonts w:ascii="Times New Roman" w:hAnsi="Times New Roman" w:cs="Times New Roman"/>
          <w:b w:val="0"/>
          <w:bCs w:val="0"/>
          <w:sz w:val="24"/>
          <w:szCs w:val="24"/>
          <w:lang w:val="en" w:bidi="ar"/>
        </w:rPr>
      </w:pPr>
      <w:r w:rsidRPr="005A2107">
        <w:rPr>
          <w:rStyle w:val="tlid-translation"/>
          <w:rFonts w:ascii="Times New Roman" w:hAnsi="Times New Roman" w:cs="Times New Roman"/>
          <w:b w:val="0"/>
          <w:bCs w:val="0"/>
          <w:sz w:val="24"/>
          <w:szCs w:val="24"/>
          <w:lang w:val="en" w:bidi="ar"/>
        </w:rPr>
        <w:t>4.2.1.</w:t>
      </w:r>
      <w:r w:rsidRPr="005A2107">
        <w:rPr>
          <w:rStyle w:val="tlid-translation"/>
          <w:rFonts w:ascii="Times New Roman" w:hAnsi="Times New Roman" w:cs="Times New Roman"/>
          <w:b w:val="0"/>
          <w:bCs w:val="0"/>
          <w:sz w:val="24"/>
          <w:szCs w:val="24"/>
          <w:lang w:val="en" w:bidi="ar"/>
        </w:rPr>
        <w:tab/>
        <w:t>Tier 1 capital instruments issued by a fully consolidated subsidiary of the bank to third party investors may receive recognition in Tier 1 capital only if the instruments would, if issued by the bank, meet all of the criteria for classification as Tier 1 capital. The amount of this capital that will be recognised in Tier 1 will be calculated as follows:</w:t>
      </w:r>
    </w:p>
    <w:p w:rsidR="005D6A94" w:rsidRPr="005A2107" w:rsidRDefault="005D6A94" w:rsidP="004D3FEB">
      <w:pPr>
        <w:bidi w:val="0"/>
        <w:spacing w:after="0" w:line="276" w:lineRule="auto"/>
        <w:ind w:left="2700" w:hanging="540"/>
        <w:rPr>
          <w:rStyle w:val="tlid-translation"/>
          <w:rFonts w:ascii="Times New Roman" w:hAnsi="Times New Roman" w:cs="Times New Roman"/>
          <w:b w:val="0"/>
          <w:bCs w:val="0"/>
          <w:sz w:val="24"/>
          <w:szCs w:val="24"/>
          <w:lang w:val="en" w:bidi="ar"/>
        </w:rPr>
      </w:pPr>
      <w:r w:rsidRPr="005A2107">
        <w:rPr>
          <w:rStyle w:val="tlid-translation"/>
          <w:rFonts w:ascii="Times New Roman" w:hAnsi="Times New Roman" w:cs="Times New Roman"/>
          <w:b w:val="0"/>
          <w:bCs w:val="0"/>
          <w:sz w:val="24"/>
          <w:szCs w:val="24"/>
          <w:lang w:val="en" w:bidi="ar"/>
        </w:rPr>
        <w:t>-</w:t>
      </w:r>
      <w:r w:rsidRPr="005A2107">
        <w:rPr>
          <w:rStyle w:val="tlid-translation"/>
          <w:rFonts w:ascii="Times New Roman" w:hAnsi="Times New Roman" w:cs="Times New Roman"/>
          <w:b w:val="0"/>
          <w:bCs w:val="0"/>
          <w:sz w:val="24"/>
          <w:szCs w:val="24"/>
          <w:lang w:val="en" w:bidi="ar"/>
        </w:rPr>
        <w:tab/>
        <w:t>Total Tier 1 of the subsidiary issued to third parties minus the amount of the surplus Tier 1 of the subsidiary attributable to the third party investors.</w:t>
      </w:r>
    </w:p>
    <w:p w:rsidR="005D6A94" w:rsidRPr="005A2107" w:rsidRDefault="005D6A94" w:rsidP="004D3FEB">
      <w:pPr>
        <w:bidi w:val="0"/>
        <w:spacing w:after="0" w:line="276" w:lineRule="auto"/>
        <w:ind w:left="2700" w:hanging="540"/>
        <w:rPr>
          <w:rStyle w:val="tlid-translation"/>
          <w:rFonts w:ascii="Times New Roman" w:hAnsi="Times New Roman" w:cs="Times New Roman"/>
          <w:b w:val="0"/>
          <w:bCs w:val="0"/>
          <w:sz w:val="24"/>
          <w:szCs w:val="24"/>
          <w:lang w:val="en" w:bidi="ar"/>
        </w:rPr>
      </w:pPr>
      <w:r w:rsidRPr="005A2107">
        <w:rPr>
          <w:rStyle w:val="tlid-translation"/>
          <w:rFonts w:ascii="Times New Roman" w:hAnsi="Times New Roman" w:cs="Times New Roman"/>
          <w:b w:val="0"/>
          <w:bCs w:val="0"/>
          <w:sz w:val="24"/>
          <w:szCs w:val="24"/>
          <w:lang w:val="en" w:bidi="ar"/>
        </w:rPr>
        <w:t>-</w:t>
      </w:r>
      <w:r w:rsidRPr="005A2107">
        <w:rPr>
          <w:rStyle w:val="tlid-translation"/>
          <w:rFonts w:ascii="Times New Roman" w:hAnsi="Times New Roman" w:cs="Times New Roman"/>
          <w:b w:val="0"/>
          <w:bCs w:val="0"/>
          <w:sz w:val="24"/>
          <w:szCs w:val="24"/>
          <w:lang w:val="en" w:bidi="ar"/>
        </w:rPr>
        <w:tab/>
        <w:t>Surplus Tier 1 of the subsidiary is calculated as the Tier 1 of the subsidiary minus the lower of:</w:t>
      </w:r>
    </w:p>
    <w:p w:rsidR="005D6A94" w:rsidRPr="005A2107" w:rsidRDefault="005D6A94" w:rsidP="004D3FEB">
      <w:pPr>
        <w:bidi w:val="0"/>
        <w:spacing w:after="0" w:line="276" w:lineRule="auto"/>
        <w:ind w:left="3240" w:hanging="540"/>
        <w:rPr>
          <w:rStyle w:val="tlid-translation"/>
          <w:rFonts w:ascii="Times New Roman" w:hAnsi="Times New Roman" w:cs="Times New Roman"/>
          <w:b w:val="0"/>
          <w:bCs w:val="0"/>
          <w:sz w:val="24"/>
          <w:szCs w:val="24"/>
          <w:lang w:val="en" w:bidi="ar"/>
        </w:rPr>
      </w:pPr>
      <w:r w:rsidRPr="005A2107">
        <w:rPr>
          <w:rStyle w:val="tlid-translation"/>
          <w:rFonts w:ascii="Times New Roman" w:hAnsi="Times New Roman" w:cs="Times New Roman"/>
          <w:b w:val="0"/>
          <w:bCs w:val="0"/>
          <w:sz w:val="24"/>
          <w:szCs w:val="24"/>
          <w:lang w:val="en" w:bidi="ar"/>
        </w:rPr>
        <w:t>a.</w:t>
      </w:r>
      <w:r w:rsidRPr="005A2107">
        <w:rPr>
          <w:rStyle w:val="tlid-translation"/>
          <w:rFonts w:ascii="Times New Roman" w:hAnsi="Times New Roman" w:cs="Times New Roman"/>
          <w:b w:val="0"/>
          <w:bCs w:val="0"/>
          <w:sz w:val="24"/>
          <w:szCs w:val="24"/>
          <w:lang w:val="en" w:bidi="ar"/>
        </w:rPr>
        <w:tab/>
        <w:t xml:space="preserve">The minimum Tier 1 requirement of the subsidiary plus the </w:t>
      </w:r>
      <w:r w:rsidR="00DC63AB" w:rsidRPr="005A2107">
        <w:rPr>
          <w:rStyle w:val="tlid-translation"/>
          <w:rFonts w:ascii="Times New Roman" w:hAnsi="Times New Roman" w:cs="Times New Roman"/>
          <w:b w:val="0"/>
          <w:bCs w:val="0"/>
          <w:sz w:val="24"/>
          <w:szCs w:val="24"/>
          <w:lang w:val="en" w:bidi="ar"/>
        </w:rPr>
        <w:t>capital conservation buffer (10</w:t>
      </w:r>
      <w:r w:rsidRPr="005A2107">
        <w:rPr>
          <w:rStyle w:val="tlid-translation"/>
          <w:rFonts w:ascii="Times New Roman" w:hAnsi="Times New Roman" w:cs="Times New Roman"/>
          <w:b w:val="0"/>
          <w:bCs w:val="0"/>
          <w:sz w:val="24"/>
          <w:szCs w:val="24"/>
          <w:lang w:val="en" w:bidi="ar"/>
        </w:rPr>
        <w:t>%</w:t>
      </w:r>
      <w:r w:rsidR="00DC63AB" w:rsidRPr="005A2107">
        <w:rPr>
          <w:rStyle w:val="FootnoteReference"/>
          <w:rFonts w:ascii="Times New Roman" w:hAnsi="Times New Roman" w:cs="Times New Roman"/>
          <w:b w:val="0"/>
          <w:bCs w:val="0"/>
          <w:sz w:val="24"/>
          <w:szCs w:val="24"/>
          <w:lang w:val="en" w:bidi="ar"/>
        </w:rPr>
        <w:footnoteReference w:id="12"/>
      </w:r>
      <w:r w:rsidRPr="005A2107">
        <w:rPr>
          <w:rStyle w:val="tlid-translation"/>
          <w:rFonts w:ascii="Times New Roman" w:hAnsi="Times New Roman" w:cs="Times New Roman"/>
          <w:b w:val="0"/>
          <w:bCs w:val="0"/>
          <w:sz w:val="24"/>
          <w:szCs w:val="24"/>
          <w:lang w:val="en" w:bidi="ar"/>
        </w:rPr>
        <w:t xml:space="preserve"> of risk weighted assets) and</w:t>
      </w:r>
    </w:p>
    <w:p w:rsidR="00DC63AB" w:rsidRPr="005A2107" w:rsidRDefault="00DC63AB" w:rsidP="004D3FEB">
      <w:pPr>
        <w:bidi w:val="0"/>
        <w:spacing w:after="0" w:line="276" w:lineRule="auto"/>
        <w:ind w:left="3240" w:hanging="540"/>
        <w:rPr>
          <w:rStyle w:val="tlid-translation"/>
          <w:rFonts w:ascii="Times New Roman" w:hAnsi="Times New Roman" w:cs="Times New Roman"/>
          <w:b w:val="0"/>
          <w:bCs w:val="0"/>
          <w:sz w:val="24"/>
          <w:szCs w:val="24"/>
          <w:lang w:val="en" w:bidi="ar"/>
        </w:rPr>
      </w:pPr>
      <w:r w:rsidRPr="005A2107">
        <w:rPr>
          <w:rStyle w:val="tlid-translation"/>
          <w:rFonts w:ascii="Times New Roman" w:hAnsi="Times New Roman" w:cs="Times New Roman"/>
          <w:b w:val="0"/>
          <w:bCs w:val="0"/>
          <w:sz w:val="24"/>
          <w:szCs w:val="24"/>
          <w:lang w:val="en" w:bidi="ar"/>
        </w:rPr>
        <w:t xml:space="preserve">b. </w:t>
      </w:r>
      <w:r w:rsidR="004D3FEB" w:rsidRPr="005A2107">
        <w:rPr>
          <w:rStyle w:val="tlid-translation"/>
          <w:rFonts w:ascii="Times New Roman" w:hAnsi="Times New Roman" w:cs="Times New Roman"/>
          <w:b w:val="0"/>
          <w:bCs w:val="0"/>
          <w:sz w:val="24"/>
          <w:szCs w:val="24"/>
          <w:lang w:val="en" w:bidi="ar"/>
        </w:rPr>
        <w:tab/>
        <w:t>T</w:t>
      </w:r>
      <w:r w:rsidRPr="005A2107">
        <w:rPr>
          <w:rStyle w:val="tlid-translation"/>
          <w:rFonts w:ascii="Times New Roman" w:hAnsi="Times New Roman" w:cs="Times New Roman"/>
          <w:b w:val="0"/>
          <w:bCs w:val="0"/>
          <w:sz w:val="24"/>
          <w:szCs w:val="24"/>
          <w:lang w:val="en" w:bidi="ar"/>
        </w:rPr>
        <w:t>he portion of the consolidated minimum Tier 1 requirement plus the capital conservation buffer (10% of consolidated risk weighted assets) that relates to the subsidiary.</w:t>
      </w:r>
    </w:p>
    <w:p w:rsidR="00DC63AB" w:rsidRPr="005A2107" w:rsidRDefault="00DC63AB" w:rsidP="004D3FEB">
      <w:pPr>
        <w:bidi w:val="0"/>
        <w:spacing w:after="0" w:line="276" w:lineRule="auto"/>
        <w:ind w:left="2700" w:hanging="540"/>
        <w:rPr>
          <w:rStyle w:val="tlid-translation"/>
          <w:rFonts w:ascii="Times New Roman" w:hAnsi="Times New Roman" w:cs="Times New Roman"/>
          <w:b w:val="0"/>
          <w:bCs w:val="0"/>
          <w:sz w:val="24"/>
          <w:szCs w:val="24"/>
          <w:lang w:val="en" w:bidi="ar"/>
        </w:rPr>
      </w:pPr>
      <w:r w:rsidRPr="005A2107">
        <w:rPr>
          <w:rStyle w:val="tlid-translation"/>
          <w:rFonts w:ascii="Times New Roman" w:hAnsi="Times New Roman" w:cs="Times New Roman"/>
          <w:b w:val="0"/>
          <w:bCs w:val="0"/>
          <w:sz w:val="24"/>
          <w:szCs w:val="24"/>
          <w:lang w:val="en" w:bidi="ar"/>
        </w:rPr>
        <w:t>-</w:t>
      </w:r>
      <w:r w:rsidRPr="005A2107">
        <w:rPr>
          <w:rStyle w:val="tlid-translation"/>
          <w:rFonts w:ascii="Times New Roman" w:hAnsi="Times New Roman" w:cs="Times New Roman"/>
          <w:b w:val="0"/>
          <w:bCs w:val="0"/>
          <w:sz w:val="24"/>
          <w:szCs w:val="24"/>
          <w:lang w:val="en" w:bidi="ar"/>
        </w:rPr>
        <w:tab/>
        <w:t>The amount of the surplus Tier 1 that is attributable to the third party investors is calculated by multiplying the surplus Tier 1 by the percentage of Tier 1 that is held by third party investors.</w:t>
      </w:r>
    </w:p>
    <w:p w:rsidR="00DC63AB" w:rsidRPr="005A2107" w:rsidRDefault="005638C5" w:rsidP="005638C5">
      <w:pPr>
        <w:bidi w:val="0"/>
        <w:spacing w:after="0" w:line="276" w:lineRule="auto"/>
        <w:ind w:firstLine="2160"/>
        <w:rPr>
          <w:rStyle w:val="tlid-translation"/>
          <w:rFonts w:ascii="Times New Roman" w:hAnsi="Times New Roman" w:cs="Times New Roman"/>
          <w:b w:val="0"/>
          <w:bCs w:val="0"/>
          <w:sz w:val="24"/>
          <w:szCs w:val="24"/>
          <w:lang w:val="en" w:bidi="ar"/>
        </w:rPr>
      </w:pPr>
      <w:r>
        <w:rPr>
          <w:rStyle w:val="tlid-translation"/>
          <w:rFonts w:ascii="Times New Roman" w:hAnsi="Times New Roman" w:cs="Times New Roman"/>
          <w:b w:val="0"/>
          <w:bCs w:val="0"/>
          <w:sz w:val="24"/>
          <w:szCs w:val="24"/>
          <w:lang w:val="en" w:bidi="ar"/>
        </w:rPr>
        <w:t>Annex</w:t>
      </w:r>
      <w:r w:rsidR="00DC63AB" w:rsidRPr="005A2107">
        <w:rPr>
          <w:rStyle w:val="tlid-translation"/>
          <w:rFonts w:ascii="Times New Roman" w:hAnsi="Times New Roman" w:cs="Times New Roman"/>
          <w:b w:val="0"/>
          <w:bCs w:val="0"/>
          <w:sz w:val="24"/>
          <w:szCs w:val="24"/>
          <w:lang w:val="en" w:bidi="ar"/>
        </w:rPr>
        <w:t xml:space="preserve"> </w:t>
      </w:r>
      <w:r>
        <w:rPr>
          <w:rStyle w:val="tlid-translation"/>
          <w:rFonts w:ascii="Times New Roman" w:hAnsi="Times New Roman" w:cs="Times New Roman"/>
          <w:b w:val="0"/>
          <w:bCs w:val="0"/>
          <w:sz w:val="24"/>
          <w:szCs w:val="24"/>
          <w:lang w:val="en" w:bidi="ar"/>
        </w:rPr>
        <w:t>n</w:t>
      </w:r>
      <w:r w:rsidR="00DC63AB" w:rsidRPr="005A2107">
        <w:rPr>
          <w:rStyle w:val="tlid-translation"/>
          <w:rFonts w:ascii="Times New Roman" w:hAnsi="Times New Roman" w:cs="Times New Roman"/>
          <w:b w:val="0"/>
          <w:bCs w:val="0"/>
          <w:sz w:val="24"/>
          <w:szCs w:val="24"/>
          <w:lang w:val="en" w:bidi="ar"/>
        </w:rPr>
        <w:t>o. (2) shows an example of the calculation method.</w:t>
      </w:r>
    </w:p>
    <w:p w:rsidR="00DC63AB" w:rsidRPr="005A2107" w:rsidRDefault="00DC63AB" w:rsidP="004D3FEB">
      <w:pPr>
        <w:bidi w:val="0"/>
        <w:spacing w:after="0" w:line="276" w:lineRule="auto"/>
        <w:ind w:left="1260" w:hanging="630"/>
        <w:rPr>
          <w:rStyle w:val="tlid-translation"/>
          <w:rFonts w:ascii="Times New Roman" w:hAnsi="Times New Roman" w:cs="Times New Roman"/>
          <w:b w:val="0"/>
          <w:bCs w:val="0"/>
          <w:sz w:val="24"/>
          <w:szCs w:val="24"/>
          <w:lang w:val="en" w:bidi="ar"/>
        </w:rPr>
      </w:pPr>
      <w:r w:rsidRPr="005A2107">
        <w:rPr>
          <w:rStyle w:val="tlid-translation"/>
          <w:rFonts w:ascii="Times New Roman" w:hAnsi="Times New Roman" w:cs="Times New Roman"/>
          <w:b w:val="0"/>
          <w:bCs w:val="0"/>
          <w:sz w:val="24"/>
          <w:szCs w:val="24"/>
          <w:lang w:val="en" w:bidi="ar"/>
        </w:rPr>
        <w:t>4.3</w:t>
      </w:r>
      <w:r w:rsidR="004D3FEB" w:rsidRPr="005A2107">
        <w:rPr>
          <w:rStyle w:val="tlid-translation"/>
          <w:rFonts w:ascii="Times New Roman" w:hAnsi="Times New Roman" w:cs="Times New Roman"/>
          <w:b w:val="0"/>
          <w:bCs w:val="0"/>
          <w:sz w:val="24"/>
          <w:szCs w:val="24"/>
          <w:lang w:val="en" w:bidi="ar"/>
        </w:rPr>
        <w:tab/>
      </w:r>
      <w:r w:rsidRPr="005A2107">
        <w:rPr>
          <w:rStyle w:val="tlid-translation"/>
          <w:rFonts w:ascii="Times New Roman" w:hAnsi="Times New Roman" w:cs="Times New Roman"/>
          <w:b w:val="0"/>
          <w:bCs w:val="0"/>
          <w:sz w:val="24"/>
          <w:szCs w:val="24"/>
          <w:lang w:val="en" w:bidi="ar"/>
        </w:rPr>
        <w:t>Tier 1 and Tier 2 qualifying capital issued by consolidated subsidiaries:</w:t>
      </w:r>
    </w:p>
    <w:p w:rsidR="00DC63AB" w:rsidRPr="005A2107" w:rsidRDefault="00DC63AB" w:rsidP="00BD5854">
      <w:pPr>
        <w:bidi w:val="0"/>
        <w:spacing w:after="0" w:line="276" w:lineRule="auto"/>
        <w:ind w:left="2160" w:hanging="900"/>
        <w:rPr>
          <w:rStyle w:val="tlid-translation"/>
          <w:rFonts w:ascii="Times New Roman" w:hAnsi="Times New Roman" w:cs="Times New Roman"/>
          <w:b w:val="0"/>
          <w:bCs w:val="0"/>
          <w:sz w:val="24"/>
          <w:szCs w:val="24"/>
          <w:lang w:val="en" w:bidi="ar"/>
        </w:rPr>
      </w:pPr>
      <w:r w:rsidRPr="005A2107">
        <w:rPr>
          <w:rStyle w:val="tlid-translation"/>
          <w:rFonts w:ascii="Times New Roman" w:hAnsi="Times New Roman" w:cs="Times New Roman"/>
          <w:b w:val="0"/>
          <w:bCs w:val="0"/>
          <w:sz w:val="24"/>
          <w:szCs w:val="24"/>
          <w:lang w:val="en" w:bidi="ar"/>
        </w:rPr>
        <w:t>4.3.</w:t>
      </w:r>
      <w:r w:rsidR="00BD5854">
        <w:rPr>
          <w:rStyle w:val="tlid-translation"/>
          <w:rFonts w:ascii="Times New Roman" w:hAnsi="Times New Roman" w:cs="Times New Roman"/>
          <w:b w:val="0"/>
          <w:bCs w:val="0"/>
          <w:sz w:val="24"/>
          <w:szCs w:val="24"/>
          <w:lang w:val="en" w:bidi="ar"/>
        </w:rPr>
        <w:t>1</w:t>
      </w:r>
      <w:r w:rsidR="00BD5854">
        <w:rPr>
          <w:rStyle w:val="tlid-translation"/>
          <w:rFonts w:ascii="Times New Roman" w:hAnsi="Times New Roman" w:cs="Times New Roman"/>
          <w:b w:val="0"/>
          <w:bCs w:val="0"/>
          <w:sz w:val="24"/>
          <w:szCs w:val="24"/>
          <w:lang w:val="en" w:bidi="ar"/>
        </w:rPr>
        <w:tab/>
        <w:t>Total capital instruments (</w:t>
      </w:r>
      <w:r w:rsidRPr="005A2107">
        <w:rPr>
          <w:rStyle w:val="tlid-translation"/>
          <w:rFonts w:ascii="Times New Roman" w:hAnsi="Times New Roman" w:cs="Times New Roman"/>
          <w:b w:val="0"/>
          <w:bCs w:val="0"/>
          <w:sz w:val="24"/>
          <w:szCs w:val="24"/>
          <w:lang w:val="en" w:bidi="ar"/>
        </w:rPr>
        <w:t>Tier 1 and Tier 2 capital instruments) issued by a fully consolidated subsidiary of the bank to third party invest</w:t>
      </w:r>
      <w:r w:rsidR="00FD34A1">
        <w:rPr>
          <w:rStyle w:val="tlid-translation"/>
          <w:rFonts w:ascii="Times New Roman" w:hAnsi="Times New Roman" w:cs="Times New Roman"/>
          <w:b w:val="0"/>
          <w:bCs w:val="0"/>
          <w:sz w:val="24"/>
          <w:szCs w:val="24"/>
          <w:lang w:val="en" w:bidi="ar"/>
        </w:rPr>
        <w:t>ors may receive recognition in t</w:t>
      </w:r>
      <w:r w:rsidRPr="005A2107">
        <w:rPr>
          <w:rStyle w:val="tlid-translation"/>
          <w:rFonts w:ascii="Times New Roman" w:hAnsi="Times New Roman" w:cs="Times New Roman"/>
          <w:b w:val="0"/>
          <w:bCs w:val="0"/>
          <w:sz w:val="24"/>
          <w:szCs w:val="24"/>
          <w:lang w:val="en" w:bidi="ar"/>
        </w:rPr>
        <w:t xml:space="preserve">otal Capital only if the instruments would, </w:t>
      </w:r>
      <w:r w:rsidRPr="005A2107">
        <w:rPr>
          <w:rStyle w:val="tlid-translation"/>
          <w:rFonts w:ascii="Times New Roman" w:hAnsi="Times New Roman" w:cs="Times New Roman"/>
          <w:b w:val="0"/>
          <w:bCs w:val="0"/>
          <w:sz w:val="24"/>
          <w:szCs w:val="24"/>
          <w:lang w:val="en" w:bidi="ar"/>
        </w:rPr>
        <w:lastRenderedPageBreak/>
        <w:t xml:space="preserve">if issued by the bank, meet all of the criteria for classification as Tier 1 or Tier 2 capital. </w:t>
      </w:r>
    </w:p>
    <w:p w:rsidR="00DC63AB" w:rsidRPr="005A2107" w:rsidRDefault="00DC63AB" w:rsidP="004D3FEB">
      <w:pPr>
        <w:bidi w:val="0"/>
        <w:spacing w:after="0" w:line="276" w:lineRule="auto"/>
        <w:ind w:left="2160"/>
        <w:rPr>
          <w:rStyle w:val="tlid-translation"/>
          <w:rFonts w:ascii="Times New Roman" w:hAnsi="Times New Roman" w:cs="Times New Roman"/>
          <w:b w:val="0"/>
          <w:bCs w:val="0"/>
          <w:sz w:val="24"/>
          <w:szCs w:val="24"/>
          <w:lang w:val="en" w:bidi="ar"/>
        </w:rPr>
      </w:pPr>
      <w:r w:rsidRPr="005A2107">
        <w:rPr>
          <w:rStyle w:val="tlid-translation"/>
          <w:rFonts w:ascii="Times New Roman" w:hAnsi="Times New Roman" w:cs="Times New Roman"/>
          <w:b w:val="0"/>
          <w:bCs w:val="0"/>
          <w:sz w:val="24"/>
          <w:szCs w:val="24"/>
          <w:lang w:val="en" w:bidi="ar"/>
        </w:rPr>
        <w:t>The amount of this capital that will</w:t>
      </w:r>
      <w:r w:rsidR="00FD34A1">
        <w:rPr>
          <w:rStyle w:val="tlid-translation"/>
          <w:rFonts w:ascii="Times New Roman" w:hAnsi="Times New Roman" w:cs="Times New Roman"/>
          <w:b w:val="0"/>
          <w:bCs w:val="0"/>
          <w:sz w:val="24"/>
          <w:szCs w:val="24"/>
          <w:lang w:val="en" w:bidi="ar"/>
        </w:rPr>
        <w:t xml:space="preserve"> be recognised in consolidated t</w:t>
      </w:r>
      <w:r w:rsidR="00A155CC">
        <w:rPr>
          <w:rStyle w:val="tlid-translation"/>
          <w:rFonts w:ascii="Times New Roman" w:hAnsi="Times New Roman" w:cs="Times New Roman"/>
          <w:b w:val="0"/>
          <w:bCs w:val="0"/>
          <w:sz w:val="24"/>
          <w:szCs w:val="24"/>
          <w:lang w:val="en" w:bidi="ar"/>
        </w:rPr>
        <w:t>otal c</w:t>
      </w:r>
      <w:r w:rsidRPr="005A2107">
        <w:rPr>
          <w:rStyle w:val="tlid-translation"/>
          <w:rFonts w:ascii="Times New Roman" w:hAnsi="Times New Roman" w:cs="Times New Roman"/>
          <w:b w:val="0"/>
          <w:bCs w:val="0"/>
          <w:sz w:val="24"/>
          <w:szCs w:val="24"/>
          <w:lang w:val="en" w:bidi="ar"/>
        </w:rPr>
        <w:t>apital will be calculated as follows:</w:t>
      </w:r>
    </w:p>
    <w:p w:rsidR="00DC63AB" w:rsidRPr="005A2107" w:rsidRDefault="00DC63AB" w:rsidP="004D3FEB">
      <w:pPr>
        <w:pStyle w:val="ListParagraph"/>
        <w:numPr>
          <w:ilvl w:val="0"/>
          <w:numId w:val="9"/>
        </w:numPr>
        <w:bidi w:val="0"/>
        <w:spacing w:after="0" w:line="276" w:lineRule="auto"/>
        <w:ind w:left="2700" w:hanging="540"/>
        <w:rPr>
          <w:rStyle w:val="tlid-translation"/>
          <w:rFonts w:ascii="Times New Roman" w:hAnsi="Times New Roman" w:cs="Times New Roman"/>
          <w:b w:val="0"/>
          <w:bCs w:val="0"/>
          <w:sz w:val="24"/>
          <w:szCs w:val="24"/>
          <w:lang w:val="en" w:bidi="ar"/>
        </w:rPr>
      </w:pPr>
      <w:r w:rsidRPr="005A2107">
        <w:rPr>
          <w:rStyle w:val="tlid-translation"/>
          <w:rFonts w:ascii="Times New Roman" w:hAnsi="Times New Roman" w:cs="Times New Roman"/>
          <w:b w:val="0"/>
          <w:bCs w:val="0"/>
          <w:sz w:val="24"/>
          <w:szCs w:val="24"/>
          <w:lang w:val="en" w:bidi="ar"/>
        </w:rPr>
        <w:t>Total capital instruments of the subsidiary issued to third parties m</w:t>
      </w:r>
      <w:r w:rsidR="00FD34A1">
        <w:rPr>
          <w:rStyle w:val="tlid-translation"/>
          <w:rFonts w:ascii="Times New Roman" w:hAnsi="Times New Roman" w:cs="Times New Roman"/>
          <w:b w:val="0"/>
          <w:bCs w:val="0"/>
          <w:sz w:val="24"/>
          <w:szCs w:val="24"/>
          <w:lang w:val="en" w:bidi="ar"/>
        </w:rPr>
        <w:t>inus the amount of the surplus total c</w:t>
      </w:r>
      <w:r w:rsidRPr="005A2107">
        <w:rPr>
          <w:rStyle w:val="tlid-translation"/>
          <w:rFonts w:ascii="Times New Roman" w:hAnsi="Times New Roman" w:cs="Times New Roman"/>
          <w:b w:val="0"/>
          <w:bCs w:val="0"/>
          <w:sz w:val="24"/>
          <w:szCs w:val="24"/>
          <w:lang w:val="en" w:bidi="ar"/>
        </w:rPr>
        <w:t>apital of the subsidiary attributable to the third party investors</w:t>
      </w:r>
      <w:r w:rsidR="00F27413" w:rsidRPr="005A2107">
        <w:rPr>
          <w:rStyle w:val="tlid-translation"/>
          <w:rFonts w:ascii="Times New Roman" w:hAnsi="Times New Roman" w:cs="Times New Roman"/>
          <w:b w:val="0"/>
          <w:bCs w:val="0"/>
          <w:sz w:val="24"/>
          <w:szCs w:val="24"/>
          <w:lang w:val="en" w:bidi="ar"/>
        </w:rPr>
        <w:t>.</w:t>
      </w:r>
    </w:p>
    <w:p w:rsidR="00F27413" w:rsidRPr="005A2107" w:rsidRDefault="00F27413" w:rsidP="004D3FEB">
      <w:pPr>
        <w:pStyle w:val="ListParagraph"/>
        <w:numPr>
          <w:ilvl w:val="0"/>
          <w:numId w:val="9"/>
        </w:numPr>
        <w:bidi w:val="0"/>
        <w:spacing w:after="0" w:line="276" w:lineRule="auto"/>
        <w:ind w:left="2700" w:hanging="540"/>
        <w:rPr>
          <w:rStyle w:val="tlid-translation"/>
          <w:rFonts w:ascii="Times New Roman" w:hAnsi="Times New Roman" w:cs="Times New Roman"/>
          <w:b w:val="0"/>
          <w:bCs w:val="0"/>
          <w:sz w:val="24"/>
          <w:szCs w:val="24"/>
          <w:lang w:val="en" w:bidi="ar"/>
        </w:rPr>
      </w:pPr>
      <w:r w:rsidRPr="005A2107">
        <w:rPr>
          <w:rStyle w:val="tlid-translation"/>
          <w:rFonts w:ascii="Times New Roman" w:hAnsi="Times New Roman" w:cs="Times New Roman"/>
          <w:b w:val="0"/>
          <w:bCs w:val="0"/>
          <w:sz w:val="24"/>
          <w:szCs w:val="24"/>
          <w:lang w:val="en" w:bidi="ar"/>
        </w:rPr>
        <w:t>Surplus Total Capital of the subsidia</w:t>
      </w:r>
      <w:r w:rsidR="00FD34A1">
        <w:rPr>
          <w:rStyle w:val="tlid-translation"/>
          <w:rFonts w:ascii="Times New Roman" w:hAnsi="Times New Roman" w:cs="Times New Roman"/>
          <w:b w:val="0"/>
          <w:bCs w:val="0"/>
          <w:sz w:val="24"/>
          <w:szCs w:val="24"/>
          <w:lang w:val="en" w:bidi="ar"/>
        </w:rPr>
        <w:t>ry is calculated as the total c</w:t>
      </w:r>
      <w:r w:rsidRPr="005A2107">
        <w:rPr>
          <w:rStyle w:val="tlid-translation"/>
          <w:rFonts w:ascii="Times New Roman" w:hAnsi="Times New Roman" w:cs="Times New Roman"/>
          <w:b w:val="0"/>
          <w:bCs w:val="0"/>
          <w:sz w:val="24"/>
          <w:szCs w:val="24"/>
          <w:lang w:val="en" w:bidi="ar"/>
        </w:rPr>
        <w:t>apital of the subsidiary minus the lower of:</w:t>
      </w:r>
    </w:p>
    <w:p w:rsidR="00F27413" w:rsidRPr="005A2107" w:rsidRDefault="004D3FEB" w:rsidP="004D3FEB">
      <w:pPr>
        <w:pStyle w:val="ListParagraph"/>
        <w:numPr>
          <w:ilvl w:val="0"/>
          <w:numId w:val="10"/>
        </w:numPr>
        <w:bidi w:val="0"/>
        <w:spacing w:after="0" w:line="276" w:lineRule="auto"/>
        <w:ind w:left="3240" w:hanging="540"/>
        <w:rPr>
          <w:rStyle w:val="tlid-translation"/>
          <w:rFonts w:ascii="Times New Roman" w:hAnsi="Times New Roman" w:cs="Times New Roman"/>
          <w:b w:val="0"/>
          <w:bCs w:val="0"/>
          <w:sz w:val="24"/>
          <w:szCs w:val="24"/>
          <w:lang w:val="en" w:bidi="ar"/>
        </w:rPr>
      </w:pPr>
      <w:r w:rsidRPr="005A2107">
        <w:rPr>
          <w:rStyle w:val="tlid-translation"/>
          <w:rFonts w:ascii="Times New Roman" w:hAnsi="Times New Roman" w:cs="Times New Roman"/>
          <w:b w:val="0"/>
          <w:bCs w:val="0"/>
          <w:sz w:val="24"/>
          <w:szCs w:val="24"/>
          <w:lang w:val="en" w:bidi="ar"/>
        </w:rPr>
        <w:t>T</w:t>
      </w:r>
      <w:r w:rsidR="00FD34A1">
        <w:rPr>
          <w:rStyle w:val="tlid-translation"/>
          <w:rFonts w:ascii="Times New Roman" w:hAnsi="Times New Roman" w:cs="Times New Roman"/>
          <w:b w:val="0"/>
          <w:bCs w:val="0"/>
          <w:sz w:val="24"/>
          <w:szCs w:val="24"/>
          <w:lang w:val="en" w:bidi="ar"/>
        </w:rPr>
        <w:t>he minimum total c</w:t>
      </w:r>
      <w:r w:rsidR="00F27413" w:rsidRPr="005A2107">
        <w:rPr>
          <w:rStyle w:val="tlid-translation"/>
          <w:rFonts w:ascii="Times New Roman" w:hAnsi="Times New Roman" w:cs="Times New Roman"/>
          <w:b w:val="0"/>
          <w:bCs w:val="0"/>
          <w:sz w:val="24"/>
          <w:szCs w:val="24"/>
          <w:lang w:val="en" w:bidi="ar"/>
        </w:rPr>
        <w:t>apital requirement of the subsidiary (T1+T2) plus the capital conservation buffer (12%</w:t>
      </w:r>
      <w:r w:rsidR="00F27413" w:rsidRPr="005A2107">
        <w:rPr>
          <w:rStyle w:val="FootnoteReference"/>
          <w:rFonts w:ascii="Times New Roman" w:hAnsi="Times New Roman" w:cs="Times New Roman"/>
          <w:b w:val="0"/>
          <w:bCs w:val="0"/>
          <w:sz w:val="24"/>
          <w:szCs w:val="24"/>
          <w:lang w:val="en" w:bidi="ar"/>
        </w:rPr>
        <w:footnoteReference w:id="13"/>
      </w:r>
      <w:r w:rsidR="00F27413" w:rsidRPr="005A2107">
        <w:rPr>
          <w:rStyle w:val="tlid-translation"/>
          <w:rFonts w:ascii="Times New Roman" w:hAnsi="Times New Roman" w:cs="Times New Roman"/>
          <w:b w:val="0"/>
          <w:bCs w:val="0"/>
          <w:sz w:val="24"/>
          <w:szCs w:val="24"/>
          <w:lang w:val="en" w:bidi="ar"/>
        </w:rPr>
        <w:t xml:space="preserve"> of risk weighted assets) and</w:t>
      </w:r>
    </w:p>
    <w:p w:rsidR="00F27413" w:rsidRPr="005A2107" w:rsidRDefault="00AD6F72" w:rsidP="004D3FEB">
      <w:pPr>
        <w:pStyle w:val="ListParagraph"/>
        <w:numPr>
          <w:ilvl w:val="0"/>
          <w:numId w:val="10"/>
        </w:numPr>
        <w:bidi w:val="0"/>
        <w:spacing w:after="0" w:line="276" w:lineRule="auto"/>
        <w:ind w:left="3240" w:hanging="540"/>
        <w:rPr>
          <w:rStyle w:val="tlid-translation"/>
          <w:rFonts w:ascii="Times New Roman" w:hAnsi="Times New Roman" w:cs="Times New Roman"/>
          <w:b w:val="0"/>
          <w:bCs w:val="0"/>
          <w:sz w:val="24"/>
          <w:szCs w:val="24"/>
          <w:lang w:val="en" w:bidi="ar"/>
        </w:rPr>
      </w:pPr>
      <w:r>
        <w:rPr>
          <w:rStyle w:val="tlid-translation"/>
          <w:rFonts w:ascii="Times New Roman" w:hAnsi="Times New Roman" w:cs="Times New Roman"/>
          <w:b w:val="0"/>
          <w:bCs w:val="0"/>
          <w:sz w:val="24"/>
          <w:szCs w:val="24"/>
          <w:lang w:bidi="ar"/>
        </w:rPr>
        <w:t>The</w:t>
      </w:r>
      <w:r w:rsidR="00F27413" w:rsidRPr="005A2107">
        <w:rPr>
          <w:rStyle w:val="tlid-translation"/>
          <w:rFonts w:ascii="Times New Roman" w:hAnsi="Times New Roman" w:cs="Times New Roman"/>
          <w:b w:val="0"/>
          <w:bCs w:val="0"/>
          <w:sz w:val="24"/>
          <w:szCs w:val="24"/>
          <w:lang w:val="en" w:bidi="ar"/>
        </w:rPr>
        <w:t xml:space="preserve"> porti</w:t>
      </w:r>
      <w:r w:rsidR="00FD34A1">
        <w:rPr>
          <w:rStyle w:val="tlid-translation"/>
          <w:rFonts w:ascii="Times New Roman" w:hAnsi="Times New Roman" w:cs="Times New Roman"/>
          <w:b w:val="0"/>
          <w:bCs w:val="0"/>
          <w:sz w:val="24"/>
          <w:szCs w:val="24"/>
          <w:lang w:val="en" w:bidi="ar"/>
        </w:rPr>
        <w:t>on of the consolidated minimum t</w:t>
      </w:r>
      <w:r w:rsidR="00F27413" w:rsidRPr="005A2107">
        <w:rPr>
          <w:rStyle w:val="tlid-translation"/>
          <w:rFonts w:ascii="Times New Roman" w:hAnsi="Times New Roman" w:cs="Times New Roman"/>
          <w:b w:val="0"/>
          <w:bCs w:val="0"/>
          <w:sz w:val="24"/>
          <w:szCs w:val="24"/>
          <w:lang w:val="en" w:bidi="ar"/>
        </w:rPr>
        <w:t>ota</w:t>
      </w:r>
      <w:r w:rsidR="00FD34A1">
        <w:rPr>
          <w:rStyle w:val="tlid-translation"/>
          <w:rFonts w:ascii="Times New Roman" w:hAnsi="Times New Roman" w:cs="Times New Roman"/>
          <w:b w:val="0"/>
          <w:bCs w:val="0"/>
          <w:sz w:val="24"/>
          <w:szCs w:val="24"/>
          <w:lang w:val="en" w:bidi="ar"/>
        </w:rPr>
        <w:t>l c</w:t>
      </w:r>
      <w:r w:rsidR="00F27413" w:rsidRPr="005A2107">
        <w:rPr>
          <w:rStyle w:val="tlid-translation"/>
          <w:rFonts w:ascii="Times New Roman" w:hAnsi="Times New Roman" w:cs="Times New Roman"/>
          <w:b w:val="0"/>
          <w:bCs w:val="0"/>
          <w:sz w:val="24"/>
          <w:szCs w:val="24"/>
          <w:lang w:val="en" w:bidi="ar"/>
        </w:rPr>
        <w:t>apital requirement (T1+T2) plus the capital conservation buffer (12% of consolidated risk weighted assets) that relates to the subsidiary.</w:t>
      </w:r>
    </w:p>
    <w:p w:rsidR="00F27413" w:rsidRPr="005A2107" w:rsidRDefault="00FD34A1" w:rsidP="004D3FEB">
      <w:pPr>
        <w:pStyle w:val="ListParagraph"/>
        <w:numPr>
          <w:ilvl w:val="0"/>
          <w:numId w:val="9"/>
        </w:numPr>
        <w:bidi w:val="0"/>
        <w:spacing w:after="0" w:line="276" w:lineRule="auto"/>
        <w:ind w:left="2700" w:hanging="540"/>
        <w:rPr>
          <w:rStyle w:val="tlid-translation"/>
          <w:rFonts w:ascii="Times New Roman" w:hAnsi="Times New Roman" w:cs="Times New Roman"/>
          <w:b w:val="0"/>
          <w:bCs w:val="0"/>
          <w:sz w:val="24"/>
          <w:szCs w:val="24"/>
          <w:lang w:val="en" w:bidi="ar"/>
        </w:rPr>
      </w:pPr>
      <w:r>
        <w:rPr>
          <w:rStyle w:val="tlid-translation"/>
          <w:rFonts w:ascii="Times New Roman" w:hAnsi="Times New Roman" w:cs="Times New Roman"/>
          <w:b w:val="0"/>
          <w:bCs w:val="0"/>
          <w:sz w:val="24"/>
          <w:szCs w:val="24"/>
          <w:lang w:val="en" w:bidi="ar"/>
        </w:rPr>
        <w:t>The amount of the surplus total c</w:t>
      </w:r>
      <w:r w:rsidR="00F27413" w:rsidRPr="005A2107">
        <w:rPr>
          <w:rStyle w:val="tlid-translation"/>
          <w:rFonts w:ascii="Times New Roman" w:hAnsi="Times New Roman" w:cs="Times New Roman"/>
          <w:b w:val="0"/>
          <w:bCs w:val="0"/>
          <w:sz w:val="24"/>
          <w:szCs w:val="24"/>
          <w:lang w:val="en" w:bidi="ar"/>
        </w:rPr>
        <w:t>apital that is attributable to the third party investors is calculated by multipl</w:t>
      </w:r>
      <w:r>
        <w:rPr>
          <w:rStyle w:val="tlid-translation"/>
          <w:rFonts w:ascii="Times New Roman" w:hAnsi="Times New Roman" w:cs="Times New Roman"/>
          <w:b w:val="0"/>
          <w:bCs w:val="0"/>
          <w:sz w:val="24"/>
          <w:szCs w:val="24"/>
          <w:lang w:val="en" w:bidi="ar"/>
        </w:rPr>
        <w:t>ying the surplus total capital by the percentage of total c</w:t>
      </w:r>
      <w:r w:rsidR="00F27413" w:rsidRPr="005A2107">
        <w:rPr>
          <w:rStyle w:val="tlid-translation"/>
          <w:rFonts w:ascii="Times New Roman" w:hAnsi="Times New Roman" w:cs="Times New Roman"/>
          <w:b w:val="0"/>
          <w:bCs w:val="0"/>
          <w:sz w:val="24"/>
          <w:szCs w:val="24"/>
          <w:lang w:val="en" w:bidi="ar"/>
        </w:rPr>
        <w:t>apital that is held by third party investors.</w:t>
      </w:r>
    </w:p>
    <w:p w:rsidR="00F27413" w:rsidRPr="005A2107" w:rsidRDefault="005638C5" w:rsidP="005638C5">
      <w:pPr>
        <w:pStyle w:val="ListParagraph"/>
        <w:bidi w:val="0"/>
        <w:spacing w:after="0" w:line="276" w:lineRule="auto"/>
        <w:ind w:firstLine="1440"/>
        <w:rPr>
          <w:rStyle w:val="tlid-translation"/>
          <w:rFonts w:ascii="Times New Roman" w:hAnsi="Times New Roman" w:cs="Times New Roman"/>
          <w:b w:val="0"/>
          <w:bCs w:val="0"/>
          <w:sz w:val="24"/>
          <w:szCs w:val="24"/>
          <w:lang w:val="en" w:bidi="ar"/>
        </w:rPr>
      </w:pPr>
      <w:r>
        <w:rPr>
          <w:rStyle w:val="tlid-translation"/>
          <w:rFonts w:ascii="Times New Roman" w:hAnsi="Times New Roman" w:cs="Times New Roman"/>
          <w:b w:val="0"/>
          <w:bCs w:val="0"/>
          <w:sz w:val="24"/>
          <w:szCs w:val="24"/>
          <w:lang w:val="en" w:bidi="ar"/>
        </w:rPr>
        <w:t>Annex no.</w:t>
      </w:r>
      <w:r w:rsidR="00F27413" w:rsidRPr="005A2107">
        <w:rPr>
          <w:rStyle w:val="tlid-translation"/>
          <w:rFonts w:ascii="Times New Roman" w:hAnsi="Times New Roman" w:cs="Times New Roman"/>
          <w:b w:val="0"/>
          <w:bCs w:val="0"/>
          <w:sz w:val="24"/>
          <w:szCs w:val="24"/>
          <w:lang w:val="en" w:bidi="ar"/>
        </w:rPr>
        <w:t xml:space="preserve"> (2) shows an example of the calculation method.</w:t>
      </w:r>
    </w:p>
    <w:p w:rsidR="00F27413" w:rsidRPr="00AD38CE" w:rsidRDefault="00F27413" w:rsidP="007D1BFB">
      <w:pPr>
        <w:pStyle w:val="ListParagraph"/>
        <w:bidi w:val="0"/>
        <w:spacing w:after="0" w:line="276" w:lineRule="auto"/>
        <w:rPr>
          <w:rStyle w:val="tlid-translation"/>
          <w:rFonts w:ascii="Times New Roman" w:hAnsi="Times New Roman" w:cs="Times New Roman"/>
          <w:b w:val="0"/>
          <w:bCs w:val="0"/>
          <w:sz w:val="12"/>
          <w:szCs w:val="12"/>
          <w:lang w:val="en" w:bidi="ar"/>
        </w:rPr>
      </w:pPr>
    </w:p>
    <w:p w:rsidR="00F27413" w:rsidRPr="00392B92" w:rsidRDefault="00F27413" w:rsidP="005A2107">
      <w:pPr>
        <w:pStyle w:val="Heading2"/>
        <w:bidi w:val="0"/>
        <w:rPr>
          <w:rStyle w:val="tlid-translation"/>
          <w:rFonts w:ascii="Times New Roman" w:hAnsi="Times New Roman" w:cs="Times New Roman"/>
          <w:lang w:val="en" w:bidi="ar"/>
        </w:rPr>
      </w:pPr>
      <w:bookmarkStart w:id="11" w:name="_Toc65354400"/>
      <w:r w:rsidRPr="00392B92">
        <w:rPr>
          <w:rStyle w:val="tlid-translation"/>
          <w:rFonts w:ascii="Times New Roman" w:hAnsi="Times New Roman" w:cs="Times New Roman"/>
          <w:lang w:val="en" w:bidi="ar"/>
        </w:rPr>
        <w:t>Fourth: Regulatory adjustments</w:t>
      </w:r>
      <w:bookmarkEnd w:id="11"/>
    </w:p>
    <w:p w:rsidR="00F27413" w:rsidRPr="005A2107" w:rsidRDefault="00F27413" w:rsidP="00392B92">
      <w:pPr>
        <w:pStyle w:val="ListParagraph"/>
        <w:bidi w:val="0"/>
        <w:spacing w:after="0" w:line="276" w:lineRule="auto"/>
        <w:ind w:left="90"/>
        <w:rPr>
          <w:rStyle w:val="tlid-translation"/>
          <w:rFonts w:ascii="Times New Roman" w:hAnsi="Times New Roman" w:cs="Times New Roman"/>
          <w:b w:val="0"/>
          <w:bCs w:val="0"/>
          <w:sz w:val="24"/>
          <w:szCs w:val="24"/>
          <w:lang w:val="en" w:bidi="ar"/>
        </w:rPr>
      </w:pPr>
      <w:r w:rsidRPr="005A2107">
        <w:rPr>
          <w:rStyle w:val="tlid-translation"/>
          <w:rFonts w:ascii="Times New Roman" w:hAnsi="Times New Roman" w:cs="Times New Roman"/>
          <w:b w:val="0"/>
          <w:bCs w:val="0"/>
          <w:sz w:val="24"/>
          <w:szCs w:val="24"/>
          <w:lang w:val="en" w:bidi="ar"/>
        </w:rPr>
        <w:t>This section sets out the regulatory adjustments to be applied to regulatory capital. In most cases these adjustments are applied in the calculation of Common Equity Tier 1.</w:t>
      </w:r>
    </w:p>
    <w:p w:rsidR="00F27413" w:rsidRPr="005A2107" w:rsidRDefault="00F27413" w:rsidP="00392B92">
      <w:pPr>
        <w:pStyle w:val="ListParagraph"/>
        <w:numPr>
          <w:ilvl w:val="0"/>
          <w:numId w:val="11"/>
        </w:numPr>
        <w:bidi w:val="0"/>
        <w:spacing w:after="0" w:line="276" w:lineRule="auto"/>
        <w:ind w:left="630" w:hanging="540"/>
        <w:rPr>
          <w:rStyle w:val="tlid-translation"/>
          <w:rFonts w:ascii="Times New Roman" w:hAnsi="Times New Roman" w:cs="Times New Roman"/>
          <w:sz w:val="24"/>
          <w:szCs w:val="24"/>
          <w:lang w:val="en" w:bidi="ar"/>
        </w:rPr>
      </w:pPr>
      <w:r w:rsidRPr="005A2107">
        <w:rPr>
          <w:rStyle w:val="tlid-translation"/>
          <w:rFonts w:ascii="Times New Roman" w:hAnsi="Times New Roman" w:cs="Times New Roman"/>
          <w:sz w:val="24"/>
          <w:szCs w:val="24"/>
          <w:lang w:val="en" w:bidi="ar"/>
        </w:rPr>
        <w:t>Goodwill and other intangibles</w:t>
      </w:r>
      <w:r w:rsidR="00BD5854">
        <w:rPr>
          <w:rStyle w:val="tlid-translation"/>
          <w:rFonts w:ascii="Times New Roman" w:hAnsi="Times New Roman" w:cs="Times New Roman"/>
          <w:sz w:val="24"/>
          <w:szCs w:val="24"/>
          <w:lang w:val="en" w:bidi="ar"/>
        </w:rPr>
        <w:t xml:space="preserve"> assets</w:t>
      </w:r>
    </w:p>
    <w:p w:rsidR="00F27413" w:rsidRPr="005A2107" w:rsidRDefault="00F27413" w:rsidP="00392B92">
      <w:pPr>
        <w:pStyle w:val="ListParagraph"/>
        <w:numPr>
          <w:ilvl w:val="1"/>
          <w:numId w:val="11"/>
        </w:numPr>
        <w:bidi w:val="0"/>
        <w:spacing w:after="0" w:line="276" w:lineRule="auto"/>
        <w:ind w:left="1260" w:hanging="630"/>
        <w:rPr>
          <w:rStyle w:val="tlid-translation"/>
          <w:rFonts w:ascii="Times New Roman" w:hAnsi="Times New Roman" w:cs="Times New Roman"/>
          <w:b w:val="0"/>
          <w:bCs w:val="0"/>
          <w:sz w:val="24"/>
          <w:szCs w:val="24"/>
          <w:lang w:val="en" w:bidi="ar"/>
        </w:rPr>
      </w:pPr>
      <w:r w:rsidRPr="005A2107">
        <w:rPr>
          <w:rStyle w:val="tlid-translation"/>
          <w:rFonts w:ascii="Times New Roman" w:hAnsi="Times New Roman" w:cs="Times New Roman"/>
          <w:b w:val="0"/>
          <w:bCs w:val="0"/>
          <w:sz w:val="24"/>
          <w:szCs w:val="24"/>
          <w:lang w:val="en" w:bidi="ar"/>
        </w:rPr>
        <w:t>Goodwill and all other intangibles</w:t>
      </w:r>
      <w:r w:rsidR="00BD5854">
        <w:rPr>
          <w:rStyle w:val="tlid-translation"/>
          <w:rFonts w:ascii="Times New Roman" w:hAnsi="Times New Roman" w:cs="Times New Roman"/>
          <w:b w:val="0"/>
          <w:bCs w:val="0"/>
          <w:sz w:val="24"/>
          <w:szCs w:val="24"/>
          <w:lang w:val="en" w:bidi="ar"/>
        </w:rPr>
        <w:t xml:space="preserve"> assets</w:t>
      </w:r>
      <w:r w:rsidRPr="005A2107">
        <w:rPr>
          <w:rStyle w:val="tlid-translation"/>
          <w:rFonts w:ascii="Times New Roman" w:hAnsi="Times New Roman" w:cs="Times New Roman"/>
          <w:b w:val="0"/>
          <w:bCs w:val="0"/>
          <w:sz w:val="24"/>
          <w:szCs w:val="24"/>
          <w:lang w:val="en" w:bidi="ar"/>
        </w:rPr>
        <w:t xml:space="preserve"> must be deducted in the calculation of Common Equity Tier 1, including any goodwill included in the valuation of significant investments in the capital of banking, financial and insurance entities that are outside the scope of regulatory consolidation.</w:t>
      </w:r>
    </w:p>
    <w:p w:rsidR="00F27413" w:rsidRPr="005A2107" w:rsidRDefault="00F27413" w:rsidP="00392B92">
      <w:pPr>
        <w:pStyle w:val="ListParagraph"/>
        <w:numPr>
          <w:ilvl w:val="1"/>
          <w:numId w:val="11"/>
        </w:numPr>
        <w:bidi w:val="0"/>
        <w:spacing w:after="0" w:line="276" w:lineRule="auto"/>
        <w:ind w:left="1260" w:hanging="630"/>
        <w:rPr>
          <w:rStyle w:val="tlid-translation"/>
          <w:rFonts w:ascii="Times New Roman" w:hAnsi="Times New Roman" w:cs="Times New Roman"/>
          <w:b w:val="0"/>
          <w:bCs w:val="0"/>
          <w:sz w:val="24"/>
          <w:szCs w:val="24"/>
          <w:lang w:val="en" w:bidi="ar"/>
        </w:rPr>
      </w:pPr>
      <w:r w:rsidRPr="005A2107">
        <w:rPr>
          <w:rStyle w:val="tlid-translation"/>
          <w:rFonts w:ascii="Times New Roman" w:hAnsi="Times New Roman" w:cs="Times New Roman"/>
          <w:b w:val="0"/>
          <w:bCs w:val="0"/>
          <w:sz w:val="24"/>
          <w:szCs w:val="24"/>
          <w:lang w:val="en" w:bidi="ar"/>
        </w:rPr>
        <w:t xml:space="preserve"> International Financial Reporting Standards (IFRS) definitions are used to determine which assets are classified as intangible and are thus required to be deducted</w:t>
      </w:r>
      <w:r w:rsidR="00112783" w:rsidRPr="005A2107">
        <w:rPr>
          <w:rStyle w:val="tlid-translation"/>
          <w:rFonts w:ascii="Times New Roman" w:hAnsi="Times New Roman" w:cs="Times New Roman"/>
          <w:b w:val="0"/>
          <w:bCs w:val="0"/>
          <w:sz w:val="24"/>
          <w:szCs w:val="24"/>
          <w:lang w:val="en" w:bidi="ar"/>
        </w:rPr>
        <w:t>.</w:t>
      </w:r>
    </w:p>
    <w:p w:rsidR="00112783" w:rsidRPr="005A2107" w:rsidRDefault="00112783" w:rsidP="00392B92">
      <w:pPr>
        <w:pStyle w:val="ListParagraph"/>
        <w:numPr>
          <w:ilvl w:val="0"/>
          <w:numId w:val="11"/>
        </w:numPr>
        <w:bidi w:val="0"/>
        <w:spacing w:after="0" w:line="276" w:lineRule="auto"/>
        <w:ind w:left="630" w:hanging="540"/>
        <w:rPr>
          <w:rStyle w:val="tlid-translation"/>
          <w:rFonts w:ascii="Times New Roman" w:hAnsi="Times New Roman" w:cs="Times New Roman"/>
          <w:sz w:val="24"/>
          <w:szCs w:val="24"/>
          <w:lang w:val="en" w:bidi="ar"/>
        </w:rPr>
      </w:pPr>
      <w:r w:rsidRPr="005A2107">
        <w:rPr>
          <w:rStyle w:val="tlid-translation"/>
          <w:rFonts w:ascii="Times New Roman" w:hAnsi="Times New Roman" w:cs="Times New Roman"/>
          <w:sz w:val="24"/>
          <w:szCs w:val="24"/>
          <w:lang w:val="en" w:bidi="ar"/>
        </w:rPr>
        <w:t>Deferred tax assets</w:t>
      </w:r>
      <w:r w:rsidR="00BD5854">
        <w:rPr>
          <w:rStyle w:val="tlid-translation"/>
          <w:rFonts w:ascii="Times New Roman" w:hAnsi="Times New Roman" w:cs="Times New Roman"/>
          <w:sz w:val="24"/>
          <w:szCs w:val="24"/>
          <w:lang w:val="en" w:bidi="ar"/>
        </w:rPr>
        <w:t xml:space="preserve"> (DTAs)</w:t>
      </w:r>
      <w:r w:rsidRPr="005A2107">
        <w:rPr>
          <w:rStyle w:val="tlid-translation"/>
          <w:rFonts w:ascii="Times New Roman" w:hAnsi="Times New Roman" w:cs="Times New Roman"/>
          <w:sz w:val="24"/>
          <w:szCs w:val="24"/>
          <w:lang w:val="en" w:bidi="ar"/>
        </w:rPr>
        <w:t>:</w:t>
      </w:r>
    </w:p>
    <w:p w:rsidR="00112783" w:rsidRPr="005A2107" w:rsidRDefault="00112783" w:rsidP="00BD5854">
      <w:pPr>
        <w:pStyle w:val="ListParagraph"/>
        <w:numPr>
          <w:ilvl w:val="1"/>
          <w:numId w:val="11"/>
        </w:numPr>
        <w:bidi w:val="0"/>
        <w:spacing w:after="0" w:line="276" w:lineRule="auto"/>
        <w:ind w:left="1260" w:hanging="630"/>
        <w:rPr>
          <w:rStyle w:val="tlid-translation"/>
          <w:rFonts w:ascii="Times New Roman" w:hAnsi="Times New Roman" w:cs="Times New Roman"/>
          <w:b w:val="0"/>
          <w:bCs w:val="0"/>
          <w:sz w:val="24"/>
          <w:szCs w:val="24"/>
          <w:lang w:val="en" w:bidi="ar"/>
        </w:rPr>
      </w:pPr>
      <w:r w:rsidRPr="005A2107">
        <w:rPr>
          <w:rStyle w:val="tlid-translation"/>
          <w:rFonts w:ascii="Times New Roman" w:hAnsi="Times New Roman" w:cs="Times New Roman"/>
          <w:b w:val="0"/>
          <w:bCs w:val="0"/>
          <w:sz w:val="24"/>
          <w:szCs w:val="24"/>
          <w:lang w:val="en" w:bidi="ar"/>
        </w:rPr>
        <w:t>Deferred tax asset</w:t>
      </w:r>
      <w:r w:rsidR="00BD5854">
        <w:rPr>
          <w:rStyle w:val="tlid-translation"/>
          <w:rFonts w:ascii="Times New Roman" w:hAnsi="Times New Roman" w:cs="Times New Roman"/>
          <w:b w:val="0"/>
          <w:bCs w:val="0"/>
          <w:sz w:val="24"/>
          <w:szCs w:val="24"/>
          <w:lang w:val="en" w:bidi="ar"/>
        </w:rPr>
        <w:t xml:space="preserve">s </w:t>
      </w:r>
      <w:r w:rsidRPr="005A2107">
        <w:rPr>
          <w:rStyle w:val="tlid-translation"/>
          <w:rFonts w:ascii="Times New Roman" w:hAnsi="Times New Roman" w:cs="Times New Roman"/>
          <w:b w:val="0"/>
          <w:bCs w:val="0"/>
          <w:sz w:val="24"/>
          <w:szCs w:val="24"/>
          <w:lang w:val="en" w:bidi="ar"/>
        </w:rPr>
        <w:t xml:space="preserve">that rely on future profitability of the bank to be </w:t>
      </w:r>
      <w:r w:rsidR="00052AB3" w:rsidRPr="005A2107">
        <w:rPr>
          <w:rStyle w:val="tlid-translation"/>
          <w:rFonts w:ascii="Times New Roman" w:hAnsi="Times New Roman" w:cs="Times New Roman"/>
          <w:b w:val="0"/>
          <w:bCs w:val="0"/>
          <w:sz w:val="24"/>
          <w:szCs w:val="24"/>
          <w:lang w:val="en" w:bidi="ar"/>
        </w:rPr>
        <w:t>realized</w:t>
      </w:r>
      <w:r w:rsidRPr="005A2107">
        <w:rPr>
          <w:rStyle w:val="tlid-translation"/>
          <w:rFonts w:ascii="Times New Roman" w:hAnsi="Times New Roman" w:cs="Times New Roman"/>
          <w:b w:val="0"/>
          <w:bCs w:val="0"/>
          <w:sz w:val="24"/>
          <w:szCs w:val="24"/>
          <w:lang w:val="en" w:bidi="ar"/>
        </w:rPr>
        <w:t xml:space="preserve"> are to be deducted in the calculation of Common Equity Tier 1. Deferred tax assets may be netted with associated deferred tax liabilities (DTLs) only if the DTAs and DTLs relate to taxes levied by the same taxation authority and offsetting is permitted by the relevant taxation authority.</w:t>
      </w:r>
    </w:p>
    <w:p w:rsidR="00112783" w:rsidRPr="005A2107" w:rsidRDefault="00112783" w:rsidP="00392B92">
      <w:pPr>
        <w:pStyle w:val="ListParagraph"/>
        <w:numPr>
          <w:ilvl w:val="1"/>
          <w:numId w:val="11"/>
        </w:numPr>
        <w:bidi w:val="0"/>
        <w:spacing w:after="0" w:line="276" w:lineRule="auto"/>
        <w:ind w:left="1260" w:hanging="630"/>
        <w:rPr>
          <w:rStyle w:val="tlid-translation"/>
          <w:rFonts w:ascii="Times New Roman" w:hAnsi="Times New Roman" w:cs="Times New Roman"/>
          <w:b w:val="0"/>
          <w:bCs w:val="0"/>
          <w:sz w:val="24"/>
          <w:szCs w:val="24"/>
          <w:lang w:val="en" w:bidi="ar"/>
        </w:rPr>
      </w:pPr>
      <w:r w:rsidRPr="005A2107">
        <w:rPr>
          <w:rStyle w:val="tlid-translation"/>
          <w:rFonts w:ascii="Times New Roman" w:hAnsi="Times New Roman" w:cs="Times New Roman"/>
          <w:b w:val="0"/>
          <w:bCs w:val="0"/>
          <w:sz w:val="24"/>
          <w:szCs w:val="24"/>
          <w:lang w:val="en" w:bidi="ar"/>
        </w:rPr>
        <w:t xml:space="preserve">An over installment of tax or, in some jurisdictions, current year tax losses carried back to prior years may give rise to a claim or receivable from the Income </w:t>
      </w:r>
      <w:r w:rsidRPr="005A2107">
        <w:rPr>
          <w:rStyle w:val="tlid-translation"/>
          <w:rFonts w:ascii="Times New Roman" w:hAnsi="Times New Roman" w:cs="Times New Roman"/>
          <w:b w:val="0"/>
          <w:bCs w:val="0"/>
          <w:sz w:val="24"/>
          <w:szCs w:val="24"/>
          <w:lang w:val="en" w:bidi="ar"/>
        </w:rPr>
        <w:lastRenderedPageBreak/>
        <w:t>tax department in Jordan or any tax authority in the countries in which the bank operates. Such amounts are typically classified as current tax assets for accounting purposes. The recovery of such a claim or receivable would not rely on the future profitability of the bank and would be assigned the relevant sovereign risk weighting.</w:t>
      </w:r>
    </w:p>
    <w:p w:rsidR="00112783" w:rsidRPr="005A2107" w:rsidRDefault="00112783" w:rsidP="00392B92">
      <w:pPr>
        <w:pStyle w:val="ListParagraph"/>
        <w:numPr>
          <w:ilvl w:val="0"/>
          <w:numId w:val="11"/>
        </w:numPr>
        <w:bidi w:val="0"/>
        <w:spacing w:after="0" w:line="276" w:lineRule="auto"/>
        <w:ind w:left="630" w:hanging="540"/>
        <w:rPr>
          <w:rStyle w:val="tlid-translation"/>
          <w:rFonts w:ascii="Times New Roman" w:hAnsi="Times New Roman" w:cs="Times New Roman"/>
          <w:sz w:val="24"/>
          <w:szCs w:val="24"/>
          <w:lang w:val="en" w:bidi="ar"/>
        </w:rPr>
      </w:pPr>
      <w:r w:rsidRPr="005A2107">
        <w:rPr>
          <w:rStyle w:val="tlid-translation"/>
          <w:rFonts w:ascii="Times New Roman" w:hAnsi="Times New Roman" w:cs="Times New Roman"/>
          <w:sz w:val="24"/>
          <w:szCs w:val="24"/>
          <w:lang w:val="en" w:bidi="ar"/>
        </w:rPr>
        <w:t>Cash flow hedge reserve:</w:t>
      </w:r>
    </w:p>
    <w:p w:rsidR="00112783" w:rsidRPr="005A2107" w:rsidRDefault="00112783" w:rsidP="00392B92">
      <w:pPr>
        <w:pStyle w:val="ListParagraph"/>
        <w:bidi w:val="0"/>
        <w:spacing w:after="0" w:line="276" w:lineRule="auto"/>
        <w:ind w:left="630"/>
        <w:rPr>
          <w:rStyle w:val="tlid-translation"/>
          <w:rFonts w:ascii="Times New Roman" w:hAnsi="Times New Roman" w:cs="Times New Roman"/>
          <w:b w:val="0"/>
          <w:bCs w:val="0"/>
          <w:sz w:val="24"/>
          <w:szCs w:val="24"/>
          <w:lang w:val="en" w:bidi="ar"/>
        </w:rPr>
      </w:pPr>
      <w:r w:rsidRPr="005A2107">
        <w:rPr>
          <w:rStyle w:val="tlid-translation"/>
          <w:rFonts w:ascii="Times New Roman" w:hAnsi="Times New Roman" w:cs="Times New Roman"/>
          <w:b w:val="0"/>
          <w:bCs w:val="0"/>
          <w:sz w:val="24"/>
          <w:szCs w:val="24"/>
          <w:lang w:val="en" w:bidi="ar"/>
        </w:rPr>
        <w:t xml:space="preserve">The amount of the cash flow hedge reserve that relates to the hedging of items that are not fair valued on the balance sheet (including projected cash flows) should be </w:t>
      </w:r>
      <w:r w:rsidR="00392B92" w:rsidRPr="005A2107">
        <w:rPr>
          <w:rStyle w:val="tlid-translation"/>
          <w:rFonts w:ascii="Times New Roman" w:hAnsi="Times New Roman" w:cs="Times New Roman"/>
          <w:b w:val="0"/>
          <w:bCs w:val="0"/>
          <w:sz w:val="24"/>
          <w:szCs w:val="24"/>
          <w:lang w:val="en" w:bidi="ar"/>
        </w:rPr>
        <w:t>derecognized</w:t>
      </w:r>
      <w:r w:rsidRPr="005A2107">
        <w:rPr>
          <w:rStyle w:val="tlid-translation"/>
          <w:rFonts w:ascii="Times New Roman" w:hAnsi="Times New Roman" w:cs="Times New Roman"/>
          <w:b w:val="0"/>
          <w:bCs w:val="0"/>
          <w:sz w:val="24"/>
          <w:szCs w:val="24"/>
          <w:lang w:val="en" w:bidi="ar"/>
        </w:rPr>
        <w:t xml:space="preserve"> in the calculation of Common Equity Tier 1. This means that positive amounts should be deducted and negative amounts should be added back.</w:t>
      </w:r>
    </w:p>
    <w:p w:rsidR="00112783" w:rsidRPr="005A2107" w:rsidRDefault="00112783" w:rsidP="00392B92">
      <w:pPr>
        <w:pStyle w:val="ListParagraph"/>
        <w:numPr>
          <w:ilvl w:val="0"/>
          <w:numId w:val="11"/>
        </w:numPr>
        <w:bidi w:val="0"/>
        <w:spacing w:after="0" w:line="276" w:lineRule="auto"/>
        <w:ind w:left="630" w:hanging="540"/>
        <w:rPr>
          <w:rStyle w:val="tlid-translation"/>
          <w:rFonts w:ascii="Times New Roman" w:hAnsi="Times New Roman" w:cs="Times New Roman"/>
          <w:sz w:val="24"/>
          <w:szCs w:val="24"/>
          <w:lang w:val="en" w:bidi="ar"/>
        </w:rPr>
      </w:pPr>
      <w:r w:rsidRPr="005A2107">
        <w:rPr>
          <w:rStyle w:val="tlid-translation"/>
          <w:rFonts w:ascii="Times New Roman" w:hAnsi="Times New Roman" w:cs="Times New Roman"/>
          <w:sz w:val="24"/>
          <w:szCs w:val="24"/>
          <w:lang w:val="en" w:bidi="ar"/>
        </w:rPr>
        <w:t>Gain on sale related to securitisation transactions:</w:t>
      </w:r>
    </w:p>
    <w:p w:rsidR="00112783" w:rsidRPr="005A2107" w:rsidRDefault="00392B92" w:rsidP="00392B92">
      <w:pPr>
        <w:pStyle w:val="ListParagraph"/>
        <w:bidi w:val="0"/>
        <w:spacing w:after="0" w:line="276" w:lineRule="auto"/>
        <w:ind w:left="630"/>
        <w:rPr>
          <w:rStyle w:val="tlid-translation"/>
          <w:rFonts w:ascii="Times New Roman" w:hAnsi="Times New Roman" w:cs="Times New Roman"/>
          <w:b w:val="0"/>
          <w:bCs w:val="0"/>
          <w:sz w:val="24"/>
          <w:szCs w:val="24"/>
          <w:lang w:val="en" w:bidi="ar"/>
        </w:rPr>
      </w:pPr>
      <w:r w:rsidRPr="005A2107">
        <w:rPr>
          <w:rStyle w:val="tlid-translation"/>
          <w:rFonts w:ascii="Times New Roman" w:hAnsi="Times New Roman" w:cs="Times New Roman"/>
          <w:b w:val="0"/>
          <w:bCs w:val="0"/>
          <w:sz w:val="24"/>
          <w:szCs w:val="24"/>
          <w:lang w:val="en" w:bidi="ar"/>
        </w:rPr>
        <w:t>Derecognize</w:t>
      </w:r>
      <w:r w:rsidR="00112783" w:rsidRPr="005A2107">
        <w:rPr>
          <w:rStyle w:val="tlid-translation"/>
          <w:rFonts w:ascii="Times New Roman" w:hAnsi="Times New Roman" w:cs="Times New Roman"/>
          <w:b w:val="0"/>
          <w:bCs w:val="0"/>
          <w:sz w:val="24"/>
          <w:szCs w:val="24"/>
          <w:lang w:val="en" w:bidi="ar"/>
        </w:rPr>
        <w:t xml:space="preserve"> in the calculation of Common Equity Tier 1 any increase in equity capital resulting from a securitisation transaction, such as that associated with expected future margin income (FMI) resulting in a gain-on-sale.</w:t>
      </w:r>
    </w:p>
    <w:p w:rsidR="00112783" w:rsidRPr="00BD5854" w:rsidRDefault="00112783" w:rsidP="00392B92">
      <w:pPr>
        <w:pStyle w:val="ListParagraph"/>
        <w:numPr>
          <w:ilvl w:val="0"/>
          <w:numId w:val="11"/>
        </w:numPr>
        <w:bidi w:val="0"/>
        <w:spacing w:after="0" w:line="276" w:lineRule="auto"/>
        <w:ind w:left="630" w:hanging="540"/>
        <w:rPr>
          <w:rStyle w:val="tlid-translation"/>
          <w:rFonts w:ascii="Times New Roman" w:hAnsi="Times New Roman" w:cs="Times New Roman"/>
          <w:sz w:val="24"/>
          <w:szCs w:val="24"/>
          <w:lang w:val="en" w:bidi="ar"/>
        </w:rPr>
      </w:pPr>
      <w:r w:rsidRPr="00BD5854">
        <w:rPr>
          <w:rStyle w:val="tlid-translation"/>
          <w:rFonts w:ascii="Times New Roman" w:hAnsi="Times New Roman" w:cs="Times New Roman"/>
          <w:sz w:val="24"/>
          <w:szCs w:val="24"/>
          <w:lang w:val="en" w:bidi="ar"/>
        </w:rPr>
        <w:t>Cumulative gains and losses due to changes in</w:t>
      </w:r>
      <w:r w:rsidR="00D83D14" w:rsidRPr="00BD5854">
        <w:rPr>
          <w:rStyle w:val="tlid-translation"/>
          <w:rFonts w:ascii="Times New Roman" w:hAnsi="Times New Roman" w:cs="Times New Roman"/>
          <w:sz w:val="24"/>
          <w:szCs w:val="24"/>
          <w:lang w:val="en" w:bidi="ar"/>
        </w:rPr>
        <w:t xml:space="preserve"> own credit risk on fair value </w:t>
      </w:r>
      <w:r w:rsidRPr="00BD5854">
        <w:rPr>
          <w:rStyle w:val="tlid-translation"/>
          <w:rFonts w:ascii="Times New Roman" w:hAnsi="Times New Roman" w:cs="Times New Roman"/>
          <w:sz w:val="24"/>
          <w:szCs w:val="24"/>
          <w:lang w:val="en" w:bidi="ar"/>
        </w:rPr>
        <w:t>financial liabilities:</w:t>
      </w:r>
    </w:p>
    <w:p w:rsidR="00112783" w:rsidRPr="005A2107" w:rsidRDefault="00392B92" w:rsidP="00392B92">
      <w:pPr>
        <w:pStyle w:val="ListParagraph"/>
        <w:bidi w:val="0"/>
        <w:spacing w:after="0" w:line="276" w:lineRule="auto"/>
        <w:ind w:left="630"/>
        <w:rPr>
          <w:rStyle w:val="tlid-translation"/>
          <w:rFonts w:ascii="Times New Roman" w:hAnsi="Times New Roman" w:cs="Times New Roman"/>
          <w:b w:val="0"/>
          <w:bCs w:val="0"/>
          <w:sz w:val="24"/>
          <w:szCs w:val="24"/>
          <w:lang w:val="en" w:bidi="ar"/>
        </w:rPr>
      </w:pPr>
      <w:r w:rsidRPr="005A2107">
        <w:rPr>
          <w:rStyle w:val="tlid-translation"/>
          <w:rFonts w:ascii="Times New Roman" w:hAnsi="Times New Roman" w:cs="Times New Roman"/>
          <w:b w:val="0"/>
          <w:bCs w:val="0"/>
          <w:sz w:val="24"/>
          <w:szCs w:val="24"/>
          <w:lang w:val="en" w:bidi="ar"/>
        </w:rPr>
        <w:t>Derecognize</w:t>
      </w:r>
      <w:r w:rsidR="00112783" w:rsidRPr="005A2107">
        <w:rPr>
          <w:rStyle w:val="tlid-translation"/>
          <w:rFonts w:ascii="Times New Roman" w:hAnsi="Times New Roman" w:cs="Times New Roman"/>
          <w:b w:val="0"/>
          <w:bCs w:val="0"/>
          <w:sz w:val="24"/>
          <w:szCs w:val="24"/>
          <w:lang w:val="en" w:bidi="ar"/>
        </w:rPr>
        <w:t xml:space="preserve"> in the calculation of Common Equity Tier 1, all unrealized gains and losses that have resulted from changes in the fair value of liabilities that are due to changes in the bank’s own credit risk.</w:t>
      </w:r>
    </w:p>
    <w:p w:rsidR="00112783" w:rsidRPr="00BD5854" w:rsidRDefault="00112783" w:rsidP="00392B92">
      <w:pPr>
        <w:pStyle w:val="ListParagraph"/>
        <w:numPr>
          <w:ilvl w:val="0"/>
          <w:numId w:val="11"/>
        </w:numPr>
        <w:bidi w:val="0"/>
        <w:spacing w:after="0" w:line="276" w:lineRule="auto"/>
        <w:ind w:left="630" w:hanging="540"/>
        <w:rPr>
          <w:rStyle w:val="tlid-translation"/>
          <w:rFonts w:ascii="Times New Roman" w:hAnsi="Times New Roman" w:cs="Times New Roman"/>
          <w:sz w:val="24"/>
          <w:szCs w:val="24"/>
          <w:lang w:val="en" w:bidi="ar"/>
        </w:rPr>
      </w:pPr>
      <w:r w:rsidRPr="00BD5854">
        <w:rPr>
          <w:rStyle w:val="tlid-translation"/>
          <w:rFonts w:ascii="Times New Roman" w:hAnsi="Times New Roman" w:cs="Times New Roman"/>
          <w:sz w:val="24"/>
          <w:szCs w:val="24"/>
          <w:lang w:val="en" w:bidi="ar"/>
        </w:rPr>
        <w:t xml:space="preserve">Deferred provisions with the approval of the Central Bank (if any) are </w:t>
      </w:r>
      <w:r w:rsidR="000B5ADF" w:rsidRPr="00BD5854">
        <w:rPr>
          <w:rStyle w:val="tlid-translation"/>
          <w:rFonts w:ascii="Times New Roman" w:hAnsi="Times New Roman" w:cs="Times New Roman"/>
          <w:sz w:val="24"/>
          <w:szCs w:val="24"/>
          <w:lang w:val="en" w:bidi="ar"/>
        </w:rPr>
        <w:t xml:space="preserve">deducted </w:t>
      </w:r>
      <w:r w:rsidRPr="00BD5854">
        <w:rPr>
          <w:rStyle w:val="tlid-translation"/>
          <w:rFonts w:ascii="Times New Roman" w:hAnsi="Times New Roman" w:cs="Times New Roman"/>
          <w:sz w:val="24"/>
          <w:szCs w:val="24"/>
          <w:lang w:val="en" w:bidi="ar"/>
        </w:rPr>
        <w:t>from CET1</w:t>
      </w:r>
      <w:r w:rsidR="00A04556" w:rsidRPr="00BD5854">
        <w:rPr>
          <w:rStyle w:val="tlid-translation"/>
          <w:rFonts w:ascii="Times New Roman" w:hAnsi="Times New Roman" w:cs="Times New Roman"/>
          <w:sz w:val="24"/>
          <w:szCs w:val="24"/>
          <w:lang w:val="en" w:bidi="ar"/>
        </w:rPr>
        <w:t>.</w:t>
      </w:r>
    </w:p>
    <w:p w:rsidR="00A04556" w:rsidRPr="00BD5854" w:rsidRDefault="00A04556" w:rsidP="00392B92">
      <w:pPr>
        <w:pStyle w:val="ListParagraph"/>
        <w:numPr>
          <w:ilvl w:val="0"/>
          <w:numId w:val="11"/>
        </w:numPr>
        <w:bidi w:val="0"/>
        <w:spacing w:after="0" w:line="276" w:lineRule="auto"/>
        <w:ind w:left="630" w:hanging="540"/>
        <w:rPr>
          <w:rStyle w:val="tlid-translation"/>
          <w:rFonts w:ascii="Times New Roman" w:hAnsi="Times New Roman" w:cs="Times New Roman"/>
          <w:sz w:val="24"/>
          <w:szCs w:val="24"/>
          <w:lang w:val="en" w:bidi="ar"/>
        </w:rPr>
      </w:pPr>
      <w:r w:rsidRPr="00BD5854">
        <w:rPr>
          <w:rStyle w:val="tlid-translation"/>
          <w:rFonts w:ascii="Times New Roman" w:hAnsi="Times New Roman" w:cs="Times New Roman"/>
          <w:sz w:val="24"/>
          <w:szCs w:val="24"/>
          <w:lang w:val="en" w:bidi="ar"/>
        </w:rPr>
        <w:t>Investments in own shares (treasury stock)</w:t>
      </w:r>
      <w:r w:rsidR="000B5ADF" w:rsidRPr="00BD5854">
        <w:rPr>
          <w:rStyle w:val="tlid-translation"/>
          <w:rFonts w:ascii="Times New Roman" w:hAnsi="Times New Roman" w:cs="Times New Roman"/>
          <w:sz w:val="24"/>
          <w:szCs w:val="24"/>
          <w:lang w:val="en" w:bidi="ar"/>
        </w:rPr>
        <w:t>:</w:t>
      </w:r>
    </w:p>
    <w:p w:rsidR="000B5ADF" w:rsidRPr="005A2107" w:rsidRDefault="000B5ADF" w:rsidP="00392B92">
      <w:pPr>
        <w:pStyle w:val="ListParagraph"/>
        <w:bidi w:val="0"/>
        <w:spacing w:after="0" w:line="276" w:lineRule="auto"/>
        <w:ind w:left="630"/>
        <w:rPr>
          <w:rStyle w:val="tlid-translation"/>
          <w:rFonts w:ascii="Times New Roman" w:hAnsi="Times New Roman" w:cs="Times New Roman"/>
          <w:b w:val="0"/>
          <w:bCs w:val="0"/>
          <w:sz w:val="24"/>
          <w:szCs w:val="24"/>
          <w:lang w:val="en" w:bidi="ar"/>
        </w:rPr>
      </w:pPr>
      <w:r w:rsidRPr="005A2107">
        <w:rPr>
          <w:rStyle w:val="tlid-translation"/>
          <w:rFonts w:ascii="Times New Roman" w:hAnsi="Times New Roman" w:cs="Times New Roman"/>
          <w:b w:val="0"/>
          <w:bCs w:val="0"/>
          <w:sz w:val="24"/>
          <w:szCs w:val="24"/>
          <w:lang w:val="en" w:bidi="ar"/>
        </w:rPr>
        <w:t xml:space="preserve">All of a bank’s investments in its own common shares, whether held directly or indirectly, will be deducted in the calculation of Common Equity Tier 1. In addition, any own stock which the bank could be contractually obliged to purchase should be deducted in the calculation of Common Equity Tier 1. </w:t>
      </w:r>
    </w:p>
    <w:p w:rsidR="000B5ADF" w:rsidRPr="005A2107" w:rsidRDefault="000B5ADF" w:rsidP="00392B92">
      <w:pPr>
        <w:pStyle w:val="ListParagraph"/>
        <w:bidi w:val="0"/>
        <w:spacing w:after="0" w:line="276" w:lineRule="auto"/>
        <w:ind w:left="630"/>
        <w:rPr>
          <w:rStyle w:val="tlid-translation"/>
          <w:rFonts w:ascii="Times New Roman" w:hAnsi="Times New Roman" w:cs="Times New Roman"/>
          <w:b w:val="0"/>
          <w:bCs w:val="0"/>
          <w:sz w:val="24"/>
          <w:szCs w:val="24"/>
          <w:lang w:val="en" w:bidi="ar"/>
        </w:rPr>
      </w:pPr>
      <w:r w:rsidRPr="005A2107">
        <w:rPr>
          <w:rStyle w:val="tlid-translation"/>
          <w:rFonts w:ascii="Times New Roman" w:hAnsi="Times New Roman" w:cs="Times New Roman"/>
          <w:b w:val="0"/>
          <w:bCs w:val="0"/>
          <w:sz w:val="24"/>
          <w:szCs w:val="24"/>
          <w:lang w:val="en" w:bidi="ar"/>
        </w:rPr>
        <w:t>Banks should look through holdings of index securities to deduct exposures to own shares (The amount to be deducted equals the value of the bank's own shares in the index).</w:t>
      </w:r>
    </w:p>
    <w:p w:rsidR="00505A8B" w:rsidRPr="005A2107" w:rsidRDefault="00505A8B" w:rsidP="00052AB3">
      <w:pPr>
        <w:pStyle w:val="ListParagraph"/>
        <w:numPr>
          <w:ilvl w:val="0"/>
          <w:numId w:val="11"/>
        </w:numPr>
        <w:bidi w:val="0"/>
        <w:spacing w:after="0" w:line="276" w:lineRule="auto"/>
        <w:ind w:left="630" w:hanging="540"/>
        <w:rPr>
          <w:rStyle w:val="tlid-translation"/>
          <w:rFonts w:ascii="Times New Roman" w:hAnsi="Times New Roman" w:cs="Times New Roman"/>
          <w:b w:val="0"/>
          <w:bCs w:val="0"/>
          <w:sz w:val="24"/>
          <w:szCs w:val="24"/>
          <w:lang w:val="en" w:bidi="ar"/>
        </w:rPr>
      </w:pPr>
      <w:r w:rsidRPr="005A2107">
        <w:rPr>
          <w:rFonts w:ascii="Times New Roman" w:hAnsi="Times New Roman" w:cs="Times New Roman"/>
          <w:b w:val="0"/>
          <w:bCs w:val="0"/>
          <w:sz w:val="24"/>
          <w:szCs w:val="24"/>
          <w:rtl/>
        </w:rPr>
        <w:t xml:space="preserve"> </w:t>
      </w:r>
      <w:r w:rsidR="000B5ADF" w:rsidRPr="00BD5854">
        <w:rPr>
          <w:rStyle w:val="tlid-translation"/>
          <w:rFonts w:ascii="Times New Roman" w:hAnsi="Times New Roman" w:cs="Times New Roman"/>
          <w:sz w:val="24"/>
          <w:szCs w:val="24"/>
          <w:lang w:val="en" w:bidi="ar"/>
        </w:rPr>
        <w:t>Investments in the capitals of subsidiaries that are not consolidated with the ban</w:t>
      </w:r>
      <w:r w:rsidR="00052AB3" w:rsidRPr="00BD5854">
        <w:rPr>
          <w:rStyle w:val="tlid-translation"/>
          <w:rFonts w:ascii="Times New Roman" w:hAnsi="Times New Roman" w:cs="Times New Roman"/>
          <w:sz w:val="24"/>
          <w:szCs w:val="24"/>
          <w:lang w:val="en" w:bidi="ar"/>
        </w:rPr>
        <w:t>k’s accounts,</w:t>
      </w:r>
      <w:r w:rsidR="00052AB3" w:rsidRPr="005A2107">
        <w:rPr>
          <w:rStyle w:val="tlid-translation"/>
          <w:rFonts w:ascii="Times New Roman" w:hAnsi="Times New Roman" w:cs="Times New Roman"/>
          <w:b w:val="0"/>
          <w:bCs w:val="0"/>
          <w:sz w:val="24"/>
          <w:szCs w:val="24"/>
          <w:lang w:val="en" w:bidi="ar"/>
        </w:rPr>
        <w:t xml:space="preserve"> as described in annex n</w:t>
      </w:r>
      <w:r w:rsidR="000B5ADF" w:rsidRPr="005A2107">
        <w:rPr>
          <w:rStyle w:val="tlid-translation"/>
          <w:rFonts w:ascii="Times New Roman" w:hAnsi="Times New Roman" w:cs="Times New Roman"/>
          <w:b w:val="0"/>
          <w:bCs w:val="0"/>
          <w:sz w:val="24"/>
          <w:szCs w:val="24"/>
          <w:lang w:val="en" w:bidi="ar"/>
        </w:rPr>
        <w:t>o. (1).</w:t>
      </w:r>
    </w:p>
    <w:p w:rsidR="000B5ADF" w:rsidRPr="00BD5854" w:rsidRDefault="000B5ADF" w:rsidP="00392B92">
      <w:pPr>
        <w:pStyle w:val="ListParagraph"/>
        <w:numPr>
          <w:ilvl w:val="0"/>
          <w:numId w:val="11"/>
        </w:numPr>
        <w:bidi w:val="0"/>
        <w:spacing w:after="0" w:line="276" w:lineRule="auto"/>
        <w:ind w:left="630" w:hanging="540"/>
        <w:rPr>
          <w:rStyle w:val="tlid-translation"/>
          <w:rFonts w:ascii="Times New Roman" w:hAnsi="Times New Roman" w:cs="Times New Roman"/>
          <w:sz w:val="24"/>
          <w:szCs w:val="24"/>
          <w:lang w:val="en" w:bidi="ar"/>
        </w:rPr>
      </w:pPr>
      <w:r w:rsidRPr="00BD5854">
        <w:rPr>
          <w:rStyle w:val="tlid-translation"/>
          <w:rFonts w:ascii="Times New Roman" w:hAnsi="Times New Roman" w:cs="Times New Roman"/>
          <w:sz w:val="24"/>
          <w:szCs w:val="24"/>
          <w:lang w:val="en" w:bidi="ar"/>
        </w:rPr>
        <w:t>Reciprocal cross holdings in the capital of banking, financial and insurance entities:</w:t>
      </w:r>
    </w:p>
    <w:p w:rsidR="000B5ADF" w:rsidRPr="005A2107" w:rsidRDefault="000B5ADF" w:rsidP="00392B92">
      <w:pPr>
        <w:pStyle w:val="ListParagraph"/>
        <w:bidi w:val="0"/>
        <w:spacing w:after="0" w:line="276" w:lineRule="auto"/>
        <w:ind w:left="630"/>
        <w:rPr>
          <w:rStyle w:val="tlid-translation"/>
          <w:rFonts w:ascii="Times New Roman" w:hAnsi="Times New Roman" w:cs="Times New Roman"/>
          <w:b w:val="0"/>
          <w:bCs w:val="0"/>
          <w:sz w:val="24"/>
          <w:szCs w:val="24"/>
          <w:lang w:val="en" w:bidi="ar"/>
        </w:rPr>
      </w:pPr>
      <w:r w:rsidRPr="005A2107">
        <w:rPr>
          <w:rStyle w:val="tlid-translation"/>
          <w:rFonts w:ascii="Times New Roman" w:hAnsi="Times New Roman" w:cs="Times New Roman"/>
          <w:b w:val="0"/>
          <w:bCs w:val="0"/>
          <w:sz w:val="24"/>
          <w:szCs w:val="24"/>
          <w:lang w:val="en" w:bidi="ar"/>
        </w:rPr>
        <w:t>Reciprocal cross holdings of capital that are designed to artificially inflate the capital position of banks will be deducted in full. Banks must apply a “corresponding deduction approach” to such investments in the capital of other banks, other financial institutions and insurance entities. This means the deduction should be applied to the same component of capital for which the capital would qualify if it was issued by the bank itself.</w:t>
      </w:r>
    </w:p>
    <w:p w:rsidR="000B5ADF" w:rsidRPr="00BD5854" w:rsidRDefault="000B5ADF" w:rsidP="00392B92">
      <w:pPr>
        <w:pStyle w:val="ListParagraph"/>
        <w:numPr>
          <w:ilvl w:val="0"/>
          <w:numId w:val="11"/>
        </w:numPr>
        <w:bidi w:val="0"/>
        <w:spacing w:after="0" w:line="276" w:lineRule="auto"/>
        <w:ind w:left="630" w:hanging="540"/>
        <w:rPr>
          <w:rStyle w:val="tlid-translation"/>
          <w:rFonts w:ascii="Times New Roman" w:hAnsi="Times New Roman" w:cs="Times New Roman"/>
          <w:sz w:val="24"/>
          <w:szCs w:val="24"/>
          <w:lang w:val="en"/>
        </w:rPr>
      </w:pPr>
      <w:r w:rsidRPr="00BD5854">
        <w:rPr>
          <w:rStyle w:val="tlid-translation"/>
          <w:rFonts w:ascii="Times New Roman" w:hAnsi="Times New Roman" w:cs="Times New Roman"/>
          <w:sz w:val="24"/>
          <w:szCs w:val="24"/>
          <w:lang w:val="en"/>
        </w:rPr>
        <w:t>Investments in the capital of banking, financial and insurance entities that are outside the scope of regulatory consolidation and where the bank does not own more than 10% of the issued common share capital of the entity</w:t>
      </w:r>
      <w:r w:rsidR="00283E66" w:rsidRPr="00BD5854">
        <w:rPr>
          <w:rStyle w:val="tlid-translation"/>
          <w:rFonts w:ascii="Times New Roman" w:hAnsi="Times New Roman" w:cs="Times New Roman"/>
          <w:sz w:val="24"/>
          <w:szCs w:val="24"/>
          <w:lang w:val="en"/>
        </w:rPr>
        <w:t>:</w:t>
      </w:r>
    </w:p>
    <w:p w:rsidR="00283E66" w:rsidRPr="005A2107" w:rsidRDefault="00283E66" w:rsidP="00392B92">
      <w:pPr>
        <w:pStyle w:val="ListParagraph"/>
        <w:numPr>
          <w:ilvl w:val="1"/>
          <w:numId w:val="11"/>
        </w:numPr>
        <w:bidi w:val="0"/>
        <w:spacing w:after="0" w:line="276" w:lineRule="auto"/>
        <w:ind w:left="1260" w:hanging="630"/>
        <w:rPr>
          <w:rStyle w:val="tlid-translation"/>
          <w:rFonts w:ascii="Times New Roman" w:hAnsi="Times New Roman" w:cs="Times New Roman"/>
          <w:b w:val="0"/>
          <w:bCs w:val="0"/>
          <w:sz w:val="24"/>
          <w:szCs w:val="24"/>
          <w:lang w:val="en" w:bidi="ar"/>
        </w:rPr>
      </w:pPr>
      <w:r w:rsidRPr="005A2107">
        <w:rPr>
          <w:rStyle w:val="tlid-translation"/>
          <w:rFonts w:ascii="Times New Roman" w:hAnsi="Times New Roman" w:cs="Times New Roman"/>
          <w:b w:val="0"/>
          <w:bCs w:val="0"/>
          <w:sz w:val="24"/>
          <w:szCs w:val="24"/>
          <w:lang w:val="en"/>
        </w:rPr>
        <w:lastRenderedPageBreak/>
        <w:t>The regulatory adjustment described in this section applies to inves</w:t>
      </w:r>
      <w:r w:rsidR="002C2B76">
        <w:rPr>
          <w:rStyle w:val="tlid-translation"/>
          <w:rFonts w:ascii="Times New Roman" w:hAnsi="Times New Roman" w:cs="Times New Roman"/>
          <w:b w:val="0"/>
          <w:bCs w:val="0"/>
          <w:sz w:val="24"/>
          <w:szCs w:val="24"/>
          <w:lang w:val="en"/>
        </w:rPr>
        <w:t>tments in the capital of banks</w:t>
      </w:r>
      <w:r w:rsidRPr="005A2107">
        <w:rPr>
          <w:rStyle w:val="tlid-translation"/>
          <w:rFonts w:ascii="Times New Roman" w:hAnsi="Times New Roman" w:cs="Times New Roman"/>
          <w:b w:val="0"/>
          <w:bCs w:val="0"/>
          <w:sz w:val="24"/>
          <w:szCs w:val="24"/>
          <w:lang w:val="en"/>
        </w:rPr>
        <w:t xml:space="preserve">, financial and insurance entities that are outside the scope of regulatory consolidation and where the bank does not own more than 10% of the issued common share capital of the entity. </w:t>
      </w:r>
      <w:r w:rsidRPr="005A2107">
        <w:rPr>
          <w:rStyle w:val="tlid-translation"/>
          <w:rFonts w:ascii="Times New Roman" w:hAnsi="Times New Roman" w:cs="Times New Roman"/>
          <w:b w:val="0"/>
          <w:bCs w:val="0"/>
          <w:sz w:val="24"/>
          <w:szCs w:val="24"/>
          <w:lang w:val="en" w:bidi="ar"/>
        </w:rPr>
        <w:t>These investments include the following:</w:t>
      </w:r>
    </w:p>
    <w:p w:rsidR="00283E66" w:rsidRPr="005A2107" w:rsidRDefault="00283E66" w:rsidP="00392B92">
      <w:pPr>
        <w:pStyle w:val="ListParagraph"/>
        <w:numPr>
          <w:ilvl w:val="2"/>
          <w:numId w:val="11"/>
        </w:numPr>
        <w:bidi w:val="0"/>
        <w:spacing w:after="0" w:line="276" w:lineRule="auto"/>
        <w:ind w:left="2160" w:hanging="900"/>
        <w:rPr>
          <w:rStyle w:val="tlid-translation"/>
          <w:rFonts w:ascii="Times New Roman" w:hAnsi="Times New Roman" w:cs="Times New Roman"/>
          <w:b w:val="0"/>
          <w:bCs w:val="0"/>
          <w:sz w:val="24"/>
          <w:szCs w:val="24"/>
          <w:lang w:val="en" w:bidi="ar"/>
        </w:rPr>
      </w:pPr>
      <w:r w:rsidRPr="005A2107">
        <w:rPr>
          <w:rStyle w:val="tlid-translation"/>
          <w:rFonts w:ascii="Times New Roman" w:hAnsi="Times New Roman" w:cs="Times New Roman"/>
          <w:b w:val="0"/>
          <w:bCs w:val="0"/>
          <w:sz w:val="24"/>
          <w:szCs w:val="24"/>
          <w:lang w:val="en" w:bidi="ar"/>
        </w:rPr>
        <w:t>Holdings in both the banking book and trading book, Including any investments in subordinated debt to other banks.</w:t>
      </w:r>
    </w:p>
    <w:p w:rsidR="00283E66" w:rsidRPr="005A2107" w:rsidRDefault="00283E66" w:rsidP="001719F0">
      <w:pPr>
        <w:pStyle w:val="ListParagraph"/>
        <w:numPr>
          <w:ilvl w:val="2"/>
          <w:numId w:val="11"/>
        </w:numPr>
        <w:bidi w:val="0"/>
        <w:spacing w:after="0" w:line="276" w:lineRule="auto"/>
        <w:ind w:left="2160" w:hanging="900"/>
        <w:rPr>
          <w:rStyle w:val="tlid-translation"/>
          <w:rFonts w:ascii="Times New Roman" w:hAnsi="Times New Roman" w:cs="Times New Roman"/>
          <w:b w:val="0"/>
          <w:bCs w:val="0"/>
          <w:sz w:val="24"/>
          <w:szCs w:val="24"/>
          <w:lang w:val="en" w:bidi="ar"/>
        </w:rPr>
      </w:pPr>
      <w:r w:rsidRPr="005A2107">
        <w:rPr>
          <w:rStyle w:val="tlid-translation"/>
          <w:rFonts w:ascii="Times New Roman" w:hAnsi="Times New Roman" w:cs="Times New Roman"/>
          <w:b w:val="0"/>
          <w:bCs w:val="0"/>
          <w:sz w:val="24"/>
          <w:szCs w:val="24"/>
          <w:lang w:val="en" w:bidi="ar"/>
        </w:rPr>
        <w:t>Direct and indirect investments</w:t>
      </w:r>
      <w:r w:rsidR="002E16BF" w:rsidRPr="005A2107">
        <w:rPr>
          <w:rStyle w:val="FootnoteReference"/>
          <w:rFonts w:ascii="Times New Roman" w:hAnsi="Times New Roman" w:cs="Times New Roman"/>
          <w:b w:val="0"/>
          <w:bCs w:val="0"/>
          <w:sz w:val="24"/>
          <w:szCs w:val="24"/>
          <w:lang w:val="en" w:bidi="ar"/>
        </w:rPr>
        <w:footnoteReference w:id="14"/>
      </w:r>
      <w:r w:rsidRPr="005A2107">
        <w:rPr>
          <w:rStyle w:val="tlid-translation"/>
          <w:rFonts w:ascii="Times New Roman" w:hAnsi="Times New Roman" w:cs="Times New Roman"/>
          <w:b w:val="0"/>
          <w:bCs w:val="0"/>
          <w:sz w:val="24"/>
          <w:szCs w:val="24"/>
          <w:lang w:val="en" w:bidi="ar"/>
        </w:rPr>
        <w:t xml:space="preserve"> </w:t>
      </w:r>
      <w:r w:rsidR="002E16BF" w:rsidRPr="005A2107">
        <w:rPr>
          <w:rStyle w:val="tlid-translation"/>
          <w:rFonts w:ascii="Times New Roman" w:hAnsi="Times New Roman" w:cs="Times New Roman"/>
          <w:b w:val="0"/>
          <w:bCs w:val="0"/>
          <w:sz w:val="24"/>
          <w:szCs w:val="24"/>
          <w:lang w:val="en" w:bidi="ar"/>
        </w:rPr>
        <w:t>in securities indexes</w:t>
      </w:r>
      <w:r w:rsidRPr="005A2107">
        <w:rPr>
          <w:rStyle w:val="tlid-translation"/>
          <w:rFonts w:ascii="Times New Roman" w:hAnsi="Times New Roman" w:cs="Times New Roman"/>
          <w:b w:val="0"/>
          <w:bCs w:val="0"/>
          <w:sz w:val="24"/>
          <w:szCs w:val="24"/>
          <w:lang w:val="en" w:bidi="ar"/>
        </w:rPr>
        <w:t xml:space="preserve">. </w:t>
      </w:r>
      <w:r w:rsidR="002E16BF" w:rsidRPr="005A2107">
        <w:rPr>
          <w:rStyle w:val="tlid-translation"/>
          <w:rFonts w:ascii="Times New Roman" w:hAnsi="Times New Roman" w:cs="Times New Roman"/>
          <w:b w:val="0"/>
          <w:bCs w:val="0"/>
          <w:sz w:val="24"/>
          <w:szCs w:val="24"/>
          <w:lang w:val="en" w:bidi="ar"/>
        </w:rPr>
        <w:t>where</w:t>
      </w:r>
      <w:r w:rsidRPr="005A2107">
        <w:rPr>
          <w:rStyle w:val="tlid-translation"/>
          <w:rFonts w:ascii="Times New Roman" w:hAnsi="Times New Roman" w:cs="Times New Roman"/>
          <w:b w:val="0"/>
          <w:bCs w:val="0"/>
          <w:sz w:val="24"/>
          <w:szCs w:val="24"/>
          <w:lang w:val="en" w:bidi="ar"/>
        </w:rPr>
        <w:t xml:space="preserve"> banks should look through holdings of index securities to </w:t>
      </w:r>
      <w:r w:rsidR="001719F0" w:rsidRPr="005A2107">
        <w:rPr>
          <w:rStyle w:val="tlid-translation"/>
          <w:rFonts w:ascii="Times New Roman" w:hAnsi="Times New Roman" w:cs="Times New Roman"/>
          <w:b w:val="0"/>
          <w:bCs w:val="0"/>
          <w:sz w:val="24"/>
          <w:szCs w:val="24"/>
          <w:lang w:val="en" w:bidi="ar"/>
        </w:rPr>
        <w:t xml:space="preserve">determine </w:t>
      </w:r>
      <w:r w:rsidR="001719F0" w:rsidRPr="002C2B76">
        <w:rPr>
          <w:rStyle w:val="tlid-translation"/>
          <w:rFonts w:ascii="Times New Roman" w:hAnsi="Times New Roman" w:cs="Times New Roman"/>
          <w:b w:val="0"/>
          <w:bCs w:val="0"/>
          <w:sz w:val="24"/>
          <w:szCs w:val="24"/>
          <w:lang w:bidi="ar"/>
        </w:rPr>
        <w:t>whether</w:t>
      </w:r>
      <w:r w:rsidR="002C2B76" w:rsidRPr="002C2B76">
        <w:rPr>
          <w:rStyle w:val="tlid-translation"/>
          <w:rFonts w:ascii="Times New Roman" w:hAnsi="Times New Roman" w:cs="Times New Roman"/>
          <w:b w:val="0"/>
          <w:bCs w:val="0"/>
          <w:sz w:val="24"/>
          <w:szCs w:val="24"/>
          <w:lang w:bidi="ar"/>
        </w:rPr>
        <w:t xml:space="preserve"> any of them </w:t>
      </w:r>
      <w:r w:rsidR="001719F0">
        <w:rPr>
          <w:rStyle w:val="tlid-translation"/>
          <w:rFonts w:ascii="Times New Roman" w:hAnsi="Times New Roman" w:cs="Times New Roman"/>
          <w:b w:val="0"/>
          <w:bCs w:val="0"/>
          <w:sz w:val="24"/>
          <w:szCs w:val="24"/>
          <w:lang w:bidi="ar"/>
        </w:rPr>
        <w:t>belong</w:t>
      </w:r>
      <w:r w:rsidR="002C2B76" w:rsidRPr="002C2B76">
        <w:rPr>
          <w:rStyle w:val="tlid-translation"/>
          <w:rFonts w:ascii="Times New Roman" w:hAnsi="Times New Roman" w:cs="Times New Roman"/>
          <w:b w:val="0"/>
          <w:bCs w:val="0"/>
          <w:sz w:val="24"/>
          <w:szCs w:val="24"/>
          <w:lang w:bidi="ar"/>
        </w:rPr>
        <w:t xml:space="preserve"> to investments in the capital of banks, financial companies and insurance</w:t>
      </w:r>
      <w:r w:rsidR="002C2B76">
        <w:rPr>
          <w:color w:val="202124"/>
          <w:lang w:val="en"/>
        </w:rPr>
        <w:t xml:space="preserve"> </w:t>
      </w:r>
      <w:r w:rsidRPr="005A2107">
        <w:rPr>
          <w:rStyle w:val="tlid-translation"/>
          <w:rFonts w:ascii="Times New Roman" w:hAnsi="Times New Roman" w:cs="Times New Roman"/>
          <w:b w:val="0"/>
          <w:bCs w:val="0"/>
          <w:sz w:val="24"/>
          <w:szCs w:val="24"/>
          <w:lang w:val="en" w:bidi="ar"/>
        </w:rPr>
        <w:t>capital</w:t>
      </w:r>
      <w:r w:rsidR="002E16BF" w:rsidRPr="005A2107">
        <w:rPr>
          <w:rStyle w:val="tlid-translation"/>
          <w:rFonts w:ascii="Times New Roman" w:hAnsi="Times New Roman" w:cs="Times New Roman"/>
          <w:b w:val="0"/>
          <w:bCs w:val="0"/>
          <w:sz w:val="24"/>
          <w:szCs w:val="24"/>
          <w:lang w:val="en" w:bidi="ar"/>
        </w:rPr>
        <w:t>.</w:t>
      </w:r>
    </w:p>
    <w:p w:rsidR="002E16BF" w:rsidRPr="005A2107" w:rsidRDefault="002E16BF" w:rsidP="00392B92">
      <w:pPr>
        <w:pStyle w:val="ListParagraph"/>
        <w:numPr>
          <w:ilvl w:val="2"/>
          <w:numId w:val="11"/>
        </w:numPr>
        <w:bidi w:val="0"/>
        <w:spacing w:after="0" w:line="276" w:lineRule="auto"/>
        <w:ind w:left="2160" w:hanging="900"/>
        <w:rPr>
          <w:rStyle w:val="tlid-translation"/>
          <w:rFonts w:ascii="Times New Roman" w:hAnsi="Times New Roman" w:cs="Times New Roman"/>
          <w:b w:val="0"/>
          <w:bCs w:val="0"/>
          <w:sz w:val="24"/>
          <w:szCs w:val="24"/>
          <w:lang w:val="en" w:bidi="ar"/>
        </w:rPr>
      </w:pPr>
      <w:r w:rsidRPr="005A2107">
        <w:rPr>
          <w:rStyle w:val="tlid-translation"/>
          <w:rFonts w:ascii="Times New Roman" w:hAnsi="Times New Roman" w:cs="Times New Roman"/>
          <w:b w:val="0"/>
          <w:bCs w:val="0"/>
          <w:sz w:val="24"/>
          <w:szCs w:val="24"/>
          <w:lang w:val="en" w:bidi="ar"/>
        </w:rPr>
        <w:t>Underwriting positions held for five working days or less can be excluded. Underwriting positions held for longer than five working days must be included.</w:t>
      </w:r>
    </w:p>
    <w:p w:rsidR="002E16BF" w:rsidRPr="005A2107" w:rsidRDefault="002E16BF" w:rsidP="00392B92">
      <w:pPr>
        <w:pStyle w:val="ListParagraph"/>
        <w:numPr>
          <w:ilvl w:val="2"/>
          <w:numId w:val="11"/>
        </w:numPr>
        <w:bidi w:val="0"/>
        <w:spacing w:after="0" w:line="276" w:lineRule="auto"/>
        <w:ind w:left="2160" w:hanging="900"/>
        <w:rPr>
          <w:rStyle w:val="tlid-translation"/>
          <w:rFonts w:ascii="Times New Roman" w:hAnsi="Times New Roman" w:cs="Times New Roman"/>
          <w:b w:val="0"/>
          <w:bCs w:val="0"/>
          <w:sz w:val="24"/>
          <w:szCs w:val="24"/>
          <w:lang w:val="en" w:bidi="ar"/>
        </w:rPr>
      </w:pPr>
      <w:r w:rsidRPr="005A2107">
        <w:rPr>
          <w:rStyle w:val="tlid-translation"/>
          <w:rFonts w:ascii="Times New Roman" w:hAnsi="Times New Roman" w:cs="Times New Roman"/>
          <w:b w:val="0"/>
          <w:bCs w:val="0"/>
          <w:sz w:val="24"/>
          <w:szCs w:val="24"/>
          <w:lang w:val="en" w:bidi="ar"/>
        </w:rPr>
        <w:t>If the capital instrument of the entity in which the bank has invested does not meet the criteria for Common Equity Tier 1, Additional Tier 1, or Tier 2 capital of the bank, the capital is to be considered common shares for the purposes of this regulatory adjustment</w:t>
      </w:r>
      <w:r w:rsidR="005622D2" w:rsidRPr="005A2107">
        <w:rPr>
          <w:rStyle w:val="tlid-translation"/>
          <w:rFonts w:ascii="Times New Roman" w:hAnsi="Times New Roman" w:cs="Times New Roman"/>
          <w:b w:val="0"/>
          <w:bCs w:val="0"/>
          <w:sz w:val="24"/>
          <w:szCs w:val="24"/>
          <w:lang w:val="en" w:bidi="ar"/>
        </w:rPr>
        <w:t>. If the investment is issued by a financial institution that is subject to supervision and the investment is not included in the regulatory capital of the financial company, this investment should not be subject to deduction</w:t>
      </w:r>
      <w:r w:rsidR="000B4625" w:rsidRPr="005A2107">
        <w:rPr>
          <w:rStyle w:val="tlid-translation"/>
          <w:rFonts w:ascii="Times New Roman" w:hAnsi="Times New Roman" w:cs="Times New Roman"/>
          <w:b w:val="0"/>
          <w:bCs w:val="0"/>
          <w:sz w:val="24"/>
          <w:szCs w:val="24"/>
          <w:lang w:val="en" w:bidi="ar"/>
        </w:rPr>
        <w:t>.</w:t>
      </w:r>
    </w:p>
    <w:p w:rsidR="000B4625" w:rsidRPr="005A2107" w:rsidRDefault="000B4625" w:rsidP="001719F0">
      <w:pPr>
        <w:pStyle w:val="ListParagraph"/>
        <w:numPr>
          <w:ilvl w:val="1"/>
          <w:numId w:val="11"/>
        </w:numPr>
        <w:bidi w:val="0"/>
        <w:spacing w:after="0" w:line="276" w:lineRule="auto"/>
        <w:ind w:left="1260" w:hanging="630"/>
        <w:rPr>
          <w:rStyle w:val="tlid-translation"/>
          <w:rFonts w:ascii="Times New Roman" w:hAnsi="Times New Roman" w:cs="Times New Roman"/>
          <w:b w:val="0"/>
          <w:bCs w:val="0"/>
          <w:sz w:val="24"/>
          <w:szCs w:val="24"/>
          <w:lang w:val="en" w:bidi="ar"/>
        </w:rPr>
      </w:pPr>
      <w:r w:rsidRPr="005A2107">
        <w:rPr>
          <w:rStyle w:val="tlid-translation"/>
          <w:rFonts w:ascii="Times New Roman" w:hAnsi="Times New Roman" w:cs="Times New Roman"/>
          <w:b w:val="0"/>
          <w:bCs w:val="0"/>
          <w:sz w:val="24"/>
          <w:szCs w:val="24"/>
          <w:lang w:val="en" w:bidi="ar"/>
        </w:rPr>
        <w:t xml:space="preserve">If the total of all holdings listed above in aggregate exceed 10% of the bank’s common equity (after applying all other regulatory adjustments in full listed prior to this one) then the amount above 10% is required to be deducted, applying a corresponding deduction approach. This means the deduction should be applied to the same component of capital for which the capital would qualify if it was issued by the bank itself, as shown in </w:t>
      </w:r>
      <w:r w:rsidR="001719F0">
        <w:rPr>
          <w:rStyle w:val="tlid-translation"/>
          <w:rFonts w:ascii="Times New Roman" w:hAnsi="Times New Roman" w:cs="Times New Roman"/>
          <w:b w:val="0"/>
          <w:bCs w:val="0"/>
          <w:sz w:val="24"/>
          <w:szCs w:val="24"/>
          <w:lang w:val="en" w:bidi="ar"/>
        </w:rPr>
        <w:t xml:space="preserve">annex no. </w:t>
      </w:r>
      <w:r w:rsidRPr="005A2107">
        <w:rPr>
          <w:rStyle w:val="tlid-translation"/>
          <w:rFonts w:ascii="Times New Roman" w:hAnsi="Times New Roman" w:cs="Times New Roman"/>
          <w:b w:val="0"/>
          <w:bCs w:val="0"/>
          <w:sz w:val="24"/>
          <w:szCs w:val="24"/>
          <w:lang w:val="en" w:bidi="ar"/>
        </w:rPr>
        <w:t>(3).</w:t>
      </w:r>
    </w:p>
    <w:p w:rsidR="000B4625" w:rsidRPr="005A2107" w:rsidRDefault="000B4625" w:rsidP="00392B92">
      <w:pPr>
        <w:pStyle w:val="ListParagraph"/>
        <w:numPr>
          <w:ilvl w:val="1"/>
          <w:numId w:val="11"/>
        </w:numPr>
        <w:bidi w:val="0"/>
        <w:spacing w:after="0" w:line="276" w:lineRule="auto"/>
        <w:ind w:left="1260" w:hanging="630"/>
        <w:rPr>
          <w:rStyle w:val="tlid-translation"/>
          <w:rFonts w:ascii="Times New Roman" w:hAnsi="Times New Roman" w:cs="Times New Roman"/>
          <w:b w:val="0"/>
          <w:bCs w:val="0"/>
          <w:sz w:val="24"/>
          <w:szCs w:val="24"/>
          <w:lang w:val="en" w:bidi="ar"/>
        </w:rPr>
      </w:pPr>
      <w:r w:rsidRPr="005A2107">
        <w:rPr>
          <w:rStyle w:val="tlid-translation"/>
          <w:rFonts w:ascii="Times New Roman" w:hAnsi="Times New Roman" w:cs="Times New Roman"/>
          <w:b w:val="0"/>
          <w:bCs w:val="0"/>
          <w:sz w:val="24"/>
          <w:szCs w:val="24"/>
          <w:lang w:val="en" w:bidi="ar"/>
        </w:rPr>
        <w:t>If, under the corresponding deduction approach, a bank is required to make a deduction from a particular tier of capital and it does not have enough of that tier of capital to satisfy that deduction, the shortfall will be deducted from the next higher tier of capital (</w:t>
      </w:r>
      <w:r w:rsidR="00052AB3" w:rsidRPr="005A2107">
        <w:rPr>
          <w:rStyle w:val="tlid-translation"/>
          <w:rFonts w:ascii="Times New Roman" w:hAnsi="Times New Roman" w:cs="Times New Roman"/>
          <w:b w:val="0"/>
          <w:bCs w:val="0"/>
          <w:sz w:val="24"/>
          <w:szCs w:val="24"/>
          <w:lang w:val="en" w:bidi="ar"/>
        </w:rPr>
        <w:t>e.g.</w:t>
      </w:r>
      <w:r w:rsidRPr="005A2107">
        <w:rPr>
          <w:rStyle w:val="tlid-translation"/>
          <w:rFonts w:ascii="Times New Roman" w:hAnsi="Times New Roman" w:cs="Times New Roman"/>
          <w:b w:val="0"/>
          <w:bCs w:val="0"/>
          <w:sz w:val="24"/>
          <w:szCs w:val="24"/>
          <w:lang w:val="en" w:bidi="ar"/>
        </w:rPr>
        <w:t xml:space="preserve"> if a bank does not have enough Additional Tier 1 capital to satisfy the deduction, the shortfall will be deducted from Common Equity Tier 1).</w:t>
      </w:r>
    </w:p>
    <w:p w:rsidR="000B4625" w:rsidRPr="00EC485A" w:rsidRDefault="008413D1" w:rsidP="00EC485A">
      <w:pPr>
        <w:pStyle w:val="ListParagraph"/>
        <w:numPr>
          <w:ilvl w:val="1"/>
          <w:numId w:val="11"/>
        </w:numPr>
        <w:bidi w:val="0"/>
        <w:spacing w:after="0" w:line="276" w:lineRule="auto"/>
        <w:ind w:left="1276" w:hanging="709"/>
        <w:rPr>
          <w:rStyle w:val="tlid-translation"/>
          <w:rFonts w:ascii="Times New Roman" w:hAnsi="Times New Roman" w:cs="Times New Roman"/>
          <w:b w:val="0"/>
          <w:bCs w:val="0"/>
          <w:sz w:val="24"/>
          <w:szCs w:val="24"/>
          <w:lang w:val="en" w:bidi="ar"/>
        </w:rPr>
      </w:pPr>
      <w:r w:rsidRPr="00EC485A">
        <w:rPr>
          <w:rStyle w:val="tlid-translation"/>
          <w:rFonts w:ascii="Times New Roman" w:hAnsi="Times New Roman" w:cs="Times New Roman"/>
          <w:b w:val="0"/>
          <w:bCs w:val="0"/>
          <w:sz w:val="24"/>
          <w:szCs w:val="24"/>
          <w:lang w:val="en" w:bidi="ar"/>
        </w:rPr>
        <w:t>Amounts below the threshold</w:t>
      </w:r>
      <w:r w:rsidR="00EC485A">
        <w:rPr>
          <w:rStyle w:val="tlid-translation"/>
          <w:rFonts w:ascii="Times New Roman" w:hAnsi="Times New Roman" w:cs="Times New Roman"/>
          <w:b w:val="0"/>
          <w:bCs w:val="0"/>
          <w:sz w:val="24"/>
          <w:szCs w:val="24"/>
          <w:lang w:val="en" w:bidi="ar"/>
        </w:rPr>
        <w:t xml:space="preserve"> (10% from CET1)</w:t>
      </w:r>
      <w:r w:rsidRPr="00EC485A">
        <w:rPr>
          <w:rStyle w:val="tlid-translation"/>
          <w:rFonts w:ascii="Times New Roman" w:hAnsi="Times New Roman" w:cs="Times New Roman"/>
          <w:b w:val="0"/>
          <w:bCs w:val="0"/>
          <w:sz w:val="24"/>
          <w:szCs w:val="24"/>
          <w:lang w:val="en" w:bidi="ar"/>
        </w:rPr>
        <w:t xml:space="preserve">, will continue to be risk weighted. </w:t>
      </w:r>
      <w:r w:rsidR="00E54631" w:rsidRPr="00EC485A">
        <w:rPr>
          <w:rStyle w:val="tlid-translation"/>
          <w:rFonts w:ascii="Times New Roman" w:hAnsi="Times New Roman" w:cs="Times New Roman"/>
          <w:b w:val="0"/>
          <w:bCs w:val="0"/>
          <w:sz w:val="24"/>
          <w:szCs w:val="24"/>
          <w:lang w:val="en" w:bidi="ar"/>
        </w:rPr>
        <w:t>That is, the amount contained within the trading portfolio is subject to weights of market risk, and contained within the banking portfolio is subject to weights of credit risk</w:t>
      </w:r>
      <w:r w:rsidRPr="00EC485A">
        <w:rPr>
          <w:rStyle w:val="tlid-translation"/>
          <w:rFonts w:ascii="Times New Roman" w:hAnsi="Times New Roman" w:cs="Times New Roman"/>
          <w:b w:val="0"/>
          <w:bCs w:val="0"/>
          <w:sz w:val="24"/>
          <w:szCs w:val="24"/>
          <w:lang w:val="en" w:bidi="ar"/>
        </w:rPr>
        <w:t xml:space="preserve">). </w:t>
      </w:r>
    </w:p>
    <w:p w:rsidR="000B4625" w:rsidRPr="005A2107" w:rsidRDefault="00E54631" w:rsidP="00BD5854">
      <w:pPr>
        <w:pStyle w:val="ListParagraph"/>
        <w:numPr>
          <w:ilvl w:val="0"/>
          <w:numId w:val="11"/>
        </w:numPr>
        <w:bidi w:val="0"/>
        <w:spacing w:after="0" w:line="276" w:lineRule="auto"/>
        <w:ind w:left="720" w:hanging="630"/>
        <w:rPr>
          <w:rStyle w:val="tlid-translation"/>
          <w:rFonts w:ascii="Times New Roman" w:hAnsi="Times New Roman" w:cs="Times New Roman"/>
          <w:b w:val="0"/>
          <w:bCs w:val="0"/>
          <w:sz w:val="24"/>
          <w:szCs w:val="24"/>
          <w:lang w:val="en" w:bidi="ar"/>
        </w:rPr>
      </w:pPr>
      <w:r w:rsidRPr="00BD5854">
        <w:rPr>
          <w:rStyle w:val="tlid-translation"/>
          <w:rFonts w:ascii="Times New Roman" w:hAnsi="Times New Roman" w:cs="Times New Roman"/>
          <w:sz w:val="24"/>
          <w:szCs w:val="24"/>
          <w:lang w:val="en" w:bidi="ar"/>
        </w:rPr>
        <w:t xml:space="preserve">Significant investments in the capital of </w:t>
      </w:r>
      <w:r w:rsidR="00EC485A" w:rsidRPr="00BD5854">
        <w:rPr>
          <w:rStyle w:val="tlid-translation"/>
          <w:rFonts w:ascii="Times New Roman" w:hAnsi="Times New Roman" w:cs="Times New Roman"/>
          <w:sz w:val="24"/>
          <w:szCs w:val="24"/>
          <w:lang w:val="en" w:bidi="ar"/>
        </w:rPr>
        <w:t>banks</w:t>
      </w:r>
      <w:r w:rsidRPr="00BD5854">
        <w:rPr>
          <w:rStyle w:val="tlid-translation"/>
          <w:rFonts w:ascii="Times New Roman" w:hAnsi="Times New Roman" w:cs="Times New Roman"/>
          <w:sz w:val="24"/>
          <w:szCs w:val="24"/>
          <w:lang w:val="en" w:bidi="ar"/>
        </w:rPr>
        <w:t xml:space="preserve">, financial and insurance entities that are outside the scope of regulatory consolidation where the bank owns more </w:t>
      </w:r>
      <w:r w:rsidRPr="00BD5854">
        <w:rPr>
          <w:rStyle w:val="tlid-translation"/>
          <w:rFonts w:ascii="Times New Roman" w:hAnsi="Times New Roman" w:cs="Times New Roman"/>
          <w:sz w:val="24"/>
          <w:szCs w:val="24"/>
          <w:lang w:val="en" w:bidi="ar"/>
        </w:rPr>
        <w:lastRenderedPageBreak/>
        <w:t>than 10</w:t>
      </w:r>
      <w:r w:rsidR="00BD5854">
        <w:rPr>
          <w:rStyle w:val="tlid-translation"/>
          <w:rFonts w:ascii="Times New Roman" w:hAnsi="Times New Roman" w:cs="Times New Roman"/>
          <w:sz w:val="24"/>
          <w:szCs w:val="24"/>
          <w:lang w:val="en" w:bidi="ar"/>
        </w:rPr>
        <w:t>%</w:t>
      </w:r>
      <w:r w:rsidRPr="005A2107">
        <w:rPr>
          <w:rStyle w:val="FootnoteReference"/>
          <w:rFonts w:ascii="Times New Roman" w:hAnsi="Times New Roman" w:cs="Times New Roman"/>
          <w:b w:val="0"/>
          <w:bCs w:val="0"/>
          <w:sz w:val="24"/>
          <w:szCs w:val="24"/>
          <w:lang w:val="en" w:bidi="ar"/>
        </w:rPr>
        <w:footnoteReference w:id="15"/>
      </w:r>
      <w:r w:rsidRPr="005A2107">
        <w:rPr>
          <w:rStyle w:val="tlid-translation"/>
          <w:rFonts w:ascii="Times New Roman" w:hAnsi="Times New Roman" w:cs="Times New Roman"/>
          <w:b w:val="0"/>
          <w:bCs w:val="0"/>
          <w:sz w:val="24"/>
          <w:szCs w:val="24"/>
          <w:lang w:val="en" w:bidi="ar"/>
        </w:rPr>
        <w:t xml:space="preserve"> (Taking into account not to violate the provisions of the Instructions No. (12/2002) dated 2002 on Banks Ownership of Shares and </w:t>
      </w:r>
      <w:r w:rsidR="00F93827" w:rsidRPr="005A2107">
        <w:rPr>
          <w:rStyle w:val="tlid-translation"/>
          <w:rFonts w:ascii="Times New Roman" w:hAnsi="Times New Roman" w:cs="Times New Roman"/>
          <w:b w:val="0"/>
          <w:bCs w:val="0"/>
          <w:sz w:val="24"/>
          <w:szCs w:val="24"/>
          <w:lang w:val="en" w:bidi="ar"/>
        </w:rPr>
        <w:t>Stocks in Companies' Capital).</w:t>
      </w:r>
    </w:p>
    <w:p w:rsidR="00F67EFF" w:rsidRPr="005A2107" w:rsidRDefault="00392B92" w:rsidP="00EC485A">
      <w:pPr>
        <w:pStyle w:val="ListParagraph"/>
        <w:bidi w:val="0"/>
        <w:spacing w:after="0" w:line="276" w:lineRule="auto"/>
        <w:ind w:left="1260" w:hanging="540"/>
        <w:rPr>
          <w:rStyle w:val="tlid-translation"/>
          <w:rFonts w:ascii="Times New Roman" w:hAnsi="Times New Roman" w:cs="Times New Roman"/>
          <w:b w:val="0"/>
          <w:bCs w:val="0"/>
          <w:sz w:val="24"/>
          <w:szCs w:val="24"/>
          <w:lang w:val="en" w:bidi="ar"/>
        </w:rPr>
      </w:pPr>
      <w:r w:rsidRPr="005A2107">
        <w:rPr>
          <w:rStyle w:val="tlid-translation"/>
          <w:rFonts w:ascii="Times New Roman" w:hAnsi="Times New Roman" w:cs="Times New Roman"/>
          <w:b w:val="0"/>
          <w:bCs w:val="0"/>
          <w:sz w:val="24"/>
          <w:szCs w:val="24"/>
          <w:lang w:val="en" w:bidi="ar"/>
        </w:rPr>
        <w:t>11.1</w:t>
      </w:r>
      <w:r w:rsidRPr="005A2107">
        <w:rPr>
          <w:rStyle w:val="tlid-translation"/>
          <w:rFonts w:ascii="Times New Roman" w:hAnsi="Times New Roman" w:cs="Times New Roman"/>
          <w:b w:val="0"/>
          <w:bCs w:val="0"/>
          <w:sz w:val="24"/>
          <w:szCs w:val="24"/>
          <w:lang w:val="en" w:bidi="ar"/>
        </w:rPr>
        <w:tab/>
      </w:r>
      <w:r w:rsidR="00F94745" w:rsidRPr="005A2107">
        <w:rPr>
          <w:rStyle w:val="tlid-translation"/>
          <w:rFonts w:ascii="Times New Roman" w:hAnsi="Times New Roman" w:cs="Times New Roman"/>
          <w:b w:val="0"/>
          <w:bCs w:val="0"/>
          <w:sz w:val="24"/>
          <w:szCs w:val="24"/>
          <w:lang w:val="en" w:bidi="ar"/>
        </w:rPr>
        <w:t xml:space="preserve">The regulatory adjustment described in this section applies to investments in the capital of </w:t>
      </w:r>
      <w:r w:rsidR="00EC485A">
        <w:rPr>
          <w:rStyle w:val="tlid-translation"/>
          <w:rFonts w:ascii="Times New Roman" w:hAnsi="Times New Roman" w:cs="Times New Roman"/>
          <w:b w:val="0"/>
          <w:bCs w:val="0"/>
          <w:sz w:val="24"/>
          <w:szCs w:val="24"/>
          <w:lang w:val="en" w:bidi="ar"/>
        </w:rPr>
        <w:t>banks</w:t>
      </w:r>
      <w:r w:rsidR="00F94745" w:rsidRPr="005A2107">
        <w:rPr>
          <w:rStyle w:val="tlid-translation"/>
          <w:rFonts w:ascii="Times New Roman" w:hAnsi="Times New Roman" w:cs="Times New Roman"/>
          <w:b w:val="0"/>
          <w:bCs w:val="0"/>
          <w:sz w:val="24"/>
          <w:szCs w:val="24"/>
          <w:lang w:val="en" w:bidi="ar"/>
        </w:rPr>
        <w:t>, financial and insurance entities that are outside the scope of regulatory consolidation where the bank owns more than 10% of the issued common share capital of the issuing entity or where the entity is an a</w:t>
      </w:r>
      <w:r w:rsidR="00F67EFF" w:rsidRPr="005A2107">
        <w:rPr>
          <w:rStyle w:val="tlid-translation"/>
          <w:rFonts w:ascii="Times New Roman" w:hAnsi="Times New Roman" w:cs="Times New Roman"/>
          <w:b w:val="0"/>
          <w:bCs w:val="0"/>
          <w:sz w:val="24"/>
          <w:szCs w:val="24"/>
          <w:lang w:val="en" w:bidi="ar"/>
        </w:rPr>
        <w:t>ffiliate30 of the bank. These investments include the following:</w:t>
      </w:r>
    </w:p>
    <w:p w:rsidR="00F67EFF" w:rsidRPr="005A2107" w:rsidRDefault="00F67EFF" w:rsidP="00392B92">
      <w:pPr>
        <w:pStyle w:val="ListParagraph"/>
        <w:bidi w:val="0"/>
        <w:spacing w:after="0" w:line="276" w:lineRule="auto"/>
        <w:ind w:left="2160" w:hanging="900"/>
        <w:rPr>
          <w:rStyle w:val="tlid-translation"/>
          <w:rFonts w:ascii="Times New Roman" w:hAnsi="Times New Roman" w:cs="Times New Roman"/>
          <w:b w:val="0"/>
          <w:bCs w:val="0"/>
          <w:sz w:val="24"/>
          <w:szCs w:val="24"/>
          <w:lang w:val="en" w:bidi="ar"/>
        </w:rPr>
      </w:pPr>
      <w:r w:rsidRPr="005A2107">
        <w:rPr>
          <w:rStyle w:val="tlid-translation"/>
          <w:rFonts w:ascii="Times New Roman" w:hAnsi="Times New Roman" w:cs="Times New Roman"/>
          <w:b w:val="0"/>
          <w:bCs w:val="0"/>
          <w:sz w:val="24"/>
          <w:szCs w:val="24"/>
          <w:lang w:val="en" w:bidi="ar"/>
        </w:rPr>
        <w:t>11.1.1</w:t>
      </w:r>
      <w:r w:rsidRPr="005A2107">
        <w:rPr>
          <w:rStyle w:val="tlid-translation"/>
          <w:rFonts w:ascii="Times New Roman" w:hAnsi="Times New Roman" w:cs="Times New Roman"/>
          <w:b w:val="0"/>
          <w:bCs w:val="0"/>
          <w:sz w:val="24"/>
          <w:szCs w:val="24"/>
          <w:lang w:val="en" w:bidi="ar"/>
        </w:rPr>
        <w:tab/>
        <w:t xml:space="preserve">Holdings in both the </w:t>
      </w:r>
      <w:r w:rsidR="00EC485A">
        <w:rPr>
          <w:rStyle w:val="tlid-translation"/>
          <w:rFonts w:ascii="Times New Roman" w:hAnsi="Times New Roman" w:cs="Times New Roman"/>
          <w:b w:val="0"/>
          <w:bCs w:val="0"/>
          <w:sz w:val="24"/>
          <w:szCs w:val="24"/>
          <w:lang w:val="en" w:bidi="ar"/>
        </w:rPr>
        <w:t>banking book and trading book, i</w:t>
      </w:r>
      <w:r w:rsidRPr="005A2107">
        <w:rPr>
          <w:rStyle w:val="tlid-translation"/>
          <w:rFonts w:ascii="Times New Roman" w:hAnsi="Times New Roman" w:cs="Times New Roman"/>
          <w:b w:val="0"/>
          <w:bCs w:val="0"/>
          <w:sz w:val="24"/>
          <w:szCs w:val="24"/>
          <w:lang w:val="en" w:bidi="ar"/>
        </w:rPr>
        <w:t>ncluding any investments in subordinated debt to other banks.</w:t>
      </w:r>
    </w:p>
    <w:p w:rsidR="00F67EFF" w:rsidRPr="005A2107" w:rsidRDefault="00F67EFF" w:rsidP="00EC485A">
      <w:pPr>
        <w:pStyle w:val="ListParagraph"/>
        <w:bidi w:val="0"/>
        <w:spacing w:after="0" w:line="276" w:lineRule="auto"/>
        <w:ind w:left="2160" w:hanging="900"/>
        <w:rPr>
          <w:rStyle w:val="tlid-translation"/>
          <w:rFonts w:ascii="Times New Roman" w:hAnsi="Times New Roman" w:cs="Times New Roman"/>
          <w:b w:val="0"/>
          <w:bCs w:val="0"/>
          <w:sz w:val="24"/>
          <w:szCs w:val="24"/>
          <w:lang w:val="en" w:bidi="ar"/>
        </w:rPr>
      </w:pPr>
      <w:r w:rsidRPr="005A2107">
        <w:rPr>
          <w:rStyle w:val="tlid-translation"/>
          <w:rFonts w:ascii="Times New Roman" w:hAnsi="Times New Roman" w:cs="Times New Roman"/>
          <w:b w:val="0"/>
          <w:bCs w:val="0"/>
          <w:sz w:val="24"/>
          <w:szCs w:val="24"/>
          <w:lang w:val="en" w:bidi="ar"/>
        </w:rPr>
        <w:t>11.1.2</w:t>
      </w:r>
      <w:r w:rsidRPr="005A2107">
        <w:rPr>
          <w:rStyle w:val="tlid-translation"/>
          <w:rFonts w:ascii="Times New Roman" w:hAnsi="Times New Roman" w:cs="Times New Roman"/>
          <w:b w:val="0"/>
          <w:bCs w:val="0"/>
          <w:sz w:val="24"/>
          <w:szCs w:val="24"/>
          <w:lang w:val="en" w:bidi="ar"/>
        </w:rPr>
        <w:tab/>
        <w:t>Direct and indirect investments</w:t>
      </w:r>
      <w:r w:rsidRPr="005A2107">
        <w:rPr>
          <w:rFonts w:ascii="Times New Roman" w:hAnsi="Times New Roman" w:cs="Times New Roman"/>
          <w:b w:val="0"/>
          <w:bCs w:val="0"/>
          <w:sz w:val="24"/>
          <w:szCs w:val="24"/>
        </w:rPr>
        <w:t xml:space="preserve"> </w:t>
      </w:r>
      <w:r w:rsidRPr="005A2107">
        <w:rPr>
          <w:rStyle w:val="tlid-translation"/>
          <w:rFonts w:ascii="Times New Roman" w:hAnsi="Times New Roman" w:cs="Times New Roman"/>
          <w:b w:val="0"/>
          <w:bCs w:val="0"/>
          <w:sz w:val="24"/>
          <w:szCs w:val="24"/>
          <w:lang w:val="en" w:bidi="ar"/>
        </w:rPr>
        <w:t xml:space="preserve">in securities indexes. where banks should look through holdings of index securities </w:t>
      </w:r>
      <w:r w:rsidR="00EC485A" w:rsidRPr="005A2107">
        <w:rPr>
          <w:rStyle w:val="tlid-translation"/>
          <w:rFonts w:ascii="Times New Roman" w:hAnsi="Times New Roman" w:cs="Times New Roman"/>
          <w:b w:val="0"/>
          <w:bCs w:val="0"/>
          <w:sz w:val="24"/>
          <w:szCs w:val="24"/>
          <w:lang w:val="en" w:bidi="ar"/>
        </w:rPr>
        <w:t xml:space="preserve">to determine </w:t>
      </w:r>
      <w:r w:rsidR="00EC485A" w:rsidRPr="002C2B76">
        <w:rPr>
          <w:rStyle w:val="tlid-translation"/>
          <w:rFonts w:ascii="Times New Roman" w:hAnsi="Times New Roman" w:cs="Times New Roman"/>
          <w:b w:val="0"/>
          <w:bCs w:val="0"/>
          <w:sz w:val="24"/>
          <w:szCs w:val="24"/>
          <w:lang w:bidi="ar"/>
        </w:rPr>
        <w:t xml:space="preserve">whether any of them </w:t>
      </w:r>
      <w:r w:rsidR="00EC485A">
        <w:rPr>
          <w:rStyle w:val="tlid-translation"/>
          <w:rFonts w:ascii="Times New Roman" w:hAnsi="Times New Roman" w:cs="Times New Roman"/>
          <w:b w:val="0"/>
          <w:bCs w:val="0"/>
          <w:sz w:val="24"/>
          <w:szCs w:val="24"/>
          <w:lang w:bidi="ar"/>
        </w:rPr>
        <w:t>belong</w:t>
      </w:r>
      <w:r w:rsidR="00EC485A" w:rsidRPr="002C2B76">
        <w:rPr>
          <w:rStyle w:val="tlid-translation"/>
          <w:rFonts w:ascii="Times New Roman" w:hAnsi="Times New Roman" w:cs="Times New Roman"/>
          <w:b w:val="0"/>
          <w:bCs w:val="0"/>
          <w:sz w:val="24"/>
          <w:szCs w:val="24"/>
          <w:lang w:bidi="ar"/>
        </w:rPr>
        <w:t xml:space="preserve"> to investments in the capital of banks, financial companies and insurance</w:t>
      </w:r>
      <w:r w:rsidR="00EC485A">
        <w:rPr>
          <w:color w:val="202124"/>
          <w:lang w:val="en"/>
        </w:rPr>
        <w:t xml:space="preserve"> </w:t>
      </w:r>
      <w:r w:rsidR="00EC485A" w:rsidRPr="005A2107">
        <w:rPr>
          <w:rStyle w:val="tlid-translation"/>
          <w:rFonts w:ascii="Times New Roman" w:hAnsi="Times New Roman" w:cs="Times New Roman"/>
          <w:b w:val="0"/>
          <w:bCs w:val="0"/>
          <w:sz w:val="24"/>
          <w:szCs w:val="24"/>
          <w:lang w:val="en" w:bidi="ar"/>
        </w:rPr>
        <w:t>capita</w:t>
      </w:r>
      <w:r w:rsidR="00EC485A">
        <w:rPr>
          <w:rStyle w:val="tlid-translation"/>
          <w:rFonts w:ascii="Times New Roman" w:hAnsi="Times New Roman" w:cs="Times New Roman"/>
          <w:b w:val="0"/>
          <w:bCs w:val="0"/>
          <w:sz w:val="24"/>
          <w:szCs w:val="24"/>
          <w:lang w:val="en" w:bidi="ar"/>
        </w:rPr>
        <w:t>l</w:t>
      </w:r>
      <w:r w:rsidRPr="005A2107">
        <w:rPr>
          <w:rStyle w:val="tlid-translation"/>
          <w:rFonts w:ascii="Times New Roman" w:hAnsi="Times New Roman" w:cs="Times New Roman"/>
          <w:b w:val="0"/>
          <w:bCs w:val="0"/>
          <w:sz w:val="24"/>
          <w:szCs w:val="24"/>
          <w:lang w:val="en" w:bidi="ar"/>
        </w:rPr>
        <w:t>.</w:t>
      </w:r>
    </w:p>
    <w:p w:rsidR="00F67EFF" w:rsidRPr="005A2107" w:rsidRDefault="00F67EFF" w:rsidP="00392B92">
      <w:pPr>
        <w:bidi w:val="0"/>
        <w:spacing w:after="0" w:line="276" w:lineRule="auto"/>
        <w:ind w:left="2160" w:hanging="900"/>
        <w:rPr>
          <w:rStyle w:val="tlid-translation"/>
          <w:rFonts w:ascii="Times New Roman" w:hAnsi="Times New Roman" w:cs="Times New Roman"/>
          <w:b w:val="0"/>
          <w:bCs w:val="0"/>
          <w:sz w:val="24"/>
          <w:szCs w:val="24"/>
          <w:lang w:val="en" w:bidi="ar"/>
        </w:rPr>
      </w:pPr>
      <w:r w:rsidRPr="005A2107">
        <w:rPr>
          <w:rStyle w:val="tlid-translation"/>
          <w:rFonts w:ascii="Times New Roman" w:hAnsi="Times New Roman" w:cs="Times New Roman"/>
          <w:b w:val="0"/>
          <w:bCs w:val="0"/>
          <w:sz w:val="24"/>
          <w:szCs w:val="24"/>
          <w:lang w:val="en" w:bidi="ar"/>
        </w:rPr>
        <w:t>11.1.3</w:t>
      </w:r>
      <w:r w:rsidRPr="005A2107">
        <w:rPr>
          <w:rStyle w:val="tlid-translation"/>
          <w:rFonts w:ascii="Times New Roman" w:hAnsi="Times New Roman" w:cs="Times New Roman"/>
          <w:b w:val="0"/>
          <w:bCs w:val="0"/>
          <w:sz w:val="24"/>
          <w:szCs w:val="24"/>
          <w:lang w:val="en" w:bidi="ar"/>
        </w:rPr>
        <w:tab/>
        <w:t>Underwriting positions held for five working days or less can be excluded. Underwriting positions held for longer than five working days must be included.</w:t>
      </w:r>
    </w:p>
    <w:p w:rsidR="00EF3D4A" w:rsidRPr="005A2107" w:rsidRDefault="00392B92" w:rsidP="00392B92">
      <w:pPr>
        <w:bidi w:val="0"/>
        <w:spacing w:after="0" w:line="276" w:lineRule="auto"/>
        <w:ind w:left="2160" w:hanging="900"/>
        <w:rPr>
          <w:rStyle w:val="tlid-translation"/>
          <w:rFonts w:ascii="Times New Roman" w:hAnsi="Times New Roman" w:cs="Times New Roman"/>
          <w:b w:val="0"/>
          <w:bCs w:val="0"/>
          <w:sz w:val="24"/>
          <w:szCs w:val="24"/>
          <w:lang w:val="en" w:bidi="ar"/>
        </w:rPr>
      </w:pPr>
      <w:r w:rsidRPr="005A2107">
        <w:rPr>
          <w:rStyle w:val="tlid-translation"/>
          <w:rFonts w:ascii="Times New Roman" w:hAnsi="Times New Roman" w:cs="Times New Roman"/>
          <w:b w:val="0"/>
          <w:bCs w:val="0"/>
          <w:sz w:val="24"/>
          <w:szCs w:val="24"/>
          <w:lang w:val="en" w:bidi="ar"/>
        </w:rPr>
        <w:t>11.1.4</w:t>
      </w:r>
      <w:r w:rsidRPr="005A2107">
        <w:rPr>
          <w:rStyle w:val="tlid-translation"/>
          <w:rFonts w:ascii="Times New Roman" w:hAnsi="Times New Roman" w:cs="Times New Roman"/>
          <w:b w:val="0"/>
          <w:bCs w:val="0"/>
          <w:sz w:val="24"/>
          <w:szCs w:val="24"/>
          <w:lang w:val="en" w:bidi="ar"/>
        </w:rPr>
        <w:tab/>
      </w:r>
      <w:r w:rsidR="00EF3D4A" w:rsidRPr="005A2107">
        <w:rPr>
          <w:rStyle w:val="tlid-translation"/>
          <w:rFonts w:ascii="Times New Roman" w:hAnsi="Times New Roman" w:cs="Times New Roman"/>
          <w:b w:val="0"/>
          <w:bCs w:val="0"/>
          <w:sz w:val="24"/>
          <w:szCs w:val="24"/>
          <w:lang w:val="en" w:bidi="ar"/>
        </w:rPr>
        <w:t>If the capital instrument of the entity in which the bank has invested does not meet the criteria for Common Equity Tier 1, Additional Tier 1, or Tier 2 capital of the bank, the capital is to be considered common shares for the purposes of this regulatory adjustment. If the investment is issued by a financial institution that is subject to supervision and the investment is not included in the regulatory capital of the financial company, this investment should not be subject to deduction.</w:t>
      </w:r>
    </w:p>
    <w:p w:rsidR="00EF3D4A" w:rsidRPr="005A2107" w:rsidRDefault="00EF3D4A" w:rsidP="00392B92">
      <w:pPr>
        <w:bidi w:val="0"/>
        <w:spacing w:after="0" w:line="276" w:lineRule="auto"/>
        <w:ind w:left="1260" w:hanging="540"/>
        <w:rPr>
          <w:rStyle w:val="tlid-translation"/>
          <w:rFonts w:ascii="Times New Roman" w:hAnsi="Times New Roman" w:cs="Times New Roman"/>
          <w:b w:val="0"/>
          <w:bCs w:val="0"/>
          <w:sz w:val="24"/>
          <w:szCs w:val="24"/>
          <w:lang w:val="en" w:bidi="ar"/>
        </w:rPr>
      </w:pPr>
      <w:r w:rsidRPr="005A2107">
        <w:rPr>
          <w:rStyle w:val="tlid-translation"/>
          <w:rFonts w:ascii="Times New Roman" w:hAnsi="Times New Roman" w:cs="Times New Roman"/>
          <w:b w:val="0"/>
          <w:bCs w:val="0"/>
          <w:sz w:val="24"/>
          <w:szCs w:val="24"/>
          <w:lang w:val="en" w:bidi="ar"/>
        </w:rPr>
        <w:t>11.2</w:t>
      </w:r>
      <w:r w:rsidRPr="005A2107">
        <w:rPr>
          <w:rStyle w:val="tlid-translation"/>
          <w:rFonts w:ascii="Times New Roman" w:hAnsi="Times New Roman" w:cs="Times New Roman"/>
          <w:b w:val="0"/>
          <w:bCs w:val="0"/>
          <w:sz w:val="24"/>
          <w:szCs w:val="24"/>
          <w:lang w:val="en" w:bidi="ar"/>
        </w:rPr>
        <w:tab/>
        <w:t>All investments included above that are not common shares must be fully deducted following a corresponding deduction approach. This means the deduction should be applied to the same tier of capital for which the capital would qualify if it was issued by the bank itself. If the bank is required to make a deduction from a particular tier of capital and it does not have enough of that tier of capital to satisfy that deduction, the shortfall will be deducted from the next higher tier of capital (</w:t>
      </w:r>
      <w:proofErr w:type="spellStart"/>
      <w:r w:rsidRPr="005A2107">
        <w:rPr>
          <w:rStyle w:val="tlid-translation"/>
          <w:rFonts w:ascii="Times New Roman" w:hAnsi="Times New Roman" w:cs="Times New Roman"/>
          <w:b w:val="0"/>
          <w:bCs w:val="0"/>
          <w:sz w:val="24"/>
          <w:szCs w:val="24"/>
          <w:lang w:val="en" w:bidi="ar"/>
        </w:rPr>
        <w:t>eg</w:t>
      </w:r>
      <w:proofErr w:type="spellEnd"/>
      <w:r w:rsidRPr="005A2107">
        <w:rPr>
          <w:rStyle w:val="tlid-translation"/>
          <w:rFonts w:ascii="Times New Roman" w:hAnsi="Times New Roman" w:cs="Times New Roman"/>
          <w:b w:val="0"/>
          <w:bCs w:val="0"/>
          <w:sz w:val="24"/>
          <w:szCs w:val="24"/>
          <w:lang w:val="en" w:bidi="ar"/>
        </w:rPr>
        <w:t xml:space="preserve"> if a bank does not have enough Additional Tier 1 capital to satisfy the deduction, the shortfall will be deducted from Common Equity Tier 1).</w:t>
      </w:r>
    </w:p>
    <w:p w:rsidR="00EF3D4A" w:rsidRPr="005A2107" w:rsidRDefault="00EF3D4A" w:rsidP="00392B92">
      <w:pPr>
        <w:bidi w:val="0"/>
        <w:spacing w:after="0" w:line="276" w:lineRule="auto"/>
        <w:ind w:left="1260" w:hanging="540"/>
        <w:rPr>
          <w:rStyle w:val="tlid-translation"/>
          <w:rFonts w:ascii="Times New Roman" w:hAnsi="Times New Roman" w:cs="Times New Roman"/>
          <w:b w:val="0"/>
          <w:bCs w:val="0"/>
          <w:sz w:val="24"/>
          <w:szCs w:val="24"/>
          <w:lang w:val="en" w:bidi="ar"/>
        </w:rPr>
      </w:pPr>
      <w:r w:rsidRPr="005A2107">
        <w:rPr>
          <w:rStyle w:val="tlid-translation"/>
          <w:rFonts w:ascii="Times New Roman" w:hAnsi="Times New Roman" w:cs="Times New Roman"/>
          <w:b w:val="0"/>
          <w:bCs w:val="0"/>
          <w:sz w:val="24"/>
          <w:szCs w:val="24"/>
          <w:lang w:val="en" w:bidi="ar"/>
        </w:rPr>
        <w:t>11.3</w:t>
      </w:r>
      <w:r w:rsidRPr="005A2107">
        <w:rPr>
          <w:rStyle w:val="tlid-translation"/>
          <w:rFonts w:ascii="Times New Roman" w:hAnsi="Times New Roman" w:cs="Times New Roman"/>
          <w:b w:val="0"/>
          <w:bCs w:val="0"/>
          <w:sz w:val="24"/>
          <w:szCs w:val="24"/>
          <w:lang w:val="en" w:bidi="ar"/>
        </w:rPr>
        <w:tab/>
        <w:t>Investments included above that are common shares will be subject to the following threshold treatment:</w:t>
      </w:r>
    </w:p>
    <w:p w:rsidR="00EF3D4A" w:rsidRPr="005A2107" w:rsidRDefault="00EF3D4A" w:rsidP="00392B92">
      <w:pPr>
        <w:bidi w:val="0"/>
        <w:spacing w:after="0" w:line="276" w:lineRule="auto"/>
        <w:ind w:left="2160" w:hanging="900"/>
        <w:rPr>
          <w:rStyle w:val="tlid-translation"/>
          <w:rFonts w:ascii="Times New Roman" w:hAnsi="Times New Roman" w:cs="Times New Roman"/>
          <w:b w:val="0"/>
          <w:bCs w:val="0"/>
          <w:sz w:val="24"/>
          <w:szCs w:val="24"/>
          <w:lang w:val="en" w:bidi="ar"/>
        </w:rPr>
      </w:pPr>
      <w:r w:rsidRPr="005A2107">
        <w:rPr>
          <w:rStyle w:val="tlid-translation"/>
          <w:rFonts w:ascii="Times New Roman" w:hAnsi="Times New Roman" w:cs="Times New Roman"/>
          <w:b w:val="0"/>
          <w:bCs w:val="0"/>
          <w:sz w:val="24"/>
          <w:szCs w:val="24"/>
          <w:lang w:val="en" w:bidi="ar"/>
        </w:rPr>
        <w:t>11.3.1</w:t>
      </w:r>
      <w:r w:rsidRPr="005A2107">
        <w:rPr>
          <w:rStyle w:val="tlid-translation"/>
          <w:rFonts w:ascii="Times New Roman" w:hAnsi="Times New Roman" w:cs="Times New Roman"/>
          <w:b w:val="0"/>
          <w:bCs w:val="0"/>
          <w:sz w:val="24"/>
          <w:szCs w:val="24"/>
          <w:lang w:val="en" w:bidi="ar"/>
        </w:rPr>
        <w:tab/>
        <w:t>Threshold deductions:</w:t>
      </w:r>
    </w:p>
    <w:p w:rsidR="00EF3D4A" w:rsidRPr="005A2107" w:rsidRDefault="00EC485A" w:rsidP="00EC485A">
      <w:pPr>
        <w:bidi w:val="0"/>
        <w:spacing w:after="0" w:line="276" w:lineRule="auto"/>
        <w:ind w:left="2552" w:hanging="392"/>
        <w:rPr>
          <w:rStyle w:val="tlid-translation"/>
          <w:rFonts w:ascii="Times New Roman" w:hAnsi="Times New Roman" w:cs="Times New Roman"/>
          <w:b w:val="0"/>
          <w:bCs w:val="0"/>
          <w:sz w:val="24"/>
          <w:szCs w:val="24"/>
          <w:lang w:val="en" w:bidi="ar"/>
        </w:rPr>
      </w:pPr>
      <w:r>
        <w:rPr>
          <w:rStyle w:val="tlid-translation"/>
          <w:rFonts w:ascii="Times New Roman" w:hAnsi="Times New Roman" w:cs="Times New Roman"/>
          <w:b w:val="0"/>
          <w:bCs w:val="0"/>
          <w:sz w:val="24"/>
          <w:szCs w:val="24"/>
          <w:lang w:val="en" w:bidi="ar"/>
        </w:rPr>
        <w:t>-</w:t>
      </w:r>
      <w:r>
        <w:rPr>
          <w:rStyle w:val="tlid-translation"/>
          <w:rFonts w:ascii="Times New Roman" w:hAnsi="Times New Roman" w:cs="Times New Roman"/>
          <w:b w:val="0"/>
          <w:bCs w:val="0"/>
          <w:sz w:val="24"/>
          <w:szCs w:val="24"/>
          <w:lang w:val="en" w:bidi="ar"/>
        </w:rPr>
        <w:tab/>
      </w:r>
      <w:r w:rsidR="00EF3D4A" w:rsidRPr="005A2107">
        <w:rPr>
          <w:rStyle w:val="tlid-translation"/>
          <w:rFonts w:ascii="Times New Roman" w:hAnsi="Times New Roman" w:cs="Times New Roman"/>
          <w:b w:val="0"/>
          <w:bCs w:val="0"/>
          <w:sz w:val="24"/>
          <w:szCs w:val="24"/>
          <w:lang w:val="en" w:bidi="ar"/>
        </w:rPr>
        <w:t xml:space="preserve">Instead of a full deduction, the following items may each receive limited recognition when calculating Common Equity Tier 1, with </w:t>
      </w:r>
      <w:r w:rsidR="00EF3D4A" w:rsidRPr="005A2107">
        <w:rPr>
          <w:rStyle w:val="tlid-translation"/>
          <w:rFonts w:ascii="Times New Roman" w:hAnsi="Times New Roman" w:cs="Times New Roman"/>
          <w:b w:val="0"/>
          <w:bCs w:val="0"/>
          <w:sz w:val="24"/>
          <w:szCs w:val="24"/>
          <w:lang w:val="en" w:bidi="ar"/>
        </w:rPr>
        <w:lastRenderedPageBreak/>
        <w:t>recognition capped at 10% of the bank’s common equity (after the application of all regulatory adjustments set out in clause Fourth):</w:t>
      </w:r>
    </w:p>
    <w:p w:rsidR="00B20A20" w:rsidRPr="005A2107" w:rsidRDefault="00EF3D4A" w:rsidP="00EC485A">
      <w:pPr>
        <w:pStyle w:val="ListParagraph"/>
        <w:numPr>
          <w:ilvl w:val="0"/>
          <w:numId w:val="12"/>
        </w:numPr>
        <w:bidi w:val="0"/>
        <w:spacing w:after="0" w:line="276" w:lineRule="auto"/>
        <w:ind w:left="3119" w:hanging="425"/>
        <w:rPr>
          <w:rStyle w:val="tlid-translation"/>
          <w:rFonts w:ascii="Times New Roman" w:hAnsi="Times New Roman" w:cs="Times New Roman"/>
          <w:b w:val="0"/>
          <w:bCs w:val="0"/>
          <w:sz w:val="24"/>
          <w:szCs w:val="24"/>
        </w:rPr>
      </w:pPr>
      <w:r w:rsidRPr="005A2107">
        <w:rPr>
          <w:rStyle w:val="tlid-translation"/>
          <w:rFonts w:ascii="Times New Roman" w:hAnsi="Times New Roman" w:cs="Times New Roman"/>
          <w:b w:val="0"/>
          <w:bCs w:val="0"/>
          <w:sz w:val="24"/>
          <w:szCs w:val="24"/>
          <w:lang w:val="en" w:bidi="ar"/>
        </w:rPr>
        <w:t xml:space="preserve">Significant investments in the common shares of unconsolidated financial institutions (banks, insurance and other financial entities) as referred to in </w:t>
      </w:r>
      <w:r w:rsidRPr="005A2107">
        <w:rPr>
          <w:rStyle w:val="tlid-translation"/>
          <w:rFonts w:ascii="Times New Roman" w:hAnsi="Times New Roman" w:cs="Times New Roman"/>
          <w:b w:val="0"/>
          <w:bCs w:val="0"/>
          <w:sz w:val="24"/>
          <w:szCs w:val="24"/>
        </w:rPr>
        <w:t>Clause (Fourth / 9) of Chapter Two</w:t>
      </w:r>
      <w:bookmarkStart w:id="12" w:name="_Toc451179997"/>
      <w:r w:rsidR="00B20A20" w:rsidRPr="005A2107">
        <w:rPr>
          <w:rStyle w:val="tlid-translation"/>
          <w:rFonts w:ascii="Times New Roman" w:hAnsi="Times New Roman" w:cs="Times New Roman"/>
          <w:b w:val="0"/>
          <w:bCs w:val="0"/>
          <w:sz w:val="24"/>
          <w:szCs w:val="24"/>
          <w:lang w:val="en" w:bidi="ar"/>
        </w:rPr>
        <w:t>;</w:t>
      </w:r>
    </w:p>
    <w:bookmarkEnd w:id="12"/>
    <w:p w:rsidR="00B20A20" w:rsidRPr="005A2107" w:rsidRDefault="00B20A20" w:rsidP="00EC485A">
      <w:pPr>
        <w:pStyle w:val="ListParagraph"/>
        <w:numPr>
          <w:ilvl w:val="0"/>
          <w:numId w:val="12"/>
        </w:numPr>
        <w:bidi w:val="0"/>
        <w:spacing w:after="0" w:line="276" w:lineRule="auto"/>
        <w:ind w:left="3119" w:hanging="425"/>
        <w:rPr>
          <w:rFonts w:ascii="Times New Roman" w:hAnsi="Times New Roman" w:cs="Times New Roman"/>
          <w:b w:val="0"/>
          <w:bCs w:val="0"/>
          <w:sz w:val="24"/>
          <w:szCs w:val="24"/>
        </w:rPr>
      </w:pPr>
      <w:r w:rsidRPr="005A2107">
        <w:rPr>
          <w:rFonts w:ascii="Times New Roman" w:hAnsi="Times New Roman" w:cs="Times New Roman"/>
          <w:b w:val="0"/>
          <w:bCs w:val="0"/>
          <w:sz w:val="24"/>
          <w:szCs w:val="24"/>
        </w:rPr>
        <w:t>Mortga</w:t>
      </w:r>
      <w:r w:rsidR="00A20410" w:rsidRPr="005A2107">
        <w:rPr>
          <w:rFonts w:ascii="Times New Roman" w:hAnsi="Times New Roman" w:cs="Times New Roman"/>
          <w:b w:val="0"/>
          <w:bCs w:val="0"/>
          <w:sz w:val="24"/>
          <w:szCs w:val="24"/>
        </w:rPr>
        <w:t>ge servicing rights (MSRs).</w:t>
      </w:r>
    </w:p>
    <w:p w:rsidR="00505A8B" w:rsidRPr="005A2107" w:rsidRDefault="00B20A20" w:rsidP="00EC485A">
      <w:pPr>
        <w:pStyle w:val="ListParagraph"/>
        <w:numPr>
          <w:ilvl w:val="0"/>
          <w:numId w:val="12"/>
        </w:numPr>
        <w:bidi w:val="0"/>
        <w:spacing w:after="0" w:line="276" w:lineRule="auto"/>
        <w:ind w:left="3119" w:hanging="425"/>
        <w:rPr>
          <w:rFonts w:ascii="Times New Roman" w:hAnsi="Times New Roman" w:cs="Times New Roman"/>
          <w:b w:val="0"/>
          <w:bCs w:val="0"/>
          <w:sz w:val="24"/>
          <w:szCs w:val="24"/>
        </w:rPr>
      </w:pPr>
      <w:r w:rsidRPr="005A2107">
        <w:rPr>
          <w:rFonts w:ascii="Times New Roman" w:hAnsi="Times New Roman" w:cs="Times New Roman"/>
          <w:b w:val="0"/>
          <w:bCs w:val="0"/>
          <w:sz w:val="24"/>
          <w:szCs w:val="24"/>
        </w:rPr>
        <w:t>DTAs that arise from temporary differences.</w:t>
      </w:r>
    </w:p>
    <w:p w:rsidR="00B20A20" w:rsidRPr="005A2107" w:rsidRDefault="00B20A20" w:rsidP="00EC485A">
      <w:pPr>
        <w:pStyle w:val="ListParagraph"/>
        <w:numPr>
          <w:ilvl w:val="0"/>
          <w:numId w:val="3"/>
        </w:numPr>
        <w:bidi w:val="0"/>
        <w:spacing w:after="0" w:line="276" w:lineRule="auto"/>
        <w:ind w:left="2694" w:hanging="567"/>
        <w:rPr>
          <w:rFonts w:ascii="Times New Roman" w:hAnsi="Times New Roman" w:cs="Times New Roman"/>
          <w:b w:val="0"/>
          <w:bCs w:val="0"/>
          <w:sz w:val="24"/>
          <w:szCs w:val="24"/>
        </w:rPr>
      </w:pPr>
      <w:r w:rsidRPr="005A2107">
        <w:rPr>
          <w:rFonts w:ascii="Times New Roman" w:hAnsi="Times New Roman" w:cs="Times New Roman"/>
          <w:b w:val="0"/>
          <w:bCs w:val="0"/>
          <w:sz w:val="24"/>
          <w:szCs w:val="24"/>
        </w:rPr>
        <w:t xml:space="preserve">From 30-9-2013 to </w:t>
      </w:r>
      <w:r w:rsidR="00EC485A">
        <w:rPr>
          <w:rFonts w:ascii="Times New Roman" w:hAnsi="Times New Roman" w:cs="Times New Roman"/>
          <w:b w:val="0"/>
          <w:bCs w:val="0"/>
          <w:sz w:val="24"/>
          <w:szCs w:val="24"/>
        </w:rPr>
        <w:t>31</w:t>
      </w:r>
      <w:r w:rsidRPr="005A2107">
        <w:rPr>
          <w:rFonts w:ascii="Times New Roman" w:hAnsi="Times New Roman" w:cs="Times New Roman"/>
          <w:b w:val="0"/>
          <w:bCs w:val="0"/>
          <w:sz w:val="24"/>
          <w:szCs w:val="24"/>
        </w:rPr>
        <w:t>-12-2018, a bank must deduct the amount by which the aggregate of the three items above exceeds 15% of its common equity component of Tier 1 (calculated prior to the deduction of these items but after application of all other regulatory adjustments applied in the calculation of Common Equity Tier 1). The items included in the 15% aggregate limit are subject to full disclosure. As of 1 January 2019, the calculation of the 15% limit will be subject to the following treatment: the amount of the three items that remains recognised after the application of all regulatory adjustments must not exceed 15% of the Common Equity Tier 1 capital, calculated after all regulatory adjustments. See Annex 4 for an example.</w:t>
      </w:r>
    </w:p>
    <w:p w:rsidR="00B20A20" w:rsidRPr="005A2107" w:rsidRDefault="00B20A20" w:rsidP="00EC485A">
      <w:pPr>
        <w:pStyle w:val="ListParagraph"/>
        <w:numPr>
          <w:ilvl w:val="0"/>
          <w:numId w:val="3"/>
        </w:numPr>
        <w:bidi w:val="0"/>
        <w:spacing w:after="0" w:line="276" w:lineRule="auto"/>
        <w:ind w:left="2694" w:hanging="567"/>
        <w:rPr>
          <w:rFonts w:ascii="Times New Roman" w:hAnsi="Times New Roman" w:cs="Times New Roman"/>
          <w:b w:val="0"/>
          <w:bCs w:val="0"/>
          <w:sz w:val="24"/>
          <w:szCs w:val="24"/>
        </w:rPr>
      </w:pPr>
      <w:r w:rsidRPr="005A2107">
        <w:rPr>
          <w:rFonts w:ascii="Times New Roman" w:hAnsi="Times New Roman" w:cs="Times New Roman"/>
          <w:b w:val="0"/>
          <w:bCs w:val="0"/>
          <w:sz w:val="24"/>
          <w:szCs w:val="24"/>
        </w:rPr>
        <w:t>The amount of the three items that are not deducted in the calculation of Common Equity Tier 1 will be risk weighted at 250%.</w:t>
      </w:r>
    </w:p>
    <w:p w:rsidR="00B20A20" w:rsidRPr="005A2107" w:rsidRDefault="00EC485A" w:rsidP="00EC485A">
      <w:pPr>
        <w:pStyle w:val="ListParagraph"/>
        <w:numPr>
          <w:ilvl w:val="0"/>
          <w:numId w:val="3"/>
        </w:numPr>
        <w:bidi w:val="0"/>
        <w:spacing w:after="0" w:line="276" w:lineRule="auto"/>
        <w:ind w:left="2694" w:hanging="567"/>
        <w:rPr>
          <w:rFonts w:ascii="Times New Roman" w:hAnsi="Times New Roman" w:cs="Times New Roman"/>
          <w:b w:val="0"/>
          <w:bCs w:val="0"/>
          <w:sz w:val="24"/>
          <w:szCs w:val="24"/>
        </w:rPr>
      </w:pPr>
      <w:r>
        <w:rPr>
          <w:rFonts w:ascii="Times New Roman" w:hAnsi="Times New Roman" w:cs="Times New Roman"/>
          <w:b w:val="0"/>
          <w:bCs w:val="0"/>
          <w:sz w:val="24"/>
          <w:szCs w:val="24"/>
        </w:rPr>
        <w:t xml:space="preserve">Annex no. </w:t>
      </w:r>
      <w:r w:rsidR="00B20A20" w:rsidRPr="005A2107">
        <w:rPr>
          <w:rFonts w:ascii="Times New Roman" w:hAnsi="Times New Roman" w:cs="Times New Roman"/>
          <w:b w:val="0"/>
          <w:bCs w:val="0"/>
          <w:sz w:val="24"/>
          <w:szCs w:val="24"/>
        </w:rPr>
        <w:t xml:space="preserve">(5) shows the elements of regulatory capital and regulatory amendments (Deductions). </w:t>
      </w:r>
    </w:p>
    <w:p w:rsidR="00B20A20" w:rsidRPr="005A2107" w:rsidRDefault="00B20A20" w:rsidP="00392B92">
      <w:pPr>
        <w:bidi w:val="0"/>
        <w:spacing w:after="0" w:line="276" w:lineRule="auto"/>
        <w:ind w:left="2160" w:hanging="900"/>
        <w:rPr>
          <w:rFonts w:ascii="Times New Roman" w:hAnsi="Times New Roman" w:cs="Times New Roman"/>
          <w:b w:val="0"/>
          <w:bCs w:val="0"/>
          <w:sz w:val="24"/>
          <w:szCs w:val="24"/>
        </w:rPr>
      </w:pPr>
      <w:r w:rsidRPr="005A2107">
        <w:rPr>
          <w:rFonts w:ascii="Times New Roman" w:hAnsi="Times New Roman" w:cs="Times New Roman"/>
          <w:b w:val="0"/>
          <w:bCs w:val="0"/>
          <w:sz w:val="24"/>
          <w:szCs w:val="24"/>
        </w:rPr>
        <w:t>11.3.2</w:t>
      </w:r>
      <w:r w:rsidRPr="005A2107">
        <w:rPr>
          <w:rFonts w:ascii="Times New Roman" w:hAnsi="Times New Roman" w:cs="Times New Roman"/>
          <w:b w:val="0"/>
          <w:bCs w:val="0"/>
          <w:sz w:val="24"/>
          <w:szCs w:val="24"/>
        </w:rPr>
        <w:tab/>
        <w:t>Former deductions from capital (Basel II)</w:t>
      </w:r>
    </w:p>
    <w:p w:rsidR="00B20A20" w:rsidRPr="005A2107" w:rsidRDefault="00B20A20" w:rsidP="001E6F20">
      <w:pPr>
        <w:bidi w:val="0"/>
        <w:spacing w:after="0" w:line="276" w:lineRule="auto"/>
        <w:ind w:left="2160"/>
        <w:rPr>
          <w:rFonts w:ascii="Times New Roman" w:hAnsi="Times New Roman" w:cs="Times New Roman"/>
          <w:b w:val="0"/>
          <w:bCs w:val="0"/>
          <w:sz w:val="24"/>
          <w:szCs w:val="24"/>
        </w:rPr>
      </w:pPr>
      <w:r w:rsidRPr="005A2107">
        <w:rPr>
          <w:rFonts w:ascii="Times New Roman" w:hAnsi="Times New Roman" w:cs="Times New Roman"/>
          <w:b w:val="0"/>
          <w:bCs w:val="0"/>
          <w:sz w:val="24"/>
          <w:szCs w:val="24"/>
        </w:rPr>
        <w:t xml:space="preserve">The following items, which under Basel II were deducted 50% from Tier 1 and 50% from Tier 2 (or had the option of being deducted or risk weighted), will be completely deducted from CET1, according to the time arrangements shown in </w:t>
      </w:r>
      <w:r w:rsidR="001E6F20" w:rsidRPr="005A2107">
        <w:rPr>
          <w:rFonts w:ascii="Times New Roman" w:hAnsi="Times New Roman" w:cs="Times New Roman"/>
          <w:b w:val="0"/>
          <w:bCs w:val="0"/>
          <w:sz w:val="24"/>
          <w:szCs w:val="24"/>
        </w:rPr>
        <w:t>Annex</w:t>
      </w:r>
      <w:r w:rsidRPr="005A2107">
        <w:rPr>
          <w:rFonts w:ascii="Times New Roman" w:hAnsi="Times New Roman" w:cs="Times New Roman"/>
          <w:b w:val="0"/>
          <w:bCs w:val="0"/>
          <w:sz w:val="24"/>
          <w:szCs w:val="24"/>
        </w:rPr>
        <w:t xml:space="preserve"> No (1):</w:t>
      </w:r>
    </w:p>
    <w:p w:rsidR="00B20A20" w:rsidRPr="005A2107" w:rsidRDefault="00B20A20" w:rsidP="00EC485A">
      <w:pPr>
        <w:bidi w:val="0"/>
        <w:spacing w:after="0" w:line="276" w:lineRule="auto"/>
        <w:ind w:left="2694" w:hanging="567"/>
        <w:rPr>
          <w:rStyle w:val="jlqj4b"/>
          <w:rFonts w:ascii="Times New Roman" w:hAnsi="Times New Roman" w:cs="Times New Roman"/>
          <w:b w:val="0"/>
          <w:bCs w:val="0"/>
          <w:sz w:val="24"/>
          <w:szCs w:val="24"/>
          <w:lang w:val="en" w:bidi="ar"/>
        </w:rPr>
      </w:pPr>
      <w:r w:rsidRPr="005A2107">
        <w:rPr>
          <w:rFonts w:ascii="Times New Roman" w:hAnsi="Times New Roman" w:cs="Times New Roman"/>
          <w:b w:val="0"/>
          <w:bCs w:val="0"/>
          <w:sz w:val="24"/>
          <w:szCs w:val="24"/>
        </w:rPr>
        <w:t>-</w:t>
      </w:r>
      <w:r w:rsidRPr="005A2107">
        <w:rPr>
          <w:rFonts w:ascii="Times New Roman" w:hAnsi="Times New Roman" w:cs="Times New Roman"/>
          <w:b w:val="0"/>
          <w:bCs w:val="0"/>
          <w:sz w:val="24"/>
          <w:szCs w:val="24"/>
        </w:rPr>
        <w:tab/>
        <w:t>Certain securitisation exposures and</w:t>
      </w:r>
      <w:r w:rsidRPr="005A2107">
        <w:rPr>
          <w:rStyle w:val="Heading1Char"/>
          <w:rFonts w:ascii="Times New Roman" w:hAnsi="Times New Roman" w:cs="Times New Roman"/>
          <w:b w:val="0"/>
          <w:bCs w:val="0"/>
          <w:sz w:val="24"/>
          <w:szCs w:val="24"/>
          <w:lang w:val="en" w:bidi="ar"/>
        </w:rPr>
        <w:t xml:space="preserve"> </w:t>
      </w:r>
      <w:r w:rsidRPr="005A2107">
        <w:rPr>
          <w:rStyle w:val="jlqj4b"/>
          <w:rFonts w:ascii="Times New Roman" w:hAnsi="Times New Roman" w:cs="Times New Roman"/>
          <w:b w:val="0"/>
          <w:bCs w:val="0"/>
          <w:sz w:val="24"/>
          <w:szCs w:val="24"/>
          <w:lang w:val="en" w:bidi="ar"/>
        </w:rPr>
        <w:t>credit derivative exposures</w:t>
      </w:r>
      <w:r w:rsidR="001E6F20" w:rsidRPr="005A2107">
        <w:rPr>
          <w:rStyle w:val="jlqj4b"/>
          <w:rFonts w:ascii="Times New Roman" w:hAnsi="Times New Roman" w:cs="Times New Roman"/>
          <w:b w:val="0"/>
          <w:bCs w:val="0"/>
          <w:sz w:val="24"/>
          <w:szCs w:val="24"/>
          <w:lang w:val="en" w:bidi="ar"/>
        </w:rPr>
        <w:t>.</w:t>
      </w:r>
    </w:p>
    <w:p w:rsidR="00B20A20" w:rsidRPr="005A2107" w:rsidRDefault="00B20A20" w:rsidP="00EC485A">
      <w:pPr>
        <w:bidi w:val="0"/>
        <w:spacing w:after="0" w:line="276" w:lineRule="auto"/>
        <w:ind w:left="2694" w:hanging="567"/>
        <w:rPr>
          <w:rStyle w:val="jlqj4b"/>
          <w:rFonts w:ascii="Times New Roman" w:hAnsi="Times New Roman" w:cs="Times New Roman"/>
          <w:b w:val="0"/>
          <w:bCs w:val="0"/>
          <w:sz w:val="24"/>
          <w:szCs w:val="24"/>
          <w:lang w:val="en" w:bidi="ar"/>
        </w:rPr>
      </w:pPr>
      <w:r w:rsidRPr="005A2107">
        <w:rPr>
          <w:rFonts w:ascii="Times New Roman" w:hAnsi="Times New Roman" w:cs="Times New Roman"/>
          <w:b w:val="0"/>
          <w:bCs w:val="0"/>
          <w:sz w:val="24"/>
          <w:szCs w:val="24"/>
        </w:rPr>
        <w:t>-</w:t>
      </w:r>
      <w:r w:rsidRPr="005A2107">
        <w:rPr>
          <w:rFonts w:ascii="Times New Roman" w:hAnsi="Times New Roman" w:cs="Times New Roman"/>
          <w:b w:val="0"/>
          <w:bCs w:val="0"/>
          <w:sz w:val="24"/>
          <w:szCs w:val="24"/>
        </w:rPr>
        <w:tab/>
      </w:r>
      <w:r w:rsidRPr="005A2107">
        <w:rPr>
          <w:rStyle w:val="jlqj4b"/>
          <w:rFonts w:ascii="Times New Roman" w:hAnsi="Times New Roman" w:cs="Times New Roman"/>
          <w:b w:val="0"/>
          <w:bCs w:val="0"/>
          <w:sz w:val="24"/>
          <w:szCs w:val="24"/>
          <w:lang w:val="en" w:bidi="ar"/>
        </w:rPr>
        <w:t>Significant investments that exceed (10%) in commercial entities.</w:t>
      </w:r>
    </w:p>
    <w:p w:rsidR="00AD6F72" w:rsidRPr="00AD38CE" w:rsidRDefault="00AD6F72" w:rsidP="00AD6F72">
      <w:pPr>
        <w:bidi w:val="0"/>
        <w:ind w:left="1475"/>
        <w:rPr>
          <w:rStyle w:val="jlqj4b"/>
          <w:rFonts w:ascii="Roboto" w:hAnsi="Roboto"/>
          <w:sz w:val="8"/>
          <w:szCs w:val="2"/>
          <w:lang w:val="en" w:bidi="ar"/>
        </w:rPr>
      </w:pPr>
    </w:p>
    <w:p w:rsidR="00BD6E5B" w:rsidRPr="001E6F20" w:rsidRDefault="00BD6E5B" w:rsidP="005A2107">
      <w:pPr>
        <w:pStyle w:val="Heading2"/>
        <w:bidi w:val="0"/>
        <w:rPr>
          <w:rStyle w:val="jlqj4b"/>
          <w:rFonts w:ascii="Times New Roman" w:hAnsi="Times New Roman" w:cs="Times New Roman"/>
          <w:lang w:val="en" w:bidi="ar"/>
        </w:rPr>
      </w:pPr>
      <w:bookmarkStart w:id="13" w:name="_Toc65354401"/>
      <w:r w:rsidRPr="001E6F20">
        <w:rPr>
          <w:rStyle w:val="jlqj4b"/>
          <w:rFonts w:ascii="Times New Roman" w:hAnsi="Times New Roman" w:cs="Times New Roman"/>
          <w:lang w:val="en" w:bidi="ar"/>
        </w:rPr>
        <w:t>Fifth: Instructions application</w:t>
      </w:r>
      <w:bookmarkEnd w:id="13"/>
      <w:r w:rsidRPr="001E6F20">
        <w:rPr>
          <w:rStyle w:val="jlqj4b"/>
          <w:rFonts w:ascii="Times New Roman" w:hAnsi="Times New Roman" w:cs="Times New Roman"/>
          <w:lang w:val="en" w:bidi="ar"/>
        </w:rPr>
        <w:t xml:space="preserve"> </w:t>
      </w:r>
    </w:p>
    <w:p w:rsidR="00BD6E5B" w:rsidRPr="005A2107" w:rsidRDefault="00E10E62" w:rsidP="001E6F20">
      <w:pPr>
        <w:pStyle w:val="ListParagraph"/>
        <w:numPr>
          <w:ilvl w:val="0"/>
          <w:numId w:val="13"/>
        </w:numPr>
        <w:bidi w:val="0"/>
        <w:spacing w:after="0" w:line="276" w:lineRule="auto"/>
        <w:ind w:left="720" w:hanging="630"/>
        <w:rPr>
          <w:rStyle w:val="jlqj4b"/>
          <w:rFonts w:ascii="Times New Roman" w:hAnsi="Times New Roman" w:cs="Times New Roman"/>
          <w:b w:val="0"/>
          <w:bCs w:val="0"/>
          <w:sz w:val="24"/>
          <w:szCs w:val="24"/>
          <w:lang w:val="en" w:bidi="ar"/>
        </w:rPr>
      </w:pPr>
      <w:r w:rsidRPr="005A2107">
        <w:rPr>
          <w:rStyle w:val="jlqj4b"/>
          <w:rFonts w:ascii="Times New Roman" w:hAnsi="Times New Roman" w:cs="Times New Roman"/>
          <w:b w:val="0"/>
          <w:bCs w:val="0"/>
          <w:sz w:val="24"/>
          <w:szCs w:val="24"/>
          <w:lang w:val="en" w:bidi="ar"/>
        </w:rPr>
        <w:t xml:space="preserve">The implementation </w:t>
      </w:r>
      <w:r w:rsidR="00BD6E5B" w:rsidRPr="005A2107">
        <w:rPr>
          <w:rStyle w:val="jlqj4b"/>
          <w:rFonts w:ascii="Times New Roman" w:hAnsi="Times New Roman" w:cs="Times New Roman"/>
          <w:b w:val="0"/>
          <w:bCs w:val="0"/>
          <w:sz w:val="24"/>
          <w:szCs w:val="24"/>
          <w:lang w:val="en" w:bidi="ar"/>
        </w:rPr>
        <w:t xml:space="preserve">will be </w:t>
      </w:r>
      <w:r w:rsidRPr="005A2107">
        <w:rPr>
          <w:rStyle w:val="jlqj4b"/>
          <w:rFonts w:ascii="Times New Roman" w:hAnsi="Times New Roman" w:cs="Times New Roman"/>
          <w:b w:val="0"/>
          <w:bCs w:val="0"/>
          <w:sz w:val="24"/>
          <w:szCs w:val="24"/>
          <w:lang w:val="en" w:bidi="ar"/>
        </w:rPr>
        <w:t>on</w:t>
      </w:r>
      <w:r w:rsidR="00BD6E5B" w:rsidRPr="005A2107">
        <w:rPr>
          <w:rStyle w:val="jlqj4b"/>
          <w:rFonts w:ascii="Times New Roman" w:hAnsi="Times New Roman" w:cs="Times New Roman"/>
          <w:b w:val="0"/>
          <w:bCs w:val="0"/>
          <w:sz w:val="24"/>
          <w:szCs w:val="24"/>
          <w:lang w:val="en" w:bidi="ar"/>
        </w:rPr>
        <w:t xml:space="preserve"> 9/30/2016</w:t>
      </w:r>
      <w:r w:rsidR="00BD6E5B" w:rsidRPr="005A2107">
        <w:rPr>
          <w:rStyle w:val="jlqj4b"/>
          <w:rFonts w:ascii="Times New Roman" w:hAnsi="Times New Roman" w:cs="Times New Roman"/>
          <w:b w:val="0"/>
          <w:bCs w:val="0"/>
          <w:sz w:val="24"/>
          <w:szCs w:val="24"/>
          <w:lang w:bidi="ar"/>
        </w:rPr>
        <w:t>,</w:t>
      </w:r>
      <w:r w:rsidR="00BD6E5B" w:rsidRPr="005A2107">
        <w:rPr>
          <w:rStyle w:val="jlqj4b"/>
          <w:rFonts w:ascii="Times New Roman" w:hAnsi="Times New Roman" w:cs="Times New Roman"/>
          <w:b w:val="0"/>
          <w:bCs w:val="0"/>
          <w:sz w:val="24"/>
          <w:szCs w:val="24"/>
          <w:lang w:val="en" w:bidi="ar"/>
        </w:rPr>
        <w:t xml:space="preserve"> as </w:t>
      </w:r>
      <w:r w:rsidRPr="005A2107">
        <w:rPr>
          <w:rStyle w:val="jlqj4b"/>
          <w:rFonts w:ascii="Times New Roman" w:hAnsi="Times New Roman" w:cs="Times New Roman"/>
          <w:b w:val="0"/>
          <w:bCs w:val="0"/>
          <w:sz w:val="24"/>
          <w:szCs w:val="24"/>
          <w:lang w:val="en" w:bidi="ar"/>
        </w:rPr>
        <w:t>banks will be required to meet the following new minimum requirements in relation to risk-weighted assets (RWAs)</w:t>
      </w:r>
      <w:r w:rsidR="00BD6E5B" w:rsidRPr="005A2107">
        <w:rPr>
          <w:rStyle w:val="jlqj4b"/>
          <w:rFonts w:ascii="Times New Roman" w:hAnsi="Times New Roman" w:cs="Times New Roman"/>
          <w:b w:val="0"/>
          <w:bCs w:val="0"/>
          <w:sz w:val="24"/>
          <w:szCs w:val="24"/>
          <w:lang w:val="en" w:bidi="ar"/>
        </w:rPr>
        <w:t>:</w:t>
      </w:r>
    </w:p>
    <w:p w:rsidR="00BD6E5B" w:rsidRPr="005A2107" w:rsidRDefault="001E6F20" w:rsidP="001E6F20">
      <w:pPr>
        <w:pStyle w:val="ListParagraph"/>
        <w:numPr>
          <w:ilvl w:val="0"/>
          <w:numId w:val="3"/>
        </w:numPr>
        <w:bidi w:val="0"/>
        <w:spacing w:after="0" w:line="276" w:lineRule="auto"/>
        <w:ind w:left="1350" w:hanging="630"/>
        <w:rPr>
          <w:rStyle w:val="jlqj4b"/>
          <w:rFonts w:ascii="Times New Roman" w:hAnsi="Times New Roman" w:cs="Times New Roman"/>
          <w:b w:val="0"/>
          <w:bCs w:val="0"/>
          <w:sz w:val="24"/>
          <w:szCs w:val="24"/>
          <w:lang w:val="en" w:bidi="ar"/>
        </w:rPr>
      </w:pPr>
      <w:r w:rsidRPr="005A2107">
        <w:rPr>
          <w:rStyle w:val="jlqj4b"/>
          <w:rFonts w:ascii="Times New Roman" w:hAnsi="Times New Roman" w:cs="Times New Roman"/>
          <w:b w:val="0"/>
          <w:bCs w:val="0"/>
          <w:sz w:val="24"/>
          <w:szCs w:val="24"/>
          <w:lang w:val="en" w:bidi="ar"/>
        </w:rPr>
        <w:t>T</w:t>
      </w:r>
      <w:r w:rsidR="00BD6E5B" w:rsidRPr="005A2107">
        <w:rPr>
          <w:rStyle w:val="jlqj4b"/>
          <w:rFonts w:ascii="Times New Roman" w:hAnsi="Times New Roman" w:cs="Times New Roman"/>
          <w:b w:val="0"/>
          <w:bCs w:val="0"/>
          <w:sz w:val="24"/>
          <w:szCs w:val="24"/>
          <w:lang w:val="en" w:bidi="ar"/>
        </w:rPr>
        <w:t>he minimum for CET1 should not be less than (6%)</w:t>
      </w:r>
      <w:r w:rsidR="00BD6E5B" w:rsidRPr="005A2107">
        <w:rPr>
          <w:rStyle w:val="FootnoteReference"/>
          <w:rFonts w:ascii="Times New Roman" w:hAnsi="Times New Roman" w:cs="Times New Roman"/>
          <w:b w:val="0"/>
          <w:bCs w:val="0"/>
          <w:sz w:val="24"/>
          <w:szCs w:val="24"/>
          <w:lang w:val="en" w:bidi="ar"/>
        </w:rPr>
        <w:footnoteReference w:id="16"/>
      </w:r>
      <w:r w:rsidR="00BD6E5B" w:rsidRPr="005A2107">
        <w:rPr>
          <w:rStyle w:val="jlqj4b"/>
          <w:rFonts w:ascii="Times New Roman" w:hAnsi="Times New Roman" w:cs="Times New Roman"/>
          <w:b w:val="0"/>
          <w:bCs w:val="0"/>
          <w:sz w:val="24"/>
          <w:szCs w:val="24"/>
          <w:lang w:val="en" w:bidi="ar"/>
        </w:rPr>
        <w:t>.</w:t>
      </w:r>
    </w:p>
    <w:p w:rsidR="00BD6E5B" w:rsidRPr="005A2107" w:rsidRDefault="001E6F20" w:rsidP="001E6F20">
      <w:pPr>
        <w:pStyle w:val="ListParagraph"/>
        <w:numPr>
          <w:ilvl w:val="0"/>
          <w:numId w:val="3"/>
        </w:numPr>
        <w:bidi w:val="0"/>
        <w:spacing w:after="0" w:line="276" w:lineRule="auto"/>
        <w:ind w:left="1350" w:hanging="630"/>
        <w:rPr>
          <w:rStyle w:val="jlqj4b"/>
          <w:rFonts w:ascii="Times New Roman" w:hAnsi="Times New Roman" w:cs="Times New Roman"/>
          <w:b w:val="0"/>
          <w:bCs w:val="0"/>
          <w:sz w:val="24"/>
          <w:szCs w:val="24"/>
          <w:lang w:val="en" w:bidi="ar"/>
        </w:rPr>
      </w:pPr>
      <w:r w:rsidRPr="005A2107">
        <w:rPr>
          <w:rStyle w:val="jlqj4b"/>
          <w:rFonts w:ascii="Times New Roman" w:hAnsi="Times New Roman" w:cs="Times New Roman"/>
          <w:b w:val="0"/>
          <w:bCs w:val="0"/>
          <w:sz w:val="24"/>
          <w:szCs w:val="24"/>
          <w:lang w:val="en" w:bidi="ar"/>
        </w:rPr>
        <w:t>T</w:t>
      </w:r>
      <w:r w:rsidR="00BD6E5B" w:rsidRPr="005A2107">
        <w:rPr>
          <w:rStyle w:val="jlqj4b"/>
          <w:rFonts w:ascii="Times New Roman" w:hAnsi="Times New Roman" w:cs="Times New Roman"/>
          <w:b w:val="0"/>
          <w:bCs w:val="0"/>
          <w:sz w:val="24"/>
          <w:szCs w:val="24"/>
          <w:lang w:val="en" w:bidi="ar"/>
        </w:rPr>
        <w:t>he minimum (Tier 1) should not be less than (7.5%).</w:t>
      </w:r>
    </w:p>
    <w:p w:rsidR="00BD6E5B" w:rsidRPr="005A2107" w:rsidRDefault="001E6F20" w:rsidP="001E6F20">
      <w:pPr>
        <w:pStyle w:val="ListParagraph"/>
        <w:numPr>
          <w:ilvl w:val="0"/>
          <w:numId w:val="3"/>
        </w:numPr>
        <w:bidi w:val="0"/>
        <w:spacing w:after="0" w:line="276" w:lineRule="auto"/>
        <w:ind w:left="1350" w:hanging="630"/>
        <w:rPr>
          <w:rStyle w:val="jlqj4b"/>
          <w:rFonts w:ascii="Times New Roman" w:hAnsi="Times New Roman" w:cs="Times New Roman"/>
          <w:b w:val="0"/>
          <w:bCs w:val="0"/>
          <w:sz w:val="24"/>
          <w:szCs w:val="24"/>
          <w:lang w:val="en" w:bidi="ar"/>
        </w:rPr>
      </w:pPr>
      <w:r w:rsidRPr="005A2107">
        <w:rPr>
          <w:rStyle w:val="jlqj4b"/>
          <w:rFonts w:ascii="Times New Roman" w:hAnsi="Times New Roman" w:cs="Times New Roman"/>
          <w:b w:val="0"/>
          <w:bCs w:val="0"/>
          <w:sz w:val="24"/>
          <w:szCs w:val="24"/>
          <w:lang w:val="en" w:bidi="ar"/>
        </w:rPr>
        <w:t>T</w:t>
      </w:r>
      <w:r w:rsidR="00BD6E5B" w:rsidRPr="005A2107">
        <w:rPr>
          <w:rStyle w:val="jlqj4b"/>
          <w:rFonts w:ascii="Times New Roman" w:hAnsi="Times New Roman" w:cs="Times New Roman"/>
          <w:b w:val="0"/>
          <w:bCs w:val="0"/>
          <w:sz w:val="24"/>
          <w:szCs w:val="24"/>
          <w:lang w:val="en" w:bidi="ar"/>
        </w:rPr>
        <w:t>he minimum regulatory capital (CAR) is not less than (12%)</w:t>
      </w:r>
      <w:r w:rsidR="00BD6E5B" w:rsidRPr="005A2107">
        <w:rPr>
          <w:rStyle w:val="FootnoteReference"/>
          <w:rFonts w:ascii="Times New Roman" w:hAnsi="Times New Roman" w:cs="Times New Roman"/>
          <w:b w:val="0"/>
          <w:bCs w:val="0"/>
          <w:sz w:val="24"/>
          <w:szCs w:val="24"/>
          <w:lang w:val="en" w:bidi="ar"/>
        </w:rPr>
        <w:footnoteReference w:id="17"/>
      </w:r>
      <w:r w:rsidR="00BD6E5B" w:rsidRPr="005A2107">
        <w:rPr>
          <w:rStyle w:val="jlqj4b"/>
          <w:rFonts w:ascii="Times New Roman" w:hAnsi="Times New Roman" w:cs="Times New Roman"/>
          <w:b w:val="0"/>
          <w:bCs w:val="0"/>
          <w:sz w:val="24"/>
          <w:szCs w:val="24"/>
          <w:lang w:val="en" w:bidi="ar"/>
        </w:rPr>
        <w:t>.</w:t>
      </w:r>
    </w:p>
    <w:p w:rsidR="00BD6E5B" w:rsidRPr="005A2107" w:rsidRDefault="00BD6E5B" w:rsidP="00EC485A">
      <w:pPr>
        <w:pStyle w:val="ListParagraph"/>
        <w:numPr>
          <w:ilvl w:val="0"/>
          <w:numId w:val="13"/>
        </w:numPr>
        <w:shd w:val="clear" w:color="auto" w:fill="FFFFFF"/>
        <w:bidi w:val="0"/>
        <w:spacing w:after="0" w:line="276" w:lineRule="auto"/>
        <w:ind w:left="720" w:hanging="630"/>
        <w:rPr>
          <w:rFonts w:ascii="Times New Roman" w:eastAsia="Times New Roman" w:hAnsi="Times New Roman" w:cs="Times New Roman"/>
          <w:b w:val="0"/>
          <w:bCs w:val="0"/>
          <w:vanish/>
          <w:sz w:val="24"/>
          <w:szCs w:val="24"/>
        </w:rPr>
      </w:pPr>
      <w:r w:rsidRPr="005A2107">
        <w:rPr>
          <w:rFonts w:ascii="Times New Roman" w:eastAsia="Times New Roman" w:hAnsi="Times New Roman" w:cs="Times New Roman"/>
          <w:b w:val="0"/>
          <w:bCs w:val="0"/>
          <w:sz w:val="24"/>
          <w:szCs w:val="24"/>
          <w:lang w:val="en" w:bidi="ar"/>
        </w:rPr>
        <w:lastRenderedPageBreak/>
        <w:t xml:space="preserve">With regard to capital instruments that are no longer eligible </w:t>
      </w:r>
      <w:r w:rsidR="00826367" w:rsidRPr="005A2107">
        <w:rPr>
          <w:rFonts w:ascii="Times New Roman" w:eastAsia="Times New Roman" w:hAnsi="Times New Roman" w:cs="Times New Roman"/>
          <w:b w:val="0"/>
          <w:bCs w:val="0"/>
          <w:sz w:val="24"/>
          <w:szCs w:val="24"/>
          <w:lang w:val="en" w:bidi="ar"/>
        </w:rPr>
        <w:t>to include</w:t>
      </w:r>
      <w:r w:rsidRPr="005A2107">
        <w:rPr>
          <w:rFonts w:ascii="Times New Roman" w:eastAsia="Times New Roman" w:hAnsi="Times New Roman" w:cs="Times New Roman"/>
          <w:b w:val="0"/>
          <w:bCs w:val="0"/>
          <w:sz w:val="24"/>
          <w:szCs w:val="24"/>
          <w:lang w:val="en" w:bidi="ar"/>
        </w:rPr>
        <w:t xml:space="preserve"> in (CET1) or (AT1) or (T2), they will be subject to transitional arrangements as of </w:t>
      </w:r>
      <w:r w:rsidR="00EC485A">
        <w:rPr>
          <w:rFonts w:ascii="Times New Roman" w:eastAsia="Times New Roman" w:hAnsi="Times New Roman" w:cs="Times New Roman"/>
          <w:b w:val="0"/>
          <w:bCs w:val="0"/>
          <w:sz w:val="24"/>
          <w:szCs w:val="24"/>
          <w:lang w:val="en" w:bidi="ar"/>
        </w:rPr>
        <w:t>30/9</w:t>
      </w:r>
      <w:r w:rsidRPr="005A2107">
        <w:rPr>
          <w:rFonts w:ascii="Times New Roman" w:eastAsia="Times New Roman" w:hAnsi="Times New Roman" w:cs="Times New Roman"/>
          <w:b w:val="0"/>
          <w:bCs w:val="0"/>
          <w:sz w:val="24"/>
          <w:szCs w:val="24"/>
          <w:lang w:val="en" w:bidi="ar"/>
        </w:rPr>
        <w:t>/2016 for a period of ten years by reducing them (10%) annually, so that the recognition of these instruments will be within</w:t>
      </w:r>
      <w:r w:rsidRPr="005A2107">
        <w:rPr>
          <w:rFonts w:ascii="Times New Roman" w:eastAsia="Times New Roman" w:hAnsi="Times New Roman" w:cs="Times New Roman"/>
          <w:b w:val="0"/>
          <w:bCs w:val="0"/>
          <w:vanish/>
          <w:sz w:val="24"/>
          <w:szCs w:val="24"/>
          <w:lang w:val="en" w:bidi="ar"/>
        </w:rPr>
        <w:t>With regard to capital instruments that are no longer eligible for inclusion in (CET1) or (AT1) or (T2), they will be subject to transitional arrangements as of 9/30/2016 for a period of ten years by reducing them (10%) annually, so that the recognition of these instruments will be within</w:t>
      </w:r>
    </w:p>
    <w:p w:rsidR="00BD6E5B" w:rsidRPr="005A2107" w:rsidRDefault="00BD6E5B" w:rsidP="001E6F20">
      <w:pPr>
        <w:pStyle w:val="ListParagraph"/>
        <w:numPr>
          <w:ilvl w:val="0"/>
          <w:numId w:val="13"/>
        </w:numPr>
        <w:shd w:val="clear" w:color="auto" w:fill="FFFFFF"/>
        <w:bidi w:val="0"/>
        <w:spacing w:after="0" w:line="276" w:lineRule="auto"/>
        <w:rPr>
          <w:rFonts w:ascii="Times New Roman" w:eastAsia="Times New Roman" w:hAnsi="Times New Roman" w:cs="Times New Roman"/>
          <w:b w:val="0"/>
          <w:bCs w:val="0"/>
          <w:vanish/>
          <w:sz w:val="24"/>
          <w:szCs w:val="24"/>
          <w:lang w:val="en" w:bidi="ar"/>
        </w:rPr>
      </w:pPr>
      <w:r w:rsidRPr="005A2107">
        <w:rPr>
          <w:rFonts w:ascii="Times New Roman" w:eastAsia="Times New Roman" w:hAnsi="Times New Roman" w:cs="Times New Roman"/>
          <w:b w:val="0"/>
          <w:bCs w:val="0"/>
          <w:vanish/>
          <w:sz w:val="24"/>
          <w:szCs w:val="24"/>
          <w:rtl/>
          <w:lang w:val="en"/>
        </w:rPr>
        <w:t>فيما يتعلق بأدوات رأس المال التي لم تعد مؤهلة للإدراج في</w:t>
      </w:r>
      <w:r w:rsidRPr="005A2107">
        <w:rPr>
          <w:rFonts w:ascii="Times New Roman" w:eastAsia="Times New Roman" w:hAnsi="Times New Roman" w:cs="Times New Roman"/>
          <w:b w:val="0"/>
          <w:bCs w:val="0"/>
          <w:vanish/>
          <w:sz w:val="24"/>
          <w:szCs w:val="24"/>
          <w:lang w:val="en" w:bidi="ar"/>
        </w:rPr>
        <w:t xml:space="preserve"> (CET1) </w:t>
      </w:r>
      <w:r w:rsidRPr="005A2107">
        <w:rPr>
          <w:rFonts w:ascii="Times New Roman" w:eastAsia="Times New Roman" w:hAnsi="Times New Roman" w:cs="Times New Roman"/>
          <w:b w:val="0"/>
          <w:bCs w:val="0"/>
          <w:vanish/>
          <w:sz w:val="24"/>
          <w:szCs w:val="24"/>
          <w:rtl/>
          <w:lang w:val="en"/>
        </w:rPr>
        <w:t>أو</w:t>
      </w:r>
      <w:r w:rsidRPr="005A2107">
        <w:rPr>
          <w:rFonts w:ascii="Times New Roman" w:eastAsia="Times New Roman" w:hAnsi="Times New Roman" w:cs="Times New Roman"/>
          <w:b w:val="0"/>
          <w:bCs w:val="0"/>
          <w:vanish/>
          <w:sz w:val="24"/>
          <w:szCs w:val="24"/>
          <w:lang w:val="en" w:bidi="ar"/>
        </w:rPr>
        <w:t xml:space="preserve"> (AT1) </w:t>
      </w:r>
      <w:r w:rsidRPr="005A2107">
        <w:rPr>
          <w:rFonts w:ascii="Times New Roman" w:eastAsia="Times New Roman" w:hAnsi="Times New Roman" w:cs="Times New Roman"/>
          <w:b w:val="0"/>
          <w:bCs w:val="0"/>
          <w:vanish/>
          <w:sz w:val="24"/>
          <w:szCs w:val="24"/>
          <w:rtl/>
          <w:lang w:val="en"/>
        </w:rPr>
        <w:t>أو</w:t>
      </w:r>
      <w:r w:rsidRPr="005A2107">
        <w:rPr>
          <w:rFonts w:ascii="Times New Roman" w:eastAsia="Times New Roman" w:hAnsi="Times New Roman" w:cs="Times New Roman"/>
          <w:b w:val="0"/>
          <w:bCs w:val="0"/>
          <w:vanish/>
          <w:sz w:val="24"/>
          <w:szCs w:val="24"/>
          <w:lang w:val="en" w:bidi="ar"/>
        </w:rPr>
        <w:t xml:space="preserve"> (T2) </w:t>
      </w:r>
      <w:r w:rsidRPr="005A2107">
        <w:rPr>
          <w:rFonts w:ascii="Times New Roman" w:eastAsia="Times New Roman" w:hAnsi="Times New Roman" w:cs="Times New Roman"/>
          <w:b w:val="0"/>
          <w:bCs w:val="0"/>
          <w:vanish/>
          <w:sz w:val="24"/>
          <w:szCs w:val="24"/>
          <w:rtl/>
          <w:lang w:val="en"/>
        </w:rPr>
        <w:t>، فإنها ستخضع لترتيبات انتقالية اعتبارًا من 30/9/2016 لمدة عشر سنوات عن طريق تخفيضها</w:t>
      </w:r>
      <w:r w:rsidRPr="005A2107">
        <w:rPr>
          <w:rFonts w:ascii="Times New Roman" w:eastAsia="Times New Roman" w:hAnsi="Times New Roman" w:cs="Times New Roman"/>
          <w:b w:val="0"/>
          <w:bCs w:val="0"/>
          <w:vanish/>
          <w:sz w:val="24"/>
          <w:szCs w:val="24"/>
          <w:lang w:val="en" w:bidi="ar"/>
        </w:rPr>
        <w:t xml:space="preserve"> (10) </w:t>
      </w:r>
      <w:r w:rsidRPr="005A2107">
        <w:rPr>
          <w:rFonts w:ascii="Times New Roman" w:eastAsia="Times New Roman" w:hAnsi="Times New Roman" w:cs="Times New Roman"/>
          <w:b w:val="0"/>
          <w:bCs w:val="0"/>
          <w:vanish/>
          <w:sz w:val="24"/>
          <w:szCs w:val="24"/>
          <w:rtl/>
          <w:lang w:val="en"/>
        </w:rPr>
        <w:t>٪</w:t>
      </w:r>
      <w:r w:rsidRPr="005A2107">
        <w:rPr>
          <w:rFonts w:ascii="Times New Roman" w:eastAsia="Times New Roman" w:hAnsi="Times New Roman" w:cs="Times New Roman"/>
          <w:b w:val="0"/>
          <w:bCs w:val="0"/>
          <w:vanish/>
          <w:sz w:val="24"/>
          <w:szCs w:val="24"/>
          <w:lang w:val="en" w:bidi="ar"/>
        </w:rPr>
        <w:t xml:space="preserve">) </w:t>
      </w:r>
      <w:r w:rsidRPr="005A2107">
        <w:rPr>
          <w:rFonts w:ascii="Times New Roman" w:eastAsia="Times New Roman" w:hAnsi="Times New Roman" w:cs="Times New Roman"/>
          <w:b w:val="0"/>
          <w:bCs w:val="0"/>
          <w:vanish/>
          <w:sz w:val="24"/>
          <w:szCs w:val="24"/>
          <w:rtl/>
          <w:lang w:val="en"/>
        </w:rPr>
        <w:t>سنويًا ، بحيث يكون الاعتراف بهذه الأدوات ضمن</w:t>
      </w:r>
    </w:p>
    <w:p w:rsidR="00BD6E5B" w:rsidRPr="005A2107" w:rsidRDefault="00BD6E5B" w:rsidP="001E6F20">
      <w:pPr>
        <w:pStyle w:val="ListParagraph"/>
        <w:numPr>
          <w:ilvl w:val="0"/>
          <w:numId w:val="13"/>
        </w:numPr>
        <w:shd w:val="clear" w:color="auto" w:fill="FFFFFF"/>
        <w:bidi w:val="0"/>
        <w:spacing w:after="0" w:line="276" w:lineRule="auto"/>
        <w:rPr>
          <w:rFonts w:ascii="Times New Roman" w:eastAsia="Times New Roman" w:hAnsi="Times New Roman" w:cs="Times New Roman"/>
          <w:b w:val="0"/>
          <w:bCs w:val="0"/>
          <w:vanish/>
          <w:sz w:val="24"/>
          <w:szCs w:val="24"/>
          <w:lang w:val="en" w:bidi="ar"/>
        </w:rPr>
      </w:pPr>
      <w:r w:rsidRPr="005A2107">
        <w:rPr>
          <w:rFonts w:ascii="Times New Roman" w:eastAsia="Times New Roman" w:hAnsi="Times New Roman" w:cs="Times New Roman"/>
          <w:b w:val="0"/>
          <w:bCs w:val="0"/>
          <w:vanish/>
          <w:sz w:val="24"/>
          <w:szCs w:val="24"/>
          <w:lang w:val="en" w:bidi="ar"/>
        </w:rPr>
        <w:t>With regard to capital instruments that are no longer eligible for inclusion in (CET1) or (AT1) or (T2) will be subject to the arrangements of transition since 09.30.2016 for a period of ten years through reduced (10%) per year, so that the recognition of these tools during</w:t>
      </w:r>
    </w:p>
    <w:p w:rsidR="00BD6E5B" w:rsidRPr="005A2107" w:rsidRDefault="00BD6E5B" w:rsidP="001E6F20">
      <w:pPr>
        <w:pStyle w:val="ListParagraph"/>
        <w:numPr>
          <w:ilvl w:val="0"/>
          <w:numId w:val="13"/>
        </w:numPr>
        <w:shd w:val="clear" w:color="auto" w:fill="FFFFFF"/>
        <w:bidi w:val="0"/>
        <w:spacing w:after="0" w:line="276" w:lineRule="auto"/>
        <w:rPr>
          <w:rFonts w:ascii="Times New Roman" w:eastAsia="Times New Roman" w:hAnsi="Times New Roman" w:cs="Times New Roman"/>
          <w:b w:val="0"/>
          <w:bCs w:val="0"/>
          <w:vanish/>
          <w:sz w:val="24"/>
          <w:szCs w:val="24"/>
          <w:lang w:val="en" w:bidi="ar"/>
        </w:rPr>
      </w:pPr>
      <w:r w:rsidRPr="005A2107">
        <w:rPr>
          <w:rFonts w:ascii="Times New Roman" w:eastAsia="Times New Roman" w:hAnsi="Times New Roman" w:cs="Times New Roman"/>
          <w:b w:val="0"/>
          <w:bCs w:val="0"/>
          <w:vanish/>
          <w:sz w:val="24"/>
          <w:szCs w:val="24"/>
          <w:rtl/>
          <w:lang w:val="en"/>
        </w:rPr>
        <w:t>فيما يتعلق بأدوات رأس المال التي لم تعد مؤهلة للإدراج في</w:t>
      </w:r>
      <w:r w:rsidRPr="005A2107">
        <w:rPr>
          <w:rFonts w:ascii="Times New Roman" w:eastAsia="Times New Roman" w:hAnsi="Times New Roman" w:cs="Times New Roman"/>
          <w:b w:val="0"/>
          <w:bCs w:val="0"/>
          <w:vanish/>
          <w:sz w:val="24"/>
          <w:szCs w:val="24"/>
          <w:lang w:val="en" w:bidi="ar"/>
        </w:rPr>
        <w:t xml:space="preserve"> (CET1) </w:t>
      </w:r>
      <w:r w:rsidRPr="005A2107">
        <w:rPr>
          <w:rFonts w:ascii="Times New Roman" w:eastAsia="Times New Roman" w:hAnsi="Times New Roman" w:cs="Times New Roman"/>
          <w:b w:val="0"/>
          <w:bCs w:val="0"/>
          <w:vanish/>
          <w:sz w:val="24"/>
          <w:szCs w:val="24"/>
          <w:rtl/>
          <w:lang w:val="en"/>
        </w:rPr>
        <w:t>أو</w:t>
      </w:r>
      <w:r w:rsidRPr="005A2107">
        <w:rPr>
          <w:rFonts w:ascii="Times New Roman" w:eastAsia="Times New Roman" w:hAnsi="Times New Roman" w:cs="Times New Roman"/>
          <w:b w:val="0"/>
          <w:bCs w:val="0"/>
          <w:vanish/>
          <w:sz w:val="24"/>
          <w:szCs w:val="24"/>
          <w:lang w:val="en" w:bidi="ar"/>
        </w:rPr>
        <w:t xml:space="preserve"> (AT1) </w:t>
      </w:r>
      <w:r w:rsidRPr="005A2107">
        <w:rPr>
          <w:rFonts w:ascii="Times New Roman" w:eastAsia="Times New Roman" w:hAnsi="Times New Roman" w:cs="Times New Roman"/>
          <w:b w:val="0"/>
          <w:bCs w:val="0"/>
          <w:vanish/>
          <w:sz w:val="24"/>
          <w:szCs w:val="24"/>
          <w:rtl/>
          <w:lang w:val="en"/>
        </w:rPr>
        <w:t>أو</w:t>
      </w:r>
      <w:r w:rsidRPr="005A2107">
        <w:rPr>
          <w:rFonts w:ascii="Times New Roman" w:eastAsia="Times New Roman" w:hAnsi="Times New Roman" w:cs="Times New Roman"/>
          <w:b w:val="0"/>
          <w:bCs w:val="0"/>
          <w:vanish/>
          <w:sz w:val="24"/>
          <w:szCs w:val="24"/>
          <w:lang w:val="en" w:bidi="ar"/>
        </w:rPr>
        <w:t xml:space="preserve"> (T2) </w:t>
      </w:r>
      <w:r w:rsidRPr="005A2107">
        <w:rPr>
          <w:rFonts w:ascii="Times New Roman" w:eastAsia="Times New Roman" w:hAnsi="Times New Roman" w:cs="Times New Roman"/>
          <w:b w:val="0"/>
          <w:bCs w:val="0"/>
          <w:vanish/>
          <w:sz w:val="24"/>
          <w:szCs w:val="24"/>
          <w:rtl/>
          <w:lang w:val="en"/>
        </w:rPr>
        <w:t>ستخضع لترتيبات الانتقال منذ 09.30.2016 لمدة عشر سنوات من خلال تخفيض (10٪) سنويًا ، حتى يتم التعرف على هذه الأدوات أثناء</w:t>
      </w:r>
    </w:p>
    <w:p w:rsidR="00BD6E5B" w:rsidRPr="005A2107" w:rsidRDefault="00BD6E5B" w:rsidP="001E6F20">
      <w:pPr>
        <w:pStyle w:val="ListParagraph"/>
        <w:numPr>
          <w:ilvl w:val="0"/>
          <w:numId w:val="13"/>
        </w:numPr>
        <w:shd w:val="clear" w:color="auto" w:fill="FFFFFF"/>
        <w:bidi w:val="0"/>
        <w:spacing w:after="0" w:line="276" w:lineRule="auto"/>
        <w:rPr>
          <w:rFonts w:ascii="Times New Roman" w:eastAsia="Times New Roman" w:hAnsi="Times New Roman" w:cs="Times New Roman"/>
          <w:b w:val="0"/>
          <w:bCs w:val="0"/>
          <w:vanish/>
          <w:sz w:val="24"/>
          <w:szCs w:val="24"/>
          <w:lang w:val="en" w:bidi="ar"/>
        </w:rPr>
      </w:pPr>
      <w:r w:rsidRPr="005A2107">
        <w:rPr>
          <w:rFonts w:ascii="Times New Roman" w:eastAsia="Times New Roman" w:hAnsi="Times New Roman" w:cs="Times New Roman"/>
          <w:b w:val="0"/>
          <w:bCs w:val="0"/>
          <w:vanish/>
          <w:sz w:val="24"/>
          <w:szCs w:val="24"/>
          <w:rtl/>
          <w:lang w:val="en"/>
        </w:rPr>
        <w:t>يتعذّر تحميل النتائج بالكامل</w:t>
      </w:r>
      <w:r w:rsidRPr="005A2107">
        <w:rPr>
          <w:rFonts w:ascii="Times New Roman" w:eastAsia="Times New Roman" w:hAnsi="Times New Roman" w:cs="Times New Roman"/>
          <w:b w:val="0"/>
          <w:bCs w:val="0"/>
          <w:vanish/>
          <w:sz w:val="24"/>
          <w:szCs w:val="24"/>
          <w:lang w:val="en" w:bidi="ar"/>
        </w:rPr>
        <w:t>.</w:t>
      </w:r>
    </w:p>
    <w:p w:rsidR="00BD6E5B" w:rsidRPr="005A2107" w:rsidRDefault="00BD6E5B" w:rsidP="001E6F20">
      <w:pPr>
        <w:pStyle w:val="ListParagraph"/>
        <w:numPr>
          <w:ilvl w:val="0"/>
          <w:numId w:val="13"/>
        </w:numPr>
        <w:shd w:val="clear" w:color="auto" w:fill="FFFFFF"/>
        <w:bidi w:val="0"/>
        <w:spacing w:after="0" w:line="276" w:lineRule="auto"/>
        <w:rPr>
          <w:rFonts w:ascii="Times New Roman" w:eastAsia="Times New Roman" w:hAnsi="Times New Roman" w:cs="Times New Roman"/>
          <w:b w:val="0"/>
          <w:bCs w:val="0"/>
          <w:vanish/>
          <w:sz w:val="24"/>
          <w:szCs w:val="24"/>
          <w:lang w:val="en" w:bidi="ar"/>
        </w:rPr>
      </w:pPr>
      <w:r w:rsidRPr="005A2107">
        <w:rPr>
          <w:rFonts w:ascii="Times New Roman" w:eastAsia="Times New Roman" w:hAnsi="Times New Roman" w:cs="Times New Roman"/>
          <w:b w:val="0"/>
          <w:bCs w:val="0"/>
          <w:vanish/>
          <w:sz w:val="24"/>
          <w:szCs w:val="24"/>
          <w:rtl/>
          <w:lang w:val="en"/>
        </w:rPr>
        <w:t>إعادة المحاولة</w:t>
      </w:r>
    </w:p>
    <w:p w:rsidR="00BD6E5B" w:rsidRPr="005A2107" w:rsidRDefault="00BD6E5B" w:rsidP="001E6F20">
      <w:pPr>
        <w:pStyle w:val="ListParagraph"/>
        <w:numPr>
          <w:ilvl w:val="0"/>
          <w:numId w:val="13"/>
        </w:numPr>
        <w:shd w:val="clear" w:color="auto" w:fill="FFFFFF"/>
        <w:bidi w:val="0"/>
        <w:spacing w:after="0" w:line="276" w:lineRule="auto"/>
        <w:rPr>
          <w:rFonts w:ascii="Times New Roman" w:eastAsia="Times New Roman" w:hAnsi="Times New Roman" w:cs="Times New Roman"/>
          <w:b w:val="0"/>
          <w:bCs w:val="0"/>
          <w:vanish/>
          <w:sz w:val="24"/>
          <w:szCs w:val="24"/>
          <w:lang w:val="en" w:bidi="ar"/>
        </w:rPr>
      </w:pPr>
      <w:r w:rsidRPr="005A2107">
        <w:rPr>
          <w:rFonts w:ascii="Times New Roman" w:eastAsia="Times New Roman" w:hAnsi="Times New Roman" w:cs="Times New Roman"/>
          <w:b w:val="0"/>
          <w:bCs w:val="0"/>
          <w:vanish/>
          <w:sz w:val="24"/>
          <w:szCs w:val="24"/>
          <w:rtl/>
          <w:lang w:val="en"/>
        </w:rPr>
        <w:t>جارٍ إعادة المحاولة</w:t>
      </w:r>
      <w:r w:rsidRPr="005A2107">
        <w:rPr>
          <w:rFonts w:ascii="Times New Roman" w:eastAsia="Times New Roman" w:hAnsi="Times New Roman" w:cs="Times New Roman"/>
          <w:b w:val="0"/>
          <w:bCs w:val="0"/>
          <w:vanish/>
          <w:sz w:val="24"/>
          <w:szCs w:val="24"/>
          <w:lang w:val="en" w:bidi="ar"/>
        </w:rPr>
        <w:t>...</w:t>
      </w:r>
    </w:p>
    <w:p w:rsidR="00BD6E5B" w:rsidRPr="005A2107" w:rsidRDefault="00BD6E5B" w:rsidP="001E6F20">
      <w:pPr>
        <w:pStyle w:val="ListParagraph"/>
        <w:numPr>
          <w:ilvl w:val="0"/>
          <w:numId w:val="13"/>
        </w:numPr>
        <w:shd w:val="clear" w:color="auto" w:fill="FFFFFF"/>
        <w:bidi w:val="0"/>
        <w:spacing w:after="0" w:line="276" w:lineRule="auto"/>
        <w:rPr>
          <w:rFonts w:ascii="Times New Roman" w:eastAsia="Times New Roman" w:hAnsi="Times New Roman" w:cs="Times New Roman"/>
          <w:b w:val="0"/>
          <w:bCs w:val="0"/>
          <w:vanish/>
          <w:sz w:val="24"/>
          <w:szCs w:val="24"/>
          <w:lang w:val="en" w:bidi="ar"/>
        </w:rPr>
      </w:pPr>
      <w:r w:rsidRPr="005A2107">
        <w:rPr>
          <w:rFonts w:ascii="Times New Roman" w:eastAsia="Times New Roman" w:hAnsi="Times New Roman" w:cs="Times New Roman"/>
          <w:b w:val="0"/>
          <w:bCs w:val="0"/>
          <w:vanish/>
          <w:sz w:val="24"/>
          <w:szCs w:val="24"/>
          <w:rtl/>
          <w:lang w:val="en"/>
        </w:rPr>
        <w:t>جارٍ إعادة المحاولة</w:t>
      </w:r>
      <w:r w:rsidRPr="005A2107">
        <w:rPr>
          <w:rFonts w:ascii="Times New Roman" w:eastAsia="Times New Roman" w:hAnsi="Times New Roman" w:cs="Times New Roman"/>
          <w:b w:val="0"/>
          <w:bCs w:val="0"/>
          <w:vanish/>
          <w:sz w:val="24"/>
          <w:szCs w:val="24"/>
          <w:lang w:val="en" w:bidi="ar"/>
        </w:rPr>
        <w:t>...</w:t>
      </w:r>
    </w:p>
    <w:p w:rsidR="00B20A20" w:rsidRPr="00BD5854" w:rsidRDefault="00826367" w:rsidP="00EC485A">
      <w:pPr>
        <w:pStyle w:val="ListParagraph"/>
        <w:numPr>
          <w:ilvl w:val="0"/>
          <w:numId w:val="13"/>
        </w:numPr>
        <w:shd w:val="clear" w:color="auto" w:fill="FFFFFF"/>
        <w:bidi w:val="0"/>
        <w:spacing w:after="0" w:line="276" w:lineRule="auto"/>
        <w:rPr>
          <w:rFonts w:ascii="Times New Roman" w:hAnsi="Times New Roman" w:cs="Times New Roman"/>
          <w:b w:val="0"/>
          <w:bCs w:val="0"/>
          <w:sz w:val="24"/>
          <w:szCs w:val="24"/>
          <w:lang w:val="en"/>
        </w:rPr>
      </w:pPr>
      <w:r w:rsidRPr="005A2107">
        <w:rPr>
          <w:rFonts w:ascii="Times New Roman" w:eastAsia="Times New Roman" w:hAnsi="Times New Roman" w:cs="Times New Roman"/>
          <w:b w:val="0"/>
          <w:bCs w:val="0"/>
          <w:sz w:val="24"/>
          <w:szCs w:val="24"/>
          <w:lang w:val="en" w:bidi="ar"/>
        </w:rPr>
        <w:t xml:space="preserve">  </w:t>
      </w:r>
      <w:r w:rsidR="00EC485A">
        <w:rPr>
          <w:rFonts w:ascii="Times New Roman" w:eastAsia="Times New Roman" w:hAnsi="Times New Roman" w:cs="Times New Roman"/>
          <w:b w:val="0"/>
          <w:bCs w:val="0"/>
          <w:sz w:val="24"/>
          <w:szCs w:val="24"/>
          <w:lang w:val="en" w:bidi="ar"/>
        </w:rPr>
        <w:t>the</w:t>
      </w:r>
      <w:r w:rsidR="00BD6E5B" w:rsidRPr="005A2107">
        <w:rPr>
          <w:rFonts w:ascii="Times New Roman" w:eastAsia="Times New Roman" w:hAnsi="Times New Roman" w:cs="Times New Roman"/>
          <w:b w:val="0"/>
          <w:bCs w:val="0"/>
          <w:sz w:val="24"/>
          <w:szCs w:val="24"/>
          <w:lang w:val="en" w:bidi="ar"/>
        </w:rPr>
        <w:t xml:space="preserve"> year 2026 equals zero</w:t>
      </w:r>
      <w:r w:rsidR="00EC485A">
        <w:rPr>
          <w:rFonts w:ascii="Times New Roman" w:eastAsia="Times New Roman" w:hAnsi="Times New Roman" w:cs="Times New Roman"/>
          <w:b w:val="0"/>
          <w:bCs w:val="0"/>
          <w:sz w:val="24"/>
          <w:szCs w:val="24"/>
          <w:lang w:val="en" w:bidi="ar"/>
        </w:rPr>
        <w:t>.</w:t>
      </w:r>
    </w:p>
    <w:p w:rsidR="00BD5854" w:rsidRDefault="00BD5854" w:rsidP="00BD5854">
      <w:pPr>
        <w:shd w:val="clear" w:color="auto" w:fill="FFFFFF"/>
        <w:bidi w:val="0"/>
        <w:spacing w:after="0" w:line="276" w:lineRule="auto"/>
        <w:rPr>
          <w:rFonts w:ascii="Times New Roman" w:hAnsi="Times New Roman" w:cs="Times New Roman"/>
          <w:b w:val="0"/>
          <w:bCs w:val="0"/>
          <w:sz w:val="24"/>
          <w:szCs w:val="24"/>
          <w:lang w:val="en"/>
        </w:rPr>
      </w:pPr>
    </w:p>
    <w:p w:rsidR="00BD5854" w:rsidRDefault="00BD5854" w:rsidP="00BD5854">
      <w:pPr>
        <w:shd w:val="clear" w:color="auto" w:fill="FFFFFF"/>
        <w:bidi w:val="0"/>
        <w:spacing w:after="0" w:line="276" w:lineRule="auto"/>
        <w:rPr>
          <w:rFonts w:ascii="Times New Roman" w:hAnsi="Times New Roman" w:cs="Times New Roman"/>
          <w:b w:val="0"/>
          <w:bCs w:val="0"/>
          <w:sz w:val="24"/>
          <w:szCs w:val="24"/>
          <w:lang w:val="en"/>
        </w:rPr>
      </w:pPr>
    </w:p>
    <w:p w:rsidR="00BD5854" w:rsidRDefault="00BD5854" w:rsidP="00BD5854">
      <w:pPr>
        <w:shd w:val="clear" w:color="auto" w:fill="FFFFFF"/>
        <w:bidi w:val="0"/>
        <w:spacing w:after="0" w:line="276" w:lineRule="auto"/>
        <w:rPr>
          <w:rFonts w:ascii="Times New Roman" w:hAnsi="Times New Roman" w:cs="Times New Roman"/>
          <w:b w:val="0"/>
          <w:bCs w:val="0"/>
          <w:sz w:val="24"/>
          <w:szCs w:val="24"/>
          <w:lang w:val="en"/>
        </w:rPr>
      </w:pPr>
    </w:p>
    <w:p w:rsidR="00BD5854" w:rsidRDefault="00BD5854" w:rsidP="00BD5854">
      <w:pPr>
        <w:shd w:val="clear" w:color="auto" w:fill="FFFFFF"/>
        <w:bidi w:val="0"/>
        <w:spacing w:after="0" w:line="276" w:lineRule="auto"/>
        <w:rPr>
          <w:rFonts w:ascii="Times New Roman" w:hAnsi="Times New Roman" w:cs="Times New Roman"/>
          <w:b w:val="0"/>
          <w:bCs w:val="0"/>
          <w:sz w:val="24"/>
          <w:szCs w:val="24"/>
          <w:lang w:val="en"/>
        </w:rPr>
      </w:pPr>
    </w:p>
    <w:p w:rsidR="00BD5854" w:rsidRDefault="00BD5854" w:rsidP="00BD5854">
      <w:pPr>
        <w:shd w:val="clear" w:color="auto" w:fill="FFFFFF"/>
        <w:bidi w:val="0"/>
        <w:spacing w:after="0" w:line="276" w:lineRule="auto"/>
        <w:rPr>
          <w:rFonts w:ascii="Times New Roman" w:hAnsi="Times New Roman" w:cs="Times New Roman"/>
          <w:b w:val="0"/>
          <w:bCs w:val="0"/>
          <w:sz w:val="24"/>
          <w:szCs w:val="24"/>
          <w:lang w:val="en"/>
        </w:rPr>
      </w:pPr>
    </w:p>
    <w:p w:rsidR="00BD5854" w:rsidRDefault="00BD5854" w:rsidP="00BD5854">
      <w:pPr>
        <w:shd w:val="clear" w:color="auto" w:fill="FFFFFF"/>
        <w:bidi w:val="0"/>
        <w:spacing w:after="0" w:line="276" w:lineRule="auto"/>
        <w:rPr>
          <w:rFonts w:ascii="Times New Roman" w:hAnsi="Times New Roman" w:cs="Times New Roman"/>
          <w:b w:val="0"/>
          <w:bCs w:val="0"/>
          <w:sz w:val="24"/>
          <w:szCs w:val="24"/>
          <w:lang w:val="en"/>
        </w:rPr>
      </w:pPr>
    </w:p>
    <w:p w:rsidR="00BD5854" w:rsidRDefault="00BD5854" w:rsidP="00BD5854">
      <w:pPr>
        <w:shd w:val="clear" w:color="auto" w:fill="FFFFFF"/>
        <w:bidi w:val="0"/>
        <w:spacing w:after="0" w:line="276" w:lineRule="auto"/>
        <w:rPr>
          <w:rFonts w:ascii="Times New Roman" w:hAnsi="Times New Roman" w:cs="Times New Roman"/>
          <w:b w:val="0"/>
          <w:bCs w:val="0"/>
          <w:sz w:val="24"/>
          <w:szCs w:val="24"/>
          <w:lang w:val="en"/>
        </w:rPr>
      </w:pPr>
    </w:p>
    <w:p w:rsidR="00BD5854" w:rsidRDefault="00BD5854" w:rsidP="00BD5854">
      <w:pPr>
        <w:shd w:val="clear" w:color="auto" w:fill="FFFFFF"/>
        <w:bidi w:val="0"/>
        <w:spacing w:after="0" w:line="276" w:lineRule="auto"/>
        <w:rPr>
          <w:rFonts w:ascii="Times New Roman" w:hAnsi="Times New Roman" w:cs="Times New Roman"/>
          <w:b w:val="0"/>
          <w:bCs w:val="0"/>
          <w:sz w:val="24"/>
          <w:szCs w:val="24"/>
          <w:lang w:val="en"/>
        </w:rPr>
      </w:pPr>
    </w:p>
    <w:p w:rsidR="00BD5854" w:rsidRDefault="00BD5854" w:rsidP="00BD5854">
      <w:pPr>
        <w:shd w:val="clear" w:color="auto" w:fill="FFFFFF"/>
        <w:bidi w:val="0"/>
        <w:spacing w:after="0" w:line="276" w:lineRule="auto"/>
        <w:rPr>
          <w:rFonts w:ascii="Times New Roman" w:hAnsi="Times New Roman" w:cs="Times New Roman"/>
          <w:b w:val="0"/>
          <w:bCs w:val="0"/>
          <w:sz w:val="24"/>
          <w:szCs w:val="24"/>
          <w:lang w:val="en"/>
        </w:rPr>
      </w:pPr>
    </w:p>
    <w:p w:rsidR="00BD5854" w:rsidRDefault="00BD5854" w:rsidP="00BD5854">
      <w:pPr>
        <w:shd w:val="clear" w:color="auto" w:fill="FFFFFF"/>
        <w:bidi w:val="0"/>
        <w:spacing w:after="0" w:line="276" w:lineRule="auto"/>
        <w:rPr>
          <w:rFonts w:ascii="Times New Roman" w:hAnsi="Times New Roman" w:cs="Times New Roman"/>
          <w:b w:val="0"/>
          <w:bCs w:val="0"/>
          <w:sz w:val="24"/>
          <w:szCs w:val="24"/>
          <w:lang w:val="en"/>
        </w:rPr>
      </w:pPr>
    </w:p>
    <w:p w:rsidR="00BD5854" w:rsidRDefault="00BD5854" w:rsidP="00BD5854">
      <w:pPr>
        <w:shd w:val="clear" w:color="auto" w:fill="FFFFFF"/>
        <w:bidi w:val="0"/>
        <w:spacing w:after="0" w:line="276" w:lineRule="auto"/>
        <w:rPr>
          <w:rFonts w:ascii="Times New Roman" w:hAnsi="Times New Roman" w:cs="Times New Roman"/>
          <w:b w:val="0"/>
          <w:bCs w:val="0"/>
          <w:sz w:val="24"/>
          <w:szCs w:val="24"/>
          <w:lang w:val="en"/>
        </w:rPr>
      </w:pPr>
    </w:p>
    <w:p w:rsidR="00BD5854" w:rsidRDefault="00BD5854" w:rsidP="00BD5854">
      <w:pPr>
        <w:shd w:val="clear" w:color="auto" w:fill="FFFFFF"/>
        <w:bidi w:val="0"/>
        <w:spacing w:after="0" w:line="276" w:lineRule="auto"/>
        <w:rPr>
          <w:rFonts w:ascii="Times New Roman" w:hAnsi="Times New Roman" w:cs="Times New Roman"/>
          <w:b w:val="0"/>
          <w:bCs w:val="0"/>
          <w:sz w:val="24"/>
          <w:szCs w:val="24"/>
          <w:lang w:val="en"/>
        </w:rPr>
      </w:pPr>
    </w:p>
    <w:p w:rsidR="00BD5854" w:rsidRDefault="00BD5854" w:rsidP="00BD5854">
      <w:pPr>
        <w:shd w:val="clear" w:color="auto" w:fill="FFFFFF"/>
        <w:bidi w:val="0"/>
        <w:spacing w:after="0" w:line="276" w:lineRule="auto"/>
        <w:rPr>
          <w:rFonts w:ascii="Times New Roman" w:hAnsi="Times New Roman" w:cs="Times New Roman"/>
          <w:b w:val="0"/>
          <w:bCs w:val="0"/>
          <w:sz w:val="24"/>
          <w:szCs w:val="24"/>
          <w:lang w:val="en"/>
        </w:rPr>
      </w:pPr>
    </w:p>
    <w:p w:rsidR="00BD5854" w:rsidRDefault="00BD5854" w:rsidP="00BD5854">
      <w:pPr>
        <w:shd w:val="clear" w:color="auto" w:fill="FFFFFF"/>
        <w:bidi w:val="0"/>
        <w:spacing w:after="0" w:line="276" w:lineRule="auto"/>
        <w:rPr>
          <w:rFonts w:ascii="Times New Roman" w:hAnsi="Times New Roman" w:cs="Times New Roman"/>
          <w:b w:val="0"/>
          <w:bCs w:val="0"/>
          <w:sz w:val="24"/>
          <w:szCs w:val="24"/>
          <w:lang w:val="en"/>
        </w:rPr>
      </w:pPr>
    </w:p>
    <w:p w:rsidR="00BD5854" w:rsidRDefault="00BD5854" w:rsidP="00BD5854">
      <w:pPr>
        <w:shd w:val="clear" w:color="auto" w:fill="FFFFFF"/>
        <w:bidi w:val="0"/>
        <w:spacing w:after="0" w:line="276" w:lineRule="auto"/>
        <w:rPr>
          <w:rFonts w:ascii="Times New Roman" w:hAnsi="Times New Roman" w:cs="Times New Roman"/>
          <w:b w:val="0"/>
          <w:bCs w:val="0"/>
          <w:sz w:val="24"/>
          <w:szCs w:val="24"/>
          <w:lang w:val="en"/>
        </w:rPr>
      </w:pPr>
    </w:p>
    <w:p w:rsidR="00BD5854" w:rsidRDefault="00BD5854" w:rsidP="00BD5854">
      <w:pPr>
        <w:shd w:val="clear" w:color="auto" w:fill="FFFFFF"/>
        <w:bidi w:val="0"/>
        <w:spacing w:after="0" w:line="276" w:lineRule="auto"/>
        <w:rPr>
          <w:rFonts w:ascii="Times New Roman" w:hAnsi="Times New Roman" w:cs="Times New Roman"/>
          <w:b w:val="0"/>
          <w:bCs w:val="0"/>
          <w:sz w:val="24"/>
          <w:szCs w:val="24"/>
          <w:lang w:val="en"/>
        </w:rPr>
      </w:pPr>
    </w:p>
    <w:p w:rsidR="00BD5854" w:rsidRDefault="00BD5854" w:rsidP="00BD5854">
      <w:pPr>
        <w:shd w:val="clear" w:color="auto" w:fill="FFFFFF"/>
        <w:bidi w:val="0"/>
        <w:spacing w:after="0" w:line="276" w:lineRule="auto"/>
        <w:rPr>
          <w:rFonts w:ascii="Times New Roman" w:hAnsi="Times New Roman" w:cs="Times New Roman"/>
          <w:b w:val="0"/>
          <w:bCs w:val="0"/>
          <w:sz w:val="24"/>
          <w:szCs w:val="24"/>
          <w:lang w:val="en"/>
        </w:rPr>
      </w:pPr>
    </w:p>
    <w:p w:rsidR="00BD5854" w:rsidRDefault="00BD5854" w:rsidP="00BD5854">
      <w:pPr>
        <w:shd w:val="clear" w:color="auto" w:fill="FFFFFF"/>
        <w:bidi w:val="0"/>
        <w:spacing w:after="0" w:line="276" w:lineRule="auto"/>
        <w:rPr>
          <w:rFonts w:ascii="Times New Roman" w:hAnsi="Times New Roman" w:cs="Times New Roman"/>
          <w:b w:val="0"/>
          <w:bCs w:val="0"/>
          <w:sz w:val="24"/>
          <w:szCs w:val="24"/>
          <w:lang w:val="en"/>
        </w:rPr>
      </w:pPr>
    </w:p>
    <w:p w:rsidR="00BD5854" w:rsidRDefault="00BD5854" w:rsidP="00BD5854">
      <w:pPr>
        <w:shd w:val="clear" w:color="auto" w:fill="FFFFFF"/>
        <w:bidi w:val="0"/>
        <w:spacing w:after="0" w:line="276" w:lineRule="auto"/>
        <w:rPr>
          <w:rFonts w:ascii="Times New Roman" w:hAnsi="Times New Roman" w:cs="Times New Roman"/>
          <w:b w:val="0"/>
          <w:bCs w:val="0"/>
          <w:sz w:val="24"/>
          <w:szCs w:val="24"/>
          <w:lang w:val="en"/>
        </w:rPr>
      </w:pPr>
    </w:p>
    <w:p w:rsidR="00BD5854" w:rsidRDefault="00BD5854" w:rsidP="00BD5854">
      <w:pPr>
        <w:shd w:val="clear" w:color="auto" w:fill="FFFFFF"/>
        <w:bidi w:val="0"/>
        <w:spacing w:after="0" w:line="276" w:lineRule="auto"/>
        <w:rPr>
          <w:rFonts w:ascii="Times New Roman" w:hAnsi="Times New Roman" w:cs="Times New Roman"/>
          <w:b w:val="0"/>
          <w:bCs w:val="0"/>
          <w:sz w:val="24"/>
          <w:szCs w:val="24"/>
          <w:lang w:val="en"/>
        </w:rPr>
      </w:pPr>
    </w:p>
    <w:p w:rsidR="00BD5854" w:rsidRDefault="00BD5854" w:rsidP="00BD5854">
      <w:pPr>
        <w:shd w:val="clear" w:color="auto" w:fill="FFFFFF"/>
        <w:bidi w:val="0"/>
        <w:spacing w:after="0" w:line="276" w:lineRule="auto"/>
        <w:rPr>
          <w:rFonts w:ascii="Times New Roman" w:hAnsi="Times New Roman" w:cs="Times New Roman"/>
          <w:b w:val="0"/>
          <w:bCs w:val="0"/>
          <w:sz w:val="24"/>
          <w:szCs w:val="24"/>
          <w:lang w:val="en"/>
        </w:rPr>
      </w:pPr>
    </w:p>
    <w:p w:rsidR="00BD5854" w:rsidRDefault="00BD5854" w:rsidP="00BD5854">
      <w:pPr>
        <w:shd w:val="clear" w:color="auto" w:fill="FFFFFF"/>
        <w:bidi w:val="0"/>
        <w:spacing w:after="0" w:line="276" w:lineRule="auto"/>
        <w:rPr>
          <w:rFonts w:ascii="Times New Roman" w:hAnsi="Times New Roman" w:cs="Times New Roman"/>
          <w:b w:val="0"/>
          <w:bCs w:val="0"/>
          <w:sz w:val="24"/>
          <w:szCs w:val="24"/>
          <w:lang w:val="en"/>
        </w:rPr>
      </w:pPr>
    </w:p>
    <w:p w:rsidR="00BD5854" w:rsidRDefault="00BD5854" w:rsidP="00BD5854">
      <w:pPr>
        <w:shd w:val="clear" w:color="auto" w:fill="FFFFFF"/>
        <w:bidi w:val="0"/>
        <w:spacing w:after="0" w:line="276" w:lineRule="auto"/>
        <w:rPr>
          <w:rFonts w:ascii="Times New Roman" w:hAnsi="Times New Roman" w:cs="Times New Roman"/>
          <w:b w:val="0"/>
          <w:bCs w:val="0"/>
          <w:sz w:val="24"/>
          <w:szCs w:val="24"/>
          <w:lang w:val="en"/>
        </w:rPr>
      </w:pPr>
    </w:p>
    <w:p w:rsidR="00BD5854" w:rsidRDefault="00BD5854" w:rsidP="00BD5854">
      <w:pPr>
        <w:shd w:val="clear" w:color="auto" w:fill="FFFFFF"/>
        <w:bidi w:val="0"/>
        <w:spacing w:after="0" w:line="276" w:lineRule="auto"/>
        <w:rPr>
          <w:rFonts w:ascii="Times New Roman" w:hAnsi="Times New Roman" w:cs="Times New Roman"/>
          <w:b w:val="0"/>
          <w:bCs w:val="0"/>
          <w:sz w:val="24"/>
          <w:szCs w:val="24"/>
          <w:lang w:val="en"/>
        </w:rPr>
      </w:pPr>
    </w:p>
    <w:p w:rsidR="00BD5854" w:rsidRDefault="00BD5854" w:rsidP="00BD5854">
      <w:pPr>
        <w:shd w:val="clear" w:color="auto" w:fill="FFFFFF"/>
        <w:bidi w:val="0"/>
        <w:spacing w:after="0" w:line="276" w:lineRule="auto"/>
        <w:rPr>
          <w:rFonts w:ascii="Times New Roman" w:hAnsi="Times New Roman" w:cs="Times New Roman"/>
          <w:b w:val="0"/>
          <w:bCs w:val="0"/>
          <w:sz w:val="24"/>
          <w:szCs w:val="24"/>
          <w:lang w:val="en"/>
        </w:rPr>
      </w:pPr>
    </w:p>
    <w:p w:rsidR="00BD5854" w:rsidRDefault="00BD5854" w:rsidP="00BD5854">
      <w:pPr>
        <w:shd w:val="clear" w:color="auto" w:fill="FFFFFF"/>
        <w:bidi w:val="0"/>
        <w:spacing w:after="0" w:line="276" w:lineRule="auto"/>
        <w:rPr>
          <w:rFonts w:ascii="Times New Roman" w:hAnsi="Times New Roman" w:cs="Times New Roman"/>
          <w:b w:val="0"/>
          <w:bCs w:val="0"/>
          <w:sz w:val="24"/>
          <w:szCs w:val="24"/>
          <w:lang w:val="en"/>
        </w:rPr>
      </w:pPr>
    </w:p>
    <w:p w:rsidR="00BD5854" w:rsidRDefault="00BD5854" w:rsidP="00BD5854">
      <w:pPr>
        <w:shd w:val="clear" w:color="auto" w:fill="FFFFFF"/>
        <w:bidi w:val="0"/>
        <w:spacing w:after="0" w:line="276" w:lineRule="auto"/>
        <w:rPr>
          <w:rFonts w:ascii="Times New Roman" w:hAnsi="Times New Roman" w:cs="Times New Roman"/>
          <w:b w:val="0"/>
          <w:bCs w:val="0"/>
          <w:sz w:val="24"/>
          <w:szCs w:val="24"/>
          <w:lang w:val="en"/>
        </w:rPr>
      </w:pPr>
    </w:p>
    <w:p w:rsidR="00BD5854" w:rsidRDefault="00BD5854" w:rsidP="00BD5854">
      <w:pPr>
        <w:shd w:val="clear" w:color="auto" w:fill="FFFFFF"/>
        <w:bidi w:val="0"/>
        <w:spacing w:after="0" w:line="276" w:lineRule="auto"/>
        <w:rPr>
          <w:rFonts w:ascii="Times New Roman" w:hAnsi="Times New Roman" w:cs="Times New Roman"/>
          <w:b w:val="0"/>
          <w:bCs w:val="0"/>
          <w:sz w:val="24"/>
          <w:szCs w:val="24"/>
          <w:lang w:val="en"/>
        </w:rPr>
      </w:pPr>
    </w:p>
    <w:p w:rsidR="00BD5854" w:rsidRDefault="00BD5854" w:rsidP="00BD5854">
      <w:pPr>
        <w:shd w:val="clear" w:color="auto" w:fill="FFFFFF"/>
        <w:bidi w:val="0"/>
        <w:spacing w:after="0" w:line="276" w:lineRule="auto"/>
        <w:rPr>
          <w:rFonts w:ascii="Times New Roman" w:hAnsi="Times New Roman" w:cs="Times New Roman"/>
          <w:b w:val="0"/>
          <w:bCs w:val="0"/>
          <w:sz w:val="24"/>
          <w:szCs w:val="24"/>
          <w:lang w:val="en"/>
        </w:rPr>
      </w:pPr>
    </w:p>
    <w:p w:rsidR="00BD5854" w:rsidRDefault="00BD5854" w:rsidP="00BD5854">
      <w:pPr>
        <w:shd w:val="clear" w:color="auto" w:fill="FFFFFF"/>
        <w:bidi w:val="0"/>
        <w:spacing w:after="0" w:line="276" w:lineRule="auto"/>
        <w:rPr>
          <w:rFonts w:ascii="Times New Roman" w:hAnsi="Times New Roman" w:cs="Times New Roman"/>
          <w:b w:val="0"/>
          <w:bCs w:val="0"/>
          <w:sz w:val="24"/>
          <w:szCs w:val="24"/>
          <w:lang w:val="en"/>
        </w:rPr>
      </w:pPr>
    </w:p>
    <w:p w:rsidR="00BD5854" w:rsidRDefault="00BD5854" w:rsidP="00BD5854">
      <w:pPr>
        <w:shd w:val="clear" w:color="auto" w:fill="FFFFFF"/>
        <w:bidi w:val="0"/>
        <w:spacing w:after="0" w:line="276" w:lineRule="auto"/>
        <w:rPr>
          <w:rFonts w:ascii="Times New Roman" w:hAnsi="Times New Roman" w:cs="Times New Roman"/>
          <w:b w:val="0"/>
          <w:bCs w:val="0"/>
          <w:sz w:val="24"/>
          <w:szCs w:val="24"/>
          <w:lang w:val="en"/>
        </w:rPr>
      </w:pPr>
    </w:p>
    <w:p w:rsidR="00BD5854" w:rsidRDefault="00BD5854" w:rsidP="00BD5854">
      <w:pPr>
        <w:shd w:val="clear" w:color="auto" w:fill="FFFFFF"/>
        <w:bidi w:val="0"/>
        <w:spacing w:after="0" w:line="276" w:lineRule="auto"/>
        <w:rPr>
          <w:rFonts w:ascii="Times New Roman" w:hAnsi="Times New Roman" w:cs="Times New Roman"/>
          <w:b w:val="0"/>
          <w:bCs w:val="0"/>
          <w:sz w:val="24"/>
          <w:szCs w:val="24"/>
          <w:lang w:val="en"/>
        </w:rPr>
      </w:pPr>
    </w:p>
    <w:p w:rsidR="00BD5854" w:rsidRDefault="00BD5854" w:rsidP="00BD5854">
      <w:pPr>
        <w:shd w:val="clear" w:color="auto" w:fill="FFFFFF"/>
        <w:bidi w:val="0"/>
        <w:spacing w:after="0" w:line="276" w:lineRule="auto"/>
        <w:rPr>
          <w:rFonts w:ascii="Times New Roman" w:hAnsi="Times New Roman" w:cs="Times New Roman"/>
          <w:b w:val="0"/>
          <w:bCs w:val="0"/>
          <w:sz w:val="24"/>
          <w:szCs w:val="24"/>
          <w:lang w:val="en"/>
        </w:rPr>
      </w:pPr>
    </w:p>
    <w:p w:rsidR="00BD5854" w:rsidRDefault="00BD5854" w:rsidP="00BD5854">
      <w:pPr>
        <w:shd w:val="clear" w:color="auto" w:fill="FFFFFF"/>
        <w:bidi w:val="0"/>
        <w:spacing w:after="0" w:line="276" w:lineRule="auto"/>
        <w:rPr>
          <w:rFonts w:ascii="Times New Roman" w:hAnsi="Times New Roman" w:cs="Times New Roman"/>
          <w:b w:val="0"/>
          <w:bCs w:val="0"/>
          <w:sz w:val="24"/>
          <w:szCs w:val="24"/>
          <w:lang w:val="en"/>
        </w:rPr>
      </w:pPr>
    </w:p>
    <w:p w:rsidR="00BD5854" w:rsidRDefault="00BD5854" w:rsidP="00BD5854">
      <w:pPr>
        <w:shd w:val="clear" w:color="auto" w:fill="FFFFFF"/>
        <w:bidi w:val="0"/>
        <w:spacing w:after="0" w:line="276" w:lineRule="auto"/>
        <w:rPr>
          <w:rFonts w:ascii="Times New Roman" w:hAnsi="Times New Roman" w:cs="Times New Roman"/>
          <w:b w:val="0"/>
          <w:bCs w:val="0"/>
          <w:sz w:val="24"/>
          <w:szCs w:val="24"/>
          <w:lang w:val="en"/>
        </w:rPr>
      </w:pPr>
    </w:p>
    <w:p w:rsidR="00BD5854" w:rsidRPr="00BD5854" w:rsidRDefault="00BD5854" w:rsidP="00BD5854">
      <w:pPr>
        <w:shd w:val="clear" w:color="auto" w:fill="FFFFFF"/>
        <w:bidi w:val="0"/>
        <w:spacing w:after="0" w:line="276" w:lineRule="auto"/>
        <w:rPr>
          <w:rFonts w:ascii="Times New Roman" w:hAnsi="Times New Roman" w:cs="Times New Roman"/>
          <w:b w:val="0"/>
          <w:bCs w:val="0"/>
          <w:sz w:val="24"/>
          <w:szCs w:val="24"/>
          <w:rtl/>
          <w:lang w:val="en"/>
        </w:rPr>
      </w:pPr>
    </w:p>
    <w:p w:rsidR="00505A8B" w:rsidRDefault="00505A8B" w:rsidP="00B20A20">
      <w:pPr>
        <w:spacing w:after="0"/>
        <w:ind w:left="2126" w:hanging="851"/>
        <w:rPr>
          <w:b w:val="0"/>
          <w:bCs w:val="0"/>
        </w:rPr>
      </w:pPr>
    </w:p>
    <w:p w:rsidR="00505A8B" w:rsidRPr="00CA0E53" w:rsidRDefault="0020147A" w:rsidP="0020147A">
      <w:pPr>
        <w:pStyle w:val="Heading1"/>
        <w:pBdr>
          <w:bottom w:val="single" w:sz="4" w:space="1" w:color="auto"/>
        </w:pBdr>
        <w:bidi w:val="0"/>
        <w:jc w:val="center"/>
        <w:rPr>
          <w:b/>
          <w:bCs/>
          <w:rtl/>
        </w:rPr>
      </w:pPr>
      <w:bookmarkStart w:id="14" w:name="_Toc65354402"/>
      <w:r w:rsidRPr="00CA0E53">
        <w:rPr>
          <w:b/>
          <w:bCs/>
        </w:rPr>
        <w:lastRenderedPageBreak/>
        <w:t xml:space="preserve">Chapter three: </w:t>
      </w:r>
      <w:r w:rsidRPr="00CA0E53">
        <w:rPr>
          <w:b/>
          <w:bCs/>
          <w:color w:val="202124"/>
          <w:lang w:val="en"/>
        </w:rPr>
        <w:t>Additional capital requirements</w:t>
      </w:r>
      <w:bookmarkEnd w:id="14"/>
    </w:p>
    <w:p w:rsidR="00505A8B" w:rsidRPr="006D6E07" w:rsidRDefault="00505A8B" w:rsidP="00505A8B">
      <w:pPr>
        <w:pStyle w:val="ListParagraph"/>
        <w:ind w:left="41"/>
        <w:jc w:val="center"/>
        <w:rPr>
          <w:b w:val="0"/>
          <w:bCs w:val="0"/>
          <w:rtl/>
        </w:rPr>
      </w:pPr>
    </w:p>
    <w:p w:rsidR="0020147A" w:rsidRPr="004D61F1" w:rsidRDefault="0020147A" w:rsidP="00CA0E53">
      <w:pPr>
        <w:pStyle w:val="ListParagraph"/>
        <w:bidi w:val="0"/>
        <w:spacing w:after="0" w:line="276" w:lineRule="auto"/>
        <w:ind w:left="41"/>
        <w:rPr>
          <w:rFonts w:ascii="Times New Roman" w:hAnsi="Times New Roman" w:cs="Times New Roman"/>
          <w:b w:val="0"/>
          <w:bCs w:val="0"/>
          <w:color w:val="202124"/>
          <w:sz w:val="24"/>
          <w:szCs w:val="24"/>
          <w:lang w:val="en"/>
        </w:rPr>
      </w:pPr>
      <w:r w:rsidRPr="004D61F1">
        <w:rPr>
          <w:rFonts w:ascii="Times New Roman" w:hAnsi="Times New Roman" w:cs="Times New Roman"/>
          <w:b w:val="0"/>
          <w:bCs w:val="0"/>
          <w:color w:val="202124"/>
          <w:sz w:val="24"/>
          <w:szCs w:val="24"/>
          <w:lang w:val="en"/>
        </w:rPr>
        <w:t>In addition to the capital requirements mentioned in Chapter Two, banks must maintain additional capital requirements, as follows:</w:t>
      </w:r>
    </w:p>
    <w:p w:rsidR="0020147A" w:rsidRPr="004D61F1" w:rsidRDefault="0020147A" w:rsidP="00076A6A">
      <w:pPr>
        <w:pStyle w:val="ListParagraph"/>
        <w:numPr>
          <w:ilvl w:val="0"/>
          <w:numId w:val="26"/>
        </w:numPr>
        <w:bidi w:val="0"/>
        <w:spacing w:after="0" w:line="276" w:lineRule="auto"/>
        <w:ind w:left="709" w:hanging="567"/>
        <w:rPr>
          <w:rFonts w:ascii="Times New Roman" w:hAnsi="Times New Roman" w:cs="Times New Roman"/>
          <w:sz w:val="24"/>
          <w:szCs w:val="24"/>
        </w:rPr>
      </w:pPr>
      <w:r w:rsidRPr="004D61F1">
        <w:rPr>
          <w:rFonts w:ascii="Times New Roman" w:hAnsi="Times New Roman" w:cs="Times New Roman"/>
          <w:sz w:val="24"/>
          <w:szCs w:val="24"/>
        </w:rPr>
        <w:t>Conservation Buffer</w:t>
      </w:r>
    </w:p>
    <w:p w:rsidR="0020147A" w:rsidRPr="004D61F1" w:rsidRDefault="0020147A" w:rsidP="00076A6A">
      <w:pPr>
        <w:pStyle w:val="ListParagraph"/>
        <w:numPr>
          <w:ilvl w:val="1"/>
          <w:numId w:val="26"/>
        </w:numPr>
        <w:bidi w:val="0"/>
        <w:spacing w:after="0" w:line="276" w:lineRule="auto"/>
        <w:ind w:left="1276" w:hanging="567"/>
        <w:rPr>
          <w:rFonts w:ascii="Times New Roman" w:hAnsi="Times New Roman" w:cs="Times New Roman"/>
          <w:b w:val="0"/>
          <w:bCs w:val="0"/>
          <w:sz w:val="24"/>
          <w:szCs w:val="24"/>
        </w:rPr>
      </w:pPr>
      <w:r w:rsidRPr="004D61F1">
        <w:rPr>
          <w:rFonts w:ascii="Times New Roman" w:hAnsi="Times New Roman" w:cs="Times New Roman"/>
          <w:b w:val="0"/>
          <w:bCs w:val="0"/>
          <w:sz w:val="24"/>
          <w:szCs w:val="24"/>
        </w:rPr>
        <w:t>A capital conservation buffer of 2.5%, comprised of Common Equity Tier 1, is established above the regulatory minimum capital requirement.</w:t>
      </w:r>
    </w:p>
    <w:p w:rsidR="0020147A" w:rsidRPr="004D61F1" w:rsidRDefault="0020147A" w:rsidP="00EC485A">
      <w:pPr>
        <w:pStyle w:val="ListParagraph"/>
        <w:numPr>
          <w:ilvl w:val="1"/>
          <w:numId w:val="26"/>
        </w:numPr>
        <w:bidi w:val="0"/>
        <w:spacing w:after="0" w:line="276" w:lineRule="auto"/>
        <w:ind w:left="1276" w:hanging="567"/>
        <w:rPr>
          <w:rFonts w:ascii="Times New Roman" w:hAnsi="Times New Roman" w:cs="Times New Roman"/>
          <w:b w:val="0"/>
          <w:bCs w:val="0"/>
          <w:sz w:val="24"/>
          <w:szCs w:val="24"/>
        </w:rPr>
      </w:pPr>
      <w:r w:rsidRPr="004D61F1">
        <w:rPr>
          <w:rFonts w:ascii="Times New Roman" w:hAnsi="Times New Roman" w:cs="Times New Roman"/>
          <w:b w:val="0"/>
          <w:bCs w:val="0"/>
          <w:color w:val="202124"/>
          <w:sz w:val="24"/>
          <w:szCs w:val="24"/>
          <w:lang w:val="en"/>
        </w:rPr>
        <w:t xml:space="preserve">In the event that the bank is unable to meet the minimum CET1 (6%) in addition to the </w:t>
      </w:r>
      <w:r w:rsidR="00191A71" w:rsidRPr="004D61F1">
        <w:rPr>
          <w:rFonts w:ascii="Times New Roman" w:hAnsi="Times New Roman" w:cs="Times New Roman"/>
          <w:b w:val="0"/>
          <w:bCs w:val="0"/>
          <w:sz w:val="24"/>
          <w:szCs w:val="24"/>
        </w:rPr>
        <w:t xml:space="preserve">conservation buffer </w:t>
      </w:r>
      <w:r w:rsidRPr="004D61F1">
        <w:rPr>
          <w:rFonts w:ascii="Times New Roman" w:hAnsi="Times New Roman" w:cs="Times New Roman"/>
          <w:b w:val="0"/>
          <w:bCs w:val="0"/>
          <w:color w:val="202124"/>
          <w:sz w:val="24"/>
          <w:szCs w:val="24"/>
          <w:lang w:val="en"/>
        </w:rPr>
        <w:t>(2.5%</w:t>
      </w:r>
      <w:r w:rsidR="00191A71" w:rsidRPr="004D61F1">
        <w:rPr>
          <w:rFonts w:ascii="Times New Roman" w:hAnsi="Times New Roman" w:cs="Times New Roman"/>
          <w:b w:val="0"/>
          <w:bCs w:val="0"/>
          <w:color w:val="202124"/>
          <w:sz w:val="24"/>
          <w:szCs w:val="24"/>
          <w:lang w:val="en"/>
        </w:rPr>
        <w:t xml:space="preserve">), the Central Bank has the right to impose restrictions on the distribution of </w:t>
      </w:r>
      <w:r w:rsidR="00EC485A">
        <w:rPr>
          <w:rFonts w:ascii="Times New Roman" w:hAnsi="Times New Roman" w:cs="Times New Roman"/>
          <w:b w:val="0"/>
          <w:bCs w:val="0"/>
          <w:color w:val="202124"/>
          <w:sz w:val="24"/>
          <w:szCs w:val="24"/>
          <w:lang w:val="en"/>
        </w:rPr>
        <w:t>profits</w:t>
      </w:r>
      <w:r w:rsidR="00191A71" w:rsidRPr="004D61F1">
        <w:rPr>
          <w:rFonts w:ascii="Times New Roman" w:hAnsi="Times New Roman" w:cs="Times New Roman"/>
          <w:b w:val="0"/>
          <w:bCs w:val="0"/>
          <w:color w:val="202124"/>
          <w:sz w:val="24"/>
          <w:szCs w:val="24"/>
          <w:lang w:val="en"/>
        </w:rPr>
        <w:t>, as follows:</w:t>
      </w:r>
    </w:p>
    <w:tbl>
      <w:tblPr>
        <w:tblStyle w:val="TableGrid"/>
        <w:tblW w:w="0" w:type="auto"/>
        <w:tblInd w:w="1436" w:type="dxa"/>
        <w:tblLook w:val="04A0" w:firstRow="1" w:lastRow="0" w:firstColumn="1" w:lastColumn="0" w:noHBand="0" w:noVBand="1"/>
      </w:tblPr>
      <w:tblGrid>
        <w:gridCol w:w="3760"/>
        <w:gridCol w:w="3724"/>
      </w:tblGrid>
      <w:tr w:rsidR="00191A71" w:rsidRPr="004D61F1" w:rsidTr="00191A71">
        <w:tc>
          <w:tcPr>
            <w:tcW w:w="4460" w:type="dxa"/>
            <w:shd w:val="clear" w:color="auto" w:fill="EDEDED" w:themeFill="accent3" w:themeFillTint="33"/>
          </w:tcPr>
          <w:p w:rsidR="00191A71" w:rsidRPr="004D61F1" w:rsidRDefault="00191A71" w:rsidP="00191A71">
            <w:pPr>
              <w:pStyle w:val="ListParagraph"/>
              <w:bidi w:val="0"/>
              <w:spacing w:after="0" w:line="276" w:lineRule="auto"/>
              <w:ind w:left="0"/>
              <w:jc w:val="center"/>
              <w:rPr>
                <w:rFonts w:ascii="Times New Roman" w:hAnsi="Times New Roman" w:cs="Times New Roman"/>
                <w:sz w:val="22"/>
                <w:szCs w:val="22"/>
              </w:rPr>
            </w:pPr>
            <w:r w:rsidRPr="004D61F1">
              <w:rPr>
                <w:rFonts w:ascii="Times New Roman" w:hAnsi="Times New Roman" w:cs="Times New Roman"/>
                <w:sz w:val="22"/>
                <w:szCs w:val="22"/>
              </w:rPr>
              <w:t xml:space="preserve">CET1 ratio (6%) in addition to conservation buffer </w:t>
            </w:r>
            <w:r w:rsidRPr="004D61F1">
              <w:rPr>
                <w:rFonts w:ascii="Times New Roman" w:hAnsi="Times New Roman" w:cs="Times New Roman"/>
                <w:color w:val="202124"/>
                <w:sz w:val="22"/>
                <w:szCs w:val="22"/>
                <w:lang w:val="en"/>
              </w:rPr>
              <w:t>(2.5%)</w:t>
            </w:r>
          </w:p>
        </w:tc>
        <w:tc>
          <w:tcPr>
            <w:tcW w:w="4460" w:type="dxa"/>
            <w:shd w:val="clear" w:color="auto" w:fill="EDEDED" w:themeFill="accent3" w:themeFillTint="33"/>
          </w:tcPr>
          <w:p w:rsidR="00191A71" w:rsidRPr="004D61F1" w:rsidRDefault="00191A71" w:rsidP="00EC485A">
            <w:pPr>
              <w:pStyle w:val="ListParagraph"/>
              <w:bidi w:val="0"/>
              <w:spacing w:after="0" w:line="276" w:lineRule="auto"/>
              <w:ind w:left="0"/>
              <w:jc w:val="center"/>
              <w:rPr>
                <w:rFonts w:ascii="Times New Roman" w:hAnsi="Times New Roman" w:cs="Times New Roman"/>
                <w:sz w:val="22"/>
                <w:szCs w:val="22"/>
              </w:rPr>
            </w:pPr>
            <w:r w:rsidRPr="004D61F1">
              <w:rPr>
                <w:rFonts w:ascii="Times New Roman" w:hAnsi="Times New Roman" w:cs="Times New Roman"/>
                <w:color w:val="202124"/>
                <w:sz w:val="22"/>
                <w:szCs w:val="22"/>
                <w:lang w:val="en"/>
              </w:rPr>
              <w:t xml:space="preserve">Percentage of </w:t>
            </w:r>
            <w:r w:rsidR="00EC485A">
              <w:rPr>
                <w:rFonts w:ascii="Times New Roman" w:hAnsi="Times New Roman" w:cs="Times New Roman"/>
                <w:color w:val="202124"/>
                <w:sz w:val="22"/>
                <w:szCs w:val="22"/>
                <w:lang w:val="en"/>
              </w:rPr>
              <w:t>profits</w:t>
            </w:r>
            <w:r w:rsidRPr="004D61F1">
              <w:rPr>
                <w:rFonts w:ascii="Times New Roman" w:hAnsi="Times New Roman" w:cs="Times New Roman"/>
                <w:color w:val="202124"/>
                <w:sz w:val="22"/>
                <w:szCs w:val="22"/>
                <w:lang w:val="en"/>
              </w:rPr>
              <w:t xml:space="preserve"> not allowed to be distributed</w:t>
            </w:r>
          </w:p>
        </w:tc>
      </w:tr>
      <w:tr w:rsidR="00191A71" w:rsidRPr="004D61F1" w:rsidTr="00191A71">
        <w:tc>
          <w:tcPr>
            <w:tcW w:w="4460" w:type="dxa"/>
          </w:tcPr>
          <w:p w:rsidR="00191A71" w:rsidRPr="004D61F1" w:rsidRDefault="00191A71" w:rsidP="00CA0E53">
            <w:pPr>
              <w:pStyle w:val="ListParagraph"/>
              <w:bidi w:val="0"/>
              <w:spacing w:after="0" w:line="276" w:lineRule="auto"/>
              <w:ind w:left="0"/>
              <w:jc w:val="center"/>
              <w:rPr>
                <w:rFonts w:ascii="Times New Roman" w:hAnsi="Times New Roman" w:cs="Times New Roman"/>
                <w:b w:val="0"/>
                <w:bCs w:val="0"/>
                <w:sz w:val="22"/>
                <w:szCs w:val="22"/>
              </w:rPr>
            </w:pPr>
            <w:r w:rsidRPr="004D61F1">
              <w:rPr>
                <w:rFonts w:ascii="Times New Roman" w:hAnsi="Times New Roman" w:cs="Times New Roman"/>
                <w:b w:val="0"/>
                <w:bCs w:val="0"/>
                <w:sz w:val="22"/>
                <w:szCs w:val="22"/>
              </w:rPr>
              <w:t>Less than 6.625%</w:t>
            </w:r>
          </w:p>
        </w:tc>
        <w:tc>
          <w:tcPr>
            <w:tcW w:w="4460" w:type="dxa"/>
          </w:tcPr>
          <w:p w:rsidR="00191A71" w:rsidRPr="004D61F1" w:rsidRDefault="00191A71" w:rsidP="00CA0E53">
            <w:pPr>
              <w:pStyle w:val="ListParagraph"/>
              <w:bidi w:val="0"/>
              <w:spacing w:after="0" w:line="276" w:lineRule="auto"/>
              <w:ind w:left="0"/>
              <w:jc w:val="center"/>
              <w:rPr>
                <w:rFonts w:ascii="Times New Roman" w:hAnsi="Times New Roman" w:cs="Times New Roman"/>
                <w:b w:val="0"/>
                <w:bCs w:val="0"/>
                <w:sz w:val="22"/>
                <w:szCs w:val="22"/>
              </w:rPr>
            </w:pPr>
            <w:r w:rsidRPr="004D61F1">
              <w:rPr>
                <w:rFonts w:ascii="Times New Roman" w:hAnsi="Times New Roman" w:cs="Times New Roman"/>
                <w:b w:val="0"/>
                <w:bCs w:val="0"/>
                <w:sz w:val="22"/>
                <w:szCs w:val="22"/>
              </w:rPr>
              <w:t>100%</w:t>
            </w:r>
          </w:p>
        </w:tc>
      </w:tr>
      <w:tr w:rsidR="00191A71" w:rsidRPr="004D61F1" w:rsidTr="00191A71">
        <w:tc>
          <w:tcPr>
            <w:tcW w:w="4460" w:type="dxa"/>
          </w:tcPr>
          <w:p w:rsidR="00191A71" w:rsidRPr="004D61F1" w:rsidRDefault="00191A71" w:rsidP="00CA0E53">
            <w:pPr>
              <w:pStyle w:val="ListParagraph"/>
              <w:bidi w:val="0"/>
              <w:spacing w:after="0" w:line="276" w:lineRule="auto"/>
              <w:ind w:left="0"/>
              <w:jc w:val="center"/>
              <w:rPr>
                <w:rFonts w:ascii="Times New Roman" w:hAnsi="Times New Roman" w:cs="Times New Roman"/>
                <w:b w:val="0"/>
                <w:bCs w:val="0"/>
                <w:sz w:val="22"/>
                <w:szCs w:val="22"/>
              </w:rPr>
            </w:pPr>
            <w:r w:rsidRPr="004D61F1">
              <w:rPr>
                <w:rFonts w:ascii="Times New Roman" w:hAnsi="Times New Roman" w:cs="Times New Roman"/>
                <w:b w:val="0"/>
                <w:bCs w:val="0"/>
                <w:sz w:val="22"/>
                <w:szCs w:val="22"/>
              </w:rPr>
              <w:t>6.625% - 7.25%</w:t>
            </w:r>
          </w:p>
        </w:tc>
        <w:tc>
          <w:tcPr>
            <w:tcW w:w="4460" w:type="dxa"/>
          </w:tcPr>
          <w:p w:rsidR="00191A71" w:rsidRPr="004D61F1" w:rsidRDefault="00191A71" w:rsidP="00CA0E53">
            <w:pPr>
              <w:pStyle w:val="ListParagraph"/>
              <w:bidi w:val="0"/>
              <w:spacing w:after="0" w:line="276" w:lineRule="auto"/>
              <w:ind w:left="0"/>
              <w:jc w:val="center"/>
              <w:rPr>
                <w:rFonts w:ascii="Times New Roman" w:hAnsi="Times New Roman" w:cs="Times New Roman"/>
                <w:b w:val="0"/>
                <w:bCs w:val="0"/>
                <w:sz w:val="22"/>
                <w:szCs w:val="22"/>
              </w:rPr>
            </w:pPr>
            <w:r w:rsidRPr="004D61F1">
              <w:rPr>
                <w:rFonts w:ascii="Times New Roman" w:hAnsi="Times New Roman" w:cs="Times New Roman"/>
                <w:b w:val="0"/>
                <w:bCs w:val="0"/>
                <w:sz w:val="22"/>
                <w:szCs w:val="22"/>
              </w:rPr>
              <w:t>80%</w:t>
            </w:r>
          </w:p>
        </w:tc>
      </w:tr>
      <w:tr w:rsidR="00191A71" w:rsidRPr="004D61F1" w:rsidTr="00191A71">
        <w:tc>
          <w:tcPr>
            <w:tcW w:w="4460" w:type="dxa"/>
          </w:tcPr>
          <w:p w:rsidR="00191A71" w:rsidRPr="004D61F1" w:rsidRDefault="00191A71" w:rsidP="00CA0E53">
            <w:pPr>
              <w:pStyle w:val="ListParagraph"/>
              <w:bidi w:val="0"/>
              <w:spacing w:after="0" w:line="276" w:lineRule="auto"/>
              <w:ind w:left="0"/>
              <w:jc w:val="center"/>
              <w:rPr>
                <w:rFonts w:ascii="Times New Roman" w:hAnsi="Times New Roman" w:cs="Times New Roman"/>
                <w:b w:val="0"/>
                <w:bCs w:val="0"/>
                <w:sz w:val="22"/>
                <w:szCs w:val="22"/>
              </w:rPr>
            </w:pPr>
            <w:r w:rsidRPr="004D61F1">
              <w:rPr>
                <w:rFonts w:ascii="Times New Roman" w:hAnsi="Times New Roman" w:cs="Times New Roman"/>
                <w:b w:val="0"/>
                <w:bCs w:val="0"/>
                <w:sz w:val="22"/>
                <w:szCs w:val="22"/>
              </w:rPr>
              <w:t>7.25% - 7.875%</w:t>
            </w:r>
          </w:p>
        </w:tc>
        <w:tc>
          <w:tcPr>
            <w:tcW w:w="4460" w:type="dxa"/>
          </w:tcPr>
          <w:p w:rsidR="00191A71" w:rsidRPr="004D61F1" w:rsidRDefault="00191A71" w:rsidP="00CA0E53">
            <w:pPr>
              <w:pStyle w:val="ListParagraph"/>
              <w:bidi w:val="0"/>
              <w:spacing w:after="0" w:line="276" w:lineRule="auto"/>
              <w:ind w:left="0"/>
              <w:jc w:val="center"/>
              <w:rPr>
                <w:rFonts w:ascii="Times New Roman" w:hAnsi="Times New Roman" w:cs="Times New Roman"/>
                <w:b w:val="0"/>
                <w:bCs w:val="0"/>
                <w:sz w:val="22"/>
                <w:szCs w:val="22"/>
              </w:rPr>
            </w:pPr>
            <w:r w:rsidRPr="004D61F1">
              <w:rPr>
                <w:rFonts w:ascii="Times New Roman" w:hAnsi="Times New Roman" w:cs="Times New Roman"/>
                <w:b w:val="0"/>
                <w:bCs w:val="0"/>
                <w:sz w:val="22"/>
                <w:szCs w:val="22"/>
              </w:rPr>
              <w:t>60%</w:t>
            </w:r>
          </w:p>
        </w:tc>
      </w:tr>
      <w:tr w:rsidR="00191A71" w:rsidRPr="004D61F1" w:rsidTr="00191A71">
        <w:tc>
          <w:tcPr>
            <w:tcW w:w="4460" w:type="dxa"/>
          </w:tcPr>
          <w:p w:rsidR="00191A71" w:rsidRPr="004D61F1" w:rsidRDefault="00191A71" w:rsidP="00CA0E53">
            <w:pPr>
              <w:pStyle w:val="ListParagraph"/>
              <w:bidi w:val="0"/>
              <w:spacing w:after="0" w:line="276" w:lineRule="auto"/>
              <w:ind w:left="0"/>
              <w:jc w:val="center"/>
              <w:rPr>
                <w:rFonts w:ascii="Times New Roman" w:hAnsi="Times New Roman" w:cs="Times New Roman"/>
                <w:b w:val="0"/>
                <w:bCs w:val="0"/>
                <w:sz w:val="22"/>
                <w:szCs w:val="22"/>
              </w:rPr>
            </w:pPr>
            <w:r w:rsidRPr="004D61F1">
              <w:rPr>
                <w:rFonts w:ascii="Times New Roman" w:hAnsi="Times New Roman" w:cs="Times New Roman"/>
                <w:b w:val="0"/>
                <w:bCs w:val="0"/>
                <w:sz w:val="22"/>
                <w:szCs w:val="22"/>
              </w:rPr>
              <w:t>7.875% - 8.5%</w:t>
            </w:r>
          </w:p>
        </w:tc>
        <w:tc>
          <w:tcPr>
            <w:tcW w:w="4460" w:type="dxa"/>
          </w:tcPr>
          <w:p w:rsidR="00191A71" w:rsidRPr="004D61F1" w:rsidRDefault="00191A71" w:rsidP="00CA0E53">
            <w:pPr>
              <w:pStyle w:val="ListParagraph"/>
              <w:bidi w:val="0"/>
              <w:spacing w:after="0" w:line="276" w:lineRule="auto"/>
              <w:ind w:left="0"/>
              <w:jc w:val="center"/>
              <w:rPr>
                <w:rFonts w:ascii="Times New Roman" w:hAnsi="Times New Roman" w:cs="Times New Roman"/>
                <w:b w:val="0"/>
                <w:bCs w:val="0"/>
                <w:sz w:val="22"/>
                <w:szCs w:val="22"/>
              </w:rPr>
            </w:pPr>
            <w:r w:rsidRPr="004D61F1">
              <w:rPr>
                <w:rFonts w:ascii="Times New Roman" w:hAnsi="Times New Roman" w:cs="Times New Roman"/>
                <w:b w:val="0"/>
                <w:bCs w:val="0"/>
                <w:sz w:val="22"/>
                <w:szCs w:val="22"/>
              </w:rPr>
              <w:t>40%</w:t>
            </w:r>
          </w:p>
        </w:tc>
      </w:tr>
      <w:tr w:rsidR="00191A71" w:rsidRPr="004D61F1" w:rsidTr="00191A71">
        <w:tc>
          <w:tcPr>
            <w:tcW w:w="4460" w:type="dxa"/>
          </w:tcPr>
          <w:p w:rsidR="00191A71" w:rsidRPr="004D61F1" w:rsidRDefault="00191A71" w:rsidP="00CA0E53">
            <w:pPr>
              <w:pStyle w:val="ListParagraph"/>
              <w:bidi w:val="0"/>
              <w:spacing w:after="0" w:line="276" w:lineRule="auto"/>
              <w:ind w:left="0"/>
              <w:jc w:val="center"/>
              <w:rPr>
                <w:rFonts w:ascii="Times New Roman" w:hAnsi="Times New Roman" w:cs="Times New Roman"/>
                <w:b w:val="0"/>
                <w:bCs w:val="0"/>
                <w:sz w:val="22"/>
                <w:szCs w:val="22"/>
              </w:rPr>
            </w:pPr>
            <w:r w:rsidRPr="004D61F1">
              <w:rPr>
                <w:rFonts w:ascii="Times New Roman" w:hAnsi="Times New Roman" w:cs="Times New Roman"/>
                <w:b w:val="0"/>
                <w:bCs w:val="0"/>
                <w:sz w:val="22"/>
                <w:szCs w:val="22"/>
              </w:rPr>
              <w:t>More than 8.5%</w:t>
            </w:r>
          </w:p>
        </w:tc>
        <w:tc>
          <w:tcPr>
            <w:tcW w:w="4460" w:type="dxa"/>
          </w:tcPr>
          <w:p w:rsidR="00191A71" w:rsidRPr="004D61F1" w:rsidRDefault="00191A71" w:rsidP="00CA0E53">
            <w:pPr>
              <w:pStyle w:val="ListParagraph"/>
              <w:bidi w:val="0"/>
              <w:spacing w:after="0" w:line="276" w:lineRule="auto"/>
              <w:ind w:left="0"/>
              <w:jc w:val="center"/>
              <w:rPr>
                <w:rFonts w:ascii="Times New Roman" w:hAnsi="Times New Roman" w:cs="Times New Roman"/>
                <w:b w:val="0"/>
                <w:bCs w:val="0"/>
                <w:sz w:val="22"/>
                <w:szCs w:val="22"/>
              </w:rPr>
            </w:pPr>
            <w:r w:rsidRPr="004D61F1">
              <w:rPr>
                <w:rFonts w:ascii="Times New Roman" w:hAnsi="Times New Roman" w:cs="Times New Roman"/>
                <w:b w:val="0"/>
                <w:bCs w:val="0"/>
                <w:sz w:val="22"/>
                <w:szCs w:val="22"/>
              </w:rPr>
              <w:t>0</w:t>
            </w:r>
          </w:p>
        </w:tc>
      </w:tr>
    </w:tbl>
    <w:p w:rsidR="00191A71" w:rsidRPr="004D61F1" w:rsidRDefault="00191A71" w:rsidP="00CA0E53">
      <w:pPr>
        <w:pStyle w:val="ListParagraph"/>
        <w:bidi w:val="0"/>
        <w:spacing w:after="0" w:line="276" w:lineRule="auto"/>
        <w:ind w:left="1436"/>
        <w:rPr>
          <w:rFonts w:ascii="Times New Roman" w:hAnsi="Times New Roman" w:cs="Times New Roman"/>
          <w:b w:val="0"/>
          <w:bCs w:val="0"/>
          <w:sz w:val="24"/>
          <w:szCs w:val="24"/>
        </w:rPr>
      </w:pPr>
    </w:p>
    <w:p w:rsidR="0020147A" w:rsidRPr="004D61F1" w:rsidRDefault="0020147A" w:rsidP="00076A6A">
      <w:pPr>
        <w:pStyle w:val="ListParagraph"/>
        <w:numPr>
          <w:ilvl w:val="0"/>
          <w:numId w:val="26"/>
        </w:numPr>
        <w:bidi w:val="0"/>
        <w:spacing w:after="0" w:line="276" w:lineRule="auto"/>
        <w:ind w:left="709" w:hanging="567"/>
        <w:rPr>
          <w:rFonts w:ascii="Times New Roman" w:hAnsi="Times New Roman" w:cs="Times New Roman"/>
          <w:sz w:val="24"/>
          <w:szCs w:val="24"/>
        </w:rPr>
      </w:pPr>
      <w:r w:rsidRPr="004D61F1">
        <w:rPr>
          <w:rFonts w:ascii="Times New Roman" w:hAnsi="Times New Roman" w:cs="Times New Roman"/>
          <w:sz w:val="24"/>
          <w:szCs w:val="24"/>
        </w:rPr>
        <w:t>Countercyclical Buffer</w:t>
      </w:r>
    </w:p>
    <w:p w:rsidR="00191A71" w:rsidRPr="004D61F1" w:rsidRDefault="00D23A41" w:rsidP="004970C9">
      <w:pPr>
        <w:pStyle w:val="ListParagraph"/>
        <w:numPr>
          <w:ilvl w:val="1"/>
          <w:numId w:val="26"/>
        </w:numPr>
        <w:bidi w:val="0"/>
        <w:spacing w:after="0" w:line="276" w:lineRule="auto"/>
        <w:ind w:left="1276" w:hanging="567"/>
        <w:rPr>
          <w:rFonts w:ascii="Times New Roman" w:hAnsi="Times New Roman" w:cs="Times New Roman"/>
          <w:b w:val="0"/>
          <w:bCs w:val="0"/>
          <w:sz w:val="24"/>
          <w:szCs w:val="24"/>
        </w:rPr>
      </w:pPr>
      <w:r w:rsidRPr="004D61F1">
        <w:rPr>
          <w:rFonts w:ascii="Times New Roman" w:hAnsi="Times New Roman" w:cs="Times New Roman"/>
          <w:b w:val="0"/>
          <w:bCs w:val="0"/>
          <w:color w:val="202124"/>
          <w:sz w:val="24"/>
          <w:szCs w:val="24"/>
          <w:lang w:val="en"/>
        </w:rPr>
        <w:t xml:space="preserve">The Central Bank of Jordan will, as of </w:t>
      </w:r>
      <w:r w:rsidR="00EC485A">
        <w:rPr>
          <w:rFonts w:ascii="Times New Roman" w:hAnsi="Times New Roman" w:cs="Times New Roman"/>
          <w:b w:val="0"/>
          <w:bCs w:val="0"/>
          <w:color w:val="202124"/>
          <w:sz w:val="24"/>
          <w:szCs w:val="24"/>
          <w:lang w:val="en"/>
        </w:rPr>
        <w:t>30/9</w:t>
      </w:r>
      <w:r w:rsidRPr="004D61F1">
        <w:rPr>
          <w:rFonts w:ascii="Times New Roman" w:hAnsi="Times New Roman" w:cs="Times New Roman"/>
          <w:b w:val="0"/>
          <w:bCs w:val="0"/>
          <w:color w:val="202124"/>
          <w:sz w:val="24"/>
          <w:szCs w:val="24"/>
          <w:lang w:val="en"/>
        </w:rPr>
        <w:t xml:space="preserve">/2016, calculate </w:t>
      </w:r>
      <w:r w:rsidRPr="004D61F1">
        <w:rPr>
          <w:rFonts w:ascii="Times New Roman" w:hAnsi="Times New Roman" w:cs="Times New Roman"/>
          <w:b w:val="0"/>
          <w:bCs w:val="0"/>
          <w:sz w:val="24"/>
          <w:szCs w:val="24"/>
        </w:rPr>
        <w:t>countercyclical buffer that varies between zero and 2.5%</w:t>
      </w:r>
      <w:r w:rsidRPr="004D61F1">
        <w:rPr>
          <w:rFonts w:ascii="Times New Roman" w:hAnsi="Times New Roman" w:cs="Times New Roman"/>
          <w:b w:val="0"/>
          <w:bCs w:val="0"/>
          <w:color w:val="202124"/>
          <w:sz w:val="24"/>
          <w:szCs w:val="24"/>
          <w:lang w:val="en"/>
        </w:rPr>
        <w:t xml:space="preserve"> </w:t>
      </w:r>
      <w:r w:rsidR="004970C9">
        <w:rPr>
          <w:rFonts w:ascii="Times New Roman" w:hAnsi="Times New Roman" w:cs="Times New Roman"/>
          <w:b w:val="0"/>
          <w:bCs w:val="0"/>
          <w:sz w:val="24"/>
          <w:szCs w:val="24"/>
        </w:rPr>
        <w:t>from</w:t>
      </w:r>
      <w:r w:rsidRPr="004D61F1">
        <w:rPr>
          <w:rFonts w:ascii="Times New Roman" w:hAnsi="Times New Roman" w:cs="Times New Roman"/>
          <w:b w:val="0"/>
          <w:bCs w:val="0"/>
          <w:sz w:val="24"/>
          <w:szCs w:val="24"/>
        </w:rPr>
        <w:t xml:space="preserve"> total risk weighted assets</w:t>
      </w:r>
      <w:r w:rsidRPr="004D61F1">
        <w:rPr>
          <w:rFonts w:ascii="Times New Roman" w:hAnsi="Times New Roman" w:cs="Times New Roman"/>
          <w:b w:val="0"/>
          <w:bCs w:val="0"/>
          <w:color w:val="202124"/>
          <w:sz w:val="24"/>
          <w:szCs w:val="24"/>
        </w:rPr>
        <w:t xml:space="preserve">. </w:t>
      </w:r>
      <w:r w:rsidR="004E4131" w:rsidRPr="004D61F1">
        <w:rPr>
          <w:rFonts w:ascii="Times New Roman" w:hAnsi="Times New Roman" w:cs="Times New Roman"/>
          <w:b w:val="0"/>
          <w:bCs w:val="0"/>
          <w:color w:val="202124"/>
          <w:sz w:val="24"/>
          <w:szCs w:val="24"/>
          <w:lang w:val="en"/>
        </w:rPr>
        <w:t>The Central Bank will ask banks - if needed - to build this buffer within a year from the date of providing them with the ratio. The b</w:t>
      </w:r>
      <w:r w:rsidR="004D43C2" w:rsidRPr="004D61F1">
        <w:rPr>
          <w:rFonts w:ascii="Times New Roman" w:hAnsi="Times New Roman" w:cs="Times New Roman"/>
          <w:b w:val="0"/>
          <w:bCs w:val="0"/>
          <w:color w:val="202124"/>
          <w:sz w:val="24"/>
          <w:szCs w:val="24"/>
          <w:lang w:val="en"/>
        </w:rPr>
        <w:t>uffer must be from CET1. Annex n</w:t>
      </w:r>
      <w:r w:rsidR="004E4131" w:rsidRPr="004D61F1">
        <w:rPr>
          <w:rFonts w:ascii="Times New Roman" w:hAnsi="Times New Roman" w:cs="Times New Roman"/>
          <w:b w:val="0"/>
          <w:bCs w:val="0"/>
          <w:color w:val="202124"/>
          <w:sz w:val="24"/>
          <w:szCs w:val="24"/>
          <w:lang w:val="en"/>
        </w:rPr>
        <w:t xml:space="preserve">o. (6) shows the steps that the Central Bank will follow regarding the </w:t>
      </w:r>
      <w:r w:rsidR="004E4131" w:rsidRPr="004D61F1">
        <w:rPr>
          <w:rFonts w:ascii="Times New Roman" w:hAnsi="Times New Roman" w:cs="Times New Roman"/>
          <w:b w:val="0"/>
          <w:bCs w:val="0"/>
          <w:sz w:val="24"/>
          <w:szCs w:val="24"/>
        </w:rPr>
        <w:t>countercyclical buffer.</w:t>
      </w:r>
    </w:p>
    <w:p w:rsidR="004E4131" w:rsidRPr="004D61F1" w:rsidRDefault="004E4131" w:rsidP="004970C9">
      <w:pPr>
        <w:pStyle w:val="ListParagraph"/>
        <w:numPr>
          <w:ilvl w:val="1"/>
          <w:numId w:val="26"/>
        </w:numPr>
        <w:bidi w:val="0"/>
        <w:spacing w:after="0" w:line="276" w:lineRule="auto"/>
        <w:ind w:left="1276" w:hanging="567"/>
        <w:rPr>
          <w:rFonts w:ascii="Times New Roman" w:hAnsi="Times New Roman" w:cs="Times New Roman"/>
          <w:b w:val="0"/>
          <w:bCs w:val="0"/>
          <w:sz w:val="24"/>
          <w:szCs w:val="24"/>
        </w:rPr>
      </w:pPr>
      <w:r w:rsidRPr="004D61F1">
        <w:rPr>
          <w:rFonts w:ascii="Times New Roman" w:hAnsi="Times New Roman" w:cs="Times New Roman"/>
          <w:b w:val="0"/>
          <w:bCs w:val="0"/>
          <w:color w:val="202124"/>
          <w:sz w:val="24"/>
          <w:szCs w:val="24"/>
          <w:lang w:val="en"/>
        </w:rPr>
        <w:t xml:space="preserve">In the event that the bank is unable to meet the minimum CET1 (6%) in addition to the </w:t>
      </w:r>
      <w:r w:rsidRPr="004D61F1">
        <w:rPr>
          <w:rFonts w:ascii="Times New Roman" w:hAnsi="Times New Roman" w:cs="Times New Roman"/>
          <w:b w:val="0"/>
          <w:bCs w:val="0"/>
          <w:sz w:val="24"/>
          <w:szCs w:val="24"/>
        </w:rPr>
        <w:t xml:space="preserve">conservation buffer </w:t>
      </w:r>
      <w:r w:rsidRPr="004D61F1">
        <w:rPr>
          <w:rFonts w:ascii="Times New Roman" w:hAnsi="Times New Roman" w:cs="Times New Roman"/>
          <w:b w:val="0"/>
          <w:bCs w:val="0"/>
          <w:color w:val="202124"/>
          <w:sz w:val="24"/>
          <w:szCs w:val="24"/>
          <w:lang w:val="en"/>
        </w:rPr>
        <w:t xml:space="preserve">(2.5%) and </w:t>
      </w:r>
      <w:r w:rsidRPr="004D61F1">
        <w:rPr>
          <w:rFonts w:ascii="Times New Roman" w:hAnsi="Times New Roman" w:cs="Times New Roman"/>
          <w:b w:val="0"/>
          <w:bCs w:val="0"/>
          <w:sz w:val="24"/>
          <w:szCs w:val="24"/>
        </w:rPr>
        <w:t>countercyclical buffer</w:t>
      </w:r>
      <w:r w:rsidRPr="004D61F1">
        <w:rPr>
          <w:rFonts w:ascii="Times New Roman" w:hAnsi="Times New Roman" w:cs="Times New Roman"/>
          <w:b w:val="0"/>
          <w:bCs w:val="0"/>
          <w:color w:val="202124"/>
          <w:sz w:val="24"/>
          <w:szCs w:val="24"/>
          <w:lang w:val="en"/>
        </w:rPr>
        <w:t xml:space="preserve"> (2.5%)</w:t>
      </w:r>
      <w:r w:rsidRPr="004D61F1">
        <w:rPr>
          <w:rStyle w:val="FootnoteReference"/>
          <w:rFonts w:ascii="Times New Roman" w:hAnsi="Times New Roman" w:cs="Times New Roman"/>
          <w:b w:val="0"/>
          <w:bCs w:val="0"/>
          <w:color w:val="202124"/>
          <w:sz w:val="24"/>
          <w:szCs w:val="24"/>
          <w:lang w:val="en"/>
        </w:rPr>
        <w:footnoteReference w:id="18"/>
      </w:r>
      <w:r w:rsidRPr="004D61F1">
        <w:rPr>
          <w:rFonts w:ascii="Times New Roman" w:hAnsi="Times New Roman" w:cs="Times New Roman"/>
          <w:b w:val="0"/>
          <w:bCs w:val="0"/>
          <w:color w:val="202124"/>
          <w:sz w:val="24"/>
          <w:szCs w:val="24"/>
          <w:lang w:val="en"/>
        </w:rPr>
        <w:t xml:space="preserve">, the Central Bank has the right to impose restrictions on the distribution of </w:t>
      </w:r>
      <w:r w:rsidR="004970C9">
        <w:rPr>
          <w:rFonts w:ascii="Times New Roman" w:hAnsi="Times New Roman" w:cs="Times New Roman"/>
          <w:b w:val="0"/>
          <w:bCs w:val="0"/>
          <w:color w:val="202124"/>
          <w:sz w:val="24"/>
          <w:szCs w:val="24"/>
          <w:lang w:val="en"/>
        </w:rPr>
        <w:t>profits</w:t>
      </w:r>
      <w:r w:rsidRPr="004D61F1">
        <w:rPr>
          <w:rFonts w:ascii="Times New Roman" w:hAnsi="Times New Roman" w:cs="Times New Roman"/>
          <w:b w:val="0"/>
          <w:bCs w:val="0"/>
          <w:color w:val="202124"/>
          <w:sz w:val="24"/>
          <w:szCs w:val="24"/>
          <w:lang w:val="en"/>
        </w:rPr>
        <w:t>, as follows:</w:t>
      </w:r>
    </w:p>
    <w:tbl>
      <w:tblPr>
        <w:tblStyle w:val="TableGrid"/>
        <w:tblW w:w="0" w:type="auto"/>
        <w:tblInd w:w="1436" w:type="dxa"/>
        <w:tblLook w:val="04A0" w:firstRow="1" w:lastRow="0" w:firstColumn="1" w:lastColumn="0" w:noHBand="0" w:noVBand="1"/>
      </w:tblPr>
      <w:tblGrid>
        <w:gridCol w:w="3760"/>
        <w:gridCol w:w="3724"/>
      </w:tblGrid>
      <w:tr w:rsidR="004E4131" w:rsidRPr="004D61F1" w:rsidTr="002A5757">
        <w:tc>
          <w:tcPr>
            <w:tcW w:w="4460" w:type="dxa"/>
            <w:shd w:val="clear" w:color="auto" w:fill="EDEDED" w:themeFill="accent3" w:themeFillTint="33"/>
          </w:tcPr>
          <w:p w:rsidR="004E4131" w:rsidRPr="004D61F1" w:rsidRDefault="004E4131" w:rsidP="00CA0E53">
            <w:pPr>
              <w:pStyle w:val="ListParagraph"/>
              <w:bidi w:val="0"/>
              <w:spacing w:after="0" w:line="276" w:lineRule="auto"/>
              <w:ind w:left="0"/>
              <w:jc w:val="center"/>
              <w:rPr>
                <w:rFonts w:ascii="Times New Roman" w:hAnsi="Times New Roman" w:cs="Times New Roman"/>
                <w:sz w:val="22"/>
                <w:szCs w:val="22"/>
              </w:rPr>
            </w:pPr>
            <w:r w:rsidRPr="004D61F1">
              <w:rPr>
                <w:rFonts w:ascii="Times New Roman" w:hAnsi="Times New Roman" w:cs="Times New Roman"/>
                <w:sz w:val="22"/>
                <w:szCs w:val="22"/>
              </w:rPr>
              <w:t xml:space="preserve">CET1 ratio + conservation buffer +  </w:t>
            </w:r>
            <w:r w:rsidRPr="004D61F1">
              <w:rPr>
                <w:rFonts w:ascii="Times New Roman" w:hAnsi="Times New Roman" w:cs="Times New Roman"/>
                <w:color w:val="202124"/>
                <w:sz w:val="22"/>
                <w:szCs w:val="22"/>
                <w:lang w:val="en"/>
              </w:rPr>
              <w:t>(2.5%)</w:t>
            </w:r>
          </w:p>
        </w:tc>
        <w:tc>
          <w:tcPr>
            <w:tcW w:w="4460" w:type="dxa"/>
            <w:shd w:val="clear" w:color="auto" w:fill="EDEDED" w:themeFill="accent3" w:themeFillTint="33"/>
          </w:tcPr>
          <w:p w:rsidR="004E4131" w:rsidRPr="004D61F1" w:rsidRDefault="004E4131" w:rsidP="004970C9">
            <w:pPr>
              <w:pStyle w:val="ListParagraph"/>
              <w:bidi w:val="0"/>
              <w:spacing w:after="0" w:line="276" w:lineRule="auto"/>
              <w:ind w:left="0"/>
              <w:jc w:val="center"/>
              <w:rPr>
                <w:rFonts w:ascii="Times New Roman" w:hAnsi="Times New Roman" w:cs="Times New Roman"/>
                <w:sz w:val="22"/>
                <w:szCs w:val="22"/>
              </w:rPr>
            </w:pPr>
            <w:r w:rsidRPr="004D61F1">
              <w:rPr>
                <w:rFonts w:ascii="Times New Roman" w:hAnsi="Times New Roman" w:cs="Times New Roman"/>
                <w:color w:val="202124"/>
                <w:sz w:val="22"/>
                <w:szCs w:val="22"/>
                <w:lang w:val="en"/>
              </w:rPr>
              <w:t xml:space="preserve">Percentage of </w:t>
            </w:r>
            <w:r w:rsidR="004970C9">
              <w:rPr>
                <w:rFonts w:ascii="Times New Roman" w:hAnsi="Times New Roman" w:cs="Times New Roman"/>
                <w:color w:val="202124"/>
                <w:sz w:val="22"/>
                <w:szCs w:val="22"/>
                <w:lang w:val="en"/>
              </w:rPr>
              <w:t>profits</w:t>
            </w:r>
            <w:r w:rsidRPr="004D61F1">
              <w:rPr>
                <w:rFonts w:ascii="Times New Roman" w:hAnsi="Times New Roman" w:cs="Times New Roman"/>
                <w:color w:val="202124"/>
                <w:sz w:val="22"/>
                <w:szCs w:val="22"/>
                <w:lang w:val="en"/>
              </w:rPr>
              <w:t xml:space="preserve"> not allowed to be distributed</w:t>
            </w:r>
          </w:p>
        </w:tc>
      </w:tr>
      <w:tr w:rsidR="004E4131" w:rsidRPr="004D61F1" w:rsidTr="002A5757">
        <w:tc>
          <w:tcPr>
            <w:tcW w:w="4460" w:type="dxa"/>
          </w:tcPr>
          <w:p w:rsidR="004E4131" w:rsidRPr="004D61F1" w:rsidRDefault="004E4131" w:rsidP="00CA0E53">
            <w:pPr>
              <w:pStyle w:val="ListParagraph"/>
              <w:bidi w:val="0"/>
              <w:spacing w:after="0" w:line="276" w:lineRule="auto"/>
              <w:ind w:left="0"/>
              <w:jc w:val="center"/>
              <w:rPr>
                <w:rFonts w:ascii="Times New Roman" w:hAnsi="Times New Roman" w:cs="Times New Roman"/>
                <w:b w:val="0"/>
                <w:bCs w:val="0"/>
                <w:sz w:val="22"/>
                <w:szCs w:val="22"/>
              </w:rPr>
            </w:pPr>
            <w:r w:rsidRPr="004D61F1">
              <w:rPr>
                <w:rFonts w:ascii="Times New Roman" w:hAnsi="Times New Roman" w:cs="Times New Roman"/>
                <w:b w:val="0"/>
                <w:bCs w:val="0"/>
                <w:sz w:val="22"/>
                <w:szCs w:val="22"/>
              </w:rPr>
              <w:t xml:space="preserve">Less than </w:t>
            </w:r>
            <w:r w:rsidR="00A94F0C" w:rsidRPr="004D61F1">
              <w:rPr>
                <w:rFonts w:ascii="Times New Roman" w:hAnsi="Times New Roman" w:cs="Times New Roman"/>
                <w:b w:val="0"/>
                <w:bCs w:val="0"/>
                <w:sz w:val="22"/>
                <w:szCs w:val="22"/>
              </w:rPr>
              <w:t xml:space="preserve">6 </w:t>
            </w:r>
            <w:r w:rsidRPr="004D61F1">
              <w:rPr>
                <w:rFonts w:ascii="Times New Roman" w:hAnsi="Times New Roman" w:cs="Times New Roman"/>
                <w:b w:val="0"/>
                <w:bCs w:val="0"/>
                <w:sz w:val="22"/>
                <w:szCs w:val="22"/>
              </w:rPr>
              <w:t>%</w:t>
            </w:r>
          </w:p>
        </w:tc>
        <w:tc>
          <w:tcPr>
            <w:tcW w:w="4460" w:type="dxa"/>
          </w:tcPr>
          <w:p w:rsidR="004E4131" w:rsidRPr="004D61F1" w:rsidRDefault="004E4131" w:rsidP="00CA0E53">
            <w:pPr>
              <w:pStyle w:val="ListParagraph"/>
              <w:bidi w:val="0"/>
              <w:spacing w:after="0" w:line="276" w:lineRule="auto"/>
              <w:ind w:left="0"/>
              <w:jc w:val="center"/>
              <w:rPr>
                <w:rFonts w:ascii="Times New Roman" w:hAnsi="Times New Roman" w:cs="Times New Roman"/>
                <w:b w:val="0"/>
                <w:bCs w:val="0"/>
                <w:sz w:val="22"/>
                <w:szCs w:val="22"/>
              </w:rPr>
            </w:pPr>
            <w:r w:rsidRPr="004D61F1">
              <w:rPr>
                <w:rFonts w:ascii="Times New Roman" w:hAnsi="Times New Roman" w:cs="Times New Roman"/>
                <w:b w:val="0"/>
                <w:bCs w:val="0"/>
                <w:sz w:val="22"/>
                <w:szCs w:val="22"/>
              </w:rPr>
              <w:t>100%</w:t>
            </w:r>
          </w:p>
        </w:tc>
      </w:tr>
      <w:tr w:rsidR="004E4131" w:rsidRPr="004D61F1" w:rsidTr="002A5757">
        <w:tc>
          <w:tcPr>
            <w:tcW w:w="4460" w:type="dxa"/>
          </w:tcPr>
          <w:p w:rsidR="004E4131" w:rsidRPr="004D61F1" w:rsidRDefault="00A94F0C" w:rsidP="00CA0E53">
            <w:pPr>
              <w:pStyle w:val="ListParagraph"/>
              <w:bidi w:val="0"/>
              <w:spacing w:after="0" w:line="276" w:lineRule="auto"/>
              <w:ind w:left="0"/>
              <w:jc w:val="center"/>
              <w:rPr>
                <w:rFonts w:ascii="Times New Roman" w:hAnsi="Times New Roman" w:cs="Times New Roman"/>
                <w:b w:val="0"/>
                <w:bCs w:val="0"/>
                <w:sz w:val="22"/>
                <w:szCs w:val="22"/>
              </w:rPr>
            </w:pPr>
            <w:r w:rsidRPr="004D61F1">
              <w:rPr>
                <w:rFonts w:ascii="Times New Roman" w:hAnsi="Times New Roman" w:cs="Times New Roman"/>
                <w:b w:val="0"/>
                <w:bCs w:val="0"/>
                <w:sz w:val="22"/>
                <w:szCs w:val="22"/>
              </w:rPr>
              <w:t>7.25</w:t>
            </w:r>
            <w:r w:rsidR="004E4131" w:rsidRPr="004D61F1">
              <w:rPr>
                <w:rFonts w:ascii="Times New Roman" w:hAnsi="Times New Roman" w:cs="Times New Roman"/>
                <w:b w:val="0"/>
                <w:bCs w:val="0"/>
                <w:sz w:val="22"/>
                <w:szCs w:val="22"/>
              </w:rPr>
              <w:t xml:space="preserve">% - </w:t>
            </w:r>
            <w:r w:rsidRPr="004D61F1">
              <w:rPr>
                <w:rFonts w:ascii="Times New Roman" w:hAnsi="Times New Roman" w:cs="Times New Roman"/>
                <w:b w:val="0"/>
                <w:bCs w:val="0"/>
                <w:sz w:val="22"/>
                <w:szCs w:val="22"/>
              </w:rPr>
              <w:t>8.5</w:t>
            </w:r>
            <w:r w:rsidR="004E4131" w:rsidRPr="004D61F1">
              <w:rPr>
                <w:rFonts w:ascii="Times New Roman" w:hAnsi="Times New Roman" w:cs="Times New Roman"/>
                <w:b w:val="0"/>
                <w:bCs w:val="0"/>
                <w:sz w:val="22"/>
                <w:szCs w:val="22"/>
              </w:rPr>
              <w:t>%</w:t>
            </w:r>
          </w:p>
        </w:tc>
        <w:tc>
          <w:tcPr>
            <w:tcW w:w="4460" w:type="dxa"/>
          </w:tcPr>
          <w:p w:rsidR="004E4131" w:rsidRPr="004D61F1" w:rsidRDefault="004E4131" w:rsidP="00CA0E53">
            <w:pPr>
              <w:pStyle w:val="ListParagraph"/>
              <w:bidi w:val="0"/>
              <w:spacing w:after="0" w:line="276" w:lineRule="auto"/>
              <w:ind w:left="0"/>
              <w:jc w:val="center"/>
              <w:rPr>
                <w:rFonts w:ascii="Times New Roman" w:hAnsi="Times New Roman" w:cs="Times New Roman"/>
                <w:b w:val="0"/>
                <w:bCs w:val="0"/>
                <w:sz w:val="22"/>
                <w:szCs w:val="22"/>
              </w:rPr>
            </w:pPr>
            <w:r w:rsidRPr="004D61F1">
              <w:rPr>
                <w:rFonts w:ascii="Times New Roman" w:hAnsi="Times New Roman" w:cs="Times New Roman"/>
                <w:b w:val="0"/>
                <w:bCs w:val="0"/>
                <w:sz w:val="22"/>
                <w:szCs w:val="22"/>
              </w:rPr>
              <w:t>80%</w:t>
            </w:r>
          </w:p>
        </w:tc>
      </w:tr>
      <w:tr w:rsidR="004E4131" w:rsidRPr="004D61F1" w:rsidTr="002A5757">
        <w:tc>
          <w:tcPr>
            <w:tcW w:w="4460" w:type="dxa"/>
          </w:tcPr>
          <w:p w:rsidR="004E4131" w:rsidRPr="004D61F1" w:rsidRDefault="00A94F0C" w:rsidP="00CA0E53">
            <w:pPr>
              <w:pStyle w:val="ListParagraph"/>
              <w:bidi w:val="0"/>
              <w:spacing w:after="0" w:line="276" w:lineRule="auto"/>
              <w:ind w:left="0"/>
              <w:jc w:val="center"/>
              <w:rPr>
                <w:rFonts w:ascii="Times New Roman" w:hAnsi="Times New Roman" w:cs="Times New Roman"/>
                <w:b w:val="0"/>
                <w:bCs w:val="0"/>
                <w:sz w:val="22"/>
                <w:szCs w:val="22"/>
              </w:rPr>
            </w:pPr>
            <w:r w:rsidRPr="004D61F1">
              <w:rPr>
                <w:rFonts w:ascii="Times New Roman" w:hAnsi="Times New Roman" w:cs="Times New Roman"/>
                <w:b w:val="0"/>
                <w:bCs w:val="0"/>
                <w:sz w:val="22"/>
                <w:szCs w:val="22"/>
              </w:rPr>
              <w:t>8.5</w:t>
            </w:r>
            <w:r w:rsidR="004E4131" w:rsidRPr="004D61F1">
              <w:rPr>
                <w:rFonts w:ascii="Times New Roman" w:hAnsi="Times New Roman" w:cs="Times New Roman"/>
                <w:b w:val="0"/>
                <w:bCs w:val="0"/>
                <w:sz w:val="22"/>
                <w:szCs w:val="22"/>
              </w:rPr>
              <w:t xml:space="preserve">% - </w:t>
            </w:r>
            <w:r w:rsidRPr="004D61F1">
              <w:rPr>
                <w:rFonts w:ascii="Times New Roman" w:hAnsi="Times New Roman" w:cs="Times New Roman"/>
                <w:b w:val="0"/>
                <w:bCs w:val="0"/>
                <w:sz w:val="22"/>
                <w:szCs w:val="22"/>
              </w:rPr>
              <w:t>9.75</w:t>
            </w:r>
            <w:r w:rsidR="004E4131" w:rsidRPr="004D61F1">
              <w:rPr>
                <w:rFonts w:ascii="Times New Roman" w:hAnsi="Times New Roman" w:cs="Times New Roman"/>
                <w:b w:val="0"/>
                <w:bCs w:val="0"/>
                <w:sz w:val="22"/>
                <w:szCs w:val="22"/>
              </w:rPr>
              <w:t>%</w:t>
            </w:r>
          </w:p>
        </w:tc>
        <w:tc>
          <w:tcPr>
            <w:tcW w:w="4460" w:type="dxa"/>
          </w:tcPr>
          <w:p w:rsidR="004E4131" w:rsidRPr="004D61F1" w:rsidRDefault="004E4131" w:rsidP="00CA0E53">
            <w:pPr>
              <w:pStyle w:val="ListParagraph"/>
              <w:bidi w:val="0"/>
              <w:spacing w:after="0" w:line="276" w:lineRule="auto"/>
              <w:ind w:left="0"/>
              <w:jc w:val="center"/>
              <w:rPr>
                <w:rFonts w:ascii="Times New Roman" w:hAnsi="Times New Roman" w:cs="Times New Roman"/>
                <w:b w:val="0"/>
                <w:bCs w:val="0"/>
                <w:sz w:val="22"/>
                <w:szCs w:val="22"/>
              </w:rPr>
            </w:pPr>
            <w:r w:rsidRPr="004D61F1">
              <w:rPr>
                <w:rFonts w:ascii="Times New Roman" w:hAnsi="Times New Roman" w:cs="Times New Roman"/>
                <w:b w:val="0"/>
                <w:bCs w:val="0"/>
                <w:sz w:val="22"/>
                <w:szCs w:val="22"/>
              </w:rPr>
              <w:t>60%</w:t>
            </w:r>
          </w:p>
        </w:tc>
      </w:tr>
      <w:tr w:rsidR="004E4131" w:rsidRPr="004D61F1" w:rsidTr="002A5757">
        <w:tc>
          <w:tcPr>
            <w:tcW w:w="4460" w:type="dxa"/>
          </w:tcPr>
          <w:p w:rsidR="004E4131" w:rsidRPr="004D61F1" w:rsidRDefault="00A94F0C" w:rsidP="00CA0E53">
            <w:pPr>
              <w:pStyle w:val="ListParagraph"/>
              <w:bidi w:val="0"/>
              <w:spacing w:after="0" w:line="276" w:lineRule="auto"/>
              <w:ind w:left="0"/>
              <w:jc w:val="center"/>
              <w:rPr>
                <w:rFonts w:ascii="Times New Roman" w:hAnsi="Times New Roman" w:cs="Times New Roman"/>
                <w:b w:val="0"/>
                <w:bCs w:val="0"/>
                <w:sz w:val="22"/>
                <w:szCs w:val="22"/>
              </w:rPr>
            </w:pPr>
            <w:r w:rsidRPr="004D61F1">
              <w:rPr>
                <w:rFonts w:ascii="Times New Roman" w:hAnsi="Times New Roman" w:cs="Times New Roman"/>
                <w:b w:val="0"/>
                <w:bCs w:val="0"/>
                <w:sz w:val="22"/>
                <w:szCs w:val="22"/>
              </w:rPr>
              <w:t>9.75</w:t>
            </w:r>
            <w:r w:rsidR="004E4131" w:rsidRPr="004D61F1">
              <w:rPr>
                <w:rFonts w:ascii="Times New Roman" w:hAnsi="Times New Roman" w:cs="Times New Roman"/>
                <w:b w:val="0"/>
                <w:bCs w:val="0"/>
                <w:sz w:val="22"/>
                <w:szCs w:val="22"/>
              </w:rPr>
              <w:t xml:space="preserve">% - </w:t>
            </w:r>
            <w:r w:rsidRPr="004D61F1">
              <w:rPr>
                <w:rFonts w:ascii="Times New Roman" w:hAnsi="Times New Roman" w:cs="Times New Roman"/>
                <w:b w:val="0"/>
                <w:bCs w:val="0"/>
                <w:sz w:val="22"/>
                <w:szCs w:val="22"/>
              </w:rPr>
              <w:t>11</w:t>
            </w:r>
            <w:r w:rsidR="004E4131" w:rsidRPr="004D61F1">
              <w:rPr>
                <w:rFonts w:ascii="Times New Roman" w:hAnsi="Times New Roman" w:cs="Times New Roman"/>
                <w:b w:val="0"/>
                <w:bCs w:val="0"/>
                <w:sz w:val="22"/>
                <w:szCs w:val="22"/>
              </w:rPr>
              <w:t>%</w:t>
            </w:r>
          </w:p>
        </w:tc>
        <w:tc>
          <w:tcPr>
            <w:tcW w:w="4460" w:type="dxa"/>
          </w:tcPr>
          <w:p w:rsidR="004E4131" w:rsidRPr="004D61F1" w:rsidRDefault="004E4131" w:rsidP="00CA0E53">
            <w:pPr>
              <w:pStyle w:val="ListParagraph"/>
              <w:bidi w:val="0"/>
              <w:spacing w:after="0" w:line="276" w:lineRule="auto"/>
              <w:ind w:left="0"/>
              <w:jc w:val="center"/>
              <w:rPr>
                <w:rFonts w:ascii="Times New Roman" w:hAnsi="Times New Roman" w:cs="Times New Roman"/>
                <w:b w:val="0"/>
                <w:bCs w:val="0"/>
                <w:sz w:val="22"/>
                <w:szCs w:val="22"/>
              </w:rPr>
            </w:pPr>
            <w:r w:rsidRPr="004D61F1">
              <w:rPr>
                <w:rFonts w:ascii="Times New Roman" w:hAnsi="Times New Roman" w:cs="Times New Roman"/>
                <w:b w:val="0"/>
                <w:bCs w:val="0"/>
                <w:sz w:val="22"/>
                <w:szCs w:val="22"/>
              </w:rPr>
              <w:t>40%</w:t>
            </w:r>
          </w:p>
        </w:tc>
      </w:tr>
      <w:tr w:rsidR="004E4131" w:rsidRPr="004D61F1" w:rsidTr="002A5757">
        <w:tc>
          <w:tcPr>
            <w:tcW w:w="4460" w:type="dxa"/>
          </w:tcPr>
          <w:p w:rsidR="004E4131" w:rsidRPr="004D61F1" w:rsidRDefault="004E4131" w:rsidP="00CA0E53">
            <w:pPr>
              <w:pStyle w:val="ListParagraph"/>
              <w:bidi w:val="0"/>
              <w:spacing w:after="0" w:line="276" w:lineRule="auto"/>
              <w:ind w:left="0"/>
              <w:jc w:val="center"/>
              <w:rPr>
                <w:rFonts w:ascii="Times New Roman" w:hAnsi="Times New Roman" w:cs="Times New Roman"/>
                <w:b w:val="0"/>
                <w:bCs w:val="0"/>
                <w:sz w:val="22"/>
                <w:szCs w:val="22"/>
              </w:rPr>
            </w:pPr>
            <w:r w:rsidRPr="004D61F1">
              <w:rPr>
                <w:rFonts w:ascii="Times New Roman" w:hAnsi="Times New Roman" w:cs="Times New Roman"/>
                <w:b w:val="0"/>
                <w:bCs w:val="0"/>
                <w:sz w:val="22"/>
                <w:szCs w:val="22"/>
              </w:rPr>
              <w:t xml:space="preserve">More than </w:t>
            </w:r>
            <w:r w:rsidR="00A94F0C" w:rsidRPr="004D61F1">
              <w:rPr>
                <w:rFonts w:ascii="Times New Roman" w:hAnsi="Times New Roman" w:cs="Times New Roman"/>
                <w:b w:val="0"/>
                <w:bCs w:val="0"/>
                <w:sz w:val="22"/>
                <w:szCs w:val="22"/>
              </w:rPr>
              <w:t>11</w:t>
            </w:r>
            <w:r w:rsidRPr="004D61F1">
              <w:rPr>
                <w:rFonts w:ascii="Times New Roman" w:hAnsi="Times New Roman" w:cs="Times New Roman"/>
                <w:b w:val="0"/>
                <w:bCs w:val="0"/>
                <w:sz w:val="22"/>
                <w:szCs w:val="22"/>
              </w:rPr>
              <w:t>%</w:t>
            </w:r>
          </w:p>
        </w:tc>
        <w:tc>
          <w:tcPr>
            <w:tcW w:w="4460" w:type="dxa"/>
          </w:tcPr>
          <w:p w:rsidR="004E4131" w:rsidRPr="004D61F1" w:rsidRDefault="004E4131" w:rsidP="00CA0E53">
            <w:pPr>
              <w:pStyle w:val="ListParagraph"/>
              <w:bidi w:val="0"/>
              <w:spacing w:after="0" w:line="276" w:lineRule="auto"/>
              <w:ind w:left="0"/>
              <w:jc w:val="center"/>
              <w:rPr>
                <w:rFonts w:ascii="Times New Roman" w:hAnsi="Times New Roman" w:cs="Times New Roman"/>
                <w:b w:val="0"/>
                <w:bCs w:val="0"/>
                <w:sz w:val="22"/>
                <w:szCs w:val="22"/>
              </w:rPr>
            </w:pPr>
            <w:r w:rsidRPr="004D61F1">
              <w:rPr>
                <w:rFonts w:ascii="Times New Roman" w:hAnsi="Times New Roman" w:cs="Times New Roman"/>
                <w:b w:val="0"/>
                <w:bCs w:val="0"/>
                <w:sz w:val="22"/>
                <w:szCs w:val="22"/>
              </w:rPr>
              <w:t>0</w:t>
            </w:r>
          </w:p>
        </w:tc>
      </w:tr>
    </w:tbl>
    <w:p w:rsidR="004E4131" w:rsidRDefault="004E4131" w:rsidP="004E4131">
      <w:pPr>
        <w:pStyle w:val="ListParagraph"/>
        <w:bidi w:val="0"/>
        <w:ind w:left="1436"/>
        <w:rPr>
          <w:sz w:val="28"/>
          <w:szCs w:val="28"/>
        </w:rPr>
      </w:pPr>
    </w:p>
    <w:p w:rsidR="004E4131" w:rsidRDefault="004E4131" w:rsidP="00A94F0C">
      <w:pPr>
        <w:pStyle w:val="ListParagraph"/>
        <w:bidi w:val="0"/>
        <w:ind w:left="1436"/>
        <w:rPr>
          <w:sz w:val="28"/>
          <w:szCs w:val="28"/>
        </w:rPr>
      </w:pPr>
    </w:p>
    <w:p w:rsidR="004D61F1" w:rsidRPr="004D61F1" w:rsidRDefault="004D61F1" w:rsidP="004D61F1">
      <w:pPr>
        <w:pStyle w:val="ListParagraph"/>
        <w:bidi w:val="0"/>
        <w:ind w:left="1436"/>
        <w:rPr>
          <w:sz w:val="24"/>
          <w:szCs w:val="24"/>
        </w:rPr>
      </w:pPr>
    </w:p>
    <w:p w:rsidR="0020147A" w:rsidRPr="004D61F1" w:rsidRDefault="009A15E9" w:rsidP="00935E65">
      <w:pPr>
        <w:pStyle w:val="ListParagraph"/>
        <w:numPr>
          <w:ilvl w:val="0"/>
          <w:numId w:val="26"/>
        </w:numPr>
        <w:bidi w:val="0"/>
        <w:ind w:left="540" w:hanging="499"/>
        <w:rPr>
          <w:rFonts w:ascii="Times New Roman" w:hAnsi="Times New Roman" w:cs="Times New Roman"/>
          <w:sz w:val="24"/>
          <w:szCs w:val="24"/>
        </w:rPr>
      </w:pPr>
      <w:r w:rsidRPr="004D61F1">
        <w:rPr>
          <w:rFonts w:ascii="Times New Roman" w:hAnsi="Times New Roman" w:cs="Times New Roman"/>
          <w:sz w:val="24"/>
          <w:szCs w:val="24"/>
        </w:rPr>
        <w:lastRenderedPageBreak/>
        <w:t>Capital required from Domestic Systemically Important Banks D-SIBs.</w:t>
      </w:r>
    </w:p>
    <w:p w:rsidR="009A15E9" w:rsidRPr="004D61F1" w:rsidRDefault="00935E65" w:rsidP="00935E65">
      <w:pPr>
        <w:pStyle w:val="ListParagraph"/>
        <w:numPr>
          <w:ilvl w:val="1"/>
          <w:numId w:val="26"/>
        </w:numPr>
        <w:bidi w:val="0"/>
        <w:spacing w:after="0" w:line="276" w:lineRule="auto"/>
        <w:ind w:left="1170" w:hanging="630"/>
        <w:rPr>
          <w:rFonts w:ascii="Times New Roman" w:hAnsi="Times New Roman" w:cs="Times New Roman"/>
          <w:b w:val="0"/>
          <w:bCs w:val="0"/>
          <w:color w:val="202124"/>
          <w:sz w:val="24"/>
          <w:szCs w:val="24"/>
          <w:lang w:val="en"/>
        </w:rPr>
      </w:pPr>
      <w:r w:rsidRPr="004D61F1">
        <w:rPr>
          <w:rFonts w:ascii="Times New Roman" w:hAnsi="Times New Roman" w:cs="Times New Roman"/>
          <w:b w:val="0"/>
          <w:bCs w:val="0"/>
          <w:color w:val="202124"/>
          <w:sz w:val="24"/>
          <w:szCs w:val="24"/>
          <w:lang w:val="en"/>
        </w:rPr>
        <w:t xml:space="preserve">The Central Bank will adopt a methodology for calculating the additional capital </w:t>
      </w:r>
      <w:r w:rsidRPr="004D61F1">
        <w:rPr>
          <w:rFonts w:ascii="Times New Roman" w:hAnsi="Times New Roman" w:cs="Times New Roman"/>
          <w:b w:val="0"/>
          <w:bCs w:val="0"/>
          <w:color w:val="202124"/>
          <w:sz w:val="24"/>
          <w:szCs w:val="24"/>
        </w:rPr>
        <w:t>(</w:t>
      </w:r>
      <w:r w:rsidRPr="004D61F1">
        <w:rPr>
          <w:rFonts w:ascii="Times New Roman" w:hAnsi="Times New Roman" w:cs="Times New Roman"/>
          <w:b w:val="0"/>
          <w:bCs w:val="0"/>
          <w:color w:val="202124"/>
          <w:sz w:val="24"/>
          <w:szCs w:val="24"/>
          <w:lang w:val="en"/>
        </w:rPr>
        <w:t xml:space="preserve">Surcharge) </w:t>
      </w:r>
      <w:r w:rsidRPr="004D61F1">
        <w:rPr>
          <w:rFonts w:ascii="Times New Roman" w:hAnsi="Times New Roman" w:cs="Times New Roman"/>
          <w:b w:val="0"/>
          <w:bCs w:val="0"/>
          <w:sz w:val="24"/>
          <w:szCs w:val="24"/>
        </w:rPr>
        <w:t xml:space="preserve">required </w:t>
      </w:r>
      <w:r w:rsidRPr="004D61F1">
        <w:rPr>
          <w:rFonts w:ascii="Times New Roman" w:hAnsi="Times New Roman" w:cs="Times New Roman"/>
          <w:b w:val="0"/>
          <w:bCs w:val="0"/>
          <w:color w:val="202124"/>
          <w:sz w:val="24"/>
          <w:szCs w:val="24"/>
          <w:lang w:val="en"/>
        </w:rPr>
        <w:t>from banks that will be considered</w:t>
      </w:r>
      <w:r w:rsidRPr="004D61F1">
        <w:rPr>
          <w:rFonts w:ascii="Times New Roman" w:hAnsi="Times New Roman" w:cs="Times New Roman"/>
          <w:b w:val="0"/>
          <w:bCs w:val="0"/>
          <w:sz w:val="24"/>
          <w:szCs w:val="24"/>
        </w:rPr>
        <w:t xml:space="preserve"> D-SIBs</w:t>
      </w:r>
      <w:r w:rsidRPr="004D61F1">
        <w:rPr>
          <w:rFonts w:ascii="Times New Roman" w:hAnsi="Times New Roman" w:cs="Times New Roman"/>
          <w:b w:val="0"/>
          <w:bCs w:val="0"/>
          <w:color w:val="202124"/>
          <w:sz w:val="24"/>
          <w:szCs w:val="24"/>
          <w:lang w:val="en"/>
        </w:rPr>
        <w:t>, note that this methodology will be issued in a circular coinciding with the issuance of these instructions, and so that it will enter into force with the entry into force of Basel III instructions.</w:t>
      </w:r>
    </w:p>
    <w:p w:rsidR="00935E65" w:rsidRPr="004D61F1" w:rsidRDefault="00935E65" w:rsidP="00935E65">
      <w:pPr>
        <w:pStyle w:val="ListParagraph"/>
        <w:numPr>
          <w:ilvl w:val="1"/>
          <w:numId w:val="26"/>
        </w:numPr>
        <w:bidi w:val="0"/>
        <w:spacing w:after="0" w:line="276" w:lineRule="auto"/>
        <w:ind w:left="1170" w:hanging="630"/>
        <w:rPr>
          <w:rFonts w:ascii="Times New Roman" w:hAnsi="Times New Roman" w:cs="Times New Roman"/>
          <w:b w:val="0"/>
          <w:bCs w:val="0"/>
          <w:sz w:val="24"/>
          <w:szCs w:val="24"/>
          <w:rtl/>
          <w:lang w:bidi="ar-JO"/>
        </w:rPr>
      </w:pPr>
      <w:r w:rsidRPr="004D61F1">
        <w:rPr>
          <w:rFonts w:ascii="Times New Roman" w:hAnsi="Times New Roman" w:cs="Times New Roman"/>
          <w:b w:val="0"/>
          <w:bCs w:val="0"/>
          <w:color w:val="202124"/>
          <w:sz w:val="24"/>
          <w:szCs w:val="24"/>
          <w:lang w:val="en"/>
        </w:rPr>
        <w:t xml:space="preserve">Restrictions on </w:t>
      </w:r>
      <w:r w:rsidRPr="004D61F1">
        <w:rPr>
          <w:rFonts w:ascii="Times New Roman" w:eastAsiaTheme="minorHAnsi" w:hAnsi="Times New Roman" w:cs="Times New Roman"/>
          <w:b w:val="0"/>
          <w:bCs w:val="0"/>
          <w:sz w:val="24"/>
          <w:szCs w:val="24"/>
        </w:rPr>
        <w:t xml:space="preserve">distributing </w:t>
      </w:r>
      <w:r w:rsidRPr="004D61F1">
        <w:rPr>
          <w:rFonts w:ascii="Times New Roman" w:hAnsi="Times New Roman" w:cs="Times New Roman"/>
          <w:b w:val="0"/>
          <w:bCs w:val="0"/>
          <w:color w:val="202124"/>
          <w:sz w:val="24"/>
          <w:szCs w:val="24"/>
          <w:lang w:val="en"/>
        </w:rPr>
        <w:t xml:space="preserve">profit in the event that the bank is unable to maintain the capital required from </w:t>
      </w:r>
      <w:r w:rsidRPr="004D61F1">
        <w:rPr>
          <w:rFonts w:ascii="Times New Roman" w:hAnsi="Times New Roman" w:cs="Times New Roman"/>
          <w:b w:val="0"/>
          <w:bCs w:val="0"/>
          <w:sz w:val="24"/>
          <w:szCs w:val="24"/>
        </w:rPr>
        <w:t>D-SIBs</w:t>
      </w:r>
      <w:r w:rsidRPr="004D61F1">
        <w:rPr>
          <w:rFonts w:ascii="Times New Roman" w:hAnsi="Times New Roman" w:cs="Times New Roman"/>
          <w:b w:val="0"/>
          <w:bCs w:val="0"/>
          <w:color w:val="202124"/>
          <w:sz w:val="24"/>
          <w:szCs w:val="24"/>
          <w:lang w:val="en"/>
        </w:rPr>
        <w:t xml:space="preserve"> will be specified in the instructions that will be issued later.</w:t>
      </w:r>
    </w:p>
    <w:p w:rsidR="00505A8B" w:rsidRPr="004D61F1" w:rsidRDefault="00505A8B" w:rsidP="009A15E9">
      <w:pPr>
        <w:ind w:left="708" w:hanging="425"/>
        <w:rPr>
          <w:sz w:val="24"/>
          <w:szCs w:val="24"/>
          <w:rtl/>
        </w:rPr>
      </w:pPr>
    </w:p>
    <w:p w:rsidR="00505A8B" w:rsidRPr="00D01BF0" w:rsidRDefault="00505A8B" w:rsidP="00935E65">
      <w:pPr>
        <w:pStyle w:val="ListParagraph"/>
        <w:ind w:left="1275" w:hanging="567"/>
        <w:rPr>
          <w:b w:val="0"/>
          <w:bCs w:val="0"/>
          <w:rtl/>
        </w:rPr>
      </w:pPr>
      <w:r w:rsidRPr="00D01BF0">
        <w:rPr>
          <w:b w:val="0"/>
          <w:bCs w:val="0"/>
          <w:rtl/>
        </w:rPr>
        <w:t xml:space="preserve"> </w:t>
      </w:r>
    </w:p>
    <w:p w:rsidR="00505A8B" w:rsidRPr="006D6E07" w:rsidRDefault="00505A8B" w:rsidP="00505A8B">
      <w:pPr>
        <w:pStyle w:val="ListParagraph"/>
        <w:rPr>
          <w:rtl/>
        </w:rPr>
      </w:pPr>
    </w:p>
    <w:p w:rsidR="00505A8B" w:rsidRPr="006D6E07" w:rsidRDefault="00505A8B" w:rsidP="00505A8B">
      <w:pPr>
        <w:pStyle w:val="ListParagraph"/>
        <w:rPr>
          <w:rtl/>
        </w:rPr>
      </w:pPr>
    </w:p>
    <w:p w:rsidR="00505A8B" w:rsidRDefault="00505A8B" w:rsidP="00505A8B">
      <w:pPr>
        <w:pStyle w:val="ListParagraph"/>
        <w:rPr>
          <w:rtl/>
        </w:rPr>
      </w:pPr>
    </w:p>
    <w:p w:rsidR="00505A8B" w:rsidRDefault="00505A8B" w:rsidP="00505A8B">
      <w:pPr>
        <w:pStyle w:val="ListParagraph"/>
        <w:rPr>
          <w:rtl/>
        </w:rPr>
      </w:pPr>
    </w:p>
    <w:p w:rsidR="00505A8B" w:rsidRDefault="00505A8B" w:rsidP="00505A8B">
      <w:pPr>
        <w:pStyle w:val="ListParagraph"/>
        <w:rPr>
          <w:rtl/>
        </w:rPr>
      </w:pPr>
    </w:p>
    <w:p w:rsidR="00505A8B" w:rsidRDefault="00505A8B" w:rsidP="00505A8B">
      <w:pPr>
        <w:pStyle w:val="ListParagraph"/>
        <w:rPr>
          <w:rtl/>
        </w:rPr>
      </w:pPr>
    </w:p>
    <w:p w:rsidR="00505A8B" w:rsidRDefault="00505A8B" w:rsidP="00505A8B">
      <w:pPr>
        <w:pStyle w:val="ListParagraph"/>
        <w:rPr>
          <w:rtl/>
        </w:rPr>
      </w:pPr>
    </w:p>
    <w:p w:rsidR="00505A8B" w:rsidRDefault="00505A8B" w:rsidP="00505A8B">
      <w:pPr>
        <w:pStyle w:val="ListParagraph"/>
        <w:rPr>
          <w:rtl/>
        </w:rPr>
      </w:pPr>
    </w:p>
    <w:p w:rsidR="00505A8B" w:rsidRDefault="00505A8B" w:rsidP="00505A8B">
      <w:pPr>
        <w:pStyle w:val="ListParagraph"/>
        <w:rPr>
          <w:rtl/>
        </w:rPr>
      </w:pPr>
    </w:p>
    <w:p w:rsidR="00505A8B" w:rsidRDefault="00505A8B" w:rsidP="00505A8B">
      <w:pPr>
        <w:pStyle w:val="ListParagraph"/>
      </w:pPr>
    </w:p>
    <w:p w:rsidR="007139B2" w:rsidRDefault="007139B2" w:rsidP="00505A8B">
      <w:pPr>
        <w:pStyle w:val="ListParagraph"/>
      </w:pPr>
    </w:p>
    <w:p w:rsidR="007139B2" w:rsidRDefault="007139B2" w:rsidP="00505A8B">
      <w:pPr>
        <w:pStyle w:val="ListParagraph"/>
      </w:pPr>
    </w:p>
    <w:p w:rsidR="007139B2" w:rsidRDefault="007139B2" w:rsidP="00505A8B">
      <w:pPr>
        <w:pStyle w:val="ListParagraph"/>
      </w:pPr>
    </w:p>
    <w:p w:rsidR="007139B2" w:rsidRDefault="007139B2" w:rsidP="00505A8B">
      <w:pPr>
        <w:pStyle w:val="ListParagraph"/>
      </w:pPr>
    </w:p>
    <w:p w:rsidR="00935E65" w:rsidRDefault="00935E65" w:rsidP="00505A8B">
      <w:pPr>
        <w:pStyle w:val="ListParagraph"/>
      </w:pPr>
    </w:p>
    <w:p w:rsidR="00935E65" w:rsidRDefault="00935E65" w:rsidP="00505A8B">
      <w:pPr>
        <w:pStyle w:val="ListParagraph"/>
      </w:pPr>
    </w:p>
    <w:p w:rsidR="00935E65" w:rsidRDefault="00935E65" w:rsidP="00505A8B">
      <w:pPr>
        <w:pStyle w:val="ListParagraph"/>
      </w:pPr>
    </w:p>
    <w:p w:rsidR="00935E65" w:rsidRDefault="00935E65" w:rsidP="00505A8B">
      <w:pPr>
        <w:pStyle w:val="ListParagraph"/>
      </w:pPr>
    </w:p>
    <w:p w:rsidR="00935E65" w:rsidRDefault="00935E65" w:rsidP="00505A8B">
      <w:pPr>
        <w:pStyle w:val="ListParagraph"/>
      </w:pPr>
    </w:p>
    <w:p w:rsidR="00935E65" w:rsidRDefault="00935E65" w:rsidP="00505A8B">
      <w:pPr>
        <w:pStyle w:val="ListParagraph"/>
      </w:pPr>
    </w:p>
    <w:p w:rsidR="004D61F1" w:rsidRDefault="004D61F1" w:rsidP="00505A8B">
      <w:pPr>
        <w:pStyle w:val="ListParagraph"/>
      </w:pPr>
    </w:p>
    <w:p w:rsidR="009F50C5" w:rsidRDefault="009F50C5" w:rsidP="00505A8B">
      <w:pPr>
        <w:pStyle w:val="ListParagraph"/>
      </w:pPr>
    </w:p>
    <w:p w:rsidR="009F50C5" w:rsidRDefault="009F50C5" w:rsidP="00505A8B">
      <w:pPr>
        <w:pStyle w:val="ListParagraph"/>
      </w:pPr>
    </w:p>
    <w:p w:rsidR="00505A8B" w:rsidRPr="00D01BF0" w:rsidRDefault="00F06631" w:rsidP="00505A8B">
      <w:pPr>
        <w:pStyle w:val="Heading1"/>
        <w:pBdr>
          <w:bottom w:val="single" w:sz="4" w:space="1" w:color="auto"/>
        </w:pBdr>
        <w:jc w:val="center"/>
        <w:rPr>
          <w:b/>
          <w:bCs/>
          <w:rtl/>
        </w:rPr>
      </w:pPr>
      <w:bookmarkStart w:id="15" w:name="_Toc65354403"/>
      <w:r>
        <w:rPr>
          <w:b/>
          <w:bCs/>
        </w:rPr>
        <w:lastRenderedPageBreak/>
        <w:t>Chapter f</w:t>
      </w:r>
      <w:r w:rsidR="00941CCA">
        <w:rPr>
          <w:b/>
          <w:bCs/>
        </w:rPr>
        <w:t>our: Risk Coverage</w:t>
      </w:r>
      <w:bookmarkEnd w:id="15"/>
    </w:p>
    <w:p w:rsidR="00505A8B" w:rsidRDefault="00505A8B" w:rsidP="00D56002">
      <w:pPr>
        <w:pStyle w:val="ListParagraph"/>
        <w:bidi w:val="0"/>
        <w:ind w:left="41"/>
        <w:jc w:val="left"/>
        <w:rPr>
          <w:b w:val="0"/>
          <w:bCs w:val="0"/>
        </w:rPr>
      </w:pPr>
    </w:p>
    <w:p w:rsidR="00D56002" w:rsidRPr="00B93AF7" w:rsidRDefault="00D56002" w:rsidP="00B93AF7">
      <w:pPr>
        <w:pStyle w:val="Heading2"/>
        <w:bidi w:val="0"/>
        <w:rPr>
          <w:lang w:bidi="ar-JO"/>
        </w:rPr>
      </w:pPr>
      <w:bookmarkStart w:id="16" w:name="_Toc65354404"/>
      <w:r w:rsidRPr="00B93AF7">
        <w:rPr>
          <w:lang w:bidi="ar-JO"/>
        </w:rPr>
        <w:t xml:space="preserve">First: </w:t>
      </w:r>
      <w:r w:rsidR="000659A0" w:rsidRPr="00B93AF7">
        <w:rPr>
          <w:lang w:bidi="ar-JO"/>
        </w:rPr>
        <w:t>Credit risk (standardized approach)</w:t>
      </w:r>
      <w:bookmarkEnd w:id="16"/>
    </w:p>
    <w:p w:rsidR="000659A0" w:rsidRPr="00154A6B" w:rsidRDefault="00154A6B" w:rsidP="00154A6B">
      <w:pPr>
        <w:pStyle w:val="ListParagraph"/>
        <w:numPr>
          <w:ilvl w:val="0"/>
          <w:numId w:val="43"/>
        </w:numPr>
        <w:bidi w:val="0"/>
        <w:spacing w:after="0" w:line="276" w:lineRule="auto"/>
        <w:ind w:left="709" w:hanging="567"/>
        <w:rPr>
          <w:rFonts w:ascii="Times New Roman" w:hAnsi="Times New Roman" w:cs="Times New Roman"/>
          <w:sz w:val="24"/>
          <w:szCs w:val="24"/>
        </w:rPr>
      </w:pPr>
      <w:r w:rsidRPr="00154A6B">
        <w:rPr>
          <w:rFonts w:ascii="Times New Roman" w:hAnsi="Times New Roman" w:cs="Times New Roman"/>
          <w:color w:val="202124"/>
          <w:sz w:val="24"/>
          <w:szCs w:val="24"/>
          <w:lang w:val="en"/>
        </w:rPr>
        <w:t>Scope of application</w:t>
      </w:r>
    </w:p>
    <w:p w:rsidR="00154A6B" w:rsidRPr="00154A6B" w:rsidRDefault="00154A6B" w:rsidP="005E00DD">
      <w:pPr>
        <w:pStyle w:val="ListParagraph"/>
        <w:bidi w:val="0"/>
        <w:spacing w:after="0" w:line="276" w:lineRule="auto"/>
        <w:ind w:left="1276" w:hanging="567"/>
        <w:rPr>
          <w:rFonts w:ascii="Times New Roman" w:hAnsi="Times New Roman" w:cs="Times New Roman"/>
          <w:b w:val="0"/>
          <w:bCs w:val="0"/>
          <w:color w:val="202124"/>
          <w:sz w:val="24"/>
          <w:szCs w:val="24"/>
          <w:lang w:val="en"/>
        </w:rPr>
      </w:pPr>
      <w:r w:rsidRPr="00154A6B">
        <w:rPr>
          <w:rFonts w:ascii="Times New Roman" w:hAnsi="Times New Roman" w:cs="Times New Roman"/>
          <w:b w:val="0"/>
          <w:bCs w:val="0"/>
          <w:color w:val="202124"/>
          <w:sz w:val="24"/>
          <w:szCs w:val="24"/>
          <w:lang w:val="en"/>
        </w:rPr>
        <w:t>1.1</w:t>
      </w:r>
      <w:r w:rsidRPr="00154A6B">
        <w:rPr>
          <w:rFonts w:ascii="Times New Roman" w:hAnsi="Times New Roman" w:cs="Times New Roman"/>
          <w:b w:val="0"/>
          <w:bCs w:val="0"/>
          <w:color w:val="202124"/>
          <w:sz w:val="24"/>
          <w:szCs w:val="24"/>
          <w:lang w:val="en"/>
        </w:rPr>
        <w:tab/>
      </w:r>
      <w:r w:rsidRPr="009F50C5">
        <w:rPr>
          <w:rFonts w:ascii="Times New Roman" w:hAnsi="Times New Roman" w:cs="Times New Roman"/>
          <w:b w:val="0"/>
          <w:bCs w:val="0"/>
          <w:color w:val="202124"/>
          <w:sz w:val="24"/>
          <w:szCs w:val="24"/>
          <w:lang w:val="en"/>
        </w:rPr>
        <w:t xml:space="preserve">The methodology for allocating risk weights to on-balance sheet </w:t>
      </w:r>
      <w:r w:rsidR="005E00DD" w:rsidRPr="009F50C5">
        <w:rPr>
          <w:rFonts w:ascii="Times New Roman" w:hAnsi="Times New Roman" w:cs="Times New Roman"/>
          <w:b w:val="0"/>
          <w:bCs w:val="0"/>
          <w:color w:val="202124"/>
          <w:sz w:val="24"/>
          <w:szCs w:val="24"/>
          <w:lang w:val="en"/>
        </w:rPr>
        <w:t>exposures</w:t>
      </w:r>
      <w:r w:rsidRPr="009F50C5">
        <w:rPr>
          <w:rFonts w:ascii="Times New Roman" w:hAnsi="Times New Roman" w:cs="Times New Roman"/>
          <w:b w:val="0"/>
          <w:bCs w:val="0"/>
          <w:color w:val="202124"/>
          <w:sz w:val="24"/>
          <w:szCs w:val="24"/>
          <w:lang w:val="en"/>
        </w:rPr>
        <w:t xml:space="preserve"> </w:t>
      </w:r>
      <w:r w:rsidR="00AD6F72" w:rsidRPr="009F50C5">
        <w:rPr>
          <w:rFonts w:ascii="Times New Roman" w:hAnsi="Times New Roman" w:cs="Times New Roman"/>
          <w:b w:val="0"/>
          <w:bCs w:val="0"/>
          <w:color w:val="202124"/>
          <w:sz w:val="24"/>
          <w:szCs w:val="24"/>
          <w:lang w:val="en"/>
        </w:rPr>
        <w:t>cover</w:t>
      </w:r>
      <w:r w:rsidRPr="009F50C5">
        <w:rPr>
          <w:rFonts w:ascii="Times New Roman" w:hAnsi="Times New Roman" w:cs="Times New Roman"/>
          <w:b w:val="0"/>
          <w:bCs w:val="0"/>
          <w:color w:val="202124"/>
          <w:sz w:val="24"/>
          <w:szCs w:val="24"/>
          <w:lang w:val="en"/>
        </w:rPr>
        <w:t xml:space="preserve"> all items within the on-balance sheet except for the following</w:t>
      </w:r>
      <w:r w:rsidRPr="009F50C5">
        <w:rPr>
          <w:rFonts w:ascii="Times New Roman" w:hAnsi="Times New Roman" w:cs="Times New Roman"/>
          <w:b w:val="0"/>
          <w:bCs w:val="0"/>
          <w:color w:val="202124"/>
          <w:sz w:val="24"/>
          <w:szCs w:val="24"/>
          <w:lang w:val="en"/>
        </w:rPr>
        <w:tab/>
        <w:t>:</w:t>
      </w:r>
    </w:p>
    <w:p w:rsidR="00154A6B" w:rsidRPr="00154A6B" w:rsidRDefault="00154A6B" w:rsidP="00154A6B">
      <w:pPr>
        <w:pStyle w:val="ListParagraph"/>
        <w:bidi w:val="0"/>
        <w:spacing w:after="0" w:line="276" w:lineRule="auto"/>
        <w:ind w:left="2127" w:hanging="851"/>
        <w:rPr>
          <w:rFonts w:ascii="Times New Roman" w:hAnsi="Times New Roman" w:cs="Times New Roman"/>
          <w:b w:val="0"/>
          <w:bCs w:val="0"/>
          <w:color w:val="202124"/>
          <w:sz w:val="24"/>
          <w:szCs w:val="24"/>
          <w:lang w:val="en"/>
        </w:rPr>
      </w:pPr>
      <w:r w:rsidRPr="00154A6B">
        <w:rPr>
          <w:rFonts w:ascii="Times New Roman" w:hAnsi="Times New Roman" w:cs="Times New Roman"/>
          <w:b w:val="0"/>
          <w:bCs w:val="0"/>
          <w:color w:val="202124"/>
          <w:sz w:val="24"/>
          <w:szCs w:val="24"/>
          <w:lang w:val="en"/>
        </w:rPr>
        <w:t>1.1.1</w:t>
      </w:r>
      <w:r w:rsidRPr="00154A6B">
        <w:rPr>
          <w:rFonts w:ascii="Times New Roman" w:hAnsi="Times New Roman" w:cs="Times New Roman"/>
          <w:b w:val="0"/>
          <w:bCs w:val="0"/>
          <w:color w:val="202124"/>
          <w:sz w:val="24"/>
          <w:szCs w:val="24"/>
          <w:lang w:val="en"/>
        </w:rPr>
        <w:tab/>
        <w:t>All assets and investments that must be deduct from Tier1 and Tier2 Capita, and according to the arrangements mentioned in annex no. (1).</w:t>
      </w:r>
    </w:p>
    <w:p w:rsidR="00154A6B" w:rsidRPr="00F55942" w:rsidRDefault="00154A6B" w:rsidP="00154A6B">
      <w:pPr>
        <w:pStyle w:val="ListParagraph"/>
        <w:bidi w:val="0"/>
        <w:spacing w:after="0" w:line="276" w:lineRule="auto"/>
        <w:ind w:left="2127" w:hanging="851"/>
        <w:rPr>
          <w:rFonts w:ascii="Times New Roman" w:hAnsi="Times New Roman" w:cs="Times New Roman"/>
          <w:b w:val="0"/>
          <w:bCs w:val="0"/>
          <w:sz w:val="24"/>
          <w:szCs w:val="24"/>
        </w:rPr>
      </w:pPr>
      <w:r w:rsidRPr="00154A6B">
        <w:rPr>
          <w:rFonts w:ascii="Times New Roman" w:hAnsi="Times New Roman" w:cs="Times New Roman"/>
          <w:b w:val="0"/>
          <w:bCs w:val="0"/>
          <w:color w:val="202124"/>
          <w:sz w:val="24"/>
          <w:szCs w:val="24"/>
          <w:lang w:val="en"/>
        </w:rPr>
        <w:t>1.1.2</w:t>
      </w:r>
      <w:r w:rsidRPr="00154A6B">
        <w:rPr>
          <w:rFonts w:ascii="Times New Roman" w:hAnsi="Times New Roman" w:cs="Times New Roman"/>
          <w:b w:val="0"/>
          <w:bCs w:val="0"/>
          <w:color w:val="202124"/>
          <w:sz w:val="24"/>
          <w:szCs w:val="24"/>
          <w:lang w:val="en"/>
        </w:rPr>
        <w:tab/>
        <w:t>All debt securities, equity instruments and commodities items held within the trading book which are dealt within the framework of market risk</w:t>
      </w:r>
      <w:r w:rsidRPr="00154A6B">
        <w:rPr>
          <w:rFonts w:ascii="Times New Roman" w:hAnsi="Times New Roman" w:cs="Times New Roman"/>
          <w:b w:val="0"/>
          <w:bCs w:val="0"/>
          <w:color w:val="202124"/>
          <w:sz w:val="24"/>
          <w:szCs w:val="24"/>
        </w:rPr>
        <w:t>.</w:t>
      </w:r>
    </w:p>
    <w:p w:rsidR="00154A6B" w:rsidRPr="003075B1" w:rsidRDefault="00154A6B" w:rsidP="00154A6B">
      <w:pPr>
        <w:pStyle w:val="ListParagraph"/>
        <w:numPr>
          <w:ilvl w:val="0"/>
          <w:numId w:val="43"/>
        </w:numPr>
        <w:bidi w:val="0"/>
        <w:spacing w:after="0" w:line="276" w:lineRule="auto"/>
        <w:ind w:left="709" w:hanging="567"/>
        <w:rPr>
          <w:rFonts w:ascii="Times New Roman" w:hAnsi="Times New Roman" w:cs="Times New Roman"/>
          <w:sz w:val="24"/>
          <w:szCs w:val="24"/>
        </w:rPr>
      </w:pPr>
      <w:r w:rsidRPr="003075B1">
        <w:rPr>
          <w:rFonts w:ascii="Times New Roman" w:hAnsi="Times New Roman" w:cs="Times New Roman"/>
          <w:sz w:val="24"/>
          <w:szCs w:val="24"/>
        </w:rPr>
        <w:t>Risk Weights- On Balance Sheet Items</w:t>
      </w:r>
    </w:p>
    <w:p w:rsidR="00154A6B" w:rsidRPr="00F55942" w:rsidRDefault="00154A6B" w:rsidP="00154A6B">
      <w:pPr>
        <w:pStyle w:val="ListParagraph"/>
        <w:numPr>
          <w:ilvl w:val="1"/>
          <w:numId w:val="43"/>
        </w:numPr>
        <w:bidi w:val="0"/>
        <w:spacing w:after="0" w:line="276" w:lineRule="auto"/>
        <w:rPr>
          <w:rFonts w:ascii="Times New Roman" w:hAnsi="Times New Roman" w:cs="Times New Roman"/>
          <w:b w:val="0"/>
          <w:bCs w:val="0"/>
          <w:sz w:val="24"/>
          <w:szCs w:val="24"/>
        </w:rPr>
      </w:pPr>
      <w:r w:rsidRPr="00F55942">
        <w:rPr>
          <w:rFonts w:ascii="Times New Roman" w:hAnsi="Times New Roman" w:cs="Times New Roman"/>
          <w:b w:val="0"/>
          <w:bCs w:val="0"/>
          <w:sz w:val="24"/>
          <w:szCs w:val="24"/>
        </w:rPr>
        <w:t>General Rules</w:t>
      </w:r>
    </w:p>
    <w:p w:rsidR="00154A6B" w:rsidRPr="00F55942" w:rsidRDefault="00E74B7B" w:rsidP="00F55942">
      <w:pPr>
        <w:pStyle w:val="ListParagraph"/>
        <w:numPr>
          <w:ilvl w:val="2"/>
          <w:numId w:val="43"/>
        </w:numPr>
        <w:bidi w:val="0"/>
        <w:spacing w:after="0" w:line="276" w:lineRule="auto"/>
        <w:ind w:left="2127" w:hanging="851"/>
        <w:rPr>
          <w:rFonts w:ascii="Times New Roman" w:hAnsi="Times New Roman" w:cs="Times New Roman"/>
          <w:b w:val="0"/>
          <w:bCs w:val="0"/>
          <w:color w:val="202124"/>
          <w:sz w:val="24"/>
          <w:szCs w:val="24"/>
          <w:lang w:val="en"/>
        </w:rPr>
      </w:pPr>
      <w:r w:rsidRPr="00F55942">
        <w:rPr>
          <w:rFonts w:ascii="Times New Roman" w:hAnsi="Times New Roman" w:cs="Times New Roman"/>
          <w:b w:val="0"/>
          <w:bCs w:val="0"/>
          <w:color w:val="202124"/>
          <w:sz w:val="24"/>
          <w:szCs w:val="24"/>
          <w:lang w:val="en"/>
        </w:rPr>
        <w:t>The total credit exposures within the risk-weighted balance sheet is equal to the sum of all risk-weighted assets, or</w:t>
      </w:r>
    </w:p>
    <w:p w:rsidR="00E74B7B" w:rsidRPr="00F55942" w:rsidRDefault="00E74B7B" w:rsidP="00F55942">
      <w:pPr>
        <w:pStyle w:val="ListParagraph"/>
        <w:numPr>
          <w:ilvl w:val="2"/>
          <w:numId w:val="43"/>
        </w:numPr>
        <w:bidi w:val="0"/>
        <w:spacing w:after="0" w:line="276" w:lineRule="auto"/>
        <w:ind w:left="2127" w:hanging="851"/>
        <w:rPr>
          <w:rFonts w:ascii="Times New Roman" w:hAnsi="Times New Roman" w:cs="Times New Roman"/>
          <w:b w:val="0"/>
          <w:bCs w:val="0"/>
          <w:sz w:val="24"/>
          <w:szCs w:val="24"/>
        </w:rPr>
      </w:pPr>
      <w:r w:rsidRPr="00F55942">
        <w:rPr>
          <w:rFonts w:ascii="Times New Roman" w:hAnsi="Times New Roman" w:cs="Times New Roman"/>
          <w:b w:val="0"/>
          <w:bCs w:val="0"/>
          <w:color w:val="202124"/>
          <w:sz w:val="24"/>
          <w:szCs w:val="24"/>
          <w:lang w:val="en"/>
        </w:rPr>
        <w:t>The total credit exposures within the risk-weighted balance sheet is equal to the algebraic sum of items into the same category after weighting them with an appropriate risk weight.</w:t>
      </w:r>
    </w:p>
    <w:p w:rsidR="00E74B7B" w:rsidRPr="00F55942" w:rsidRDefault="00E74B7B" w:rsidP="00F55942">
      <w:pPr>
        <w:pStyle w:val="ListParagraph"/>
        <w:numPr>
          <w:ilvl w:val="2"/>
          <w:numId w:val="43"/>
        </w:numPr>
        <w:bidi w:val="0"/>
        <w:spacing w:after="0" w:line="276" w:lineRule="auto"/>
        <w:ind w:left="2127" w:hanging="851"/>
        <w:rPr>
          <w:rFonts w:ascii="Times New Roman" w:hAnsi="Times New Roman" w:cs="Times New Roman"/>
          <w:b w:val="0"/>
          <w:bCs w:val="0"/>
          <w:sz w:val="24"/>
          <w:szCs w:val="24"/>
        </w:rPr>
      </w:pPr>
      <w:r w:rsidRPr="00F55942">
        <w:rPr>
          <w:rFonts w:ascii="Times New Roman" w:hAnsi="Times New Roman" w:cs="Times New Roman"/>
          <w:b w:val="0"/>
          <w:bCs w:val="0"/>
          <w:color w:val="202124"/>
          <w:sz w:val="24"/>
          <w:szCs w:val="24"/>
          <w:lang w:val="en"/>
        </w:rPr>
        <w:t xml:space="preserve">The risk-weighted value of the item within the balance sheet is determined by multiplying its net book value by </w:t>
      </w:r>
      <w:r w:rsidRPr="00F55942">
        <w:rPr>
          <w:rFonts w:ascii="Times New Roman" w:hAnsi="Times New Roman" w:cs="Times New Roman"/>
          <w:b w:val="0"/>
          <w:bCs w:val="0"/>
          <w:color w:val="202124"/>
          <w:sz w:val="24"/>
          <w:szCs w:val="24"/>
        </w:rPr>
        <w:t>its</w:t>
      </w:r>
      <w:r w:rsidRPr="00F55942">
        <w:rPr>
          <w:rFonts w:ascii="Times New Roman" w:hAnsi="Times New Roman" w:cs="Times New Roman"/>
          <w:b w:val="0"/>
          <w:bCs w:val="0"/>
          <w:color w:val="202124"/>
          <w:sz w:val="24"/>
          <w:szCs w:val="24"/>
          <w:lang w:val="en"/>
        </w:rPr>
        <w:t xml:space="preserve"> appropriate weight, taking into account item (4.1.2) below:</w:t>
      </w:r>
    </w:p>
    <w:p w:rsidR="00E74B7B" w:rsidRPr="00F55942" w:rsidRDefault="00E74B7B" w:rsidP="005E00DD">
      <w:pPr>
        <w:pStyle w:val="ListParagraph"/>
        <w:numPr>
          <w:ilvl w:val="0"/>
          <w:numId w:val="3"/>
        </w:numPr>
        <w:bidi w:val="0"/>
        <w:spacing w:after="0" w:line="276" w:lineRule="auto"/>
        <w:ind w:left="2552" w:hanging="425"/>
        <w:rPr>
          <w:rFonts w:ascii="Times New Roman" w:hAnsi="Times New Roman" w:cs="Times New Roman"/>
          <w:b w:val="0"/>
          <w:bCs w:val="0"/>
          <w:sz w:val="24"/>
          <w:szCs w:val="24"/>
        </w:rPr>
      </w:pPr>
      <w:r w:rsidRPr="00F55942">
        <w:rPr>
          <w:rFonts w:ascii="Times New Roman" w:hAnsi="Times New Roman" w:cs="Times New Roman"/>
          <w:b w:val="0"/>
          <w:bCs w:val="0"/>
          <w:color w:val="202124"/>
          <w:sz w:val="24"/>
          <w:szCs w:val="24"/>
          <w:lang w:val="en"/>
        </w:rPr>
        <w:t>The net book value means the bala</w:t>
      </w:r>
      <w:r w:rsidR="00F55942">
        <w:rPr>
          <w:rFonts w:ascii="Times New Roman" w:hAnsi="Times New Roman" w:cs="Times New Roman"/>
          <w:b w:val="0"/>
          <w:bCs w:val="0"/>
          <w:color w:val="202124"/>
          <w:sz w:val="24"/>
          <w:szCs w:val="24"/>
          <w:lang w:val="en"/>
        </w:rPr>
        <w:t>nce of the credit exposure (and</w:t>
      </w:r>
      <w:r w:rsidRPr="00F55942">
        <w:rPr>
          <w:rFonts w:ascii="Times New Roman" w:hAnsi="Times New Roman" w:cs="Times New Roman"/>
          <w:b w:val="0"/>
          <w:bCs w:val="0"/>
          <w:color w:val="202124"/>
          <w:sz w:val="24"/>
          <w:szCs w:val="24"/>
          <w:lang w:val="en"/>
        </w:rPr>
        <w:t xml:space="preserve">/ or the </w:t>
      </w:r>
      <w:r w:rsidR="005E00DD">
        <w:rPr>
          <w:rFonts w:ascii="Times New Roman" w:hAnsi="Times New Roman" w:cs="Times New Roman"/>
          <w:b w:val="0"/>
          <w:bCs w:val="0"/>
          <w:color w:val="202124"/>
          <w:sz w:val="24"/>
          <w:szCs w:val="24"/>
          <w:lang w:val="en"/>
        </w:rPr>
        <w:t>nominal</w:t>
      </w:r>
      <w:r w:rsidRPr="00F55942">
        <w:rPr>
          <w:rFonts w:ascii="Times New Roman" w:hAnsi="Times New Roman" w:cs="Times New Roman"/>
          <w:b w:val="0"/>
          <w:bCs w:val="0"/>
          <w:color w:val="202124"/>
          <w:sz w:val="24"/>
          <w:szCs w:val="24"/>
          <w:lang w:val="en"/>
        </w:rPr>
        <w:t xml:space="preserve"> value of capital market instruments) including any accrued interest, this is after subtracting the special provision, </w:t>
      </w:r>
      <w:r w:rsidR="007E41B2" w:rsidRPr="00F55942">
        <w:rPr>
          <w:rFonts w:ascii="Times New Roman" w:hAnsi="Times New Roman" w:cs="Times New Roman"/>
          <w:b w:val="0"/>
          <w:bCs w:val="0"/>
          <w:color w:val="202124"/>
          <w:sz w:val="24"/>
          <w:szCs w:val="24"/>
          <w:lang w:val="en"/>
        </w:rPr>
        <w:t>interest</w:t>
      </w:r>
      <w:r w:rsidR="007E41B2" w:rsidRPr="00F55942">
        <w:rPr>
          <w:rFonts w:ascii="Times New Roman" w:hAnsi="Times New Roman" w:cs="Times New Roman"/>
          <w:b w:val="0"/>
          <w:bCs w:val="0"/>
          <w:color w:val="202124"/>
          <w:sz w:val="24"/>
          <w:szCs w:val="24"/>
          <w:rtl/>
          <w:lang w:val="en"/>
        </w:rPr>
        <w:t xml:space="preserve"> </w:t>
      </w:r>
      <w:r w:rsidR="007E41B2" w:rsidRPr="00F55942">
        <w:rPr>
          <w:rFonts w:ascii="Times New Roman" w:hAnsi="Times New Roman" w:cs="Times New Roman"/>
          <w:b w:val="0"/>
          <w:bCs w:val="0"/>
          <w:color w:val="202124"/>
          <w:sz w:val="24"/>
          <w:szCs w:val="24"/>
        </w:rPr>
        <w:t>and</w:t>
      </w:r>
      <w:r w:rsidRPr="00F55942">
        <w:rPr>
          <w:rFonts w:ascii="Times New Roman" w:hAnsi="Times New Roman" w:cs="Times New Roman"/>
          <w:b w:val="0"/>
          <w:bCs w:val="0"/>
          <w:color w:val="202124"/>
          <w:sz w:val="24"/>
          <w:szCs w:val="24"/>
          <w:lang w:val="en"/>
        </w:rPr>
        <w:t xml:space="preserve"> commissions</w:t>
      </w:r>
      <w:r w:rsidR="007E41B2" w:rsidRPr="00F55942">
        <w:rPr>
          <w:rFonts w:ascii="Times New Roman" w:eastAsiaTheme="minorHAnsi" w:hAnsi="Times New Roman" w:cs="Times New Roman"/>
          <w:b w:val="0"/>
          <w:bCs w:val="0"/>
          <w:sz w:val="24"/>
          <w:szCs w:val="24"/>
        </w:rPr>
        <w:t xml:space="preserve"> in suspense</w:t>
      </w:r>
      <w:r w:rsidRPr="00F55942">
        <w:rPr>
          <w:rFonts w:ascii="Times New Roman" w:hAnsi="Times New Roman" w:cs="Times New Roman"/>
          <w:b w:val="0"/>
          <w:bCs w:val="0"/>
          <w:color w:val="202124"/>
          <w:sz w:val="24"/>
          <w:szCs w:val="24"/>
          <w:lang w:val="en"/>
        </w:rPr>
        <w:t xml:space="preserve"> and / or depreciation charges, taking into account the </w:t>
      </w:r>
      <w:r w:rsidR="00F55942" w:rsidRPr="00F55942">
        <w:rPr>
          <w:rFonts w:ascii="Times New Roman" w:hAnsi="Times New Roman" w:cs="Times New Roman"/>
          <w:b w:val="0"/>
          <w:bCs w:val="0"/>
          <w:color w:val="202124"/>
          <w:sz w:val="24"/>
          <w:szCs w:val="24"/>
          <w:lang w:val="en"/>
        </w:rPr>
        <w:t>differences of</w:t>
      </w:r>
      <w:r w:rsidR="00F55942" w:rsidRPr="00F55942">
        <w:rPr>
          <w:rFonts w:ascii="Times New Roman" w:hAnsi="Times New Roman" w:cs="Times New Roman"/>
          <w:b w:val="0"/>
          <w:bCs w:val="0"/>
          <w:color w:val="202124"/>
          <w:sz w:val="24"/>
          <w:szCs w:val="24"/>
        </w:rPr>
        <w:t xml:space="preserve"> re-assessing</w:t>
      </w:r>
      <w:r w:rsidR="00F55942" w:rsidRPr="00F55942">
        <w:rPr>
          <w:rFonts w:ascii="Times New Roman" w:hAnsi="Times New Roman" w:cs="Times New Roman"/>
          <w:b w:val="0"/>
          <w:bCs w:val="0"/>
          <w:color w:val="202124"/>
          <w:sz w:val="24"/>
          <w:szCs w:val="24"/>
          <w:lang w:val="en"/>
        </w:rPr>
        <w:t>.</w:t>
      </w:r>
    </w:p>
    <w:p w:rsidR="00F55942" w:rsidRPr="00F55942" w:rsidRDefault="00F55942" w:rsidP="005E00DD">
      <w:pPr>
        <w:pStyle w:val="ListParagraph"/>
        <w:numPr>
          <w:ilvl w:val="0"/>
          <w:numId w:val="3"/>
        </w:numPr>
        <w:bidi w:val="0"/>
        <w:spacing w:after="0" w:line="276" w:lineRule="auto"/>
        <w:ind w:left="2552" w:hanging="425"/>
        <w:rPr>
          <w:rFonts w:ascii="Times New Roman" w:hAnsi="Times New Roman" w:cs="Times New Roman"/>
          <w:b w:val="0"/>
          <w:bCs w:val="0"/>
          <w:sz w:val="24"/>
          <w:szCs w:val="24"/>
        </w:rPr>
      </w:pPr>
      <w:r w:rsidRPr="00F55942">
        <w:rPr>
          <w:rFonts w:ascii="Times New Roman" w:hAnsi="Times New Roman" w:cs="Times New Roman"/>
          <w:b w:val="0"/>
          <w:bCs w:val="0"/>
          <w:color w:val="202124"/>
          <w:sz w:val="24"/>
          <w:szCs w:val="24"/>
          <w:lang w:val="en"/>
        </w:rPr>
        <w:t>The special provision means the provision for credit facilities impairment, wherever it is stated in these</w:t>
      </w:r>
      <w:r w:rsidRPr="00F55942">
        <w:rPr>
          <w:rFonts w:ascii="Times New Roman" w:hAnsi="Times New Roman" w:cs="Times New Roman"/>
          <w:b w:val="0"/>
          <w:bCs w:val="0"/>
          <w:color w:val="202124"/>
          <w:sz w:val="24"/>
          <w:szCs w:val="24"/>
        </w:rPr>
        <w:t xml:space="preserve"> instructions.</w:t>
      </w:r>
    </w:p>
    <w:p w:rsidR="00D56002" w:rsidRPr="003075B1" w:rsidRDefault="00F55942" w:rsidP="003075B1">
      <w:pPr>
        <w:pStyle w:val="ListParagraph"/>
        <w:numPr>
          <w:ilvl w:val="2"/>
          <w:numId w:val="43"/>
        </w:numPr>
        <w:bidi w:val="0"/>
        <w:spacing w:after="0" w:line="276" w:lineRule="auto"/>
        <w:ind w:left="2127" w:hanging="851"/>
        <w:rPr>
          <w:rFonts w:ascii="Times New Roman" w:hAnsi="Times New Roman" w:cs="Times New Roman"/>
          <w:b w:val="0"/>
          <w:bCs w:val="0"/>
          <w:sz w:val="24"/>
          <w:szCs w:val="24"/>
        </w:rPr>
      </w:pPr>
      <w:r w:rsidRPr="00F55942">
        <w:rPr>
          <w:rFonts w:ascii="Times New Roman" w:hAnsi="Times New Roman" w:cs="Times New Roman"/>
          <w:b w:val="0"/>
          <w:bCs w:val="0"/>
          <w:color w:val="202124"/>
          <w:sz w:val="24"/>
          <w:szCs w:val="24"/>
          <w:lang w:val="en"/>
        </w:rPr>
        <w:t xml:space="preserve">In the event that the item within the </w:t>
      </w:r>
      <w:r w:rsidR="000219F3">
        <w:rPr>
          <w:rFonts w:ascii="Times New Roman" w:hAnsi="Times New Roman" w:cs="Times New Roman"/>
          <w:b w:val="0"/>
          <w:bCs w:val="0"/>
          <w:color w:val="202124"/>
          <w:sz w:val="24"/>
          <w:szCs w:val="24"/>
          <w:lang w:val="en"/>
        </w:rPr>
        <w:t>balance sheet</w:t>
      </w:r>
      <w:r w:rsidRPr="00F55942">
        <w:rPr>
          <w:rFonts w:ascii="Times New Roman" w:hAnsi="Times New Roman" w:cs="Times New Roman"/>
          <w:b w:val="0"/>
          <w:bCs w:val="0"/>
          <w:color w:val="202124"/>
          <w:sz w:val="24"/>
          <w:szCs w:val="24"/>
          <w:lang w:val="en"/>
        </w:rPr>
        <w:t xml:space="preserve"> is secured by one of the qualifying collateral or guaranteed by an acceptable guarantee or an acceptable credit derivative, the bank has the right to use the credit</w:t>
      </w:r>
      <w:r w:rsidR="000219F3">
        <w:rPr>
          <w:rFonts w:ascii="Times New Roman" w:hAnsi="Times New Roman" w:cs="Times New Roman"/>
          <w:b w:val="0"/>
          <w:bCs w:val="0"/>
          <w:color w:val="202124"/>
          <w:sz w:val="24"/>
          <w:szCs w:val="24"/>
          <w:lang w:val="en"/>
        </w:rPr>
        <w:t xml:space="preserve"> risk </w:t>
      </w:r>
      <w:r w:rsidR="003075B1" w:rsidRPr="003075B1">
        <w:rPr>
          <w:rFonts w:ascii="Times New Roman" w:hAnsi="Times New Roman" w:cs="Times New Roman"/>
          <w:b w:val="0"/>
          <w:bCs w:val="0"/>
          <w:color w:val="202124"/>
          <w:sz w:val="24"/>
          <w:szCs w:val="24"/>
          <w:lang w:val="en"/>
        </w:rPr>
        <w:t>mitigations</w:t>
      </w:r>
      <w:r w:rsidR="003075B1">
        <w:rPr>
          <w:rFonts w:ascii="Times New Roman" w:hAnsi="Times New Roman" w:cs="Times New Roman"/>
          <w:b w:val="0"/>
          <w:bCs w:val="0"/>
          <w:color w:val="202124"/>
          <w:sz w:val="24"/>
          <w:szCs w:val="24"/>
          <w:lang w:val="en"/>
        </w:rPr>
        <w:t xml:space="preserve"> </w:t>
      </w:r>
      <w:r w:rsidR="000219F3">
        <w:rPr>
          <w:rFonts w:ascii="Times New Roman" w:hAnsi="Times New Roman" w:cs="Times New Roman"/>
          <w:b w:val="0"/>
          <w:bCs w:val="0"/>
          <w:color w:val="202124"/>
          <w:sz w:val="24"/>
          <w:szCs w:val="24"/>
          <w:lang w:val="en"/>
        </w:rPr>
        <w:t xml:space="preserve">stipulated in </w:t>
      </w:r>
      <w:r w:rsidR="003075B1" w:rsidRPr="003075B1">
        <w:rPr>
          <w:rFonts w:ascii="Times New Roman" w:hAnsi="Times New Roman" w:cs="Times New Roman"/>
          <w:b w:val="0"/>
          <w:bCs w:val="0"/>
          <w:color w:val="202124"/>
          <w:sz w:val="24"/>
          <w:szCs w:val="24"/>
          <w:lang w:val="en"/>
        </w:rPr>
        <w:t>clause</w:t>
      </w:r>
      <w:r w:rsidRPr="00F55942">
        <w:rPr>
          <w:rFonts w:ascii="Times New Roman" w:hAnsi="Times New Roman" w:cs="Times New Roman"/>
          <w:b w:val="0"/>
          <w:bCs w:val="0"/>
          <w:color w:val="202124"/>
          <w:sz w:val="24"/>
          <w:szCs w:val="24"/>
          <w:lang w:val="en"/>
        </w:rPr>
        <w:t xml:space="preserve"> (second) of this chapter</w:t>
      </w:r>
      <w:r w:rsidR="003075B1">
        <w:rPr>
          <w:rFonts w:ascii="Times New Roman" w:hAnsi="Times New Roman" w:cs="Times New Roman"/>
          <w:b w:val="0"/>
          <w:bCs w:val="0"/>
          <w:color w:val="202124"/>
          <w:sz w:val="24"/>
          <w:szCs w:val="24"/>
          <w:lang w:val="en"/>
        </w:rPr>
        <w:t xml:space="preserve"> (</w:t>
      </w:r>
      <w:r w:rsidR="003075B1" w:rsidRPr="003075B1">
        <w:rPr>
          <w:rFonts w:ascii="Times New Roman" w:hAnsi="Times New Roman" w:cs="Times New Roman"/>
          <w:b w:val="0"/>
          <w:bCs w:val="0"/>
          <w:color w:val="202124"/>
          <w:sz w:val="24"/>
          <w:szCs w:val="24"/>
          <w:lang w:val="en"/>
        </w:rPr>
        <w:t>Credit Risk Mitigations)</w:t>
      </w:r>
      <w:r w:rsidR="003075B1">
        <w:rPr>
          <w:rFonts w:ascii="Times New Roman" w:hAnsi="Times New Roman" w:cs="Times New Roman"/>
          <w:b w:val="0"/>
          <w:bCs w:val="0"/>
          <w:color w:val="202124"/>
          <w:sz w:val="24"/>
          <w:szCs w:val="24"/>
          <w:lang w:val="en"/>
        </w:rPr>
        <w:t>,</w:t>
      </w:r>
      <w:r w:rsidRPr="00F55942">
        <w:rPr>
          <w:rFonts w:ascii="Times New Roman" w:hAnsi="Times New Roman" w:cs="Times New Roman"/>
          <w:b w:val="0"/>
          <w:bCs w:val="0"/>
          <w:color w:val="202124"/>
          <w:sz w:val="24"/>
          <w:szCs w:val="24"/>
          <w:lang w:val="en"/>
        </w:rPr>
        <w:t xml:space="preserve"> to reduce the risk weighted value of this item when calculating the capital adequacy</w:t>
      </w:r>
      <w:r w:rsidR="003075B1">
        <w:rPr>
          <w:rFonts w:ascii="Times New Roman" w:hAnsi="Times New Roman" w:cs="Times New Roman"/>
          <w:b w:val="0"/>
          <w:bCs w:val="0"/>
          <w:color w:val="202124"/>
          <w:sz w:val="24"/>
          <w:szCs w:val="24"/>
          <w:lang w:val="en"/>
        </w:rPr>
        <w:t>.</w:t>
      </w:r>
    </w:p>
    <w:p w:rsidR="003075B1" w:rsidRPr="003075B1" w:rsidRDefault="003075B1" w:rsidP="003075B1">
      <w:pPr>
        <w:pStyle w:val="ListParagraph"/>
        <w:numPr>
          <w:ilvl w:val="2"/>
          <w:numId w:val="43"/>
        </w:numPr>
        <w:bidi w:val="0"/>
        <w:spacing w:after="0" w:line="276" w:lineRule="auto"/>
        <w:ind w:left="2127" w:hanging="851"/>
        <w:rPr>
          <w:rFonts w:ascii="Times New Roman" w:hAnsi="Times New Roman" w:cs="Times New Roman"/>
          <w:b w:val="0"/>
          <w:bCs w:val="0"/>
          <w:color w:val="202124"/>
          <w:sz w:val="24"/>
          <w:szCs w:val="24"/>
          <w:rtl/>
          <w:lang w:val="en"/>
        </w:rPr>
      </w:pPr>
      <w:r w:rsidRPr="003075B1">
        <w:rPr>
          <w:rFonts w:ascii="Times New Roman" w:hAnsi="Times New Roman" w:cs="Times New Roman"/>
          <w:b w:val="0"/>
          <w:bCs w:val="0"/>
          <w:color w:val="202124"/>
          <w:sz w:val="24"/>
          <w:szCs w:val="24"/>
          <w:lang w:val="en"/>
        </w:rPr>
        <w:t>The bank shall refer to the Central Bank of Jordan if it is unable to determine the risk-weighted value of any of the balance sheet item.</w:t>
      </w:r>
    </w:p>
    <w:p w:rsidR="00505A8B" w:rsidRPr="008F08A6" w:rsidRDefault="00505A8B" w:rsidP="00505A8B">
      <w:pPr>
        <w:pStyle w:val="ListParagraph"/>
        <w:ind w:left="2551"/>
        <w:rPr>
          <w:b w:val="0"/>
          <w:bCs w:val="0"/>
          <w:sz w:val="4"/>
          <w:szCs w:val="4"/>
        </w:rPr>
      </w:pPr>
    </w:p>
    <w:p w:rsidR="005E30C4" w:rsidRPr="009559BF" w:rsidRDefault="005E30C4" w:rsidP="00076A6A">
      <w:pPr>
        <w:bidi w:val="0"/>
        <w:ind w:left="1276" w:hanging="567"/>
        <w:rPr>
          <w:rFonts w:ascii="Times New Roman" w:hAnsi="Times New Roman" w:cs="Times New Roman"/>
          <w:sz w:val="24"/>
          <w:szCs w:val="24"/>
        </w:rPr>
      </w:pPr>
      <w:r w:rsidRPr="009559BF">
        <w:rPr>
          <w:rFonts w:ascii="Times New Roman" w:hAnsi="Times New Roman" w:cs="Times New Roman"/>
          <w:sz w:val="24"/>
          <w:szCs w:val="24"/>
        </w:rPr>
        <w:t>2.2</w:t>
      </w:r>
      <w:r w:rsidRPr="009559BF">
        <w:rPr>
          <w:rFonts w:ascii="Times New Roman" w:hAnsi="Times New Roman" w:cs="Times New Roman"/>
          <w:sz w:val="24"/>
          <w:szCs w:val="24"/>
        </w:rPr>
        <w:tab/>
        <w:t xml:space="preserve">Types of claims/exposures: </w:t>
      </w:r>
    </w:p>
    <w:p w:rsidR="005E30C4" w:rsidRPr="00B0047F" w:rsidRDefault="005E30C4" w:rsidP="009559BF">
      <w:pPr>
        <w:bidi w:val="0"/>
        <w:ind w:left="2160" w:hanging="900"/>
        <w:rPr>
          <w:rFonts w:ascii="Times New Roman" w:hAnsi="Times New Roman" w:cs="Times New Roman"/>
          <w:b w:val="0"/>
          <w:bCs w:val="0"/>
          <w:sz w:val="24"/>
          <w:szCs w:val="24"/>
        </w:rPr>
      </w:pPr>
      <w:r w:rsidRPr="00B0047F">
        <w:rPr>
          <w:rFonts w:ascii="Times New Roman" w:hAnsi="Times New Roman" w:cs="Times New Roman"/>
          <w:b w:val="0"/>
          <w:bCs w:val="0"/>
          <w:sz w:val="24"/>
          <w:szCs w:val="24"/>
        </w:rPr>
        <w:t>2.2.1</w:t>
      </w:r>
      <w:r w:rsidRPr="00B0047F">
        <w:rPr>
          <w:rFonts w:ascii="Times New Roman" w:hAnsi="Times New Roman" w:cs="Times New Roman"/>
          <w:b w:val="0"/>
          <w:bCs w:val="0"/>
          <w:sz w:val="24"/>
          <w:szCs w:val="24"/>
        </w:rPr>
        <w:tab/>
        <w:t>Claims on Sovereigns:</w:t>
      </w:r>
    </w:p>
    <w:p w:rsidR="005E30C4" w:rsidRPr="00B0047F" w:rsidRDefault="005E30C4" w:rsidP="009559BF">
      <w:pPr>
        <w:bidi w:val="0"/>
        <w:ind w:left="2610" w:hanging="450"/>
        <w:rPr>
          <w:rFonts w:ascii="Times New Roman" w:eastAsiaTheme="minorHAnsi" w:hAnsi="Times New Roman" w:cs="Times New Roman"/>
          <w:b w:val="0"/>
          <w:bCs w:val="0"/>
          <w:sz w:val="24"/>
          <w:szCs w:val="24"/>
        </w:rPr>
      </w:pPr>
      <w:r w:rsidRPr="00B0047F">
        <w:rPr>
          <w:rFonts w:ascii="Times New Roman" w:hAnsi="Times New Roman" w:cs="Times New Roman"/>
          <w:b w:val="0"/>
          <w:bCs w:val="0"/>
          <w:sz w:val="24"/>
          <w:szCs w:val="24"/>
        </w:rPr>
        <w:t xml:space="preserve">- </w:t>
      </w:r>
      <w:r w:rsidR="009559BF">
        <w:rPr>
          <w:rFonts w:ascii="Times New Roman" w:hAnsi="Times New Roman" w:cs="Times New Roman"/>
          <w:b w:val="0"/>
          <w:bCs w:val="0"/>
          <w:sz w:val="24"/>
          <w:szCs w:val="24"/>
        </w:rPr>
        <w:tab/>
      </w:r>
      <w:r w:rsidRPr="00B0047F">
        <w:rPr>
          <w:rFonts w:ascii="Times New Roman" w:eastAsiaTheme="minorHAnsi" w:hAnsi="Times New Roman" w:cs="Times New Roman"/>
          <w:b w:val="0"/>
          <w:bCs w:val="0"/>
          <w:sz w:val="24"/>
          <w:szCs w:val="24"/>
        </w:rPr>
        <w:t>Claims on sovereigns and</w:t>
      </w:r>
      <w:r w:rsidR="00CF703D">
        <w:rPr>
          <w:rFonts w:ascii="Times New Roman" w:eastAsiaTheme="minorHAnsi" w:hAnsi="Times New Roman" w:cs="Times New Roman"/>
          <w:b w:val="0"/>
          <w:bCs w:val="0"/>
          <w:sz w:val="24"/>
          <w:szCs w:val="24"/>
        </w:rPr>
        <w:t>/or</w:t>
      </w:r>
      <w:r w:rsidRPr="00B0047F">
        <w:rPr>
          <w:rFonts w:ascii="Times New Roman" w:eastAsiaTheme="minorHAnsi" w:hAnsi="Times New Roman" w:cs="Times New Roman"/>
          <w:b w:val="0"/>
          <w:bCs w:val="0"/>
          <w:sz w:val="24"/>
          <w:szCs w:val="24"/>
        </w:rPr>
        <w:t xml:space="preserve"> their central banks will be risk weighted as follows:</w:t>
      </w:r>
    </w:p>
    <w:tbl>
      <w:tblPr>
        <w:tblStyle w:val="TableGrid"/>
        <w:tblW w:w="0" w:type="auto"/>
        <w:tblInd w:w="1350" w:type="dxa"/>
        <w:tblLook w:val="04A0" w:firstRow="1" w:lastRow="0" w:firstColumn="1" w:lastColumn="0" w:noHBand="0" w:noVBand="1"/>
      </w:tblPr>
      <w:tblGrid>
        <w:gridCol w:w="2155"/>
        <w:gridCol w:w="900"/>
        <w:gridCol w:w="900"/>
        <w:gridCol w:w="1080"/>
        <w:gridCol w:w="819"/>
        <w:gridCol w:w="791"/>
        <w:gridCol w:w="925"/>
      </w:tblGrid>
      <w:tr w:rsidR="005E30C4" w:rsidRPr="00B0047F" w:rsidTr="009559BF">
        <w:tc>
          <w:tcPr>
            <w:tcW w:w="2155" w:type="dxa"/>
            <w:shd w:val="clear" w:color="auto" w:fill="EDEDED" w:themeFill="accent3" w:themeFillTint="33"/>
            <w:vAlign w:val="center"/>
          </w:tcPr>
          <w:p w:rsidR="005E30C4" w:rsidRPr="009559BF" w:rsidRDefault="005E30C4" w:rsidP="009559BF">
            <w:pPr>
              <w:autoSpaceDE w:val="0"/>
              <w:autoSpaceDN w:val="0"/>
              <w:bidi w:val="0"/>
              <w:adjustRightInd w:val="0"/>
              <w:spacing w:after="0"/>
              <w:jc w:val="center"/>
              <w:rPr>
                <w:rFonts w:ascii="Times New Roman" w:eastAsiaTheme="minorHAnsi" w:hAnsi="Times New Roman" w:cs="Times New Roman"/>
                <w:b w:val="0"/>
                <w:bCs w:val="0"/>
                <w:sz w:val="22"/>
                <w:szCs w:val="22"/>
              </w:rPr>
            </w:pPr>
            <w:r w:rsidRPr="009559BF">
              <w:rPr>
                <w:rFonts w:ascii="Times New Roman" w:eastAsiaTheme="minorHAnsi" w:hAnsi="Times New Roman" w:cs="Times New Roman"/>
                <w:b w:val="0"/>
                <w:bCs w:val="0"/>
                <w:sz w:val="22"/>
                <w:szCs w:val="22"/>
              </w:rPr>
              <w:lastRenderedPageBreak/>
              <w:t>Credit</w:t>
            </w:r>
          </w:p>
          <w:p w:rsidR="005E30C4" w:rsidRPr="009559BF" w:rsidRDefault="009F50C5" w:rsidP="009559BF">
            <w:pPr>
              <w:bidi w:val="0"/>
              <w:jc w:val="center"/>
              <w:rPr>
                <w:rFonts w:ascii="Times New Roman" w:hAnsi="Times New Roman" w:cs="Times New Roman"/>
                <w:b w:val="0"/>
                <w:bCs w:val="0"/>
                <w:sz w:val="22"/>
                <w:szCs w:val="22"/>
              </w:rPr>
            </w:pPr>
            <w:r>
              <w:rPr>
                <w:rFonts w:ascii="Times New Roman" w:eastAsiaTheme="minorHAnsi" w:hAnsi="Times New Roman" w:cs="Times New Roman"/>
                <w:b w:val="0"/>
                <w:bCs w:val="0"/>
                <w:sz w:val="22"/>
                <w:szCs w:val="22"/>
              </w:rPr>
              <w:t>rating</w:t>
            </w:r>
            <w:r w:rsidR="005E30C4" w:rsidRPr="009559BF">
              <w:rPr>
                <w:rFonts w:ascii="Times New Roman" w:eastAsiaTheme="minorHAnsi" w:hAnsi="Times New Roman" w:cs="Times New Roman"/>
                <w:b w:val="0"/>
                <w:bCs w:val="0"/>
                <w:sz w:val="22"/>
                <w:szCs w:val="22"/>
              </w:rPr>
              <w:t xml:space="preserve"> as S&amp;P *</w:t>
            </w:r>
          </w:p>
        </w:tc>
        <w:tc>
          <w:tcPr>
            <w:tcW w:w="900" w:type="dxa"/>
            <w:shd w:val="clear" w:color="auto" w:fill="EDEDED" w:themeFill="accent3" w:themeFillTint="33"/>
            <w:vAlign w:val="center"/>
          </w:tcPr>
          <w:p w:rsidR="005E30C4" w:rsidRPr="009559BF" w:rsidRDefault="005E30C4" w:rsidP="009559BF">
            <w:pPr>
              <w:bidi w:val="0"/>
              <w:jc w:val="center"/>
              <w:rPr>
                <w:rFonts w:ascii="Times New Roman" w:hAnsi="Times New Roman" w:cs="Times New Roman"/>
                <w:b w:val="0"/>
                <w:bCs w:val="0"/>
                <w:sz w:val="22"/>
                <w:szCs w:val="22"/>
              </w:rPr>
            </w:pPr>
            <w:r w:rsidRPr="009559BF">
              <w:rPr>
                <w:rFonts w:ascii="Times New Roman" w:hAnsi="Times New Roman" w:cs="Times New Roman"/>
                <w:b w:val="0"/>
                <w:bCs w:val="0"/>
                <w:sz w:val="22"/>
                <w:szCs w:val="22"/>
              </w:rPr>
              <w:t>AAA to AA-</w:t>
            </w:r>
          </w:p>
        </w:tc>
        <w:tc>
          <w:tcPr>
            <w:tcW w:w="900" w:type="dxa"/>
            <w:shd w:val="clear" w:color="auto" w:fill="EDEDED" w:themeFill="accent3" w:themeFillTint="33"/>
            <w:vAlign w:val="center"/>
          </w:tcPr>
          <w:p w:rsidR="005E30C4" w:rsidRPr="009559BF" w:rsidRDefault="005E30C4" w:rsidP="009559BF">
            <w:pPr>
              <w:bidi w:val="0"/>
              <w:jc w:val="center"/>
              <w:rPr>
                <w:rFonts w:ascii="Times New Roman" w:hAnsi="Times New Roman" w:cs="Times New Roman"/>
                <w:b w:val="0"/>
                <w:bCs w:val="0"/>
                <w:sz w:val="22"/>
                <w:szCs w:val="22"/>
              </w:rPr>
            </w:pPr>
            <w:r w:rsidRPr="009559BF">
              <w:rPr>
                <w:rFonts w:ascii="Times New Roman" w:hAnsi="Times New Roman" w:cs="Times New Roman"/>
                <w:b w:val="0"/>
                <w:bCs w:val="0"/>
                <w:sz w:val="22"/>
                <w:szCs w:val="22"/>
              </w:rPr>
              <w:t>A+ to A-</w:t>
            </w:r>
          </w:p>
        </w:tc>
        <w:tc>
          <w:tcPr>
            <w:tcW w:w="1080" w:type="dxa"/>
            <w:shd w:val="clear" w:color="auto" w:fill="EDEDED" w:themeFill="accent3" w:themeFillTint="33"/>
            <w:vAlign w:val="center"/>
          </w:tcPr>
          <w:p w:rsidR="005E30C4" w:rsidRPr="009559BF" w:rsidRDefault="005E30C4" w:rsidP="009559BF">
            <w:pPr>
              <w:bidi w:val="0"/>
              <w:jc w:val="center"/>
              <w:rPr>
                <w:rFonts w:ascii="Times New Roman" w:hAnsi="Times New Roman" w:cs="Times New Roman"/>
                <w:b w:val="0"/>
                <w:bCs w:val="0"/>
                <w:sz w:val="22"/>
                <w:szCs w:val="22"/>
              </w:rPr>
            </w:pPr>
            <w:r w:rsidRPr="009559BF">
              <w:rPr>
                <w:rFonts w:ascii="Times New Roman" w:hAnsi="Times New Roman" w:cs="Times New Roman"/>
                <w:b w:val="0"/>
                <w:bCs w:val="0"/>
                <w:sz w:val="22"/>
                <w:szCs w:val="22"/>
              </w:rPr>
              <w:t>BBB+ to BBB-</w:t>
            </w:r>
          </w:p>
        </w:tc>
        <w:tc>
          <w:tcPr>
            <w:tcW w:w="819" w:type="dxa"/>
            <w:shd w:val="clear" w:color="auto" w:fill="EDEDED" w:themeFill="accent3" w:themeFillTint="33"/>
            <w:vAlign w:val="center"/>
          </w:tcPr>
          <w:p w:rsidR="005E30C4" w:rsidRPr="009559BF" w:rsidRDefault="005E30C4" w:rsidP="009559BF">
            <w:pPr>
              <w:bidi w:val="0"/>
              <w:jc w:val="center"/>
              <w:rPr>
                <w:rFonts w:ascii="Times New Roman" w:hAnsi="Times New Roman" w:cs="Times New Roman"/>
                <w:b w:val="0"/>
                <w:bCs w:val="0"/>
                <w:sz w:val="22"/>
                <w:szCs w:val="22"/>
              </w:rPr>
            </w:pPr>
            <w:r w:rsidRPr="009559BF">
              <w:rPr>
                <w:rFonts w:ascii="Times New Roman" w:hAnsi="Times New Roman" w:cs="Times New Roman"/>
                <w:b w:val="0"/>
                <w:bCs w:val="0"/>
                <w:sz w:val="22"/>
                <w:szCs w:val="22"/>
              </w:rPr>
              <w:t>BB+ to B-</w:t>
            </w:r>
          </w:p>
        </w:tc>
        <w:tc>
          <w:tcPr>
            <w:tcW w:w="791" w:type="dxa"/>
            <w:shd w:val="clear" w:color="auto" w:fill="EDEDED" w:themeFill="accent3" w:themeFillTint="33"/>
            <w:vAlign w:val="center"/>
          </w:tcPr>
          <w:p w:rsidR="005E30C4" w:rsidRPr="009559BF" w:rsidRDefault="005E30C4" w:rsidP="009559BF">
            <w:pPr>
              <w:bidi w:val="0"/>
              <w:jc w:val="center"/>
              <w:rPr>
                <w:rFonts w:ascii="Times New Roman" w:hAnsi="Times New Roman" w:cs="Times New Roman"/>
                <w:b w:val="0"/>
                <w:bCs w:val="0"/>
                <w:sz w:val="22"/>
                <w:szCs w:val="22"/>
              </w:rPr>
            </w:pPr>
            <w:r w:rsidRPr="009559BF">
              <w:rPr>
                <w:rFonts w:ascii="Times New Roman" w:eastAsiaTheme="minorHAnsi" w:hAnsi="Times New Roman" w:cs="Times New Roman"/>
                <w:b w:val="0"/>
                <w:bCs w:val="0"/>
                <w:sz w:val="22"/>
                <w:szCs w:val="22"/>
              </w:rPr>
              <w:t>Below B-</w:t>
            </w:r>
          </w:p>
        </w:tc>
        <w:tc>
          <w:tcPr>
            <w:tcW w:w="925" w:type="dxa"/>
            <w:shd w:val="clear" w:color="auto" w:fill="EDEDED" w:themeFill="accent3" w:themeFillTint="33"/>
            <w:vAlign w:val="center"/>
          </w:tcPr>
          <w:p w:rsidR="005E30C4" w:rsidRPr="009559BF" w:rsidRDefault="005E30C4" w:rsidP="009559BF">
            <w:pPr>
              <w:bidi w:val="0"/>
              <w:jc w:val="center"/>
              <w:rPr>
                <w:rFonts w:ascii="Times New Roman" w:hAnsi="Times New Roman" w:cs="Times New Roman"/>
                <w:b w:val="0"/>
                <w:bCs w:val="0"/>
                <w:sz w:val="22"/>
                <w:szCs w:val="22"/>
              </w:rPr>
            </w:pPr>
            <w:r w:rsidRPr="009559BF">
              <w:rPr>
                <w:rFonts w:ascii="Times New Roman" w:eastAsiaTheme="minorHAnsi" w:hAnsi="Times New Roman" w:cs="Times New Roman"/>
                <w:b w:val="0"/>
                <w:bCs w:val="0"/>
                <w:sz w:val="22"/>
                <w:szCs w:val="22"/>
              </w:rPr>
              <w:t>Unrated</w:t>
            </w:r>
          </w:p>
        </w:tc>
      </w:tr>
      <w:tr w:rsidR="005E30C4" w:rsidRPr="00B0047F" w:rsidTr="009559BF">
        <w:tc>
          <w:tcPr>
            <w:tcW w:w="2155" w:type="dxa"/>
            <w:vAlign w:val="center"/>
          </w:tcPr>
          <w:p w:rsidR="005E30C4" w:rsidRPr="00AD6F72" w:rsidRDefault="005E30C4" w:rsidP="009559BF">
            <w:pPr>
              <w:bidi w:val="0"/>
              <w:jc w:val="center"/>
              <w:rPr>
                <w:rFonts w:ascii="Times New Roman" w:hAnsi="Times New Roman" w:cs="Times New Roman"/>
                <w:b w:val="0"/>
                <w:bCs w:val="0"/>
                <w:sz w:val="22"/>
                <w:szCs w:val="22"/>
              </w:rPr>
            </w:pPr>
            <w:r w:rsidRPr="00AD6F72">
              <w:rPr>
                <w:rFonts w:ascii="Times New Roman" w:eastAsiaTheme="minorHAnsi" w:hAnsi="Times New Roman" w:cs="Times New Roman"/>
                <w:b w:val="0"/>
                <w:bCs w:val="0"/>
                <w:sz w:val="22"/>
                <w:szCs w:val="22"/>
              </w:rPr>
              <w:t>Risk Weight</w:t>
            </w:r>
          </w:p>
        </w:tc>
        <w:tc>
          <w:tcPr>
            <w:tcW w:w="900" w:type="dxa"/>
            <w:vAlign w:val="center"/>
          </w:tcPr>
          <w:p w:rsidR="005E30C4" w:rsidRPr="00AD6F72" w:rsidRDefault="005E30C4" w:rsidP="009559BF">
            <w:pPr>
              <w:bidi w:val="0"/>
              <w:jc w:val="center"/>
              <w:rPr>
                <w:rFonts w:ascii="Times New Roman" w:hAnsi="Times New Roman" w:cs="Times New Roman"/>
                <w:b w:val="0"/>
                <w:bCs w:val="0"/>
                <w:sz w:val="22"/>
                <w:szCs w:val="22"/>
              </w:rPr>
            </w:pPr>
            <w:r w:rsidRPr="00AD6F72">
              <w:rPr>
                <w:rFonts w:ascii="Times New Roman" w:hAnsi="Times New Roman" w:cs="Times New Roman"/>
                <w:b w:val="0"/>
                <w:bCs w:val="0"/>
                <w:sz w:val="22"/>
                <w:szCs w:val="22"/>
              </w:rPr>
              <w:t>0%</w:t>
            </w:r>
          </w:p>
        </w:tc>
        <w:tc>
          <w:tcPr>
            <w:tcW w:w="900" w:type="dxa"/>
            <w:vAlign w:val="center"/>
          </w:tcPr>
          <w:p w:rsidR="005E30C4" w:rsidRPr="00AD6F72" w:rsidRDefault="005E30C4" w:rsidP="009559BF">
            <w:pPr>
              <w:jc w:val="center"/>
              <w:rPr>
                <w:rFonts w:ascii="Times New Roman" w:hAnsi="Times New Roman" w:cs="Times New Roman"/>
                <w:b w:val="0"/>
                <w:bCs w:val="0"/>
                <w:sz w:val="22"/>
                <w:szCs w:val="22"/>
              </w:rPr>
            </w:pPr>
            <w:r w:rsidRPr="00AD6F72">
              <w:rPr>
                <w:rFonts w:ascii="Times New Roman" w:eastAsiaTheme="minorHAnsi" w:hAnsi="Times New Roman" w:cs="Times New Roman"/>
                <w:b w:val="0"/>
                <w:bCs w:val="0"/>
                <w:sz w:val="22"/>
                <w:szCs w:val="22"/>
              </w:rPr>
              <w:t>20%</w:t>
            </w:r>
          </w:p>
        </w:tc>
        <w:tc>
          <w:tcPr>
            <w:tcW w:w="1080" w:type="dxa"/>
            <w:vAlign w:val="center"/>
          </w:tcPr>
          <w:p w:rsidR="005E30C4" w:rsidRPr="00AD6F72" w:rsidRDefault="005E30C4" w:rsidP="009559BF">
            <w:pPr>
              <w:jc w:val="center"/>
              <w:rPr>
                <w:rFonts w:ascii="Times New Roman" w:hAnsi="Times New Roman" w:cs="Times New Roman"/>
                <w:b w:val="0"/>
                <w:bCs w:val="0"/>
                <w:sz w:val="22"/>
                <w:szCs w:val="22"/>
              </w:rPr>
            </w:pPr>
            <w:r w:rsidRPr="00AD6F72">
              <w:rPr>
                <w:rFonts w:ascii="Times New Roman" w:eastAsiaTheme="minorHAnsi" w:hAnsi="Times New Roman" w:cs="Times New Roman"/>
                <w:b w:val="0"/>
                <w:bCs w:val="0"/>
                <w:sz w:val="22"/>
                <w:szCs w:val="22"/>
              </w:rPr>
              <w:t>50%</w:t>
            </w:r>
          </w:p>
        </w:tc>
        <w:tc>
          <w:tcPr>
            <w:tcW w:w="819" w:type="dxa"/>
            <w:vAlign w:val="center"/>
          </w:tcPr>
          <w:p w:rsidR="005E30C4" w:rsidRPr="00AD6F72" w:rsidRDefault="005E30C4" w:rsidP="009559BF">
            <w:pPr>
              <w:jc w:val="center"/>
              <w:rPr>
                <w:rFonts w:ascii="Times New Roman" w:hAnsi="Times New Roman" w:cs="Times New Roman"/>
                <w:b w:val="0"/>
                <w:bCs w:val="0"/>
                <w:sz w:val="22"/>
                <w:szCs w:val="22"/>
              </w:rPr>
            </w:pPr>
            <w:r w:rsidRPr="00AD6F72">
              <w:rPr>
                <w:rFonts w:ascii="Times New Roman" w:eastAsiaTheme="minorHAnsi" w:hAnsi="Times New Roman" w:cs="Times New Roman"/>
                <w:b w:val="0"/>
                <w:bCs w:val="0"/>
                <w:sz w:val="22"/>
                <w:szCs w:val="22"/>
              </w:rPr>
              <w:t>100%</w:t>
            </w:r>
          </w:p>
        </w:tc>
        <w:tc>
          <w:tcPr>
            <w:tcW w:w="791" w:type="dxa"/>
            <w:vAlign w:val="center"/>
          </w:tcPr>
          <w:p w:rsidR="005E30C4" w:rsidRPr="00AD6F72" w:rsidRDefault="005E30C4" w:rsidP="009559BF">
            <w:pPr>
              <w:jc w:val="center"/>
              <w:rPr>
                <w:rFonts w:ascii="Times New Roman" w:hAnsi="Times New Roman" w:cs="Times New Roman"/>
                <w:b w:val="0"/>
                <w:bCs w:val="0"/>
                <w:sz w:val="22"/>
                <w:szCs w:val="22"/>
              </w:rPr>
            </w:pPr>
            <w:r w:rsidRPr="00AD6F72">
              <w:rPr>
                <w:rFonts w:ascii="Times New Roman" w:eastAsiaTheme="minorHAnsi" w:hAnsi="Times New Roman" w:cs="Times New Roman"/>
                <w:b w:val="0"/>
                <w:bCs w:val="0"/>
                <w:sz w:val="22"/>
                <w:szCs w:val="22"/>
              </w:rPr>
              <w:t>150%</w:t>
            </w:r>
          </w:p>
        </w:tc>
        <w:tc>
          <w:tcPr>
            <w:tcW w:w="925" w:type="dxa"/>
            <w:vAlign w:val="center"/>
          </w:tcPr>
          <w:p w:rsidR="005E30C4" w:rsidRPr="00AD6F72" w:rsidRDefault="005E30C4" w:rsidP="009559BF">
            <w:pPr>
              <w:jc w:val="center"/>
              <w:rPr>
                <w:rFonts w:ascii="Times New Roman" w:hAnsi="Times New Roman" w:cs="Times New Roman"/>
                <w:b w:val="0"/>
                <w:bCs w:val="0"/>
                <w:sz w:val="22"/>
                <w:szCs w:val="22"/>
              </w:rPr>
            </w:pPr>
            <w:r w:rsidRPr="00AD6F72">
              <w:rPr>
                <w:rFonts w:ascii="Times New Roman" w:eastAsiaTheme="minorHAnsi" w:hAnsi="Times New Roman" w:cs="Times New Roman"/>
                <w:b w:val="0"/>
                <w:bCs w:val="0"/>
                <w:sz w:val="22"/>
                <w:szCs w:val="22"/>
              </w:rPr>
              <w:t>100%</w:t>
            </w:r>
          </w:p>
        </w:tc>
      </w:tr>
    </w:tbl>
    <w:p w:rsidR="005E30C4" w:rsidRPr="009559BF" w:rsidRDefault="005E30C4" w:rsidP="009F50C5">
      <w:pPr>
        <w:bidi w:val="0"/>
        <w:ind w:left="1530" w:hanging="180"/>
        <w:rPr>
          <w:rFonts w:ascii="Times New Roman" w:hAnsi="Times New Roman" w:cs="Times New Roman"/>
          <w:b w:val="0"/>
          <w:bCs w:val="0"/>
          <w:color w:val="202124"/>
          <w:sz w:val="20"/>
          <w:szCs w:val="20"/>
          <w:lang w:val="en"/>
        </w:rPr>
      </w:pPr>
      <w:r w:rsidRPr="009F50C5">
        <w:rPr>
          <w:rFonts w:ascii="Times New Roman" w:hAnsi="Times New Roman" w:cs="Times New Roman"/>
          <w:b w:val="0"/>
          <w:bCs w:val="0"/>
          <w:sz w:val="20"/>
          <w:szCs w:val="20"/>
        </w:rPr>
        <w:t xml:space="preserve">* </w:t>
      </w:r>
      <w:r w:rsidRPr="009F50C5">
        <w:rPr>
          <w:rFonts w:ascii="Times New Roman" w:hAnsi="Times New Roman" w:cs="Times New Roman"/>
          <w:b w:val="0"/>
          <w:bCs w:val="0"/>
          <w:color w:val="202124"/>
          <w:sz w:val="20"/>
          <w:szCs w:val="20"/>
          <w:lang w:val="en"/>
        </w:rPr>
        <w:t xml:space="preserve">The ratings of other entities (mentioned in </w:t>
      </w:r>
      <w:r w:rsidR="005638C5" w:rsidRPr="009F50C5">
        <w:rPr>
          <w:rFonts w:ascii="Times New Roman" w:hAnsi="Times New Roman" w:cs="Times New Roman"/>
          <w:b w:val="0"/>
          <w:bCs w:val="0"/>
          <w:color w:val="202124"/>
          <w:sz w:val="20"/>
          <w:szCs w:val="20"/>
          <w:lang w:val="en"/>
        </w:rPr>
        <w:t>annex no.</w:t>
      </w:r>
      <w:r w:rsidRPr="009F50C5">
        <w:rPr>
          <w:rFonts w:ascii="Times New Roman" w:hAnsi="Times New Roman" w:cs="Times New Roman"/>
          <w:b w:val="0"/>
          <w:bCs w:val="0"/>
          <w:color w:val="202124"/>
          <w:sz w:val="20"/>
          <w:szCs w:val="20"/>
          <w:lang w:val="en"/>
        </w:rPr>
        <w:t xml:space="preserve"> 7) </w:t>
      </w:r>
      <w:r w:rsidR="009F50C5" w:rsidRPr="009F50C5">
        <w:rPr>
          <w:rFonts w:ascii="Times New Roman" w:hAnsi="Times New Roman" w:cs="Times New Roman"/>
          <w:b w:val="0"/>
          <w:bCs w:val="0"/>
          <w:color w:val="202124"/>
          <w:sz w:val="20"/>
          <w:szCs w:val="20"/>
          <w:lang w:val="en"/>
        </w:rPr>
        <w:t>accepted</w:t>
      </w:r>
      <w:r w:rsidRPr="009F50C5">
        <w:rPr>
          <w:rFonts w:ascii="Times New Roman" w:hAnsi="Times New Roman" w:cs="Times New Roman"/>
          <w:b w:val="0"/>
          <w:bCs w:val="0"/>
          <w:color w:val="202124"/>
          <w:sz w:val="20"/>
          <w:szCs w:val="20"/>
          <w:lang w:val="en"/>
        </w:rPr>
        <w:t xml:space="preserve"> by the Central Bank and whose ratings are equivalent to the above </w:t>
      </w:r>
      <w:r w:rsidR="009F50C5" w:rsidRPr="009F50C5">
        <w:rPr>
          <w:rFonts w:ascii="Times New Roman" w:eastAsiaTheme="minorHAnsi" w:hAnsi="Times New Roman" w:cs="Times New Roman"/>
          <w:b w:val="0"/>
          <w:bCs w:val="0"/>
          <w:sz w:val="20"/>
          <w:szCs w:val="20"/>
        </w:rPr>
        <w:t>rating</w:t>
      </w:r>
      <w:r w:rsidR="0068030B" w:rsidRPr="009F50C5">
        <w:rPr>
          <w:rFonts w:ascii="Times New Roman" w:hAnsi="Times New Roman" w:cs="Times New Roman"/>
          <w:b w:val="0"/>
          <w:bCs w:val="0"/>
          <w:color w:val="202124"/>
          <w:sz w:val="20"/>
          <w:szCs w:val="20"/>
          <w:lang w:val="en"/>
        </w:rPr>
        <w:t>.</w:t>
      </w:r>
    </w:p>
    <w:p w:rsidR="0068030B" w:rsidRPr="009F50C5" w:rsidRDefault="0068030B" w:rsidP="004101A4">
      <w:pPr>
        <w:autoSpaceDE w:val="0"/>
        <w:autoSpaceDN w:val="0"/>
        <w:bidi w:val="0"/>
        <w:adjustRightInd w:val="0"/>
        <w:spacing w:after="0" w:line="276" w:lineRule="auto"/>
        <w:ind w:left="2610" w:hanging="450"/>
        <w:rPr>
          <w:rFonts w:ascii="Times New Roman" w:hAnsi="Times New Roman" w:cs="Times New Roman"/>
          <w:b w:val="0"/>
          <w:bCs w:val="0"/>
          <w:color w:val="202124"/>
          <w:sz w:val="24"/>
          <w:szCs w:val="24"/>
          <w:lang w:val="en"/>
        </w:rPr>
      </w:pPr>
      <w:r w:rsidRPr="009F50C5">
        <w:rPr>
          <w:rFonts w:ascii="Times New Roman" w:hAnsi="Times New Roman" w:cs="Times New Roman"/>
          <w:b w:val="0"/>
          <w:bCs w:val="0"/>
          <w:color w:val="202124"/>
          <w:sz w:val="24"/>
          <w:szCs w:val="24"/>
          <w:lang w:val="en"/>
        </w:rPr>
        <w:t xml:space="preserve">- </w:t>
      </w:r>
      <w:r w:rsidR="009559BF" w:rsidRPr="009F50C5">
        <w:rPr>
          <w:rFonts w:ascii="Times New Roman" w:hAnsi="Times New Roman" w:cs="Times New Roman"/>
          <w:b w:val="0"/>
          <w:bCs w:val="0"/>
          <w:color w:val="202124"/>
          <w:sz w:val="24"/>
          <w:szCs w:val="24"/>
          <w:lang w:val="en"/>
        </w:rPr>
        <w:tab/>
      </w:r>
      <w:r w:rsidR="00760C8D" w:rsidRPr="009F50C5">
        <w:rPr>
          <w:rFonts w:ascii="Times New Roman" w:hAnsi="Times New Roman" w:cs="Times New Roman"/>
          <w:b w:val="0"/>
          <w:bCs w:val="0"/>
          <w:color w:val="202124"/>
          <w:sz w:val="24"/>
          <w:szCs w:val="24"/>
          <w:lang w:val="en"/>
        </w:rPr>
        <w:t>All obligations on the Jordanian government and the Central Bank of Jordan (in Jordanian dinars) are given a risk weight equal to (zero%), provided that the sources of financing these obligations are in Jordanian dinar</w:t>
      </w:r>
      <w:r w:rsidR="004101A4">
        <w:rPr>
          <w:rFonts w:ascii="Times New Roman" w:hAnsi="Times New Roman" w:cs="Times New Roman"/>
          <w:b w:val="0"/>
          <w:bCs w:val="0"/>
          <w:color w:val="202124"/>
          <w:sz w:val="24"/>
          <w:szCs w:val="24"/>
          <w:lang w:val="en"/>
        </w:rPr>
        <w:t>s</w:t>
      </w:r>
      <w:r w:rsidR="00760C8D" w:rsidRPr="009F50C5">
        <w:rPr>
          <w:rFonts w:ascii="Times New Roman" w:hAnsi="Times New Roman" w:cs="Times New Roman"/>
          <w:b w:val="0"/>
          <w:bCs w:val="0"/>
          <w:color w:val="202124"/>
          <w:sz w:val="24"/>
          <w:szCs w:val="24"/>
          <w:lang w:val="en"/>
        </w:rPr>
        <w:t>.</w:t>
      </w:r>
    </w:p>
    <w:p w:rsidR="00760C8D" w:rsidRPr="003075B1" w:rsidRDefault="00760C8D" w:rsidP="000E628F">
      <w:pPr>
        <w:autoSpaceDE w:val="0"/>
        <w:autoSpaceDN w:val="0"/>
        <w:bidi w:val="0"/>
        <w:adjustRightInd w:val="0"/>
        <w:spacing w:after="0" w:line="276" w:lineRule="auto"/>
        <w:ind w:left="2610" w:hanging="450"/>
        <w:rPr>
          <w:rFonts w:ascii="Times New Roman" w:hAnsi="Times New Roman" w:cs="Times New Roman"/>
          <w:b w:val="0"/>
          <w:bCs w:val="0"/>
          <w:color w:val="202124"/>
          <w:sz w:val="24"/>
          <w:szCs w:val="24"/>
          <w:lang w:val="en"/>
        </w:rPr>
      </w:pPr>
      <w:r w:rsidRPr="000E628F">
        <w:rPr>
          <w:rFonts w:ascii="Times New Roman" w:hAnsi="Times New Roman" w:cs="Times New Roman"/>
          <w:b w:val="0"/>
          <w:bCs w:val="0"/>
          <w:color w:val="202124"/>
          <w:sz w:val="24"/>
          <w:szCs w:val="24"/>
          <w:lang w:val="en"/>
        </w:rPr>
        <w:t xml:space="preserve">- </w:t>
      </w:r>
      <w:r w:rsidR="009559BF" w:rsidRPr="000E628F">
        <w:rPr>
          <w:rFonts w:ascii="Times New Roman" w:hAnsi="Times New Roman" w:cs="Times New Roman"/>
          <w:b w:val="0"/>
          <w:bCs w:val="0"/>
          <w:color w:val="202124"/>
          <w:sz w:val="24"/>
          <w:szCs w:val="24"/>
          <w:lang w:val="en"/>
        </w:rPr>
        <w:tab/>
      </w:r>
      <w:r w:rsidR="009F50C5" w:rsidRPr="000E628F">
        <w:rPr>
          <w:rFonts w:ascii="Times New Roman" w:hAnsi="Times New Roman" w:cs="Times New Roman"/>
          <w:b w:val="0"/>
          <w:bCs w:val="0"/>
          <w:color w:val="202124"/>
          <w:sz w:val="24"/>
          <w:szCs w:val="24"/>
          <w:lang w:val="en"/>
        </w:rPr>
        <w:t>The above</w:t>
      </w:r>
      <w:r w:rsidRPr="000E628F">
        <w:rPr>
          <w:rFonts w:ascii="Times New Roman" w:hAnsi="Times New Roman" w:cs="Times New Roman"/>
          <w:b w:val="0"/>
          <w:bCs w:val="0"/>
          <w:color w:val="202124"/>
          <w:sz w:val="24"/>
          <w:szCs w:val="24"/>
          <w:lang w:val="en"/>
        </w:rPr>
        <w:t xml:space="preserve"> rule applies to </w:t>
      </w:r>
      <w:r w:rsidR="009F50C5" w:rsidRPr="000E628F">
        <w:rPr>
          <w:rFonts w:ascii="Times New Roman" w:hAnsi="Times New Roman" w:cs="Times New Roman"/>
          <w:b w:val="0"/>
          <w:bCs w:val="0"/>
          <w:color w:val="202124"/>
          <w:sz w:val="24"/>
          <w:szCs w:val="24"/>
          <w:lang w:val="en"/>
        </w:rPr>
        <w:t xml:space="preserve">the host countries' obligations </w:t>
      </w:r>
      <w:r w:rsidRPr="000E628F">
        <w:rPr>
          <w:rFonts w:ascii="Times New Roman" w:hAnsi="Times New Roman" w:cs="Times New Roman"/>
          <w:b w:val="0"/>
          <w:bCs w:val="0"/>
          <w:color w:val="202124"/>
          <w:sz w:val="24"/>
          <w:szCs w:val="24"/>
          <w:lang w:val="en"/>
        </w:rPr>
        <w:t xml:space="preserve">of </w:t>
      </w:r>
      <w:r w:rsidR="000E628F" w:rsidRPr="000E628F">
        <w:rPr>
          <w:rFonts w:ascii="Times New Roman" w:hAnsi="Times New Roman" w:cs="Times New Roman"/>
          <w:b w:val="0"/>
          <w:bCs w:val="0"/>
          <w:color w:val="202124"/>
          <w:sz w:val="24"/>
          <w:szCs w:val="24"/>
          <w:lang w:val="en"/>
        </w:rPr>
        <w:t xml:space="preserve">the </w:t>
      </w:r>
      <w:r w:rsidRPr="000E628F">
        <w:rPr>
          <w:rFonts w:ascii="Times New Roman" w:hAnsi="Times New Roman" w:cs="Times New Roman"/>
          <w:b w:val="0"/>
          <w:bCs w:val="0"/>
          <w:color w:val="202124"/>
          <w:sz w:val="24"/>
          <w:szCs w:val="24"/>
          <w:lang w:val="en"/>
        </w:rPr>
        <w:t xml:space="preserve">Jordanian banks </w:t>
      </w:r>
      <w:r w:rsidR="009F50C5" w:rsidRPr="000E628F">
        <w:rPr>
          <w:rFonts w:ascii="Times New Roman" w:hAnsi="Times New Roman" w:cs="Times New Roman"/>
          <w:b w:val="0"/>
          <w:bCs w:val="0"/>
          <w:color w:val="202124"/>
          <w:sz w:val="24"/>
          <w:szCs w:val="24"/>
          <w:lang w:val="en"/>
        </w:rPr>
        <w:t xml:space="preserve">branches </w:t>
      </w:r>
      <w:r w:rsidRPr="000E628F">
        <w:rPr>
          <w:rFonts w:ascii="Times New Roman" w:hAnsi="Times New Roman" w:cs="Times New Roman"/>
          <w:b w:val="0"/>
          <w:bCs w:val="0"/>
          <w:color w:val="202124"/>
          <w:sz w:val="24"/>
          <w:szCs w:val="24"/>
          <w:lang w:val="en"/>
        </w:rPr>
        <w:t xml:space="preserve">and subsidiary banking companies in the event that they are in the </w:t>
      </w:r>
      <w:r w:rsidR="000E628F" w:rsidRPr="000E628F">
        <w:rPr>
          <w:rFonts w:ascii="Times New Roman" w:hAnsi="Times New Roman" w:cs="Times New Roman"/>
          <w:b w:val="0"/>
          <w:bCs w:val="0"/>
          <w:color w:val="202124"/>
          <w:sz w:val="24"/>
          <w:szCs w:val="24"/>
          <w:lang w:val="en"/>
        </w:rPr>
        <w:t>local</w:t>
      </w:r>
      <w:r w:rsidRPr="000E628F">
        <w:rPr>
          <w:rFonts w:ascii="Times New Roman" w:hAnsi="Times New Roman" w:cs="Times New Roman"/>
          <w:b w:val="0"/>
          <w:bCs w:val="0"/>
          <w:color w:val="202124"/>
          <w:sz w:val="24"/>
          <w:szCs w:val="24"/>
          <w:lang w:val="en"/>
        </w:rPr>
        <w:t xml:space="preserve"> currency of those countries and provided reciprocity.</w:t>
      </w:r>
    </w:p>
    <w:p w:rsidR="00654F36" w:rsidRPr="003075B1" w:rsidRDefault="00654F36" w:rsidP="009559BF">
      <w:pPr>
        <w:autoSpaceDE w:val="0"/>
        <w:autoSpaceDN w:val="0"/>
        <w:bidi w:val="0"/>
        <w:adjustRightInd w:val="0"/>
        <w:spacing w:after="0" w:line="276" w:lineRule="auto"/>
        <w:ind w:left="2610" w:hanging="450"/>
        <w:rPr>
          <w:rFonts w:ascii="Times New Roman" w:eastAsiaTheme="minorHAnsi" w:hAnsi="Times New Roman" w:cs="Times New Roman"/>
          <w:b w:val="0"/>
          <w:bCs w:val="0"/>
          <w:sz w:val="24"/>
          <w:szCs w:val="24"/>
        </w:rPr>
      </w:pPr>
      <w:r w:rsidRPr="003075B1">
        <w:rPr>
          <w:rFonts w:ascii="Times New Roman" w:hAnsi="Times New Roman" w:cs="Times New Roman"/>
          <w:b w:val="0"/>
          <w:bCs w:val="0"/>
          <w:sz w:val="24"/>
          <w:szCs w:val="24"/>
        </w:rPr>
        <w:t xml:space="preserve">- </w:t>
      </w:r>
      <w:r w:rsidR="009559BF" w:rsidRPr="003075B1">
        <w:rPr>
          <w:rFonts w:ascii="Times New Roman" w:hAnsi="Times New Roman" w:cs="Times New Roman"/>
          <w:b w:val="0"/>
          <w:bCs w:val="0"/>
          <w:sz w:val="24"/>
          <w:szCs w:val="24"/>
        </w:rPr>
        <w:tab/>
      </w:r>
      <w:r w:rsidRPr="003075B1">
        <w:rPr>
          <w:rFonts w:ascii="Times New Roman" w:hAnsi="Times New Roman" w:cs="Times New Roman"/>
          <w:b w:val="0"/>
          <w:bCs w:val="0"/>
          <w:color w:val="202124"/>
          <w:sz w:val="24"/>
          <w:szCs w:val="24"/>
          <w:lang w:val="en"/>
        </w:rPr>
        <w:t xml:space="preserve">Banks may </w:t>
      </w:r>
      <w:r w:rsidRPr="003075B1">
        <w:rPr>
          <w:rFonts w:ascii="Times New Roman" w:eastAsiaTheme="minorHAnsi" w:hAnsi="Times New Roman" w:cs="Times New Roman"/>
          <w:b w:val="0"/>
          <w:bCs w:val="0"/>
          <w:sz w:val="24"/>
          <w:szCs w:val="24"/>
        </w:rPr>
        <w:t xml:space="preserve">recognize the country risk scores assigned by Export Credit Agencies (ECAs) that </w:t>
      </w:r>
      <w:r w:rsidRPr="003075B1">
        <w:rPr>
          <w:rFonts w:ascii="Times New Roman" w:hAnsi="Times New Roman" w:cs="Times New Roman"/>
          <w:b w:val="0"/>
          <w:bCs w:val="0"/>
          <w:color w:val="202124"/>
          <w:sz w:val="24"/>
          <w:szCs w:val="24"/>
          <w:lang w:val="en"/>
        </w:rPr>
        <w:t xml:space="preserve">approved by the Central Bank of Jordan.  </w:t>
      </w:r>
      <w:r w:rsidR="009559BF" w:rsidRPr="003075B1">
        <w:rPr>
          <w:rFonts w:ascii="Times New Roman" w:eastAsiaTheme="minorHAnsi" w:hAnsi="Times New Roman" w:cs="Times New Roman"/>
          <w:b w:val="0"/>
          <w:bCs w:val="0"/>
          <w:sz w:val="24"/>
          <w:szCs w:val="24"/>
        </w:rPr>
        <w:t xml:space="preserve">These ECA risk scores will </w:t>
      </w:r>
      <w:r w:rsidRPr="003075B1">
        <w:rPr>
          <w:rFonts w:ascii="Times New Roman" w:eastAsiaTheme="minorHAnsi" w:hAnsi="Times New Roman" w:cs="Times New Roman"/>
          <w:b w:val="0"/>
          <w:bCs w:val="0"/>
          <w:sz w:val="24"/>
          <w:szCs w:val="24"/>
        </w:rPr>
        <w:t>correspond to risk weight categories as detailed below:</w:t>
      </w:r>
    </w:p>
    <w:tbl>
      <w:tblPr>
        <w:tblStyle w:val="TableGrid"/>
        <w:tblW w:w="0" w:type="auto"/>
        <w:tblInd w:w="1345" w:type="dxa"/>
        <w:tblLook w:val="04A0" w:firstRow="1" w:lastRow="0" w:firstColumn="1" w:lastColumn="0" w:noHBand="0" w:noVBand="1"/>
      </w:tblPr>
      <w:tblGrid>
        <w:gridCol w:w="1800"/>
        <w:gridCol w:w="1260"/>
        <w:gridCol w:w="1260"/>
        <w:gridCol w:w="1170"/>
        <w:gridCol w:w="990"/>
        <w:gridCol w:w="1095"/>
      </w:tblGrid>
      <w:tr w:rsidR="00654F36" w:rsidRPr="009559BF" w:rsidTr="00052AB3">
        <w:tc>
          <w:tcPr>
            <w:tcW w:w="1800" w:type="dxa"/>
            <w:shd w:val="clear" w:color="auto" w:fill="EDEDED" w:themeFill="accent3" w:themeFillTint="33"/>
            <w:vAlign w:val="center"/>
          </w:tcPr>
          <w:p w:rsidR="00654F36" w:rsidRPr="009559BF" w:rsidRDefault="00654F36" w:rsidP="009559BF">
            <w:pPr>
              <w:autoSpaceDE w:val="0"/>
              <w:autoSpaceDN w:val="0"/>
              <w:bidi w:val="0"/>
              <w:adjustRightInd w:val="0"/>
              <w:spacing w:after="0" w:line="276" w:lineRule="auto"/>
              <w:jc w:val="center"/>
              <w:rPr>
                <w:rFonts w:ascii="Times New Roman" w:eastAsiaTheme="minorHAnsi" w:hAnsi="Times New Roman" w:cs="Times New Roman"/>
                <w:b w:val="0"/>
                <w:bCs w:val="0"/>
                <w:sz w:val="22"/>
                <w:szCs w:val="22"/>
              </w:rPr>
            </w:pPr>
            <w:r w:rsidRPr="009559BF">
              <w:rPr>
                <w:rFonts w:ascii="Times New Roman" w:eastAsiaTheme="minorHAnsi" w:hAnsi="Times New Roman" w:cs="Times New Roman"/>
                <w:b w:val="0"/>
                <w:bCs w:val="0"/>
                <w:sz w:val="22"/>
                <w:szCs w:val="22"/>
              </w:rPr>
              <w:t>ECA risk scores</w:t>
            </w:r>
          </w:p>
        </w:tc>
        <w:tc>
          <w:tcPr>
            <w:tcW w:w="1260" w:type="dxa"/>
            <w:shd w:val="clear" w:color="auto" w:fill="EDEDED" w:themeFill="accent3" w:themeFillTint="33"/>
            <w:vAlign w:val="center"/>
          </w:tcPr>
          <w:p w:rsidR="00654F36" w:rsidRPr="009559BF" w:rsidRDefault="00654F36" w:rsidP="009559BF">
            <w:pPr>
              <w:autoSpaceDE w:val="0"/>
              <w:autoSpaceDN w:val="0"/>
              <w:bidi w:val="0"/>
              <w:adjustRightInd w:val="0"/>
              <w:spacing w:after="0" w:line="276" w:lineRule="auto"/>
              <w:jc w:val="center"/>
              <w:rPr>
                <w:rFonts w:ascii="Times New Roman" w:eastAsiaTheme="minorHAnsi" w:hAnsi="Times New Roman" w:cs="Times New Roman"/>
                <w:b w:val="0"/>
                <w:bCs w:val="0"/>
                <w:sz w:val="22"/>
                <w:szCs w:val="22"/>
              </w:rPr>
            </w:pPr>
            <w:r w:rsidRPr="009559BF">
              <w:rPr>
                <w:rFonts w:ascii="Times New Roman" w:eastAsiaTheme="minorHAnsi" w:hAnsi="Times New Roman" w:cs="Times New Roman"/>
                <w:b w:val="0"/>
                <w:bCs w:val="0"/>
                <w:sz w:val="22"/>
                <w:szCs w:val="22"/>
              </w:rPr>
              <w:t>0-1</w:t>
            </w:r>
          </w:p>
        </w:tc>
        <w:tc>
          <w:tcPr>
            <w:tcW w:w="1260" w:type="dxa"/>
            <w:shd w:val="clear" w:color="auto" w:fill="EDEDED" w:themeFill="accent3" w:themeFillTint="33"/>
            <w:vAlign w:val="center"/>
          </w:tcPr>
          <w:p w:rsidR="00654F36" w:rsidRPr="009559BF" w:rsidRDefault="00654F36" w:rsidP="009559BF">
            <w:pPr>
              <w:autoSpaceDE w:val="0"/>
              <w:autoSpaceDN w:val="0"/>
              <w:bidi w:val="0"/>
              <w:adjustRightInd w:val="0"/>
              <w:spacing w:after="0" w:line="276" w:lineRule="auto"/>
              <w:jc w:val="center"/>
              <w:rPr>
                <w:rFonts w:ascii="Times New Roman" w:eastAsiaTheme="minorHAnsi" w:hAnsi="Times New Roman" w:cs="Times New Roman"/>
                <w:b w:val="0"/>
                <w:bCs w:val="0"/>
                <w:sz w:val="22"/>
                <w:szCs w:val="22"/>
              </w:rPr>
            </w:pPr>
            <w:r w:rsidRPr="009559BF">
              <w:rPr>
                <w:rFonts w:ascii="Times New Roman" w:eastAsiaTheme="minorHAnsi" w:hAnsi="Times New Roman" w:cs="Times New Roman"/>
                <w:b w:val="0"/>
                <w:bCs w:val="0"/>
                <w:sz w:val="22"/>
                <w:szCs w:val="22"/>
              </w:rPr>
              <w:t>2</w:t>
            </w:r>
          </w:p>
        </w:tc>
        <w:tc>
          <w:tcPr>
            <w:tcW w:w="1170" w:type="dxa"/>
            <w:shd w:val="clear" w:color="auto" w:fill="EDEDED" w:themeFill="accent3" w:themeFillTint="33"/>
            <w:vAlign w:val="center"/>
          </w:tcPr>
          <w:p w:rsidR="00654F36" w:rsidRPr="009559BF" w:rsidRDefault="00654F36" w:rsidP="009559BF">
            <w:pPr>
              <w:autoSpaceDE w:val="0"/>
              <w:autoSpaceDN w:val="0"/>
              <w:bidi w:val="0"/>
              <w:adjustRightInd w:val="0"/>
              <w:spacing w:after="0" w:line="276" w:lineRule="auto"/>
              <w:jc w:val="center"/>
              <w:rPr>
                <w:rFonts w:ascii="Times New Roman" w:eastAsiaTheme="minorHAnsi" w:hAnsi="Times New Roman" w:cs="Times New Roman"/>
                <w:b w:val="0"/>
                <w:bCs w:val="0"/>
                <w:sz w:val="22"/>
                <w:szCs w:val="22"/>
              </w:rPr>
            </w:pPr>
            <w:r w:rsidRPr="009559BF">
              <w:rPr>
                <w:rFonts w:ascii="Times New Roman" w:eastAsiaTheme="minorHAnsi" w:hAnsi="Times New Roman" w:cs="Times New Roman"/>
                <w:b w:val="0"/>
                <w:bCs w:val="0"/>
                <w:sz w:val="22"/>
                <w:szCs w:val="22"/>
              </w:rPr>
              <w:t>3</w:t>
            </w:r>
          </w:p>
        </w:tc>
        <w:tc>
          <w:tcPr>
            <w:tcW w:w="990" w:type="dxa"/>
            <w:shd w:val="clear" w:color="auto" w:fill="EDEDED" w:themeFill="accent3" w:themeFillTint="33"/>
            <w:vAlign w:val="center"/>
          </w:tcPr>
          <w:p w:rsidR="00654F36" w:rsidRPr="009559BF" w:rsidRDefault="00654F36" w:rsidP="009559BF">
            <w:pPr>
              <w:autoSpaceDE w:val="0"/>
              <w:autoSpaceDN w:val="0"/>
              <w:bidi w:val="0"/>
              <w:adjustRightInd w:val="0"/>
              <w:spacing w:after="0" w:line="276" w:lineRule="auto"/>
              <w:jc w:val="center"/>
              <w:rPr>
                <w:rFonts w:ascii="Times New Roman" w:eastAsiaTheme="minorHAnsi" w:hAnsi="Times New Roman" w:cs="Times New Roman"/>
                <w:b w:val="0"/>
                <w:bCs w:val="0"/>
                <w:sz w:val="22"/>
                <w:szCs w:val="22"/>
              </w:rPr>
            </w:pPr>
            <w:r w:rsidRPr="009559BF">
              <w:rPr>
                <w:rFonts w:ascii="Times New Roman" w:eastAsiaTheme="minorHAnsi" w:hAnsi="Times New Roman" w:cs="Times New Roman"/>
                <w:b w:val="0"/>
                <w:bCs w:val="0"/>
                <w:sz w:val="22"/>
                <w:szCs w:val="22"/>
              </w:rPr>
              <w:t>4-6</w:t>
            </w:r>
          </w:p>
        </w:tc>
        <w:tc>
          <w:tcPr>
            <w:tcW w:w="1095" w:type="dxa"/>
            <w:shd w:val="clear" w:color="auto" w:fill="EDEDED" w:themeFill="accent3" w:themeFillTint="33"/>
            <w:vAlign w:val="center"/>
          </w:tcPr>
          <w:p w:rsidR="00654F36" w:rsidRPr="009559BF" w:rsidRDefault="00654F36" w:rsidP="009559BF">
            <w:pPr>
              <w:autoSpaceDE w:val="0"/>
              <w:autoSpaceDN w:val="0"/>
              <w:bidi w:val="0"/>
              <w:adjustRightInd w:val="0"/>
              <w:spacing w:after="0" w:line="276" w:lineRule="auto"/>
              <w:jc w:val="center"/>
              <w:rPr>
                <w:rFonts w:ascii="Times New Roman" w:eastAsiaTheme="minorHAnsi" w:hAnsi="Times New Roman" w:cs="Times New Roman"/>
                <w:b w:val="0"/>
                <w:bCs w:val="0"/>
                <w:sz w:val="22"/>
                <w:szCs w:val="22"/>
              </w:rPr>
            </w:pPr>
            <w:r w:rsidRPr="009559BF">
              <w:rPr>
                <w:rFonts w:ascii="Times New Roman" w:eastAsiaTheme="minorHAnsi" w:hAnsi="Times New Roman" w:cs="Times New Roman"/>
                <w:b w:val="0"/>
                <w:bCs w:val="0"/>
                <w:sz w:val="22"/>
                <w:szCs w:val="22"/>
              </w:rPr>
              <w:t>7</w:t>
            </w:r>
          </w:p>
        </w:tc>
      </w:tr>
      <w:tr w:rsidR="00654F36" w:rsidRPr="009559BF" w:rsidTr="009559BF">
        <w:tc>
          <w:tcPr>
            <w:tcW w:w="1800" w:type="dxa"/>
            <w:vAlign w:val="center"/>
          </w:tcPr>
          <w:p w:rsidR="00654F36" w:rsidRPr="009559BF" w:rsidRDefault="00654F36" w:rsidP="009559BF">
            <w:pPr>
              <w:autoSpaceDE w:val="0"/>
              <w:autoSpaceDN w:val="0"/>
              <w:bidi w:val="0"/>
              <w:adjustRightInd w:val="0"/>
              <w:spacing w:after="0" w:line="276" w:lineRule="auto"/>
              <w:jc w:val="center"/>
              <w:rPr>
                <w:rFonts w:ascii="Times New Roman" w:eastAsiaTheme="minorHAnsi" w:hAnsi="Times New Roman" w:cs="Times New Roman"/>
                <w:b w:val="0"/>
                <w:bCs w:val="0"/>
                <w:sz w:val="22"/>
                <w:szCs w:val="22"/>
              </w:rPr>
            </w:pPr>
            <w:r w:rsidRPr="009559BF">
              <w:rPr>
                <w:rFonts w:ascii="Times New Roman" w:eastAsiaTheme="minorHAnsi" w:hAnsi="Times New Roman" w:cs="Times New Roman"/>
                <w:b w:val="0"/>
                <w:bCs w:val="0"/>
                <w:sz w:val="22"/>
                <w:szCs w:val="22"/>
              </w:rPr>
              <w:t>Risk weight</w:t>
            </w:r>
          </w:p>
        </w:tc>
        <w:tc>
          <w:tcPr>
            <w:tcW w:w="1260" w:type="dxa"/>
            <w:vAlign w:val="center"/>
          </w:tcPr>
          <w:p w:rsidR="00654F36" w:rsidRPr="009559BF" w:rsidRDefault="00654F36" w:rsidP="009559BF">
            <w:pPr>
              <w:autoSpaceDE w:val="0"/>
              <w:autoSpaceDN w:val="0"/>
              <w:bidi w:val="0"/>
              <w:adjustRightInd w:val="0"/>
              <w:spacing w:after="0" w:line="276" w:lineRule="auto"/>
              <w:jc w:val="center"/>
              <w:rPr>
                <w:rFonts w:ascii="Times New Roman" w:eastAsiaTheme="minorHAnsi" w:hAnsi="Times New Roman" w:cs="Times New Roman"/>
                <w:b w:val="0"/>
                <w:bCs w:val="0"/>
                <w:sz w:val="22"/>
                <w:szCs w:val="22"/>
              </w:rPr>
            </w:pPr>
            <w:r w:rsidRPr="009559BF">
              <w:rPr>
                <w:rFonts w:ascii="Times New Roman" w:eastAsiaTheme="minorHAnsi" w:hAnsi="Times New Roman" w:cs="Times New Roman"/>
                <w:b w:val="0"/>
                <w:bCs w:val="0"/>
                <w:sz w:val="22"/>
                <w:szCs w:val="22"/>
              </w:rPr>
              <w:t>0%</w:t>
            </w:r>
          </w:p>
        </w:tc>
        <w:tc>
          <w:tcPr>
            <w:tcW w:w="1260" w:type="dxa"/>
            <w:vAlign w:val="center"/>
          </w:tcPr>
          <w:p w:rsidR="00654F36" w:rsidRPr="009559BF" w:rsidRDefault="00654F36" w:rsidP="009559BF">
            <w:pPr>
              <w:autoSpaceDE w:val="0"/>
              <w:autoSpaceDN w:val="0"/>
              <w:bidi w:val="0"/>
              <w:adjustRightInd w:val="0"/>
              <w:spacing w:after="0" w:line="276" w:lineRule="auto"/>
              <w:jc w:val="center"/>
              <w:rPr>
                <w:rFonts w:ascii="Times New Roman" w:eastAsiaTheme="minorHAnsi" w:hAnsi="Times New Roman" w:cs="Times New Roman"/>
                <w:b w:val="0"/>
                <w:bCs w:val="0"/>
                <w:sz w:val="22"/>
                <w:szCs w:val="22"/>
              </w:rPr>
            </w:pPr>
            <w:r w:rsidRPr="009559BF">
              <w:rPr>
                <w:rFonts w:ascii="Times New Roman" w:eastAsiaTheme="minorHAnsi" w:hAnsi="Times New Roman" w:cs="Times New Roman"/>
                <w:b w:val="0"/>
                <w:bCs w:val="0"/>
                <w:sz w:val="22"/>
                <w:szCs w:val="22"/>
              </w:rPr>
              <w:t>20%</w:t>
            </w:r>
          </w:p>
        </w:tc>
        <w:tc>
          <w:tcPr>
            <w:tcW w:w="1170" w:type="dxa"/>
            <w:vAlign w:val="center"/>
          </w:tcPr>
          <w:p w:rsidR="00654F36" w:rsidRPr="009559BF" w:rsidRDefault="00654F36" w:rsidP="009559BF">
            <w:pPr>
              <w:autoSpaceDE w:val="0"/>
              <w:autoSpaceDN w:val="0"/>
              <w:bidi w:val="0"/>
              <w:adjustRightInd w:val="0"/>
              <w:spacing w:after="0" w:line="276" w:lineRule="auto"/>
              <w:jc w:val="center"/>
              <w:rPr>
                <w:rFonts w:ascii="Times New Roman" w:eastAsiaTheme="minorHAnsi" w:hAnsi="Times New Roman" w:cs="Times New Roman"/>
                <w:b w:val="0"/>
                <w:bCs w:val="0"/>
                <w:sz w:val="22"/>
                <w:szCs w:val="22"/>
              </w:rPr>
            </w:pPr>
            <w:r w:rsidRPr="009559BF">
              <w:rPr>
                <w:rFonts w:ascii="Times New Roman" w:eastAsiaTheme="minorHAnsi" w:hAnsi="Times New Roman" w:cs="Times New Roman"/>
                <w:b w:val="0"/>
                <w:bCs w:val="0"/>
                <w:sz w:val="22"/>
                <w:szCs w:val="22"/>
              </w:rPr>
              <w:t>50%</w:t>
            </w:r>
          </w:p>
        </w:tc>
        <w:tc>
          <w:tcPr>
            <w:tcW w:w="990" w:type="dxa"/>
            <w:vAlign w:val="center"/>
          </w:tcPr>
          <w:p w:rsidR="00654F36" w:rsidRPr="009559BF" w:rsidRDefault="00654F36" w:rsidP="009559BF">
            <w:pPr>
              <w:autoSpaceDE w:val="0"/>
              <w:autoSpaceDN w:val="0"/>
              <w:bidi w:val="0"/>
              <w:adjustRightInd w:val="0"/>
              <w:spacing w:after="0" w:line="276" w:lineRule="auto"/>
              <w:jc w:val="center"/>
              <w:rPr>
                <w:rFonts w:ascii="Times New Roman" w:eastAsiaTheme="minorHAnsi" w:hAnsi="Times New Roman" w:cs="Times New Roman"/>
                <w:b w:val="0"/>
                <w:bCs w:val="0"/>
                <w:sz w:val="22"/>
                <w:szCs w:val="22"/>
              </w:rPr>
            </w:pPr>
            <w:r w:rsidRPr="009559BF">
              <w:rPr>
                <w:rFonts w:ascii="Times New Roman" w:eastAsiaTheme="minorHAnsi" w:hAnsi="Times New Roman" w:cs="Times New Roman"/>
                <w:b w:val="0"/>
                <w:bCs w:val="0"/>
                <w:sz w:val="22"/>
                <w:szCs w:val="22"/>
              </w:rPr>
              <w:t>100%</w:t>
            </w:r>
          </w:p>
        </w:tc>
        <w:tc>
          <w:tcPr>
            <w:tcW w:w="1095" w:type="dxa"/>
            <w:vAlign w:val="center"/>
          </w:tcPr>
          <w:p w:rsidR="00654F36" w:rsidRPr="009559BF" w:rsidRDefault="00654F36" w:rsidP="009559BF">
            <w:pPr>
              <w:autoSpaceDE w:val="0"/>
              <w:autoSpaceDN w:val="0"/>
              <w:bidi w:val="0"/>
              <w:adjustRightInd w:val="0"/>
              <w:spacing w:after="0" w:line="276" w:lineRule="auto"/>
              <w:jc w:val="center"/>
              <w:rPr>
                <w:rFonts w:ascii="Times New Roman" w:eastAsiaTheme="minorHAnsi" w:hAnsi="Times New Roman" w:cs="Times New Roman"/>
                <w:b w:val="0"/>
                <w:bCs w:val="0"/>
                <w:sz w:val="22"/>
                <w:szCs w:val="22"/>
              </w:rPr>
            </w:pPr>
            <w:r w:rsidRPr="009559BF">
              <w:rPr>
                <w:rFonts w:ascii="Times New Roman" w:eastAsiaTheme="minorHAnsi" w:hAnsi="Times New Roman" w:cs="Times New Roman"/>
                <w:b w:val="0"/>
                <w:bCs w:val="0"/>
                <w:sz w:val="22"/>
                <w:szCs w:val="22"/>
              </w:rPr>
              <w:t>150%</w:t>
            </w:r>
          </w:p>
        </w:tc>
      </w:tr>
    </w:tbl>
    <w:p w:rsidR="00654F36" w:rsidRPr="003075B1" w:rsidRDefault="00654F36" w:rsidP="009559BF">
      <w:pPr>
        <w:autoSpaceDE w:val="0"/>
        <w:autoSpaceDN w:val="0"/>
        <w:bidi w:val="0"/>
        <w:adjustRightInd w:val="0"/>
        <w:spacing w:after="0" w:line="276" w:lineRule="auto"/>
        <w:ind w:firstLine="2160"/>
        <w:jc w:val="left"/>
        <w:rPr>
          <w:rFonts w:ascii="Times New Roman" w:hAnsi="Times New Roman" w:cs="Times New Roman"/>
          <w:b w:val="0"/>
          <w:bCs w:val="0"/>
          <w:color w:val="202124"/>
          <w:sz w:val="24"/>
          <w:szCs w:val="24"/>
          <w:lang w:val="en"/>
        </w:rPr>
      </w:pPr>
      <w:r w:rsidRPr="003075B1">
        <w:rPr>
          <w:rFonts w:ascii="Times New Roman" w:hAnsi="Times New Roman" w:cs="Times New Roman"/>
          <w:b w:val="0"/>
          <w:bCs w:val="0"/>
          <w:color w:val="202124"/>
          <w:sz w:val="24"/>
          <w:szCs w:val="24"/>
          <w:lang w:val="en"/>
        </w:rPr>
        <w:t>If the country is unrated, claims are given a risk weight of 100%.</w:t>
      </w:r>
    </w:p>
    <w:p w:rsidR="00654F36" w:rsidRPr="00C77C3A" w:rsidRDefault="00654F36" w:rsidP="009559BF">
      <w:pPr>
        <w:autoSpaceDE w:val="0"/>
        <w:autoSpaceDN w:val="0"/>
        <w:bidi w:val="0"/>
        <w:adjustRightInd w:val="0"/>
        <w:spacing w:after="0" w:line="276" w:lineRule="auto"/>
        <w:jc w:val="left"/>
        <w:rPr>
          <w:rFonts w:ascii="Times New Roman" w:hAnsi="Times New Roman" w:cs="Times New Roman"/>
          <w:b w:val="0"/>
          <w:bCs w:val="0"/>
          <w:color w:val="202124"/>
          <w:sz w:val="14"/>
          <w:szCs w:val="14"/>
          <w:lang w:val="en"/>
        </w:rPr>
      </w:pPr>
    </w:p>
    <w:p w:rsidR="00654F36" w:rsidRPr="003075B1" w:rsidRDefault="00654F36" w:rsidP="009559BF">
      <w:pPr>
        <w:autoSpaceDE w:val="0"/>
        <w:autoSpaceDN w:val="0"/>
        <w:bidi w:val="0"/>
        <w:adjustRightInd w:val="0"/>
        <w:spacing w:after="0" w:line="276" w:lineRule="auto"/>
        <w:ind w:left="2160" w:hanging="900"/>
        <w:rPr>
          <w:rFonts w:ascii="Times New Roman" w:eastAsiaTheme="minorHAnsi" w:hAnsi="Times New Roman" w:cs="Times New Roman"/>
          <w:b w:val="0"/>
          <w:bCs w:val="0"/>
          <w:sz w:val="24"/>
          <w:szCs w:val="24"/>
        </w:rPr>
      </w:pPr>
      <w:r w:rsidRPr="003075B1">
        <w:rPr>
          <w:rFonts w:ascii="Times New Roman" w:hAnsi="Times New Roman" w:cs="Times New Roman"/>
          <w:b w:val="0"/>
          <w:bCs w:val="0"/>
          <w:sz w:val="24"/>
          <w:szCs w:val="24"/>
          <w:lang w:val="en"/>
        </w:rPr>
        <w:t xml:space="preserve">2.2.2. </w:t>
      </w:r>
      <w:r w:rsidR="009559BF" w:rsidRPr="003075B1">
        <w:rPr>
          <w:rFonts w:ascii="Times New Roman" w:hAnsi="Times New Roman" w:cs="Times New Roman"/>
          <w:b w:val="0"/>
          <w:bCs w:val="0"/>
          <w:sz w:val="24"/>
          <w:szCs w:val="24"/>
          <w:lang w:val="en"/>
        </w:rPr>
        <w:tab/>
      </w:r>
      <w:r w:rsidRPr="003075B1">
        <w:rPr>
          <w:rFonts w:ascii="Times New Roman" w:eastAsiaTheme="minorHAnsi" w:hAnsi="Times New Roman" w:cs="Times New Roman"/>
          <w:b w:val="0"/>
          <w:bCs w:val="0"/>
          <w:sz w:val="24"/>
          <w:szCs w:val="24"/>
        </w:rPr>
        <w:t>Claims on the Bank for International Settlements, t</w:t>
      </w:r>
      <w:r w:rsidR="009559BF" w:rsidRPr="003075B1">
        <w:rPr>
          <w:rFonts w:ascii="Times New Roman" w:eastAsiaTheme="minorHAnsi" w:hAnsi="Times New Roman" w:cs="Times New Roman"/>
          <w:b w:val="0"/>
          <w:bCs w:val="0"/>
          <w:sz w:val="24"/>
          <w:szCs w:val="24"/>
        </w:rPr>
        <w:t xml:space="preserve">he International Monetary Fund, </w:t>
      </w:r>
      <w:r w:rsidRPr="003075B1">
        <w:rPr>
          <w:rFonts w:ascii="Times New Roman" w:eastAsiaTheme="minorHAnsi" w:hAnsi="Times New Roman" w:cs="Times New Roman"/>
          <w:b w:val="0"/>
          <w:bCs w:val="0"/>
          <w:sz w:val="24"/>
          <w:szCs w:val="24"/>
        </w:rPr>
        <w:t>the European Central Bank,</w:t>
      </w:r>
      <w:r w:rsidRPr="003075B1">
        <w:rPr>
          <w:rFonts w:ascii="Times New Roman" w:hAnsi="Times New Roman" w:cs="Times New Roman"/>
          <w:b w:val="0"/>
          <w:bCs w:val="0"/>
          <w:sz w:val="24"/>
          <w:szCs w:val="24"/>
        </w:rPr>
        <w:t xml:space="preserve"> Arab Monetary Fund</w:t>
      </w:r>
      <w:r w:rsidR="009559BF" w:rsidRPr="003075B1">
        <w:rPr>
          <w:rFonts w:ascii="Times New Roman" w:eastAsiaTheme="minorHAnsi" w:hAnsi="Times New Roman" w:cs="Times New Roman"/>
          <w:b w:val="0"/>
          <w:bCs w:val="0"/>
          <w:sz w:val="24"/>
          <w:szCs w:val="24"/>
        </w:rPr>
        <w:t xml:space="preserve"> and the European </w:t>
      </w:r>
      <w:r w:rsidRPr="003075B1">
        <w:rPr>
          <w:rFonts w:ascii="Times New Roman" w:eastAsiaTheme="minorHAnsi" w:hAnsi="Times New Roman" w:cs="Times New Roman"/>
          <w:b w:val="0"/>
          <w:bCs w:val="0"/>
          <w:sz w:val="24"/>
          <w:szCs w:val="24"/>
        </w:rPr>
        <w:t>Community may receive a 0% risk weight.</w:t>
      </w:r>
    </w:p>
    <w:p w:rsidR="00505A8B" w:rsidRPr="003075B1" w:rsidRDefault="00654F36" w:rsidP="009559BF">
      <w:pPr>
        <w:autoSpaceDE w:val="0"/>
        <w:autoSpaceDN w:val="0"/>
        <w:bidi w:val="0"/>
        <w:adjustRightInd w:val="0"/>
        <w:spacing w:after="0" w:line="276" w:lineRule="auto"/>
        <w:ind w:left="2160" w:hanging="900"/>
        <w:rPr>
          <w:rFonts w:ascii="Times New Roman" w:eastAsiaTheme="minorHAnsi" w:hAnsi="Times New Roman" w:cs="Times New Roman"/>
          <w:b w:val="0"/>
          <w:bCs w:val="0"/>
          <w:sz w:val="24"/>
          <w:szCs w:val="24"/>
        </w:rPr>
      </w:pPr>
      <w:r w:rsidRPr="003075B1">
        <w:rPr>
          <w:rFonts w:ascii="Times New Roman" w:eastAsiaTheme="minorHAnsi" w:hAnsi="Times New Roman" w:cs="Times New Roman"/>
          <w:b w:val="0"/>
          <w:bCs w:val="0"/>
          <w:sz w:val="24"/>
          <w:szCs w:val="24"/>
        </w:rPr>
        <w:t>2.2.3.</w:t>
      </w:r>
      <w:r w:rsidRPr="003075B1">
        <w:rPr>
          <w:rFonts w:ascii="Times New Roman" w:eastAsiaTheme="minorHAnsi" w:hAnsi="Times New Roman" w:cs="Times New Roman"/>
          <w:b w:val="0"/>
          <w:bCs w:val="0"/>
          <w:sz w:val="24"/>
          <w:szCs w:val="24"/>
        </w:rPr>
        <w:tab/>
        <w:t>Claims on non-central governmen</w:t>
      </w:r>
      <w:bookmarkStart w:id="17" w:name="_Toc451176076"/>
      <w:bookmarkStart w:id="18" w:name="_Toc451180057"/>
      <w:bookmarkStart w:id="19" w:name="_Toc414887888"/>
      <w:r w:rsidR="00657D9E" w:rsidRPr="003075B1">
        <w:rPr>
          <w:rFonts w:ascii="Times New Roman" w:eastAsiaTheme="minorHAnsi" w:hAnsi="Times New Roman" w:cs="Times New Roman"/>
          <w:b w:val="0"/>
          <w:bCs w:val="0"/>
          <w:sz w:val="24"/>
          <w:szCs w:val="24"/>
        </w:rPr>
        <w:t>t public sector entities (PSEs)</w:t>
      </w:r>
    </w:p>
    <w:p w:rsidR="00654F36" w:rsidRPr="003075B1" w:rsidRDefault="00654F36" w:rsidP="009559BF">
      <w:pPr>
        <w:autoSpaceDE w:val="0"/>
        <w:autoSpaceDN w:val="0"/>
        <w:bidi w:val="0"/>
        <w:adjustRightInd w:val="0"/>
        <w:spacing w:after="0" w:line="276" w:lineRule="auto"/>
        <w:ind w:left="2160"/>
        <w:rPr>
          <w:rFonts w:ascii="Times New Roman" w:hAnsi="Times New Roman" w:cs="Times New Roman"/>
          <w:b w:val="0"/>
          <w:bCs w:val="0"/>
          <w:sz w:val="24"/>
          <w:szCs w:val="24"/>
          <w:lang w:val="en"/>
        </w:rPr>
      </w:pPr>
      <w:r w:rsidRPr="003075B1">
        <w:rPr>
          <w:rFonts w:ascii="Times New Roman" w:hAnsi="Times New Roman" w:cs="Times New Roman"/>
          <w:b w:val="0"/>
          <w:bCs w:val="0"/>
          <w:sz w:val="24"/>
          <w:szCs w:val="24"/>
          <w:lang w:val="en"/>
        </w:rPr>
        <w:t xml:space="preserve">These </w:t>
      </w:r>
      <w:r w:rsidRPr="003075B1">
        <w:rPr>
          <w:rFonts w:ascii="Times New Roman" w:eastAsiaTheme="minorHAnsi" w:hAnsi="Times New Roman" w:cs="Times New Roman"/>
          <w:b w:val="0"/>
          <w:bCs w:val="0"/>
          <w:sz w:val="24"/>
          <w:szCs w:val="24"/>
        </w:rPr>
        <w:t xml:space="preserve">entities </w:t>
      </w:r>
      <w:r w:rsidRPr="003075B1">
        <w:rPr>
          <w:rFonts w:ascii="Times New Roman" w:hAnsi="Times New Roman" w:cs="Times New Roman"/>
          <w:b w:val="0"/>
          <w:bCs w:val="0"/>
          <w:sz w:val="24"/>
          <w:szCs w:val="24"/>
          <w:lang w:val="en"/>
        </w:rPr>
        <w:t>are divided into three types:</w:t>
      </w:r>
    </w:p>
    <w:p w:rsidR="00654F36" w:rsidRPr="003075B1" w:rsidRDefault="004C61A1" w:rsidP="00657D9E">
      <w:pPr>
        <w:pStyle w:val="ListParagraph"/>
        <w:numPr>
          <w:ilvl w:val="0"/>
          <w:numId w:val="3"/>
        </w:numPr>
        <w:autoSpaceDE w:val="0"/>
        <w:autoSpaceDN w:val="0"/>
        <w:bidi w:val="0"/>
        <w:adjustRightInd w:val="0"/>
        <w:spacing w:after="0" w:line="276" w:lineRule="auto"/>
        <w:ind w:left="2610" w:hanging="450"/>
        <w:rPr>
          <w:rFonts w:ascii="Times New Roman" w:eastAsiaTheme="minorHAnsi" w:hAnsi="Times New Roman" w:cs="Times New Roman"/>
          <w:b w:val="0"/>
          <w:bCs w:val="0"/>
          <w:sz w:val="24"/>
          <w:szCs w:val="24"/>
        </w:rPr>
      </w:pPr>
      <w:r w:rsidRPr="003075B1">
        <w:rPr>
          <w:rFonts w:ascii="Times New Roman" w:eastAsiaTheme="minorHAnsi" w:hAnsi="Times New Roman" w:cs="Times New Roman"/>
          <w:b w:val="0"/>
          <w:bCs w:val="0"/>
          <w:sz w:val="24"/>
          <w:szCs w:val="24"/>
        </w:rPr>
        <w:t>Regional governments and local authorities could qualify for the same treatment as claims on their sovereign or central government if these governments and local authorities have specific revenue raising powers and have specific institutional arrangements the effect of which is to reduce their risks of default.</w:t>
      </w:r>
    </w:p>
    <w:p w:rsidR="004C61A1" w:rsidRPr="003075B1" w:rsidRDefault="004C61A1" w:rsidP="00357C8E">
      <w:pPr>
        <w:pStyle w:val="ListParagraph"/>
        <w:numPr>
          <w:ilvl w:val="0"/>
          <w:numId w:val="3"/>
        </w:numPr>
        <w:autoSpaceDE w:val="0"/>
        <w:autoSpaceDN w:val="0"/>
        <w:bidi w:val="0"/>
        <w:adjustRightInd w:val="0"/>
        <w:spacing w:after="0" w:line="276" w:lineRule="auto"/>
        <w:ind w:left="2610" w:hanging="450"/>
        <w:rPr>
          <w:rFonts w:ascii="Times New Roman" w:eastAsiaTheme="minorHAnsi" w:hAnsi="Times New Roman" w:cs="Times New Roman"/>
          <w:b w:val="0"/>
          <w:bCs w:val="0"/>
          <w:sz w:val="24"/>
          <w:szCs w:val="24"/>
        </w:rPr>
      </w:pPr>
      <w:r w:rsidRPr="003075B1">
        <w:rPr>
          <w:rFonts w:ascii="Times New Roman" w:eastAsiaTheme="minorHAnsi" w:hAnsi="Times New Roman" w:cs="Times New Roman"/>
          <w:b w:val="0"/>
          <w:bCs w:val="0"/>
          <w:sz w:val="24"/>
          <w:szCs w:val="24"/>
        </w:rPr>
        <w:t xml:space="preserve">Administrative bodies responsible to central governments, regional governments or to local authorities and other non-commercial </w:t>
      </w:r>
      <w:r w:rsidR="00CF703D">
        <w:rPr>
          <w:rFonts w:ascii="Times New Roman" w:eastAsiaTheme="minorHAnsi" w:hAnsi="Times New Roman" w:cs="Times New Roman"/>
          <w:b w:val="0"/>
          <w:bCs w:val="0"/>
          <w:sz w:val="24"/>
          <w:szCs w:val="24"/>
        </w:rPr>
        <w:t>entities</w:t>
      </w:r>
      <w:r w:rsidRPr="003075B1">
        <w:rPr>
          <w:rFonts w:ascii="Times New Roman" w:eastAsiaTheme="minorHAnsi" w:hAnsi="Times New Roman" w:cs="Times New Roman"/>
          <w:b w:val="0"/>
          <w:bCs w:val="0"/>
          <w:sz w:val="24"/>
          <w:szCs w:val="24"/>
        </w:rPr>
        <w:t xml:space="preserve"> owned by the governments or local authorities may not warrant the same treatment as claims on their sovereign if the entities do not have revenue raising powers or other arrangements as described above. If strict lending rules apply to these entities and a declaration of bankruptcy is not possible because of their special public status, it may be appropriate to treat these claims in the same manner as claims on banks</w:t>
      </w:r>
      <w:r w:rsidR="00CF703D">
        <w:rPr>
          <w:rFonts w:ascii="Times New Roman" w:eastAsiaTheme="minorHAnsi" w:hAnsi="Times New Roman" w:cs="Times New Roman"/>
          <w:b w:val="0"/>
          <w:bCs w:val="0"/>
          <w:sz w:val="24"/>
          <w:szCs w:val="24"/>
        </w:rPr>
        <w:t xml:space="preserve"> (</w:t>
      </w:r>
      <w:r w:rsidR="00357C8E">
        <w:rPr>
          <w:rFonts w:ascii="Times New Roman" w:eastAsiaTheme="minorHAnsi" w:hAnsi="Times New Roman" w:cs="Times New Roman"/>
          <w:b w:val="0"/>
          <w:bCs w:val="0"/>
          <w:sz w:val="24"/>
          <w:szCs w:val="24"/>
        </w:rPr>
        <w:t>e</w:t>
      </w:r>
      <w:r w:rsidR="00CF703D" w:rsidRPr="00CF703D">
        <w:rPr>
          <w:rFonts w:ascii="Times New Roman" w:eastAsiaTheme="minorHAnsi" w:hAnsi="Times New Roman" w:cs="Times New Roman"/>
          <w:b w:val="0"/>
          <w:bCs w:val="0"/>
          <w:sz w:val="24"/>
          <w:szCs w:val="24"/>
        </w:rPr>
        <w:t>xcept for preferential treatment for short-term claims)</w:t>
      </w:r>
      <w:r w:rsidRPr="003075B1">
        <w:rPr>
          <w:rFonts w:ascii="Times New Roman" w:eastAsiaTheme="minorHAnsi" w:hAnsi="Times New Roman" w:cs="Times New Roman"/>
          <w:b w:val="0"/>
          <w:bCs w:val="0"/>
          <w:sz w:val="24"/>
          <w:szCs w:val="24"/>
        </w:rPr>
        <w:t>.</w:t>
      </w:r>
    </w:p>
    <w:p w:rsidR="004C61A1" w:rsidRPr="003075B1" w:rsidRDefault="004C61A1" w:rsidP="00657D9E">
      <w:pPr>
        <w:pStyle w:val="ListParagraph"/>
        <w:numPr>
          <w:ilvl w:val="0"/>
          <w:numId w:val="3"/>
        </w:numPr>
        <w:autoSpaceDE w:val="0"/>
        <w:autoSpaceDN w:val="0"/>
        <w:bidi w:val="0"/>
        <w:adjustRightInd w:val="0"/>
        <w:spacing w:after="0" w:line="276" w:lineRule="auto"/>
        <w:ind w:left="2610" w:hanging="450"/>
        <w:rPr>
          <w:rFonts w:ascii="Times New Roman" w:eastAsiaTheme="minorHAnsi" w:hAnsi="Times New Roman" w:cs="Times New Roman"/>
          <w:b w:val="0"/>
          <w:bCs w:val="0"/>
          <w:sz w:val="24"/>
          <w:szCs w:val="24"/>
        </w:rPr>
      </w:pPr>
      <w:r w:rsidRPr="003075B1">
        <w:rPr>
          <w:rFonts w:ascii="Times New Roman" w:hAnsi="Times New Roman" w:cs="Times New Roman"/>
          <w:b w:val="0"/>
          <w:bCs w:val="0"/>
          <w:sz w:val="24"/>
          <w:szCs w:val="24"/>
          <w:lang w:val="en"/>
        </w:rPr>
        <w:t>Commercial entities owned by central or regional governments or loca</w:t>
      </w:r>
      <w:r w:rsidR="00357C8E">
        <w:rPr>
          <w:rFonts w:ascii="Times New Roman" w:hAnsi="Times New Roman" w:cs="Times New Roman"/>
          <w:b w:val="0"/>
          <w:bCs w:val="0"/>
          <w:sz w:val="24"/>
          <w:szCs w:val="24"/>
          <w:lang w:val="en"/>
        </w:rPr>
        <w:t>l authorities: a</w:t>
      </w:r>
      <w:r w:rsidRPr="003075B1">
        <w:rPr>
          <w:rFonts w:ascii="Times New Roman" w:hAnsi="Times New Roman" w:cs="Times New Roman"/>
          <w:b w:val="0"/>
          <w:bCs w:val="0"/>
          <w:sz w:val="24"/>
          <w:szCs w:val="24"/>
          <w:lang w:val="en"/>
        </w:rPr>
        <w:t xml:space="preserve">lthough most of the shares of these entities are </w:t>
      </w:r>
      <w:r w:rsidRPr="003075B1">
        <w:rPr>
          <w:rFonts w:ascii="Times New Roman" w:hAnsi="Times New Roman" w:cs="Times New Roman"/>
          <w:b w:val="0"/>
          <w:bCs w:val="0"/>
          <w:sz w:val="24"/>
          <w:szCs w:val="24"/>
          <w:lang w:val="en"/>
        </w:rPr>
        <w:lastRenderedPageBreak/>
        <w:t>owned by the state or local authority, they are treated the same as commercial entities, and companies' risk weights are given according to their credit rating.</w:t>
      </w:r>
    </w:p>
    <w:p w:rsidR="00422EBD" w:rsidRPr="003075B1" w:rsidRDefault="00422EBD" w:rsidP="00657D9E">
      <w:pPr>
        <w:pStyle w:val="ListParagraph"/>
        <w:autoSpaceDE w:val="0"/>
        <w:autoSpaceDN w:val="0"/>
        <w:bidi w:val="0"/>
        <w:adjustRightInd w:val="0"/>
        <w:spacing w:after="0" w:line="276" w:lineRule="auto"/>
        <w:ind w:left="2250"/>
        <w:rPr>
          <w:rFonts w:ascii="Times New Roman" w:hAnsi="Times New Roman" w:cs="Times New Roman"/>
          <w:b w:val="0"/>
          <w:bCs w:val="0"/>
          <w:sz w:val="24"/>
          <w:szCs w:val="24"/>
          <w:lang w:val="en"/>
        </w:rPr>
      </w:pPr>
      <w:r w:rsidRPr="003075B1">
        <w:rPr>
          <w:rFonts w:ascii="Times New Roman" w:hAnsi="Times New Roman" w:cs="Times New Roman"/>
          <w:b w:val="0"/>
          <w:bCs w:val="0"/>
          <w:sz w:val="24"/>
          <w:szCs w:val="24"/>
          <w:lang w:val="en"/>
        </w:rPr>
        <w:t>In light of the above definitions, the Central Bank of Jordan has classified public sector entities and companies according to the above-mentioned categories (according to the annexes numbers 8,9,10).</w:t>
      </w:r>
    </w:p>
    <w:p w:rsidR="00422EBD" w:rsidRPr="00C77C3A" w:rsidRDefault="00422EBD" w:rsidP="009559BF">
      <w:pPr>
        <w:pStyle w:val="ListParagraph"/>
        <w:autoSpaceDE w:val="0"/>
        <w:autoSpaceDN w:val="0"/>
        <w:bidi w:val="0"/>
        <w:adjustRightInd w:val="0"/>
        <w:spacing w:after="0" w:line="276" w:lineRule="auto"/>
        <w:ind w:left="1835"/>
        <w:rPr>
          <w:rFonts w:ascii="Times New Roman" w:hAnsi="Times New Roman" w:cs="Times New Roman"/>
          <w:b w:val="0"/>
          <w:bCs w:val="0"/>
          <w:sz w:val="12"/>
          <w:szCs w:val="12"/>
          <w:lang w:val="en"/>
        </w:rPr>
      </w:pPr>
    </w:p>
    <w:p w:rsidR="00422EBD" w:rsidRPr="003075B1" w:rsidRDefault="00422EBD" w:rsidP="00657D9E">
      <w:pPr>
        <w:pStyle w:val="ListParagraph"/>
        <w:autoSpaceDE w:val="0"/>
        <w:autoSpaceDN w:val="0"/>
        <w:bidi w:val="0"/>
        <w:adjustRightInd w:val="0"/>
        <w:spacing w:after="0" w:line="276" w:lineRule="auto"/>
        <w:ind w:left="2160" w:hanging="900"/>
        <w:rPr>
          <w:rFonts w:ascii="Times New Roman" w:eastAsiaTheme="minorHAnsi" w:hAnsi="Times New Roman" w:cs="Times New Roman"/>
          <w:b w:val="0"/>
          <w:bCs w:val="0"/>
          <w:sz w:val="24"/>
          <w:szCs w:val="24"/>
        </w:rPr>
      </w:pPr>
      <w:r w:rsidRPr="003075B1">
        <w:rPr>
          <w:rFonts w:ascii="Times New Roman" w:hAnsi="Times New Roman" w:cs="Times New Roman"/>
          <w:b w:val="0"/>
          <w:bCs w:val="0"/>
          <w:sz w:val="24"/>
          <w:szCs w:val="24"/>
          <w:lang w:val="en"/>
        </w:rPr>
        <w:t xml:space="preserve">2.2.4. </w:t>
      </w:r>
      <w:r w:rsidR="00657D9E" w:rsidRPr="003075B1">
        <w:rPr>
          <w:rFonts w:ascii="Times New Roman" w:hAnsi="Times New Roman" w:cs="Times New Roman"/>
          <w:b w:val="0"/>
          <w:bCs w:val="0"/>
          <w:sz w:val="24"/>
          <w:szCs w:val="24"/>
          <w:lang w:val="en"/>
        </w:rPr>
        <w:tab/>
      </w:r>
      <w:r w:rsidRPr="003075B1">
        <w:rPr>
          <w:rFonts w:ascii="Times New Roman" w:eastAsiaTheme="minorHAnsi" w:hAnsi="Times New Roman" w:cs="Times New Roman"/>
          <w:b w:val="0"/>
          <w:bCs w:val="0"/>
          <w:sz w:val="24"/>
          <w:szCs w:val="24"/>
        </w:rPr>
        <w:t>Claims on multilateral development banks (MDBs)</w:t>
      </w:r>
    </w:p>
    <w:p w:rsidR="0026087C" w:rsidRDefault="00357C8E" w:rsidP="00357C8E">
      <w:pPr>
        <w:pStyle w:val="ListParagraph"/>
        <w:autoSpaceDE w:val="0"/>
        <w:autoSpaceDN w:val="0"/>
        <w:bidi w:val="0"/>
        <w:adjustRightInd w:val="0"/>
        <w:spacing w:after="0" w:line="276" w:lineRule="auto"/>
        <w:ind w:left="2552" w:hanging="425"/>
        <w:rPr>
          <w:rFonts w:ascii="Times New Roman" w:hAnsi="Times New Roman" w:cs="Times New Roman"/>
          <w:b w:val="0"/>
          <w:bCs w:val="0"/>
          <w:sz w:val="24"/>
          <w:szCs w:val="24"/>
          <w:lang w:val="en"/>
        </w:rPr>
      </w:pPr>
      <w:r>
        <w:rPr>
          <w:rFonts w:ascii="Times New Roman" w:hAnsi="Times New Roman" w:cs="Times New Roman"/>
          <w:b w:val="0"/>
          <w:bCs w:val="0"/>
          <w:sz w:val="24"/>
          <w:szCs w:val="24"/>
          <w:lang w:val="en"/>
        </w:rPr>
        <w:t>-</w:t>
      </w:r>
      <w:r>
        <w:rPr>
          <w:rFonts w:ascii="Times New Roman" w:hAnsi="Times New Roman" w:cs="Times New Roman"/>
          <w:b w:val="0"/>
          <w:bCs w:val="0"/>
          <w:sz w:val="24"/>
          <w:szCs w:val="24"/>
          <w:lang w:val="en"/>
        </w:rPr>
        <w:tab/>
      </w:r>
      <w:r w:rsidR="0026087C" w:rsidRPr="003075B1">
        <w:rPr>
          <w:rFonts w:ascii="Times New Roman" w:hAnsi="Times New Roman" w:cs="Times New Roman"/>
          <w:b w:val="0"/>
          <w:bCs w:val="0"/>
          <w:sz w:val="24"/>
          <w:szCs w:val="24"/>
          <w:lang w:val="en"/>
        </w:rPr>
        <w:t>Claims on these banks are treated the same as banks - with the exception of the preferential treatment for short-term claims - except for the following banks that are given a risk weight (zero%):</w:t>
      </w:r>
    </w:p>
    <w:tbl>
      <w:tblPr>
        <w:tblStyle w:val="TableGrid"/>
        <w:tblW w:w="0" w:type="auto"/>
        <w:tblInd w:w="2160" w:type="dxa"/>
        <w:tblLook w:val="04A0" w:firstRow="1" w:lastRow="0" w:firstColumn="1" w:lastColumn="0" w:noHBand="0" w:noVBand="1"/>
      </w:tblPr>
      <w:tblGrid>
        <w:gridCol w:w="6760"/>
      </w:tblGrid>
      <w:tr w:rsidR="003075B1" w:rsidTr="003075B1">
        <w:tc>
          <w:tcPr>
            <w:tcW w:w="6760" w:type="dxa"/>
          </w:tcPr>
          <w:p w:rsidR="003075B1" w:rsidRDefault="003075B1" w:rsidP="003075B1">
            <w:pPr>
              <w:pStyle w:val="ListParagraph"/>
              <w:autoSpaceDE w:val="0"/>
              <w:autoSpaceDN w:val="0"/>
              <w:bidi w:val="0"/>
              <w:adjustRightInd w:val="0"/>
              <w:spacing w:after="0" w:line="276" w:lineRule="auto"/>
              <w:ind w:left="0"/>
              <w:rPr>
                <w:rFonts w:ascii="Times New Roman" w:hAnsi="Times New Roman" w:cs="Times New Roman"/>
                <w:b w:val="0"/>
                <w:bCs w:val="0"/>
                <w:sz w:val="24"/>
                <w:szCs w:val="24"/>
                <w:lang w:val="en"/>
              </w:rPr>
            </w:pPr>
            <w:r w:rsidRPr="003075B1">
              <w:rPr>
                <w:rFonts w:ascii="Times New Roman" w:hAnsi="Times New Roman" w:cs="Times New Roman"/>
                <w:b w:val="0"/>
                <w:bCs w:val="0"/>
                <w:sz w:val="22"/>
                <w:szCs w:val="22"/>
              </w:rPr>
              <w:t>World Bank Group for Reconstruction and Development (IBRD)</w:t>
            </w:r>
          </w:p>
        </w:tc>
      </w:tr>
      <w:tr w:rsidR="003075B1" w:rsidTr="003075B1">
        <w:tc>
          <w:tcPr>
            <w:tcW w:w="6760" w:type="dxa"/>
          </w:tcPr>
          <w:p w:rsidR="003075B1" w:rsidRDefault="003075B1" w:rsidP="003075B1">
            <w:pPr>
              <w:pStyle w:val="ListParagraph"/>
              <w:autoSpaceDE w:val="0"/>
              <w:autoSpaceDN w:val="0"/>
              <w:bidi w:val="0"/>
              <w:adjustRightInd w:val="0"/>
              <w:spacing w:after="0" w:line="276" w:lineRule="auto"/>
              <w:ind w:left="0"/>
              <w:rPr>
                <w:rFonts w:ascii="Times New Roman" w:hAnsi="Times New Roman" w:cs="Times New Roman"/>
                <w:b w:val="0"/>
                <w:bCs w:val="0"/>
                <w:sz w:val="24"/>
                <w:szCs w:val="24"/>
                <w:lang w:val="en"/>
              </w:rPr>
            </w:pPr>
            <w:r w:rsidRPr="003075B1">
              <w:rPr>
                <w:rFonts w:ascii="Times New Roman" w:hAnsi="Times New Roman" w:cs="Times New Roman"/>
                <w:b w:val="0"/>
                <w:bCs w:val="0"/>
                <w:sz w:val="22"/>
                <w:szCs w:val="22"/>
              </w:rPr>
              <w:t>International Finance Corporation (IFC)</w:t>
            </w:r>
          </w:p>
        </w:tc>
      </w:tr>
      <w:tr w:rsidR="003075B1" w:rsidTr="003075B1">
        <w:tc>
          <w:tcPr>
            <w:tcW w:w="6760" w:type="dxa"/>
          </w:tcPr>
          <w:p w:rsidR="003075B1" w:rsidRDefault="003075B1" w:rsidP="003075B1">
            <w:pPr>
              <w:pStyle w:val="ListParagraph"/>
              <w:autoSpaceDE w:val="0"/>
              <w:autoSpaceDN w:val="0"/>
              <w:bidi w:val="0"/>
              <w:adjustRightInd w:val="0"/>
              <w:spacing w:after="0" w:line="276" w:lineRule="auto"/>
              <w:ind w:left="0"/>
              <w:rPr>
                <w:rFonts w:ascii="Times New Roman" w:hAnsi="Times New Roman" w:cs="Times New Roman"/>
                <w:b w:val="0"/>
                <w:bCs w:val="0"/>
                <w:sz w:val="24"/>
                <w:szCs w:val="24"/>
                <w:lang w:val="en"/>
              </w:rPr>
            </w:pPr>
            <w:r w:rsidRPr="003075B1">
              <w:rPr>
                <w:rFonts w:ascii="Times New Roman" w:hAnsi="Times New Roman" w:cs="Times New Roman"/>
                <w:b w:val="0"/>
                <w:bCs w:val="0"/>
                <w:sz w:val="22"/>
                <w:szCs w:val="22"/>
              </w:rPr>
              <w:t>The Asian Development Bank (ADB)</w:t>
            </w:r>
          </w:p>
        </w:tc>
      </w:tr>
      <w:tr w:rsidR="003075B1" w:rsidTr="003075B1">
        <w:tc>
          <w:tcPr>
            <w:tcW w:w="6760" w:type="dxa"/>
          </w:tcPr>
          <w:p w:rsidR="003075B1" w:rsidRDefault="003075B1" w:rsidP="003075B1">
            <w:pPr>
              <w:pStyle w:val="ListParagraph"/>
              <w:autoSpaceDE w:val="0"/>
              <w:autoSpaceDN w:val="0"/>
              <w:bidi w:val="0"/>
              <w:adjustRightInd w:val="0"/>
              <w:spacing w:after="0" w:line="276" w:lineRule="auto"/>
              <w:ind w:left="0"/>
              <w:rPr>
                <w:rFonts w:ascii="Times New Roman" w:hAnsi="Times New Roman" w:cs="Times New Roman"/>
                <w:b w:val="0"/>
                <w:bCs w:val="0"/>
                <w:sz w:val="24"/>
                <w:szCs w:val="24"/>
                <w:lang w:val="en"/>
              </w:rPr>
            </w:pPr>
            <w:r w:rsidRPr="003075B1">
              <w:rPr>
                <w:rFonts w:ascii="Times New Roman" w:hAnsi="Times New Roman" w:cs="Times New Roman"/>
                <w:b w:val="0"/>
                <w:bCs w:val="0"/>
                <w:sz w:val="22"/>
                <w:szCs w:val="22"/>
              </w:rPr>
              <w:t>The African Development Bank (AFDB)</w:t>
            </w:r>
          </w:p>
        </w:tc>
      </w:tr>
      <w:tr w:rsidR="003075B1" w:rsidTr="003075B1">
        <w:tc>
          <w:tcPr>
            <w:tcW w:w="6760" w:type="dxa"/>
          </w:tcPr>
          <w:p w:rsidR="003075B1" w:rsidRDefault="003075B1" w:rsidP="003075B1">
            <w:pPr>
              <w:pStyle w:val="ListParagraph"/>
              <w:autoSpaceDE w:val="0"/>
              <w:autoSpaceDN w:val="0"/>
              <w:bidi w:val="0"/>
              <w:adjustRightInd w:val="0"/>
              <w:spacing w:after="0" w:line="276" w:lineRule="auto"/>
              <w:ind w:left="0"/>
              <w:rPr>
                <w:rFonts w:ascii="Times New Roman" w:hAnsi="Times New Roman" w:cs="Times New Roman"/>
                <w:b w:val="0"/>
                <w:bCs w:val="0"/>
                <w:sz w:val="24"/>
                <w:szCs w:val="24"/>
                <w:lang w:val="en"/>
              </w:rPr>
            </w:pPr>
            <w:r w:rsidRPr="003075B1">
              <w:rPr>
                <w:rFonts w:ascii="Times New Roman" w:hAnsi="Times New Roman" w:cs="Times New Roman"/>
                <w:b w:val="0"/>
                <w:bCs w:val="0"/>
                <w:sz w:val="22"/>
                <w:szCs w:val="22"/>
              </w:rPr>
              <w:t>The European Bank for Reconstruction and Development (EBRD)</w:t>
            </w:r>
          </w:p>
        </w:tc>
      </w:tr>
      <w:tr w:rsidR="003075B1" w:rsidTr="003075B1">
        <w:tc>
          <w:tcPr>
            <w:tcW w:w="6760" w:type="dxa"/>
          </w:tcPr>
          <w:p w:rsidR="003075B1" w:rsidRDefault="003075B1" w:rsidP="003075B1">
            <w:pPr>
              <w:pStyle w:val="ListParagraph"/>
              <w:autoSpaceDE w:val="0"/>
              <w:autoSpaceDN w:val="0"/>
              <w:bidi w:val="0"/>
              <w:adjustRightInd w:val="0"/>
              <w:spacing w:after="0" w:line="276" w:lineRule="auto"/>
              <w:ind w:left="0"/>
              <w:rPr>
                <w:rFonts w:ascii="Times New Roman" w:hAnsi="Times New Roman" w:cs="Times New Roman"/>
                <w:b w:val="0"/>
                <w:bCs w:val="0"/>
                <w:sz w:val="24"/>
                <w:szCs w:val="24"/>
                <w:lang w:val="en"/>
              </w:rPr>
            </w:pPr>
            <w:r w:rsidRPr="003075B1">
              <w:rPr>
                <w:rFonts w:ascii="Times New Roman" w:hAnsi="Times New Roman" w:cs="Times New Roman"/>
                <w:b w:val="0"/>
                <w:bCs w:val="0"/>
                <w:sz w:val="22"/>
                <w:szCs w:val="22"/>
              </w:rPr>
              <w:t>Inter-American Development Bank</w:t>
            </w:r>
          </w:p>
        </w:tc>
      </w:tr>
      <w:tr w:rsidR="003075B1" w:rsidTr="003075B1">
        <w:tc>
          <w:tcPr>
            <w:tcW w:w="6760" w:type="dxa"/>
          </w:tcPr>
          <w:p w:rsidR="003075B1" w:rsidRPr="003075B1" w:rsidRDefault="003075B1" w:rsidP="003075B1">
            <w:pPr>
              <w:pStyle w:val="ListParagraph"/>
              <w:autoSpaceDE w:val="0"/>
              <w:autoSpaceDN w:val="0"/>
              <w:bidi w:val="0"/>
              <w:adjustRightInd w:val="0"/>
              <w:spacing w:after="0" w:line="276" w:lineRule="auto"/>
              <w:ind w:left="0"/>
              <w:rPr>
                <w:rFonts w:ascii="Times New Roman" w:hAnsi="Times New Roman" w:cs="Times New Roman"/>
                <w:b w:val="0"/>
                <w:bCs w:val="0"/>
                <w:sz w:val="22"/>
                <w:szCs w:val="22"/>
              </w:rPr>
            </w:pPr>
            <w:r w:rsidRPr="003075B1">
              <w:rPr>
                <w:rFonts w:ascii="Times New Roman" w:hAnsi="Times New Roman" w:cs="Times New Roman"/>
                <w:b w:val="0"/>
                <w:bCs w:val="0"/>
                <w:sz w:val="22"/>
                <w:szCs w:val="22"/>
              </w:rPr>
              <w:t>The European Investment Bank (EIB)</w:t>
            </w:r>
          </w:p>
        </w:tc>
      </w:tr>
      <w:tr w:rsidR="003075B1" w:rsidTr="003075B1">
        <w:tc>
          <w:tcPr>
            <w:tcW w:w="6760" w:type="dxa"/>
          </w:tcPr>
          <w:p w:rsidR="003075B1" w:rsidRPr="003075B1" w:rsidRDefault="003075B1" w:rsidP="003075B1">
            <w:pPr>
              <w:pStyle w:val="ListParagraph"/>
              <w:autoSpaceDE w:val="0"/>
              <w:autoSpaceDN w:val="0"/>
              <w:bidi w:val="0"/>
              <w:adjustRightInd w:val="0"/>
              <w:spacing w:after="0" w:line="276" w:lineRule="auto"/>
              <w:ind w:left="0"/>
              <w:rPr>
                <w:rFonts w:ascii="Times New Roman" w:hAnsi="Times New Roman" w:cs="Times New Roman"/>
                <w:b w:val="0"/>
                <w:bCs w:val="0"/>
                <w:sz w:val="22"/>
                <w:szCs w:val="22"/>
              </w:rPr>
            </w:pPr>
            <w:r w:rsidRPr="003075B1">
              <w:rPr>
                <w:rFonts w:ascii="Times New Roman" w:hAnsi="Times New Roman" w:cs="Times New Roman"/>
                <w:b w:val="0"/>
                <w:bCs w:val="0"/>
                <w:sz w:val="22"/>
                <w:szCs w:val="22"/>
              </w:rPr>
              <w:t>The European Investment Fund</w:t>
            </w:r>
          </w:p>
        </w:tc>
      </w:tr>
      <w:tr w:rsidR="003075B1" w:rsidTr="003075B1">
        <w:tc>
          <w:tcPr>
            <w:tcW w:w="6760" w:type="dxa"/>
          </w:tcPr>
          <w:p w:rsidR="003075B1" w:rsidRPr="003075B1" w:rsidRDefault="003075B1" w:rsidP="003075B1">
            <w:pPr>
              <w:pStyle w:val="ListParagraph"/>
              <w:autoSpaceDE w:val="0"/>
              <w:autoSpaceDN w:val="0"/>
              <w:bidi w:val="0"/>
              <w:adjustRightInd w:val="0"/>
              <w:spacing w:after="0" w:line="276" w:lineRule="auto"/>
              <w:ind w:left="0"/>
              <w:rPr>
                <w:rFonts w:ascii="Times New Roman" w:hAnsi="Times New Roman" w:cs="Times New Roman"/>
                <w:b w:val="0"/>
                <w:bCs w:val="0"/>
                <w:sz w:val="22"/>
                <w:szCs w:val="22"/>
              </w:rPr>
            </w:pPr>
            <w:r w:rsidRPr="003075B1">
              <w:rPr>
                <w:rFonts w:ascii="Times New Roman" w:hAnsi="Times New Roman" w:cs="Times New Roman"/>
                <w:b w:val="0"/>
                <w:bCs w:val="0"/>
                <w:sz w:val="22"/>
                <w:szCs w:val="22"/>
              </w:rPr>
              <w:t>The Nordic Investment Bank (NIB)</w:t>
            </w:r>
          </w:p>
        </w:tc>
      </w:tr>
      <w:tr w:rsidR="003075B1" w:rsidTr="003075B1">
        <w:tc>
          <w:tcPr>
            <w:tcW w:w="6760" w:type="dxa"/>
          </w:tcPr>
          <w:p w:rsidR="003075B1" w:rsidRPr="003075B1" w:rsidRDefault="003075B1" w:rsidP="003075B1">
            <w:pPr>
              <w:pStyle w:val="ListParagraph"/>
              <w:autoSpaceDE w:val="0"/>
              <w:autoSpaceDN w:val="0"/>
              <w:bidi w:val="0"/>
              <w:adjustRightInd w:val="0"/>
              <w:spacing w:after="0" w:line="276" w:lineRule="auto"/>
              <w:ind w:left="0"/>
              <w:rPr>
                <w:rFonts w:ascii="Times New Roman" w:hAnsi="Times New Roman" w:cs="Times New Roman"/>
                <w:b w:val="0"/>
                <w:bCs w:val="0"/>
                <w:sz w:val="22"/>
                <w:szCs w:val="22"/>
              </w:rPr>
            </w:pPr>
            <w:bookmarkStart w:id="20" w:name="_Toc414887906"/>
            <w:bookmarkStart w:id="21" w:name="_Toc451176094"/>
            <w:bookmarkStart w:id="22" w:name="_Toc451180075"/>
            <w:r w:rsidRPr="003075B1">
              <w:rPr>
                <w:rFonts w:ascii="Times New Roman" w:hAnsi="Times New Roman" w:cs="Times New Roman"/>
                <w:b w:val="0"/>
                <w:bCs w:val="0"/>
                <w:sz w:val="22"/>
                <w:szCs w:val="22"/>
              </w:rPr>
              <w:t>The Caribbean Development Bank (CDB)</w:t>
            </w:r>
            <w:bookmarkEnd w:id="20"/>
            <w:bookmarkEnd w:id="21"/>
            <w:bookmarkEnd w:id="22"/>
          </w:p>
        </w:tc>
      </w:tr>
      <w:tr w:rsidR="003075B1" w:rsidTr="003075B1">
        <w:tc>
          <w:tcPr>
            <w:tcW w:w="6760" w:type="dxa"/>
          </w:tcPr>
          <w:p w:rsidR="003075B1" w:rsidRPr="003075B1" w:rsidRDefault="003075B1" w:rsidP="003075B1">
            <w:pPr>
              <w:pStyle w:val="ListParagraph"/>
              <w:autoSpaceDE w:val="0"/>
              <w:autoSpaceDN w:val="0"/>
              <w:bidi w:val="0"/>
              <w:adjustRightInd w:val="0"/>
              <w:spacing w:after="0" w:line="276" w:lineRule="auto"/>
              <w:ind w:left="0"/>
              <w:rPr>
                <w:rFonts w:ascii="Times New Roman" w:hAnsi="Times New Roman" w:cs="Times New Roman"/>
                <w:b w:val="0"/>
                <w:bCs w:val="0"/>
                <w:sz w:val="22"/>
                <w:szCs w:val="22"/>
              </w:rPr>
            </w:pPr>
            <w:bookmarkStart w:id="23" w:name="_Toc414887908"/>
            <w:bookmarkStart w:id="24" w:name="_Toc451176096"/>
            <w:bookmarkStart w:id="25" w:name="_Toc451180077"/>
            <w:r w:rsidRPr="003075B1">
              <w:rPr>
                <w:rFonts w:ascii="Times New Roman" w:hAnsi="Times New Roman" w:cs="Times New Roman"/>
                <w:b w:val="0"/>
                <w:bCs w:val="0"/>
                <w:sz w:val="22"/>
                <w:szCs w:val="22"/>
              </w:rPr>
              <w:t>The Islamic Development Bank (IDB)</w:t>
            </w:r>
            <w:bookmarkEnd w:id="23"/>
            <w:bookmarkEnd w:id="24"/>
            <w:bookmarkEnd w:id="25"/>
          </w:p>
        </w:tc>
      </w:tr>
      <w:tr w:rsidR="003075B1" w:rsidTr="003075B1">
        <w:tc>
          <w:tcPr>
            <w:tcW w:w="6760" w:type="dxa"/>
          </w:tcPr>
          <w:p w:rsidR="003075B1" w:rsidRPr="003075B1" w:rsidRDefault="003075B1" w:rsidP="003075B1">
            <w:pPr>
              <w:pStyle w:val="ListParagraph"/>
              <w:autoSpaceDE w:val="0"/>
              <w:autoSpaceDN w:val="0"/>
              <w:bidi w:val="0"/>
              <w:adjustRightInd w:val="0"/>
              <w:spacing w:after="0" w:line="276" w:lineRule="auto"/>
              <w:ind w:left="0"/>
              <w:rPr>
                <w:rFonts w:ascii="Times New Roman" w:hAnsi="Times New Roman" w:cs="Times New Roman"/>
                <w:b w:val="0"/>
                <w:bCs w:val="0"/>
                <w:sz w:val="22"/>
                <w:szCs w:val="22"/>
              </w:rPr>
            </w:pPr>
            <w:bookmarkStart w:id="26" w:name="_Toc414887910"/>
            <w:bookmarkStart w:id="27" w:name="_Toc451176098"/>
            <w:bookmarkStart w:id="28" w:name="_Toc451180079"/>
            <w:r w:rsidRPr="003075B1">
              <w:rPr>
                <w:rFonts w:ascii="Times New Roman" w:hAnsi="Times New Roman" w:cs="Times New Roman"/>
                <w:b w:val="0"/>
                <w:bCs w:val="0"/>
                <w:sz w:val="22"/>
                <w:szCs w:val="22"/>
              </w:rPr>
              <w:t>The Council of Europe Development Bank (CEDB)</w:t>
            </w:r>
            <w:bookmarkEnd w:id="26"/>
            <w:bookmarkEnd w:id="27"/>
            <w:bookmarkEnd w:id="28"/>
          </w:p>
        </w:tc>
      </w:tr>
    </w:tbl>
    <w:p w:rsidR="0026087C" w:rsidRPr="009559BF" w:rsidRDefault="00357C8E" w:rsidP="00357C8E">
      <w:pPr>
        <w:bidi w:val="0"/>
        <w:spacing w:line="276" w:lineRule="auto"/>
        <w:ind w:left="2552" w:hanging="392"/>
        <w:rPr>
          <w:rFonts w:ascii="Times New Roman" w:hAnsi="Times New Roman" w:cs="Times New Roman"/>
          <w:b w:val="0"/>
          <w:bCs w:val="0"/>
          <w:lang w:val="en"/>
        </w:rPr>
      </w:pPr>
      <w:bookmarkStart w:id="29" w:name="_Toc414887912"/>
      <w:bookmarkStart w:id="30" w:name="_Toc451176100"/>
      <w:bookmarkStart w:id="31" w:name="_Toc451180081"/>
      <w:bookmarkEnd w:id="17"/>
      <w:bookmarkEnd w:id="18"/>
      <w:bookmarkEnd w:id="19"/>
      <w:r>
        <w:rPr>
          <w:rFonts w:ascii="Times New Roman" w:hAnsi="Times New Roman" w:cs="Times New Roman"/>
          <w:b w:val="0"/>
          <w:bCs w:val="0"/>
          <w:sz w:val="24"/>
          <w:szCs w:val="24"/>
          <w:lang w:val="en"/>
        </w:rPr>
        <w:t>-</w:t>
      </w:r>
      <w:r>
        <w:rPr>
          <w:rFonts w:ascii="Times New Roman" w:hAnsi="Times New Roman" w:cs="Times New Roman"/>
          <w:b w:val="0"/>
          <w:bCs w:val="0"/>
          <w:sz w:val="24"/>
          <w:szCs w:val="24"/>
          <w:lang w:val="en"/>
        </w:rPr>
        <w:tab/>
      </w:r>
      <w:r w:rsidR="0026087C" w:rsidRPr="003075B1">
        <w:rPr>
          <w:rFonts w:ascii="Times New Roman" w:hAnsi="Times New Roman" w:cs="Times New Roman"/>
          <w:b w:val="0"/>
          <w:bCs w:val="0"/>
          <w:sz w:val="24"/>
          <w:szCs w:val="24"/>
          <w:lang w:val="en"/>
        </w:rPr>
        <w:t>A risk weight (0%) is applied to any similar banks, subject to the prior approval of the Central Bank of Jordan</w:t>
      </w:r>
      <w:r w:rsidR="0026087C" w:rsidRPr="009559BF">
        <w:rPr>
          <w:rFonts w:ascii="Times New Roman" w:hAnsi="Times New Roman" w:cs="Times New Roman"/>
          <w:b w:val="0"/>
          <w:bCs w:val="0"/>
          <w:lang w:val="en"/>
        </w:rPr>
        <w:t>.</w:t>
      </w:r>
    </w:p>
    <w:p w:rsidR="0026087C" w:rsidRPr="003075B1" w:rsidRDefault="0026087C" w:rsidP="00C77C3A">
      <w:pPr>
        <w:bidi w:val="0"/>
        <w:spacing w:after="0" w:line="276" w:lineRule="auto"/>
        <w:ind w:left="2160" w:hanging="900"/>
        <w:rPr>
          <w:rFonts w:ascii="Times New Roman" w:eastAsiaTheme="minorHAnsi" w:hAnsi="Times New Roman" w:cs="Times New Roman"/>
          <w:b w:val="0"/>
          <w:bCs w:val="0"/>
          <w:sz w:val="24"/>
          <w:szCs w:val="24"/>
        </w:rPr>
      </w:pPr>
      <w:r w:rsidRPr="009559BF">
        <w:rPr>
          <w:rFonts w:ascii="Times New Roman" w:hAnsi="Times New Roman" w:cs="Times New Roman"/>
          <w:b w:val="0"/>
          <w:bCs w:val="0"/>
          <w:lang w:val="en"/>
        </w:rPr>
        <w:t>2.2.5</w:t>
      </w:r>
      <w:r w:rsidRPr="009559BF">
        <w:rPr>
          <w:rFonts w:ascii="Times New Roman" w:hAnsi="Times New Roman" w:cs="Times New Roman"/>
          <w:b w:val="0"/>
          <w:bCs w:val="0"/>
          <w:lang w:val="en"/>
        </w:rPr>
        <w:tab/>
      </w:r>
      <w:r w:rsidRPr="003075B1">
        <w:rPr>
          <w:rFonts w:ascii="Times New Roman" w:eastAsiaTheme="minorHAnsi" w:hAnsi="Times New Roman" w:cs="Times New Roman"/>
          <w:b w:val="0"/>
          <w:bCs w:val="0"/>
          <w:sz w:val="24"/>
          <w:szCs w:val="24"/>
        </w:rPr>
        <w:t>Claims on banks</w:t>
      </w:r>
    </w:p>
    <w:p w:rsidR="0026087C" w:rsidRPr="003075B1" w:rsidRDefault="0026087C" w:rsidP="00657D9E">
      <w:pPr>
        <w:bidi w:val="0"/>
        <w:spacing w:after="0" w:line="276" w:lineRule="auto"/>
        <w:ind w:left="2520" w:hanging="360"/>
        <w:rPr>
          <w:rFonts w:ascii="Times New Roman" w:hAnsi="Times New Roman" w:cs="Times New Roman"/>
          <w:b w:val="0"/>
          <w:bCs w:val="0"/>
          <w:sz w:val="24"/>
          <w:szCs w:val="24"/>
          <w:lang w:val="en"/>
        </w:rPr>
      </w:pPr>
      <w:r w:rsidRPr="003075B1">
        <w:rPr>
          <w:rFonts w:ascii="Times New Roman" w:hAnsi="Times New Roman" w:cs="Times New Roman"/>
          <w:b w:val="0"/>
          <w:bCs w:val="0"/>
          <w:sz w:val="24"/>
          <w:szCs w:val="24"/>
          <w:lang w:val="en"/>
        </w:rPr>
        <w:t>-</w:t>
      </w:r>
      <w:r w:rsidRPr="003075B1">
        <w:rPr>
          <w:rFonts w:ascii="Times New Roman" w:hAnsi="Times New Roman" w:cs="Times New Roman"/>
          <w:b w:val="0"/>
          <w:bCs w:val="0"/>
          <w:sz w:val="24"/>
          <w:szCs w:val="24"/>
          <w:lang w:val="en"/>
        </w:rPr>
        <w:tab/>
        <w:t>Banks' claims are given a risk weight according to the external rating of the concerned bank according to the following table, so that the risk weight is not less than (20%) in any case:</w:t>
      </w:r>
    </w:p>
    <w:tbl>
      <w:tblPr>
        <w:tblStyle w:val="TableGrid"/>
        <w:tblW w:w="0" w:type="auto"/>
        <w:tblInd w:w="846" w:type="dxa"/>
        <w:tblLook w:val="04A0" w:firstRow="1" w:lastRow="0" w:firstColumn="1" w:lastColumn="0" w:noHBand="0" w:noVBand="1"/>
      </w:tblPr>
      <w:tblGrid>
        <w:gridCol w:w="2835"/>
        <w:gridCol w:w="992"/>
        <w:gridCol w:w="709"/>
        <w:gridCol w:w="1092"/>
        <w:gridCol w:w="730"/>
        <w:gridCol w:w="791"/>
        <w:gridCol w:w="925"/>
      </w:tblGrid>
      <w:tr w:rsidR="00657D9E" w:rsidRPr="003075B1" w:rsidTr="003075B1">
        <w:tc>
          <w:tcPr>
            <w:tcW w:w="2835" w:type="dxa"/>
            <w:shd w:val="clear" w:color="auto" w:fill="EDEDED" w:themeFill="accent3" w:themeFillTint="33"/>
          </w:tcPr>
          <w:p w:rsidR="0026087C" w:rsidRPr="003075B1" w:rsidRDefault="0026087C" w:rsidP="00657D9E">
            <w:pPr>
              <w:autoSpaceDE w:val="0"/>
              <w:autoSpaceDN w:val="0"/>
              <w:bidi w:val="0"/>
              <w:adjustRightInd w:val="0"/>
              <w:spacing w:after="0" w:line="276" w:lineRule="auto"/>
              <w:jc w:val="center"/>
              <w:rPr>
                <w:rFonts w:ascii="Times New Roman" w:eastAsiaTheme="minorHAnsi" w:hAnsi="Times New Roman" w:cs="Times New Roman"/>
                <w:b w:val="0"/>
                <w:bCs w:val="0"/>
                <w:sz w:val="22"/>
                <w:szCs w:val="22"/>
              </w:rPr>
            </w:pPr>
            <w:r w:rsidRPr="003075B1">
              <w:rPr>
                <w:rFonts w:ascii="Times New Roman" w:eastAsiaTheme="minorHAnsi" w:hAnsi="Times New Roman" w:cs="Times New Roman"/>
                <w:b w:val="0"/>
                <w:bCs w:val="0"/>
                <w:sz w:val="22"/>
                <w:szCs w:val="22"/>
              </w:rPr>
              <w:t>Credit</w:t>
            </w:r>
          </w:p>
          <w:p w:rsidR="0026087C" w:rsidRPr="003075B1" w:rsidRDefault="009F50C5" w:rsidP="00657D9E">
            <w:pPr>
              <w:bidi w:val="0"/>
              <w:spacing w:line="276" w:lineRule="auto"/>
              <w:jc w:val="center"/>
              <w:rPr>
                <w:rFonts w:ascii="Times New Roman" w:hAnsi="Times New Roman" w:cs="Times New Roman"/>
                <w:b w:val="0"/>
                <w:bCs w:val="0"/>
                <w:sz w:val="22"/>
                <w:szCs w:val="22"/>
              </w:rPr>
            </w:pPr>
            <w:r>
              <w:rPr>
                <w:rFonts w:ascii="Times New Roman" w:eastAsiaTheme="minorHAnsi" w:hAnsi="Times New Roman" w:cs="Times New Roman"/>
                <w:b w:val="0"/>
                <w:bCs w:val="0"/>
                <w:sz w:val="22"/>
                <w:szCs w:val="22"/>
              </w:rPr>
              <w:t>rating</w:t>
            </w:r>
            <w:r w:rsidR="0026087C" w:rsidRPr="003075B1">
              <w:rPr>
                <w:rFonts w:ascii="Times New Roman" w:eastAsiaTheme="minorHAnsi" w:hAnsi="Times New Roman" w:cs="Times New Roman"/>
                <w:b w:val="0"/>
                <w:bCs w:val="0"/>
                <w:sz w:val="22"/>
                <w:szCs w:val="22"/>
              </w:rPr>
              <w:t xml:space="preserve"> as S&amp;P *</w:t>
            </w:r>
          </w:p>
        </w:tc>
        <w:tc>
          <w:tcPr>
            <w:tcW w:w="992" w:type="dxa"/>
            <w:shd w:val="clear" w:color="auto" w:fill="EDEDED" w:themeFill="accent3" w:themeFillTint="33"/>
          </w:tcPr>
          <w:p w:rsidR="0026087C" w:rsidRPr="003075B1" w:rsidRDefault="0026087C" w:rsidP="00657D9E">
            <w:pPr>
              <w:bidi w:val="0"/>
              <w:spacing w:line="276" w:lineRule="auto"/>
              <w:jc w:val="center"/>
              <w:rPr>
                <w:rFonts w:ascii="Times New Roman" w:hAnsi="Times New Roman" w:cs="Times New Roman"/>
                <w:b w:val="0"/>
                <w:bCs w:val="0"/>
                <w:sz w:val="22"/>
                <w:szCs w:val="22"/>
              </w:rPr>
            </w:pPr>
            <w:r w:rsidRPr="003075B1">
              <w:rPr>
                <w:rFonts w:ascii="Times New Roman" w:hAnsi="Times New Roman" w:cs="Times New Roman"/>
                <w:b w:val="0"/>
                <w:bCs w:val="0"/>
                <w:sz w:val="22"/>
                <w:szCs w:val="22"/>
              </w:rPr>
              <w:t>AAA to AA-</w:t>
            </w:r>
          </w:p>
        </w:tc>
        <w:tc>
          <w:tcPr>
            <w:tcW w:w="709" w:type="dxa"/>
            <w:shd w:val="clear" w:color="auto" w:fill="EDEDED" w:themeFill="accent3" w:themeFillTint="33"/>
          </w:tcPr>
          <w:p w:rsidR="0026087C" w:rsidRPr="003075B1" w:rsidRDefault="0026087C" w:rsidP="00657D9E">
            <w:pPr>
              <w:bidi w:val="0"/>
              <w:spacing w:line="276" w:lineRule="auto"/>
              <w:jc w:val="center"/>
              <w:rPr>
                <w:rFonts w:ascii="Times New Roman" w:hAnsi="Times New Roman" w:cs="Times New Roman"/>
                <w:b w:val="0"/>
                <w:bCs w:val="0"/>
                <w:sz w:val="22"/>
                <w:szCs w:val="22"/>
              </w:rPr>
            </w:pPr>
            <w:r w:rsidRPr="003075B1">
              <w:rPr>
                <w:rFonts w:ascii="Times New Roman" w:hAnsi="Times New Roman" w:cs="Times New Roman"/>
                <w:b w:val="0"/>
                <w:bCs w:val="0"/>
                <w:sz w:val="22"/>
                <w:szCs w:val="22"/>
              </w:rPr>
              <w:t>A+ to A-</w:t>
            </w:r>
          </w:p>
        </w:tc>
        <w:tc>
          <w:tcPr>
            <w:tcW w:w="1092" w:type="dxa"/>
            <w:shd w:val="clear" w:color="auto" w:fill="EDEDED" w:themeFill="accent3" w:themeFillTint="33"/>
          </w:tcPr>
          <w:p w:rsidR="0026087C" w:rsidRPr="003075B1" w:rsidRDefault="0026087C" w:rsidP="00657D9E">
            <w:pPr>
              <w:bidi w:val="0"/>
              <w:spacing w:line="276" w:lineRule="auto"/>
              <w:jc w:val="center"/>
              <w:rPr>
                <w:rFonts w:ascii="Times New Roman" w:hAnsi="Times New Roman" w:cs="Times New Roman"/>
                <w:b w:val="0"/>
                <w:bCs w:val="0"/>
                <w:sz w:val="22"/>
                <w:szCs w:val="22"/>
              </w:rPr>
            </w:pPr>
            <w:r w:rsidRPr="003075B1">
              <w:rPr>
                <w:rFonts w:ascii="Times New Roman" w:hAnsi="Times New Roman" w:cs="Times New Roman"/>
                <w:b w:val="0"/>
                <w:bCs w:val="0"/>
                <w:sz w:val="22"/>
                <w:szCs w:val="22"/>
              </w:rPr>
              <w:t>BBB+ to BBB-</w:t>
            </w:r>
          </w:p>
        </w:tc>
        <w:tc>
          <w:tcPr>
            <w:tcW w:w="730" w:type="dxa"/>
            <w:shd w:val="clear" w:color="auto" w:fill="EDEDED" w:themeFill="accent3" w:themeFillTint="33"/>
          </w:tcPr>
          <w:p w:rsidR="0026087C" w:rsidRPr="003075B1" w:rsidRDefault="0026087C" w:rsidP="00657D9E">
            <w:pPr>
              <w:bidi w:val="0"/>
              <w:spacing w:line="276" w:lineRule="auto"/>
              <w:jc w:val="center"/>
              <w:rPr>
                <w:rFonts w:ascii="Times New Roman" w:hAnsi="Times New Roman" w:cs="Times New Roman"/>
                <w:b w:val="0"/>
                <w:bCs w:val="0"/>
                <w:sz w:val="22"/>
                <w:szCs w:val="22"/>
              </w:rPr>
            </w:pPr>
            <w:r w:rsidRPr="003075B1">
              <w:rPr>
                <w:rFonts w:ascii="Times New Roman" w:hAnsi="Times New Roman" w:cs="Times New Roman"/>
                <w:b w:val="0"/>
                <w:bCs w:val="0"/>
                <w:sz w:val="22"/>
                <w:szCs w:val="22"/>
              </w:rPr>
              <w:t>BB+ to B-</w:t>
            </w:r>
          </w:p>
        </w:tc>
        <w:tc>
          <w:tcPr>
            <w:tcW w:w="791" w:type="dxa"/>
            <w:shd w:val="clear" w:color="auto" w:fill="EDEDED" w:themeFill="accent3" w:themeFillTint="33"/>
          </w:tcPr>
          <w:p w:rsidR="0026087C" w:rsidRPr="003075B1" w:rsidRDefault="0026087C" w:rsidP="00657D9E">
            <w:pPr>
              <w:bidi w:val="0"/>
              <w:spacing w:line="276" w:lineRule="auto"/>
              <w:jc w:val="center"/>
              <w:rPr>
                <w:rFonts w:ascii="Times New Roman" w:hAnsi="Times New Roman" w:cs="Times New Roman"/>
                <w:b w:val="0"/>
                <w:bCs w:val="0"/>
                <w:sz w:val="22"/>
                <w:szCs w:val="22"/>
              </w:rPr>
            </w:pPr>
            <w:r w:rsidRPr="003075B1">
              <w:rPr>
                <w:rFonts w:ascii="Times New Roman" w:eastAsiaTheme="minorHAnsi" w:hAnsi="Times New Roman" w:cs="Times New Roman"/>
                <w:b w:val="0"/>
                <w:bCs w:val="0"/>
                <w:sz w:val="22"/>
                <w:szCs w:val="22"/>
              </w:rPr>
              <w:t>Below B-</w:t>
            </w:r>
          </w:p>
        </w:tc>
        <w:tc>
          <w:tcPr>
            <w:tcW w:w="925" w:type="dxa"/>
            <w:shd w:val="clear" w:color="auto" w:fill="EDEDED" w:themeFill="accent3" w:themeFillTint="33"/>
          </w:tcPr>
          <w:p w:rsidR="0026087C" w:rsidRPr="003075B1" w:rsidRDefault="0026087C" w:rsidP="00657D9E">
            <w:pPr>
              <w:bidi w:val="0"/>
              <w:spacing w:line="276" w:lineRule="auto"/>
              <w:jc w:val="center"/>
              <w:rPr>
                <w:rFonts w:ascii="Times New Roman" w:hAnsi="Times New Roman" w:cs="Times New Roman"/>
                <w:b w:val="0"/>
                <w:bCs w:val="0"/>
                <w:sz w:val="22"/>
                <w:szCs w:val="22"/>
              </w:rPr>
            </w:pPr>
            <w:r w:rsidRPr="003075B1">
              <w:rPr>
                <w:rFonts w:ascii="Times New Roman" w:eastAsiaTheme="minorHAnsi" w:hAnsi="Times New Roman" w:cs="Times New Roman"/>
                <w:b w:val="0"/>
                <w:bCs w:val="0"/>
                <w:sz w:val="22"/>
                <w:szCs w:val="22"/>
              </w:rPr>
              <w:t>Unrated</w:t>
            </w:r>
          </w:p>
        </w:tc>
      </w:tr>
      <w:tr w:rsidR="00657D9E" w:rsidRPr="003075B1" w:rsidTr="003075B1">
        <w:tc>
          <w:tcPr>
            <w:tcW w:w="2835" w:type="dxa"/>
            <w:shd w:val="clear" w:color="auto" w:fill="EDEDED" w:themeFill="accent3" w:themeFillTint="33"/>
          </w:tcPr>
          <w:p w:rsidR="0026087C" w:rsidRPr="003075B1" w:rsidRDefault="0026087C" w:rsidP="008C5902">
            <w:pPr>
              <w:bidi w:val="0"/>
              <w:spacing w:after="0" w:line="276" w:lineRule="auto"/>
              <w:jc w:val="center"/>
              <w:rPr>
                <w:rFonts w:ascii="Times New Roman" w:hAnsi="Times New Roman" w:cs="Times New Roman"/>
                <w:b w:val="0"/>
                <w:bCs w:val="0"/>
                <w:sz w:val="22"/>
                <w:szCs w:val="22"/>
              </w:rPr>
            </w:pPr>
            <w:r w:rsidRPr="003075B1">
              <w:rPr>
                <w:rFonts w:ascii="Times New Roman" w:eastAsiaTheme="minorHAnsi" w:hAnsi="Times New Roman" w:cs="Times New Roman"/>
                <w:b w:val="0"/>
                <w:bCs w:val="0"/>
                <w:sz w:val="22"/>
                <w:szCs w:val="22"/>
              </w:rPr>
              <w:t>Risk Weight</w:t>
            </w:r>
          </w:p>
        </w:tc>
        <w:tc>
          <w:tcPr>
            <w:tcW w:w="992" w:type="dxa"/>
            <w:vAlign w:val="center"/>
          </w:tcPr>
          <w:p w:rsidR="0026087C" w:rsidRPr="003075B1" w:rsidRDefault="0026087C" w:rsidP="008C5902">
            <w:pPr>
              <w:bidi w:val="0"/>
              <w:spacing w:after="0" w:line="276" w:lineRule="auto"/>
              <w:jc w:val="center"/>
              <w:rPr>
                <w:rFonts w:ascii="Times New Roman" w:hAnsi="Times New Roman" w:cs="Times New Roman"/>
                <w:b w:val="0"/>
                <w:bCs w:val="0"/>
                <w:sz w:val="22"/>
                <w:szCs w:val="22"/>
              </w:rPr>
            </w:pPr>
            <w:r w:rsidRPr="003075B1">
              <w:rPr>
                <w:rFonts w:ascii="Times New Roman" w:eastAsiaTheme="minorHAnsi" w:hAnsi="Times New Roman" w:cs="Times New Roman"/>
                <w:b w:val="0"/>
                <w:bCs w:val="0"/>
                <w:sz w:val="22"/>
                <w:szCs w:val="22"/>
              </w:rPr>
              <w:t>20%</w:t>
            </w:r>
          </w:p>
        </w:tc>
        <w:tc>
          <w:tcPr>
            <w:tcW w:w="709" w:type="dxa"/>
            <w:vAlign w:val="center"/>
          </w:tcPr>
          <w:p w:rsidR="0026087C" w:rsidRPr="003075B1" w:rsidRDefault="0026087C" w:rsidP="008C5902">
            <w:pPr>
              <w:spacing w:after="0" w:line="276" w:lineRule="auto"/>
              <w:jc w:val="center"/>
              <w:rPr>
                <w:rFonts w:ascii="Times New Roman" w:hAnsi="Times New Roman" w:cs="Times New Roman"/>
                <w:b w:val="0"/>
                <w:bCs w:val="0"/>
                <w:sz w:val="22"/>
                <w:szCs w:val="22"/>
              </w:rPr>
            </w:pPr>
            <w:r w:rsidRPr="003075B1">
              <w:rPr>
                <w:rFonts w:ascii="Times New Roman" w:hAnsi="Times New Roman" w:cs="Times New Roman"/>
                <w:b w:val="0"/>
                <w:bCs w:val="0"/>
                <w:sz w:val="22"/>
                <w:szCs w:val="22"/>
              </w:rPr>
              <w:t>50%</w:t>
            </w:r>
          </w:p>
        </w:tc>
        <w:tc>
          <w:tcPr>
            <w:tcW w:w="1092" w:type="dxa"/>
            <w:vAlign w:val="center"/>
          </w:tcPr>
          <w:p w:rsidR="0026087C" w:rsidRPr="003075B1" w:rsidRDefault="0026087C" w:rsidP="008C5902">
            <w:pPr>
              <w:spacing w:after="0" w:line="276" w:lineRule="auto"/>
              <w:jc w:val="center"/>
              <w:rPr>
                <w:rFonts w:ascii="Times New Roman" w:hAnsi="Times New Roman" w:cs="Times New Roman"/>
                <w:b w:val="0"/>
                <w:bCs w:val="0"/>
                <w:sz w:val="22"/>
                <w:szCs w:val="22"/>
              </w:rPr>
            </w:pPr>
            <w:r w:rsidRPr="003075B1">
              <w:rPr>
                <w:rFonts w:ascii="Times New Roman" w:eastAsiaTheme="minorHAnsi" w:hAnsi="Times New Roman" w:cs="Times New Roman"/>
                <w:b w:val="0"/>
                <w:bCs w:val="0"/>
                <w:sz w:val="22"/>
                <w:szCs w:val="22"/>
              </w:rPr>
              <w:t>50%</w:t>
            </w:r>
          </w:p>
        </w:tc>
        <w:tc>
          <w:tcPr>
            <w:tcW w:w="730" w:type="dxa"/>
            <w:vAlign w:val="center"/>
          </w:tcPr>
          <w:p w:rsidR="0026087C" w:rsidRPr="003075B1" w:rsidRDefault="0026087C" w:rsidP="008C5902">
            <w:pPr>
              <w:spacing w:after="0" w:line="276" w:lineRule="auto"/>
              <w:jc w:val="center"/>
              <w:rPr>
                <w:rFonts w:ascii="Times New Roman" w:hAnsi="Times New Roman" w:cs="Times New Roman"/>
                <w:b w:val="0"/>
                <w:bCs w:val="0"/>
                <w:sz w:val="22"/>
                <w:szCs w:val="22"/>
              </w:rPr>
            </w:pPr>
            <w:r w:rsidRPr="003075B1">
              <w:rPr>
                <w:rFonts w:ascii="Times New Roman" w:eastAsiaTheme="minorHAnsi" w:hAnsi="Times New Roman" w:cs="Times New Roman"/>
                <w:b w:val="0"/>
                <w:bCs w:val="0"/>
                <w:sz w:val="22"/>
                <w:szCs w:val="22"/>
              </w:rPr>
              <w:t>100%</w:t>
            </w:r>
          </w:p>
        </w:tc>
        <w:tc>
          <w:tcPr>
            <w:tcW w:w="791" w:type="dxa"/>
            <w:vAlign w:val="center"/>
          </w:tcPr>
          <w:p w:rsidR="0026087C" w:rsidRPr="003075B1" w:rsidRDefault="0026087C" w:rsidP="008C5902">
            <w:pPr>
              <w:spacing w:after="0" w:line="276" w:lineRule="auto"/>
              <w:jc w:val="center"/>
              <w:rPr>
                <w:rFonts w:ascii="Times New Roman" w:hAnsi="Times New Roman" w:cs="Times New Roman"/>
                <w:b w:val="0"/>
                <w:bCs w:val="0"/>
                <w:sz w:val="22"/>
                <w:szCs w:val="22"/>
              </w:rPr>
            </w:pPr>
            <w:r w:rsidRPr="003075B1">
              <w:rPr>
                <w:rFonts w:ascii="Times New Roman" w:eastAsiaTheme="minorHAnsi" w:hAnsi="Times New Roman" w:cs="Times New Roman"/>
                <w:b w:val="0"/>
                <w:bCs w:val="0"/>
                <w:sz w:val="22"/>
                <w:szCs w:val="22"/>
              </w:rPr>
              <w:t>150%</w:t>
            </w:r>
          </w:p>
        </w:tc>
        <w:tc>
          <w:tcPr>
            <w:tcW w:w="925" w:type="dxa"/>
            <w:vAlign w:val="center"/>
          </w:tcPr>
          <w:p w:rsidR="0026087C" w:rsidRPr="003075B1" w:rsidRDefault="0026087C" w:rsidP="008C5902">
            <w:pPr>
              <w:spacing w:after="0" w:line="276" w:lineRule="auto"/>
              <w:jc w:val="center"/>
              <w:rPr>
                <w:rFonts w:ascii="Times New Roman" w:hAnsi="Times New Roman" w:cs="Times New Roman"/>
                <w:b w:val="0"/>
                <w:bCs w:val="0"/>
                <w:sz w:val="22"/>
                <w:szCs w:val="22"/>
              </w:rPr>
            </w:pPr>
            <w:r w:rsidRPr="003075B1">
              <w:rPr>
                <w:rFonts w:ascii="Times New Roman" w:eastAsiaTheme="minorHAnsi" w:hAnsi="Times New Roman" w:cs="Times New Roman"/>
                <w:b w:val="0"/>
                <w:bCs w:val="0"/>
                <w:sz w:val="22"/>
                <w:szCs w:val="22"/>
              </w:rPr>
              <w:t>50%</w:t>
            </w:r>
          </w:p>
        </w:tc>
      </w:tr>
      <w:tr w:rsidR="00657D9E" w:rsidRPr="003075B1" w:rsidTr="003075B1">
        <w:tc>
          <w:tcPr>
            <w:tcW w:w="2835" w:type="dxa"/>
            <w:shd w:val="clear" w:color="auto" w:fill="EDEDED" w:themeFill="accent3" w:themeFillTint="33"/>
          </w:tcPr>
          <w:p w:rsidR="0026087C" w:rsidRPr="003075B1" w:rsidRDefault="0026087C" w:rsidP="00657D9E">
            <w:pPr>
              <w:autoSpaceDE w:val="0"/>
              <w:autoSpaceDN w:val="0"/>
              <w:bidi w:val="0"/>
              <w:adjustRightInd w:val="0"/>
              <w:spacing w:after="0" w:line="276" w:lineRule="auto"/>
              <w:jc w:val="center"/>
              <w:rPr>
                <w:rFonts w:ascii="Times New Roman" w:eastAsiaTheme="minorHAnsi" w:hAnsi="Times New Roman" w:cs="Times New Roman"/>
                <w:b w:val="0"/>
                <w:bCs w:val="0"/>
                <w:sz w:val="22"/>
                <w:szCs w:val="22"/>
              </w:rPr>
            </w:pPr>
            <w:r w:rsidRPr="003075B1">
              <w:rPr>
                <w:rFonts w:ascii="Times New Roman" w:eastAsiaTheme="minorHAnsi" w:hAnsi="Times New Roman" w:cs="Times New Roman"/>
                <w:b w:val="0"/>
                <w:bCs w:val="0"/>
                <w:sz w:val="22"/>
                <w:szCs w:val="22"/>
              </w:rPr>
              <w:t>Risk weight for</w:t>
            </w:r>
          </w:p>
          <w:p w:rsidR="0026087C" w:rsidRPr="003075B1" w:rsidRDefault="0026087C" w:rsidP="00657D9E">
            <w:pPr>
              <w:autoSpaceDE w:val="0"/>
              <w:autoSpaceDN w:val="0"/>
              <w:bidi w:val="0"/>
              <w:adjustRightInd w:val="0"/>
              <w:spacing w:after="0" w:line="276" w:lineRule="auto"/>
              <w:jc w:val="center"/>
              <w:rPr>
                <w:rFonts w:ascii="Times New Roman" w:eastAsiaTheme="minorHAnsi" w:hAnsi="Times New Roman" w:cs="Times New Roman"/>
                <w:b w:val="0"/>
                <w:bCs w:val="0"/>
                <w:sz w:val="22"/>
                <w:szCs w:val="22"/>
              </w:rPr>
            </w:pPr>
            <w:r w:rsidRPr="003075B1">
              <w:rPr>
                <w:rFonts w:ascii="Times New Roman" w:eastAsiaTheme="minorHAnsi" w:hAnsi="Times New Roman" w:cs="Times New Roman"/>
                <w:b w:val="0"/>
                <w:bCs w:val="0"/>
                <w:sz w:val="22"/>
                <w:szCs w:val="22"/>
              </w:rPr>
              <w:t>short-term</w:t>
            </w:r>
          </w:p>
          <w:p w:rsidR="0026087C" w:rsidRPr="003075B1" w:rsidRDefault="0026087C" w:rsidP="00657D9E">
            <w:pPr>
              <w:bidi w:val="0"/>
              <w:spacing w:line="276" w:lineRule="auto"/>
              <w:jc w:val="center"/>
              <w:rPr>
                <w:rFonts w:ascii="Times New Roman" w:eastAsiaTheme="minorHAnsi" w:hAnsi="Times New Roman" w:cs="Times New Roman"/>
                <w:b w:val="0"/>
                <w:bCs w:val="0"/>
                <w:sz w:val="22"/>
                <w:szCs w:val="22"/>
              </w:rPr>
            </w:pPr>
            <w:r w:rsidRPr="003075B1">
              <w:rPr>
                <w:rFonts w:ascii="Times New Roman" w:hAnsi="Times New Roman" w:cs="Times New Roman"/>
                <w:b w:val="0"/>
                <w:bCs w:val="0"/>
                <w:sz w:val="22"/>
                <w:szCs w:val="22"/>
                <w:lang w:val="en"/>
              </w:rPr>
              <w:t>foreign currency claims</w:t>
            </w:r>
          </w:p>
        </w:tc>
        <w:tc>
          <w:tcPr>
            <w:tcW w:w="992" w:type="dxa"/>
            <w:vAlign w:val="center"/>
          </w:tcPr>
          <w:p w:rsidR="0026087C" w:rsidRPr="003075B1" w:rsidRDefault="00633F8E" w:rsidP="00657D9E">
            <w:pPr>
              <w:bidi w:val="0"/>
              <w:spacing w:line="276" w:lineRule="auto"/>
              <w:jc w:val="center"/>
              <w:rPr>
                <w:rFonts w:ascii="Times New Roman" w:eastAsiaTheme="minorHAnsi" w:hAnsi="Times New Roman" w:cs="Times New Roman"/>
                <w:b w:val="0"/>
                <w:bCs w:val="0"/>
                <w:sz w:val="22"/>
                <w:szCs w:val="22"/>
              </w:rPr>
            </w:pPr>
            <w:r w:rsidRPr="003075B1">
              <w:rPr>
                <w:rFonts w:ascii="Times New Roman" w:eastAsiaTheme="minorHAnsi" w:hAnsi="Times New Roman" w:cs="Times New Roman"/>
                <w:b w:val="0"/>
                <w:bCs w:val="0"/>
                <w:sz w:val="22"/>
                <w:szCs w:val="22"/>
              </w:rPr>
              <w:t>20%</w:t>
            </w:r>
          </w:p>
        </w:tc>
        <w:tc>
          <w:tcPr>
            <w:tcW w:w="709" w:type="dxa"/>
            <w:vAlign w:val="center"/>
          </w:tcPr>
          <w:p w:rsidR="0026087C" w:rsidRPr="003075B1" w:rsidRDefault="00633F8E" w:rsidP="00657D9E">
            <w:pPr>
              <w:spacing w:line="276" w:lineRule="auto"/>
              <w:jc w:val="center"/>
              <w:rPr>
                <w:rFonts w:ascii="Times New Roman" w:hAnsi="Times New Roman" w:cs="Times New Roman"/>
                <w:b w:val="0"/>
                <w:bCs w:val="0"/>
                <w:sz w:val="22"/>
                <w:szCs w:val="22"/>
              </w:rPr>
            </w:pPr>
            <w:r w:rsidRPr="003075B1">
              <w:rPr>
                <w:rFonts w:ascii="Times New Roman" w:hAnsi="Times New Roman" w:cs="Times New Roman"/>
                <w:b w:val="0"/>
                <w:bCs w:val="0"/>
                <w:sz w:val="22"/>
                <w:szCs w:val="22"/>
              </w:rPr>
              <w:t>20%</w:t>
            </w:r>
          </w:p>
        </w:tc>
        <w:tc>
          <w:tcPr>
            <w:tcW w:w="1092" w:type="dxa"/>
            <w:vAlign w:val="center"/>
          </w:tcPr>
          <w:p w:rsidR="0026087C" w:rsidRPr="003075B1" w:rsidRDefault="00633F8E" w:rsidP="00657D9E">
            <w:pPr>
              <w:spacing w:line="276" w:lineRule="auto"/>
              <w:jc w:val="center"/>
              <w:rPr>
                <w:rFonts w:ascii="Times New Roman" w:eastAsiaTheme="minorHAnsi" w:hAnsi="Times New Roman" w:cs="Times New Roman"/>
                <w:b w:val="0"/>
                <w:bCs w:val="0"/>
                <w:sz w:val="22"/>
                <w:szCs w:val="22"/>
              </w:rPr>
            </w:pPr>
            <w:r w:rsidRPr="003075B1">
              <w:rPr>
                <w:rFonts w:ascii="Times New Roman" w:eastAsiaTheme="minorHAnsi" w:hAnsi="Times New Roman" w:cs="Times New Roman"/>
                <w:b w:val="0"/>
                <w:bCs w:val="0"/>
                <w:sz w:val="22"/>
                <w:szCs w:val="22"/>
              </w:rPr>
              <w:t>20%</w:t>
            </w:r>
          </w:p>
        </w:tc>
        <w:tc>
          <w:tcPr>
            <w:tcW w:w="730" w:type="dxa"/>
            <w:vAlign w:val="center"/>
          </w:tcPr>
          <w:p w:rsidR="0026087C" w:rsidRPr="003075B1" w:rsidRDefault="00633F8E" w:rsidP="00657D9E">
            <w:pPr>
              <w:spacing w:line="276" w:lineRule="auto"/>
              <w:jc w:val="center"/>
              <w:rPr>
                <w:rFonts w:ascii="Times New Roman" w:eastAsiaTheme="minorHAnsi" w:hAnsi="Times New Roman" w:cs="Times New Roman"/>
                <w:b w:val="0"/>
                <w:bCs w:val="0"/>
                <w:sz w:val="22"/>
                <w:szCs w:val="22"/>
              </w:rPr>
            </w:pPr>
            <w:r w:rsidRPr="003075B1">
              <w:rPr>
                <w:rFonts w:ascii="Times New Roman" w:eastAsiaTheme="minorHAnsi" w:hAnsi="Times New Roman" w:cs="Times New Roman"/>
                <w:b w:val="0"/>
                <w:bCs w:val="0"/>
                <w:sz w:val="22"/>
                <w:szCs w:val="22"/>
              </w:rPr>
              <w:t>50%</w:t>
            </w:r>
          </w:p>
        </w:tc>
        <w:tc>
          <w:tcPr>
            <w:tcW w:w="791" w:type="dxa"/>
            <w:vAlign w:val="center"/>
          </w:tcPr>
          <w:p w:rsidR="0026087C" w:rsidRPr="003075B1" w:rsidRDefault="00633F8E" w:rsidP="00657D9E">
            <w:pPr>
              <w:spacing w:line="276" w:lineRule="auto"/>
              <w:jc w:val="center"/>
              <w:rPr>
                <w:rFonts w:ascii="Times New Roman" w:eastAsiaTheme="minorHAnsi" w:hAnsi="Times New Roman" w:cs="Times New Roman"/>
                <w:b w:val="0"/>
                <w:bCs w:val="0"/>
                <w:sz w:val="22"/>
                <w:szCs w:val="22"/>
              </w:rPr>
            </w:pPr>
            <w:r w:rsidRPr="003075B1">
              <w:rPr>
                <w:rFonts w:ascii="Times New Roman" w:eastAsiaTheme="minorHAnsi" w:hAnsi="Times New Roman" w:cs="Times New Roman"/>
                <w:b w:val="0"/>
                <w:bCs w:val="0"/>
                <w:sz w:val="22"/>
                <w:szCs w:val="22"/>
              </w:rPr>
              <w:t>150%</w:t>
            </w:r>
          </w:p>
        </w:tc>
        <w:tc>
          <w:tcPr>
            <w:tcW w:w="925" w:type="dxa"/>
            <w:vAlign w:val="center"/>
          </w:tcPr>
          <w:p w:rsidR="0026087C" w:rsidRPr="003075B1" w:rsidRDefault="00633F8E" w:rsidP="00657D9E">
            <w:pPr>
              <w:spacing w:line="276" w:lineRule="auto"/>
              <w:jc w:val="center"/>
              <w:rPr>
                <w:rFonts w:ascii="Times New Roman" w:eastAsiaTheme="minorHAnsi" w:hAnsi="Times New Roman" w:cs="Times New Roman"/>
                <w:b w:val="0"/>
                <w:bCs w:val="0"/>
                <w:sz w:val="22"/>
                <w:szCs w:val="22"/>
              </w:rPr>
            </w:pPr>
            <w:r w:rsidRPr="003075B1">
              <w:rPr>
                <w:rFonts w:ascii="Times New Roman" w:eastAsiaTheme="minorHAnsi" w:hAnsi="Times New Roman" w:cs="Times New Roman"/>
                <w:b w:val="0"/>
                <w:bCs w:val="0"/>
                <w:sz w:val="22"/>
                <w:szCs w:val="22"/>
              </w:rPr>
              <w:t>20%</w:t>
            </w:r>
          </w:p>
        </w:tc>
      </w:tr>
      <w:tr w:rsidR="00657D9E" w:rsidRPr="003075B1" w:rsidTr="003075B1">
        <w:tc>
          <w:tcPr>
            <w:tcW w:w="2835" w:type="dxa"/>
            <w:shd w:val="clear" w:color="auto" w:fill="EDEDED" w:themeFill="accent3" w:themeFillTint="33"/>
          </w:tcPr>
          <w:p w:rsidR="0026087C" w:rsidRPr="003075B1" w:rsidRDefault="0026087C" w:rsidP="00657D9E">
            <w:pPr>
              <w:autoSpaceDE w:val="0"/>
              <w:autoSpaceDN w:val="0"/>
              <w:bidi w:val="0"/>
              <w:adjustRightInd w:val="0"/>
              <w:spacing w:after="0" w:line="276" w:lineRule="auto"/>
              <w:jc w:val="center"/>
              <w:rPr>
                <w:rFonts w:ascii="Times New Roman" w:eastAsiaTheme="minorHAnsi" w:hAnsi="Times New Roman" w:cs="Times New Roman"/>
                <w:b w:val="0"/>
                <w:bCs w:val="0"/>
                <w:sz w:val="22"/>
                <w:szCs w:val="22"/>
              </w:rPr>
            </w:pPr>
            <w:r w:rsidRPr="003075B1">
              <w:rPr>
                <w:rFonts w:ascii="Times New Roman" w:eastAsiaTheme="minorHAnsi" w:hAnsi="Times New Roman" w:cs="Times New Roman"/>
                <w:b w:val="0"/>
                <w:bCs w:val="0"/>
                <w:sz w:val="22"/>
                <w:szCs w:val="22"/>
              </w:rPr>
              <w:t>Risk weight for</w:t>
            </w:r>
            <w:r w:rsidR="00657D9E" w:rsidRPr="003075B1">
              <w:rPr>
                <w:rFonts w:ascii="Times New Roman" w:eastAsiaTheme="minorHAnsi" w:hAnsi="Times New Roman" w:cs="Times New Roman"/>
                <w:b w:val="0"/>
                <w:bCs w:val="0"/>
                <w:sz w:val="22"/>
                <w:szCs w:val="22"/>
              </w:rPr>
              <w:t xml:space="preserve"> short-term </w:t>
            </w:r>
            <w:r w:rsidRPr="003075B1">
              <w:rPr>
                <w:rFonts w:ascii="Times New Roman" w:hAnsi="Times New Roman" w:cs="Times New Roman"/>
                <w:b w:val="0"/>
                <w:bCs w:val="0"/>
                <w:sz w:val="22"/>
                <w:szCs w:val="22"/>
                <w:lang w:val="en"/>
              </w:rPr>
              <w:t>Jordanian  currency claims</w:t>
            </w:r>
          </w:p>
        </w:tc>
        <w:tc>
          <w:tcPr>
            <w:tcW w:w="5239" w:type="dxa"/>
            <w:gridSpan w:val="6"/>
            <w:vAlign w:val="center"/>
          </w:tcPr>
          <w:p w:rsidR="0026087C" w:rsidRPr="003075B1" w:rsidRDefault="00633F8E" w:rsidP="00657D9E">
            <w:pPr>
              <w:spacing w:line="276" w:lineRule="auto"/>
              <w:jc w:val="center"/>
              <w:rPr>
                <w:rFonts w:ascii="Times New Roman" w:eastAsiaTheme="minorHAnsi" w:hAnsi="Times New Roman" w:cs="Times New Roman"/>
                <w:b w:val="0"/>
                <w:bCs w:val="0"/>
                <w:sz w:val="22"/>
                <w:szCs w:val="22"/>
              </w:rPr>
            </w:pPr>
            <w:r w:rsidRPr="003075B1">
              <w:rPr>
                <w:rFonts w:ascii="Times New Roman" w:eastAsiaTheme="minorHAnsi" w:hAnsi="Times New Roman" w:cs="Times New Roman"/>
                <w:b w:val="0"/>
                <w:bCs w:val="0"/>
                <w:sz w:val="22"/>
                <w:szCs w:val="22"/>
              </w:rPr>
              <w:t>20%</w:t>
            </w:r>
          </w:p>
        </w:tc>
      </w:tr>
    </w:tbl>
    <w:p w:rsidR="0026087C" w:rsidRPr="009559BF" w:rsidRDefault="00633F8E" w:rsidP="000E628F">
      <w:pPr>
        <w:bidi w:val="0"/>
        <w:spacing w:after="0" w:line="276" w:lineRule="auto"/>
        <w:ind w:left="1980" w:hanging="270"/>
        <w:rPr>
          <w:rFonts w:ascii="Times New Roman" w:hAnsi="Times New Roman" w:cs="Times New Roman"/>
          <w:b w:val="0"/>
          <w:bCs w:val="0"/>
          <w:lang w:val="en"/>
        </w:rPr>
      </w:pPr>
      <w:r w:rsidRPr="009F50C5">
        <w:rPr>
          <w:rFonts w:ascii="Times New Roman" w:hAnsi="Times New Roman" w:cs="Times New Roman"/>
          <w:b w:val="0"/>
          <w:bCs w:val="0"/>
          <w:sz w:val="22"/>
          <w:szCs w:val="22"/>
        </w:rPr>
        <w:t xml:space="preserve">* </w:t>
      </w:r>
      <w:r w:rsidR="009F50C5" w:rsidRPr="009F50C5">
        <w:rPr>
          <w:rFonts w:ascii="Times New Roman" w:hAnsi="Times New Roman" w:cs="Times New Roman"/>
          <w:b w:val="0"/>
          <w:bCs w:val="0"/>
          <w:color w:val="202124"/>
          <w:sz w:val="20"/>
          <w:szCs w:val="20"/>
          <w:lang w:val="en"/>
        </w:rPr>
        <w:t xml:space="preserve">The ratings of other entities (mentioned in annex no. 7) accepted by the Central Bank and whose ratings are equivalent to the above </w:t>
      </w:r>
      <w:r w:rsidR="009F50C5" w:rsidRPr="009F50C5">
        <w:rPr>
          <w:rFonts w:ascii="Times New Roman" w:eastAsiaTheme="minorHAnsi" w:hAnsi="Times New Roman" w:cs="Times New Roman"/>
          <w:b w:val="0"/>
          <w:bCs w:val="0"/>
          <w:sz w:val="20"/>
          <w:szCs w:val="20"/>
        </w:rPr>
        <w:t>rating</w:t>
      </w:r>
      <w:r w:rsidR="009F50C5" w:rsidRPr="009F50C5">
        <w:rPr>
          <w:rFonts w:ascii="Times New Roman" w:hAnsi="Times New Roman" w:cs="Times New Roman"/>
          <w:b w:val="0"/>
          <w:bCs w:val="0"/>
          <w:color w:val="202124"/>
          <w:sz w:val="20"/>
          <w:szCs w:val="20"/>
          <w:lang w:val="en"/>
        </w:rPr>
        <w:t>.</w:t>
      </w:r>
    </w:p>
    <w:p w:rsidR="00633F8E" w:rsidRPr="003075B1" w:rsidRDefault="00633F8E" w:rsidP="00657D9E">
      <w:pPr>
        <w:bidi w:val="0"/>
        <w:spacing w:after="0" w:line="276" w:lineRule="auto"/>
        <w:ind w:left="2520" w:hanging="360"/>
        <w:rPr>
          <w:rFonts w:ascii="Times New Roman" w:hAnsi="Times New Roman" w:cs="Times New Roman"/>
          <w:b w:val="0"/>
          <w:bCs w:val="0"/>
          <w:sz w:val="24"/>
          <w:szCs w:val="24"/>
          <w:lang w:val="en"/>
        </w:rPr>
      </w:pPr>
      <w:r w:rsidRPr="003075B1">
        <w:rPr>
          <w:rFonts w:ascii="Times New Roman" w:hAnsi="Times New Roman" w:cs="Times New Roman"/>
          <w:b w:val="0"/>
          <w:bCs w:val="0"/>
          <w:sz w:val="24"/>
          <w:szCs w:val="24"/>
          <w:lang w:val="en"/>
        </w:rPr>
        <w:t>-</w:t>
      </w:r>
      <w:r w:rsidRPr="003075B1">
        <w:rPr>
          <w:rFonts w:ascii="Times New Roman" w:hAnsi="Times New Roman" w:cs="Times New Roman"/>
          <w:b w:val="0"/>
          <w:bCs w:val="0"/>
          <w:sz w:val="24"/>
          <w:szCs w:val="24"/>
          <w:lang w:val="en"/>
        </w:rPr>
        <w:tab/>
        <w:t xml:space="preserve">Short-term claims are defined as those claims with an original maturity period of three months or less. </w:t>
      </w:r>
    </w:p>
    <w:p w:rsidR="00633F8E" w:rsidRPr="003075B1" w:rsidRDefault="00633F8E" w:rsidP="003C36A4">
      <w:pPr>
        <w:bidi w:val="0"/>
        <w:spacing w:after="0" w:line="276" w:lineRule="auto"/>
        <w:ind w:left="2520" w:hanging="360"/>
        <w:rPr>
          <w:rFonts w:ascii="Times New Roman" w:hAnsi="Times New Roman" w:cs="Times New Roman"/>
          <w:b w:val="0"/>
          <w:bCs w:val="0"/>
          <w:sz w:val="24"/>
          <w:szCs w:val="24"/>
          <w:lang w:val="en"/>
        </w:rPr>
      </w:pPr>
      <w:r w:rsidRPr="003075B1">
        <w:rPr>
          <w:rFonts w:ascii="Times New Roman" w:hAnsi="Times New Roman" w:cs="Times New Roman"/>
          <w:b w:val="0"/>
          <w:bCs w:val="0"/>
          <w:sz w:val="24"/>
          <w:szCs w:val="24"/>
          <w:lang w:val="en"/>
        </w:rPr>
        <w:t xml:space="preserve">- </w:t>
      </w:r>
      <w:r w:rsidR="00657D9E" w:rsidRPr="003075B1">
        <w:rPr>
          <w:rFonts w:ascii="Times New Roman" w:hAnsi="Times New Roman" w:cs="Times New Roman"/>
          <w:b w:val="0"/>
          <w:bCs w:val="0"/>
          <w:sz w:val="24"/>
          <w:szCs w:val="24"/>
          <w:lang w:val="en"/>
        </w:rPr>
        <w:tab/>
      </w:r>
      <w:r w:rsidRPr="003075B1">
        <w:rPr>
          <w:rFonts w:ascii="Times New Roman" w:hAnsi="Times New Roman" w:cs="Times New Roman"/>
          <w:b w:val="0"/>
          <w:bCs w:val="0"/>
          <w:sz w:val="24"/>
          <w:szCs w:val="24"/>
          <w:lang w:val="en"/>
        </w:rPr>
        <w:t xml:space="preserve">The preferential treatment of short-term claims in foreign currencies applies to all banks that are </w:t>
      </w:r>
      <w:r w:rsidR="003C36A4">
        <w:rPr>
          <w:rFonts w:ascii="Times New Roman" w:hAnsi="Times New Roman" w:cs="Times New Roman"/>
          <w:b w:val="0"/>
          <w:bCs w:val="0"/>
          <w:sz w:val="24"/>
          <w:szCs w:val="24"/>
          <w:lang w:val="en"/>
        </w:rPr>
        <w:t>rated</w:t>
      </w:r>
      <w:r w:rsidRPr="003075B1">
        <w:rPr>
          <w:rFonts w:ascii="Times New Roman" w:hAnsi="Times New Roman" w:cs="Times New Roman"/>
          <w:b w:val="0"/>
          <w:bCs w:val="0"/>
          <w:sz w:val="24"/>
          <w:szCs w:val="24"/>
          <w:lang w:val="en"/>
        </w:rPr>
        <w:t xml:space="preserve"> or unrated, except for those </w:t>
      </w:r>
      <w:r w:rsidR="003C36A4">
        <w:rPr>
          <w:rFonts w:ascii="Times New Roman" w:hAnsi="Times New Roman" w:cs="Times New Roman"/>
          <w:b w:val="0"/>
          <w:bCs w:val="0"/>
          <w:sz w:val="24"/>
          <w:szCs w:val="24"/>
          <w:lang w:val="en"/>
        </w:rPr>
        <w:t>rated</w:t>
      </w:r>
      <w:r w:rsidRPr="003075B1">
        <w:rPr>
          <w:rFonts w:ascii="Times New Roman" w:hAnsi="Times New Roman" w:cs="Times New Roman"/>
          <w:b w:val="0"/>
          <w:bCs w:val="0"/>
          <w:sz w:val="24"/>
          <w:szCs w:val="24"/>
          <w:lang w:val="en"/>
        </w:rPr>
        <w:t xml:space="preserve"> and whose risk weight is (150%).</w:t>
      </w:r>
    </w:p>
    <w:p w:rsidR="00633F8E" w:rsidRPr="003075B1" w:rsidRDefault="00633F8E" w:rsidP="003C36A4">
      <w:pPr>
        <w:bidi w:val="0"/>
        <w:spacing w:after="0" w:line="276" w:lineRule="auto"/>
        <w:ind w:left="2520" w:hanging="360"/>
        <w:rPr>
          <w:rFonts w:ascii="Times New Roman" w:hAnsi="Times New Roman" w:cs="Times New Roman"/>
          <w:b w:val="0"/>
          <w:bCs w:val="0"/>
          <w:sz w:val="24"/>
          <w:szCs w:val="24"/>
          <w:lang w:val="en"/>
        </w:rPr>
      </w:pPr>
      <w:r w:rsidRPr="003075B1">
        <w:rPr>
          <w:rFonts w:ascii="Times New Roman" w:hAnsi="Times New Roman" w:cs="Times New Roman"/>
          <w:b w:val="0"/>
          <w:bCs w:val="0"/>
          <w:sz w:val="24"/>
          <w:szCs w:val="24"/>
          <w:lang w:val="en"/>
        </w:rPr>
        <w:lastRenderedPageBreak/>
        <w:t xml:space="preserve">- </w:t>
      </w:r>
      <w:r w:rsidR="00657D9E" w:rsidRPr="003075B1">
        <w:rPr>
          <w:rFonts w:ascii="Times New Roman" w:hAnsi="Times New Roman" w:cs="Times New Roman"/>
          <w:b w:val="0"/>
          <w:bCs w:val="0"/>
          <w:sz w:val="24"/>
          <w:szCs w:val="24"/>
          <w:lang w:val="en"/>
        </w:rPr>
        <w:tab/>
      </w:r>
      <w:r w:rsidRPr="000E628F">
        <w:rPr>
          <w:rFonts w:ascii="Times New Roman" w:hAnsi="Times New Roman" w:cs="Times New Roman"/>
          <w:b w:val="0"/>
          <w:bCs w:val="0"/>
          <w:sz w:val="24"/>
          <w:szCs w:val="24"/>
          <w:lang w:val="en"/>
        </w:rPr>
        <w:t xml:space="preserve">Short-term claims lose their preferential treatment in the presence of the phrase "automatically renewed" or any other expressions of the same </w:t>
      </w:r>
      <w:r w:rsidR="003C36A4" w:rsidRPr="000E628F">
        <w:rPr>
          <w:rFonts w:ascii="Times New Roman" w:hAnsi="Times New Roman" w:cs="Times New Roman"/>
          <w:b w:val="0"/>
          <w:bCs w:val="0"/>
          <w:sz w:val="24"/>
          <w:szCs w:val="24"/>
          <w:lang w:val="en"/>
        </w:rPr>
        <w:t>connotation</w:t>
      </w:r>
      <w:r w:rsidRPr="000E628F">
        <w:rPr>
          <w:rFonts w:ascii="Times New Roman" w:hAnsi="Times New Roman" w:cs="Times New Roman"/>
          <w:b w:val="0"/>
          <w:bCs w:val="0"/>
          <w:sz w:val="24"/>
          <w:szCs w:val="24"/>
          <w:lang w:val="en"/>
        </w:rPr>
        <w:t>.</w:t>
      </w:r>
    </w:p>
    <w:p w:rsidR="00633F8E" w:rsidRPr="003075B1" w:rsidRDefault="00633F8E" w:rsidP="00C77C3A">
      <w:pPr>
        <w:bidi w:val="0"/>
        <w:spacing w:after="0" w:line="276" w:lineRule="auto"/>
        <w:ind w:left="2160" w:hanging="900"/>
        <w:rPr>
          <w:rFonts w:ascii="Times New Roman" w:hAnsi="Times New Roman" w:cs="Times New Roman"/>
          <w:b w:val="0"/>
          <w:bCs w:val="0"/>
          <w:sz w:val="24"/>
          <w:szCs w:val="24"/>
        </w:rPr>
      </w:pPr>
      <w:r w:rsidRPr="003075B1">
        <w:rPr>
          <w:rFonts w:ascii="Times New Roman" w:hAnsi="Times New Roman" w:cs="Times New Roman"/>
          <w:b w:val="0"/>
          <w:bCs w:val="0"/>
          <w:sz w:val="24"/>
          <w:szCs w:val="24"/>
          <w:lang w:val="en"/>
        </w:rPr>
        <w:t xml:space="preserve">2.2.6 </w:t>
      </w:r>
      <w:r w:rsidR="00657D9E" w:rsidRPr="003075B1">
        <w:rPr>
          <w:rFonts w:ascii="Times New Roman" w:hAnsi="Times New Roman" w:cs="Times New Roman"/>
          <w:b w:val="0"/>
          <w:bCs w:val="0"/>
          <w:sz w:val="24"/>
          <w:szCs w:val="24"/>
          <w:lang w:val="en"/>
        </w:rPr>
        <w:tab/>
      </w:r>
      <w:r w:rsidRPr="003075B1">
        <w:rPr>
          <w:rFonts w:ascii="Times New Roman" w:hAnsi="Times New Roman" w:cs="Times New Roman"/>
          <w:b w:val="0"/>
          <w:bCs w:val="0"/>
          <w:sz w:val="24"/>
          <w:szCs w:val="24"/>
        </w:rPr>
        <w:t>Claims on Securities Firms</w:t>
      </w:r>
    </w:p>
    <w:p w:rsidR="00633F8E" w:rsidRPr="003075B1" w:rsidRDefault="00633F8E" w:rsidP="00657D9E">
      <w:pPr>
        <w:autoSpaceDE w:val="0"/>
        <w:autoSpaceDN w:val="0"/>
        <w:bidi w:val="0"/>
        <w:adjustRightInd w:val="0"/>
        <w:spacing w:after="0" w:line="276" w:lineRule="auto"/>
        <w:ind w:left="2160"/>
        <w:rPr>
          <w:rFonts w:ascii="Times New Roman" w:eastAsiaTheme="minorHAnsi" w:hAnsi="Times New Roman" w:cs="Times New Roman"/>
          <w:b w:val="0"/>
          <w:bCs w:val="0"/>
          <w:sz w:val="24"/>
          <w:szCs w:val="24"/>
        </w:rPr>
      </w:pPr>
      <w:r w:rsidRPr="003075B1">
        <w:rPr>
          <w:rFonts w:ascii="Times New Roman" w:eastAsiaTheme="minorHAnsi" w:hAnsi="Times New Roman" w:cs="Times New Roman"/>
          <w:b w:val="0"/>
          <w:bCs w:val="0"/>
          <w:sz w:val="24"/>
          <w:szCs w:val="24"/>
        </w:rPr>
        <w:t>Claims on securities firms may be treated as claims on banks provided these firms</w:t>
      </w:r>
      <w:r w:rsidR="00657D9E" w:rsidRPr="003075B1">
        <w:rPr>
          <w:rFonts w:ascii="Times New Roman" w:eastAsiaTheme="minorHAnsi" w:hAnsi="Times New Roman" w:cs="Times New Roman"/>
          <w:b w:val="0"/>
          <w:bCs w:val="0"/>
          <w:sz w:val="24"/>
          <w:szCs w:val="24"/>
        </w:rPr>
        <w:t xml:space="preserve"> </w:t>
      </w:r>
      <w:r w:rsidRPr="003075B1">
        <w:rPr>
          <w:rFonts w:ascii="Times New Roman" w:eastAsiaTheme="minorHAnsi" w:hAnsi="Times New Roman" w:cs="Times New Roman"/>
          <w:b w:val="0"/>
          <w:bCs w:val="0"/>
          <w:sz w:val="24"/>
          <w:szCs w:val="24"/>
        </w:rPr>
        <w:t xml:space="preserve">are subject to supervisory and regulatory arrangements </w:t>
      </w:r>
      <w:r w:rsidR="00657D9E" w:rsidRPr="003075B1">
        <w:rPr>
          <w:rFonts w:ascii="Times New Roman" w:eastAsiaTheme="minorHAnsi" w:hAnsi="Times New Roman" w:cs="Times New Roman"/>
          <w:b w:val="0"/>
          <w:bCs w:val="0"/>
          <w:sz w:val="24"/>
          <w:szCs w:val="24"/>
        </w:rPr>
        <w:t>comparable to those under this f</w:t>
      </w:r>
      <w:r w:rsidRPr="003075B1">
        <w:rPr>
          <w:rFonts w:ascii="Times New Roman" w:eastAsiaTheme="minorHAnsi" w:hAnsi="Times New Roman" w:cs="Times New Roman"/>
          <w:b w:val="0"/>
          <w:bCs w:val="0"/>
          <w:sz w:val="24"/>
          <w:szCs w:val="24"/>
        </w:rPr>
        <w:t>ramework (including, in particular, risk-based capital requirements),</w:t>
      </w:r>
      <w:r w:rsidR="00657D9E" w:rsidRPr="003075B1">
        <w:rPr>
          <w:rFonts w:ascii="Times New Roman" w:eastAsiaTheme="minorHAnsi" w:hAnsi="Times New Roman" w:cs="Times New Roman"/>
          <w:b w:val="0"/>
          <w:bCs w:val="0"/>
          <w:sz w:val="24"/>
          <w:szCs w:val="24"/>
        </w:rPr>
        <w:t xml:space="preserve"> o</w:t>
      </w:r>
      <w:r w:rsidRPr="003075B1">
        <w:rPr>
          <w:rFonts w:ascii="Times New Roman" w:eastAsiaTheme="minorHAnsi" w:hAnsi="Times New Roman" w:cs="Times New Roman"/>
          <w:b w:val="0"/>
          <w:bCs w:val="0"/>
          <w:sz w:val="24"/>
          <w:szCs w:val="24"/>
        </w:rPr>
        <w:t>therwise such claims would follow the rules for claims on corporates.</w:t>
      </w:r>
    </w:p>
    <w:p w:rsidR="00292B64" w:rsidRPr="003075B1" w:rsidRDefault="00292B64" w:rsidP="00657D9E">
      <w:pPr>
        <w:autoSpaceDE w:val="0"/>
        <w:autoSpaceDN w:val="0"/>
        <w:bidi w:val="0"/>
        <w:adjustRightInd w:val="0"/>
        <w:spacing w:after="0" w:line="276" w:lineRule="auto"/>
        <w:ind w:left="2160" w:hanging="900"/>
        <w:rPr>
          <w:rFonts w:ascii="Times New Roman" w:hAnsi="Times New Roman" w:cs="Times New Roman"/>
          <w:b w:val="0"/>
          <w:bCs w:val="0"/>
          <w:sz w:val="24"/>
          <w:szCs w:val="24"/>
        </w:rPr>
      </w:pPr>
      <w:r w:rsidRPr="003075B1">
        <w:rPr>
          <w:rFonts w:ascii="Times New Roman" w:eastAsiaTheme="minorHAnsi" w:hAnsi="Times New Roman" w:cs="Times New Roman"/>
          <w:b w:val="0"/>
          <w:bCs w:val="0"/>
          <w:sz w:val="24"/>
          <w:szCs w:val="24"/>
        </w:rPr>
        <w:t xml:space="preserve">2.2.7 </w:t>
      </w:r>
      <w:r w:rsidR="00657D9E" w:rsidRPr="003075B1">
        <w:rPr>
          <w:rFonts w:ascii="Times New Roman" w:eastAsiaTheme="minorHAnsi" w:hAnsi="Times New Roman" w:cs="Times New Roman"/>
          <w:b w:val="0"/>
          <w:bCs w:val="0"/>
          <w:sz w:val="24"/>
          <w:szCs w:val="24"/>
        </w:rPr>
        <w:tab/>
      </w:r>
      <w:r w:rsidRPr="003075B1">
        <w:rPr>
          <w:rFonts w:ascii="Times New Roman" w:hAnsi="Times New Roman" w:cs="Times New Roman"/>
          <w:b w:val="0"/>
          <w:bCs w:val="0"/>
          <w:sz w:val="24"/>
          <w:szCs w:val="24"/>
        </w:rPr>
        <w:t>Claims on Corporates</w:t>
      </w:r>
    </w:p>
    <w:p w:rsidR="00341A56" w:rsidRPr="003075B1" w:rsidRDefault="00292B64" w:rsidP="00BE5121">
      <w:pPr>
        <w:bidi w:val="0"/>
        <w:spacing w:line="276" w:lineRule="auto"/>
        <w:ind w:left="2520" w:hanging="360"/>
        <w:rPr>
          <w:rFonts w:ascii="Times New Roman" w:hAnsi="Times New Roman" w:cs="Times New Roman"/>
          <w:b w:val="0"/>
          <w:bCs w:val="0"/>
          <w:sz w:val="24"/>
          <w:szCs w:val="24"/>
          <w:lang w:val="en"/>
        </w:rPr>
      </w:pPr>
      <w:r w:rsidRPr="003075B1">
        <w:rPr>
          <w:rFonts w:ascii="Times New Roman" w:hAnsi="Times New Roman" w:cs="Times New Roman"/>
          <w:b w:val="0"/>
          <w:bCs w:val="0"/>
          <w:sz w:val="24"/>
          <w:szCs w:val="24"/>
        </w:rPr>
        <w:t xml:space="preserve">- </w:t>
      </w:r>
      <w:r w:rsidR="00657D9E" w:rsidRPr="003075B1">
        <w:rPr>
          <w:rFonts w:ascii="Times New Roman" w:hAnsi="Times New Roman" w:cs="Times New Roman"/>
          <w:b w:val="0"/>
          <w:bCs w:val="0"/>
          <w:sz w:val="24"/>
          <w:szCs w:val="24"/>
        </w:rPr>
        <w:tab/>
      </w:r>
      <w:r w:rsidR="00341A56" w:rsidRPr="003075B1">
        <w:rPr>
          <w:rFonts w:ascii="Times New Roman" w:hAnsi="Times New Roman" w:cs="Times New Roman"/>
          <w:b w:val="0"/>
          <w:bCs w:val="0"/>
          <w:sz w:val="24"/>
          <w:szCs w:val="24"/>
        </w:rPr>
        <w:t>Entities</w:t>
      </w:r>
      <w:r w:rsidR="00341A56" w:rsidRPr="003075B1">
        <w:rPr>
          <w:rFonts w:ascii="Times New Roman" w:hAnsi="Times New Roman" w:cs="Times New Roman"/>
          <w:b w:val="0"/>
          <w:bCs w:val="0"/>
          <w:sz w:val="24"/>
          <w:szCs w:val="24"/>
          <w:lang w:val="en"/>
        </w:rPr>
        <w:t>' claims are given a risk weight according to the external rating of the concerned entity according to the following table:</w:t>
      </w:r>
    </w:p>
    <w:tbl>
      <w:tblPr>
        <w:tblStyle w:val="TableGrid"/>
        <w:tblW w:w="0" w:type="auto"/>
        <w:tblInd w:w="1525" w:type="dxa"/>
        <w:tblLook w:val="04A0" w:firstRow="1" w:lastRow="0" w:firstColumn="1" w:lastColumn="0" w:noHBand="0" w:noVBand="1"/>
      </w:tblPr>
      <w:tblGrid>
        <w:gridCol w:w="2340"/>
        <w:gridCol w:w="990"/>
        <w:gridCol w:w="810"/>
        <w:gridCol w:w="1170"/>
        <w:gridCol w:w="1080"/>
        <w:gridCol w:w="990"/>
      </w:tblGrid>
      <w:tr w:rsidR="00657D9E" w:rsidRPr="003075B1" w:rsidTr="00657D9E">
        <w:tc>
          <w:tcPr>
            <w:tcW w:w="2340" w:type="dxa"/>
            <w:shd w:val="clear" w:color="auto" w:fill="EDEDED" w:themeFill="accent3" w:themeFillTint="33"/>
          </w:tcPr>
          <w:p w:rsidR="00341A56" w:rsidRPr="003075B1" w:rsidRDefault="00341A56" w:rsidP="00657D9E">
            <w:pPr>
              <w:autoSpaceDE w:val="0"/>
              <w:autoSpaceDN w:val="0"/>
              <w:bidi w:val="0"/>
              <w:adjustRightInd w:val="0"/>
              <w:spacing w:after="0" w:line="276" w:lineRule="auto"/>
              <w:jc w:val="center"/>
              <w:rPr>
                <w:rFonts w:ascii="Times New Roman" w:eastAsiaTheme="minorHAnsi" w:hAnsi="Times New Roman" w:cs="Times New Roman"/>
                <w:b w:val="0"/>
                <w:bCs w:val="0"/>
                <w:sz w:val="22"/>
                <w:szCs w:val="22"/>
              </w:rPr>
            </w:pPr>
            <w:r w:rsidRPr="003075B1">
              <w:rPr>
                <w:rFonts w:ascii="Times New Roman" w:eastAsiaTheme="minorHAnsi" w:hAnsi="Times New Roman" w:cs="Times New Roman"/>
                <w:b w:val="0"/>
                <w:bCs w:val="0"/>
                <w:sz w:val="22"/>
                <w:szCs w:val="22"/>
              </w:rPr>
              <w:t>Credit</w:t>
            </w:r>
          </w:p>
          <w:p w:rsidR="00341A56" w:rsidRPr="003075B1" w:rsidRDefault="009F50C5" w:rsidP="00657D9E">
            <w:pPr>
              <w:bidi w:val="0"/>
              <w:spacing w:line="276" w:lineRule="auto"/>
              <w:jc w:val="center"/>
              <w:rPr>
                <w:rFonts w:ascii="Times New Roman" w:hAnsi="Times New Roman" w:cs="Times New Roman"/>
                <w:b w:val="0"/>
                <w:bCs w:val="0"/>
                <w:sz w:val="22"/>
                <w:szCs w:val="22"/>
              </w:rPr>
            </w:pPr>
            <w:r>
              <w:rPr>
                <w:rFonts w:ascii="Times New Roman" w:eastAsiaTheme="minorHAnsi" w:hAnsi="Times New Roman" w:cs="Times New Roman"/>
                <w:b w:val="0"/>
                <w:bCs w:val="0"/>
                <w:sz w:val="22"/>
                <w:szCs w:val="22"/>
              </w:rPr>
              <w:t>rating</w:t>
            </w:r>
            <w:r w:rsidR="00341A56" w:rsidRPr="003075B1">
              <w:rPr>
                <w:rFonts w:ascii="Times New Roman" w:eastAsiaTheme="minorHAnsi" w:hAnsi="Times New Roman" w:cs="Times New Roman"/>
                <w:b w:val="0"/>
                <w:bCs w:val="0"/>
                <w:sz w:val="22"/>
                <w:szCs w:val="22"/>
              </w:rPr>
              <w:t xml:space="preserve"> as S&amp;P *</w:t>
            </w:r>
          </w:p>
        </w:tc>
        <w:tc>
          <w:tcPr>
            <w:tcW w:w="990" w:type="dxa"/>
            <w:shd w:val="clear" w:color="auto" w:fill="EDEDED" w:themeFill="accent3" w:themeFillTint="33"/>
          </w:tcPr>
          <w:p w:rsidR="00341A56" w:rsidRPr="003075B1" w:rsidRDefault="00341A56" w:rsidP="00657D9E">
            <w:pPr>
              <w:bidi w:val="0"/>
              <w:spacing w:line="276" w:lineRule="auto"/>
              <w:jc w:val="center"/>
              <w:rPr>
                <w:rFonts w:ascii="Times New Roman" w:hAnsi="Times New Roman" w:cs="Times New Roman"/>
                <w:b w:val="0"/>
                <w:bCs w:val="0"/>
                <w:sz w:val="22"/>
                <w:szCs w:val="22"/>
              </w:rPr>
            </w:pPr>
            <w:r w:rsidRPr="003075B1">
              <w:rPr>
                <w:rFonts w:ascii="Times New Roman" w:hAnsi="Times New Roman" w:cs="Times New Roman"/>
                <w:b w:val="0"/>
                <w:bCs w:val="0"/>
                <w:sz w:val="22"/>
                <w:szCs w:val="22"/>
              </w:rPr>
              <w:t>AAA to AA-</w:t>
            </w:r>
          </w:p>
        </w:tc>
        <w:tc>
          <w:tcPr>
            <w:tcW w:w="810" w:type="dxa"/>
            <w:shd w:val="clear" w:color="auto" w:fill="EDEDED" w:themeFill="accent3" w:themeFillTint="33"/>
          </w:tcPr>
          <w:p w:rsidR="00341A56" w:rsidRPr="003075B1" w:rsidRDefault="00341A56" w:rsidP="00657D9E">
            <w:pPr>
              <w:bidi w:val="0"/>
              <w:spacing w:line="276" w:lineRule="auto"/>
              <w:jc w:val="center"/>
              <w:rPr>
                <w:rFonts w:ascii="Times New Roman" w:hAnsi="Times New Roman" w:cs="Times New Roman"/>
                <w:b w:val="0"/>
                <w:bCs w:val="0"/>
                <w:sz w:val="22"/>
                <w:szCs w:val="22"/>
              </w:rPr>
            </w:pPr>
            <w:r w:rsidRPr="003075B1">
              <w:rPr>
                <w:rFonts w:ascii="Times New Roman" w:hAnsi="Times New Roman" w:cs="Times New Roman"/>
                <w:b w:val="0"/>
                <w:bCs w:val="0"/>
                <w:sz w:val="22"/>
                <w:szCs w:val="22"/>
              </w:rPr>
              <w:t>A+ to A-</w:t>
            </w:r>
          </w:p>
        </w:tc>
        <w:tc>
          <w:tcPr>
            <w:tcW w:w="1170" w:type="dxa"/>
            <w:shd w:val="clear" w:color="auto" w:fill="EDEDED" w:themeFill="accent3" w:themeFillTint="33"/>
          </w:tcPr>
          <w:p w:rsidR="00341A56" w:rsidRPr="003075B1" w:rsidRDefault="00341A56" w:rsidP="00657D9E">
            <w:pPr>
              <w:bidi w:val="0"/>
              <w:spacing w:line="276" w:lineRule="auto"/>
              <w:jc w:val="center"/>
              <w:rPr>
                <w:rFonts w:ascii="Times New Roman" w:hAnsi="Times New Roman" w:cs="Times New Roman"/>
                <w:b w:val="0"/>
                <w:bCs w:val="0"/>
                <w:sz w:val="22"/>
                <w:szCs w:val="22"/>
              </w:rPr>
            </w:pPr>
            <w:r w:rsidRPr="003075B1">
              <w:rPr>
                <w:rFonts w:ascii="Times New Roman" w:hAnsi="Times New Roman" w:cs="Times New Roman"/>
                <w:b w:val="0"/>
                <w:bCs w:val="0"/>
                <w:sz w:val="22"/>
                <w:szCs w:val="22"/>
              </w:rPr>
              <w:t>BBB+ to BBB-</w:t>
            </w:r>
          </w:p>
        </w:tc>
        <w:tc>
          <w:tcPr>
            <w:tcW w:w="1080" w:type="dxa"/>
            <w:shd w:val="clear" w:color="auto" w:fill="EDEDED" w:themeFill="accent3" w:themeFillTint="33"/>
          </w:tcPr>
          <w:p w:rsidR="00341A56" w:rsidRPr="003075B1" w:rsidRDefault="00341A56" w:rsidP="00657D9E">
            <w:pPr>
              <w:bidi w:val="0"/>
              <w:spacing w:line="276" w:lineRule="auto"/>
              <w:jc w:val="center"/>
              <w:rPr>
                <w:rFonts w:ascii="Times New Roman" w:hAnsi="Times New Roman" w:cs="Times New Roman"/>
                <w:b w:val="0"/>
                <w:bCs w:val="0"/>
                <w:sz w:val="22"/>
                <w:szCs w:val="22"/>
              </w:rPr>
            </w:pPr>
            <w:r w:rsidRPr="003075B1">
              <w:rPr>
                <w:rFonts w:ascii="Times New Roman" w:eastAsiaTheme="minorHAnsi" w:hAnsi="Times New Roman" w:cs="Times New Roman"/>
                <w:b w:val="0"/>
                <w:bCs w:val="0"/>
                <w:sz w:val="22"/>
                <w:szCs w:val="22"/>
              </w:rPr>
              <w:t>Below B-</w:t>
            </w:r>
          </w:p>
        </w:tc>
        <w:tc>
          <w:tcPr>
            <w:tcW w:w="990" w:type="dxa"/>
            <w:shd w:val="clear" w:color="auto" w:fill="EDEDED" w:themeFill="accent3" w:themeFillTint="33"/>
          </w:tcPr>
          <w:p w:rsidR="00341A56" w:rsidRPr="003075B1" w:rsidRDefault="00341A56" w:rsidP="00657D9E">
            <w:pPr>
              <w:bidi w:val="0"/>
              <w:spacing w:line="276" w:lineRule="auto"/>
              <w:jc w:val="center"/>
              <w:rPr>
                <w:rFonts w:ascii="Times New Roman" w:hAnsi="Times New Roman" w:cs="Times New Roman"/>
                <w:b w:val="0"/>
                <w:bCs w:val="0"/>
                <w:sz w:val="22"/>
                <w:szCs w:val="22"/>
              </w:rPr>
            </w:pPr>
            <w:r w:rsidRPr="003075B1">
              <w:rPr>
                <w:rFonts w:ascii="Times New Roman" w:eastAsiaTheme="minorHAnsi" w:hAnsi="Times New Roman" w:cs="Times New Roman"/>
                <w:b w:val="0"/>
                <w:bCs w:val="0"/>
                <w:sz w:val="22"/>
                <w:szCs w:val="22"/>
              </w:rPr>
              <w:t>Unrated</w:t>
            </w:r>
          </w:p>
        </w:tc>
      </w:tr>
      <w:tr w:rsidR="00657D9E" w:rsidRPr="003075B1" w:rsidTr="000E628F">
        <w:tc>
          <w:tcPr>
            <w:tcW w:w="2340" w:type="dxa"/>
            <w:vAlign w:val="center"/>
          </w:tcPr>
          <w:p w:rsidR="00341A56" w:rsidRPr="003075B1" w:rsidRDefault="00341A56" w:rsidP="000E628F">
            <w:pPr>
              <w:bidi w:val="0"/>
              <w:spacing w:after="0" w:line="276" w:lineRule="auto"/>
              <w:jc w:val="center"/>
              <w:rPr>
                <w:rFonts w:ascii="Times New Roman" w:hAnsi="Times New Roman" w:cs="Times New Roman"/>
                <w:b w:val="0"/>
                <w:bCs w:val="0"/>
                <w:sz w:val="22"/>
                <w:szCs w:val="22"/>
              </w:rPr>
            </w:pPr>
            <w:r w:rsidRPr="003075B1">
              <w:rPr>
                <w:rFonts w:ascii="Times New Roman" w:eastAsiaTheme="minorHAnsi" w:hAnsi="Times New Roman" w:cs="Times New Roman"/>
                <w:b w:val="0"/>
                <w:bCs w:val="0"/>
                <w:sz w:val="22"/>
                <w:szCs w:val="22"/>
              </w:rPr>
              <w:t>Risk Weight</w:t>
            </w:r>
          </w:p>
        </w:tc>
        <w:tc>
          <w:tcPr>
            <w:tcW w:w="990" w:type="dxa"/>
            <w:vAlign w:val="center"/>
          </w:tcPr>
          <w:p w:rsidR="00341A56" w:rsidRPr="003075B1" w:rsidRDefault="00341A56" w:rsidP="000E628F">
            <w:pPr>
              <w:bidi w:val="0"/>
              <w:spacing w:after="0" w:line="276" w:lineRule="auto"/>
              <w:jc w:val="center"/>
              <w:rPr>
                <w:rFonts w:ascii="Times New Roman" w:hAnsi="Times New Roman" w:cs="Times New Roman"/>
                <w:b w:val="0"/>
                <w:bCs w:val="0"/>
                <w:sz w:val="22"/>
                <w:szCs w:val="22"/>
              </w:rPr>
            </w:pPr>
            <w:r w:rsidRPr="003075B1">
              <w:rPr>
                <w:rFonts w:ascii="Times New Roman" w:eastAsiaTheme="minorHAnsi" w:hAnsi="Times New Roman" w:cs="Times New Roman"/>
                <w:b w:val="0"/>
                <w:bCs w:val="0"/>
                <w:sz w:val="22"/>
                <w:szCs w:val="22"/>
              </w:rPr>
              <w:t>20%</w:t>
            </w:r>
          </w:p>
        </w:tc>
        <w:tc>
          <w:tcPr>
            <w:tcW w:w="810" w:type="dxa"/>
            <w:vAlign w:val="center"/>
          </w:tcPr>
          <w:p w:rsidR="00341A56" w:rsidRPr="003075B1" w:rsidRDefault="00341A56" w:rsidP="000E628F">
            <w:pPr>
              <w:spacing w:after="0" w:line="276" w:lineRule="auto"/>
              <w:jc w:val="center"/>
              <w:rPr>
                <w:rFonts w:ascii="Times New Roman" w:hAnsi="Times New Roman" w:cs="Times New Roman"/>
                <w:b w:val="0"/>
                <w:bCs w:val="0"/>
                <w:sz w:val="22"/>
                <w:szCs w:val="22"/>
              </w:rPr>
            </w:pPr>
            <w:r w:rsidRPr="003075B1">
              <w:rPr>
                <w:rFonts w:ascii="Times New Roman" w:hAnsi="Times New Roman" w:cs="Times New Roman"/>
                <w:b w:val="0"/>
                <w:bCs w:val="0"/>
                <w:sz w:val="22"/>
                <w:szCs w:val="22"/>
              </w:rPr>
              <w:t>50%</w:t>
            </w:r>
          </w:p>
        </w:tc>
        <w:tc>
          <w:tcPr>
            <w:tcW w:w="1170" w:type="dxa"/>
            <w:vAlign w:val="center"/>
          </w:tcPr>
          <w:p w:rsidR="00341A56" w:rsidRPr="003075B1" w:rsidRDefault="00341A56" w:rsidP="000E628F">
            <w:pPr>
              <w:spacing w:after="0" w:line="276" w:lineRule="auto"/>
              <w:jc w:val="center"/>
              <w:rPr>
                <w:rFonts w:ascii="Times New Roman" w:hAnsi="Times New Roman" w:cs="Times New Roman"/>
                <w:b w:val="0"/>
                <w:bCs w:val="0"/>
                <w:sz w:val="22"/>
                <w:szCs w:val="22"/>
              </w:rPr>
            </w:pPr>
            <w:r w:rsidRPr="003075B1">
              <w:rPr>
                <w:rFonts w:ascii="Times New Roman" w:eastAsiaTheme="minorHAnsi" w:hAnsi="Times New Roman" w:cs="Times New Roman"/>
                <w:b w:val="0"/>
                <w:bCs w:val="0"/>
                <w:sz w:val="22"/>
                <w:szCs w:val="22"/>
              </w:rPr>
              <w:t>100%</w:t>
            </w:r>
          </w:p>
        </w:tc>
        <w:tc>
          <w:tcPr>
            <w:tcW w:w="1080" w:type="dxa"/>
            <w:vAlign w:val="center"/>
          </w:tcPr>
          <w:p w:rsidR="00341A56" w:rsidRPr="003075B1" w:rsidRDefault="00341A56" w:rsidP="000E628F">
            <w:pPr>
              <w:spacing w:after="0" w:line="276" w:lineRule="auto"/>
              <w:jc w:val="center"/>
              <w:rPr>
                <w:rFonts w:ascii="Times New Roman" w:hAnsi="Times New Roman" w:cs="Times New Roman"/>
                <w:b w:val="0"/>
                <w:bCs w:val="0"/>
                <w:sz w:val="22"/>
                <w:szCs w:val="22"/>
              </w:rPr>
            </w:pPr>
            <w:r w:rsidRPr="003075B1">
              <w:rPr>
                <w:rFonts w:ascii="Times New Roman" w:eastAsiaTheme="minorHAnsi" w:hAnsi="Times New Roman" w:cs="Times New Roman"/>
                <w:b w:val="0"/>
                <w:bCs w:val="0"/>
                <w:sz w:val="22"/>
                <w:szCs w:val="22"/>
              </w:rPr>
              <w:t>150%</w:t>
            </w:r>
          </w:p>
        </w:tc>
        <w:tc>
          <w:tcPr>
            <w:tcW w:w="990" w:type="dxa"/>
            <w:vAlign w:val="center"/>
          </w:tcPr>
          <w:p w:rsidR="00341A56" w:rsidRPr="003075B1" w:rsidRDefault="00341A56" w:rsidP="000E628F">
            <w:pPr>
              <w:spacing w:after="0" w:line="276" w:lineRule="auto"/>
              <w:jc w:val="center"/>
              <w:rPr>
                <w:rFonts w:ascii="Times New Roman" w:hAnsi="Times New Roman" w:cs="Times New Roman"/>
                <w:b w:val="0"/>
                <w:bCs w:val="0"/>
                <w:sz w:val="22"/>
                <w:szCs w:val="22"/>
              </w:rPr>
            </w:pPr>
            <w:r w:rsidRPr="003075B1">
              <w:rPr>
                <w:rFonts w:ascii="Times New Roman" w:eastAsiaTheme="minorHAnsi" w:hAnsi="Times New Roman" w:cs="Times New Roman"/>
                <w:b w:val="0"/>
                <w:bCs w:val="0"/>
                <w:sz w:val="22"/>
                <w:szCs w:val="22"/>
              </w:rPr>
              <w:t>100%</w:t>
            </w:r>
          </w:p>
        </w:tc>
      </w:tr>
    </w:tbl>
    <w:p w:rsidR="00341A56" w:rsidRPr="00657D9E" w:rsidRDefault="00341A56" w:rsidP="009F50C5">
      <w:pPr>
        <w:bidi w:val="0"/>
        <w:spacing w:after="0" w:line="276" w:lineRule="auto"/>
        <w:ind w:left="2610" w:hanging="180"/>
        <w:rPr>
          <w:rFonts w:ascii="Times New Roman" w:hAnsi="Times New Roman" w:cs="Times New Roman"/>
          <w:b w:val="0"/>
          <w:bCs w:val="0"/>
          <w:sz w:val="22"/>
          <w:szCs w:val="22"/>
          <w:lang w:val="en"/>
        </w:rPr>
      </w:pPr>
      <w:r w:rsidRPr="00657D9E">
        <w:rPr>
          <w:rFonts w:ascii="Times New Roman" w:hAnsi="Times New Roman" w:cs="Times New Roman"/>
          <w:b w:val="0"/>
          <w:bCs w:val="0"/>
          <w:sz w:val="22"/>
          <w:szCs w:val="22"/>
          <w:lang w:val="en"/>
        </w:rPr>
        <w:t xml:space="preserve">* </w:t>
      </w:r>
      <w:r w:rsidR="009F50C5" w:rsidRPr="009F50C5">
        <w:rPr>
          <w:rFonts w:ascii="Times New Roman" w:hAnsi="Times New Roman" w:cs="Times New Roman"/>
          <w:b w:val="0"/>
          <w:bCs w:val="0"/>
          <w:color w:val="202124"/>
          <w:sz w:val="20"/>
          <w:szCs w:val="20"/>
          <w:lang w:val="en"/>
        </w:rPr>
        <w:t xml:space="preserve">The ratings of other entities (mentioned in annex no. 7) accepted by the Central Bank and whose ratings are equivalent to the above </w:t>
      </w:r>
      <w:r w:rsidR="009F50C5" w:rsidRPr="009F50C5">
        <w:rPr>
          <w:rFonts w:ascii="Times New Roman" w:eastAsiaTheme="minorHAnsi" w:hAnsi="Times New Roman" w:cs="Times New Roman"/>
          <w:b w:val="0"/>
          <w:bCs w:val="0"/>
          <w:sz w:val="20"/>
          <w:szCs w:val="20"/>
        </w:rPr>
        <w:t>rating</w:t>
      </w:r>
      <w:r w:rsidR="009F50C5" w:rsidRPr="009F50C5">
        <w:rPr>
          <w:rFonts w:ascii="Times New Roman" w:hAnsi="Times New Roman" w:cs="Times New Roman"/>
          <w:b w:val="0"/>
          <w:bCs w:val="0"/>
          <w:color w:val="202124"/>
          <w:sz w:val="20"/>
          <w:szCs w:val="20"/>
          <w:lang w:val="en"/>
        </w:rPr>
        <w:t>.</w:t>
      </w:r>
      <w:r w:rsidR="009F50C5">
        <w:rPr>
          <w:rFonts w:ascii="Times New Roman" w:hAnsi="Times New Roman" w:cs="Times New Roman"/>
          <w:b w:val="0"/>
          <w:bCs w:val="0"/>
          <w:sz w:val="22"/>
          <w:szCs w:val="22"/>
          <w:highlight w:val="yellow"/>
          <w:lang w:val="en"/>
        </w:rPr>
        <w:t xml:space="preserve"> </w:t>
      </w:r>
    </w:p>
    <w:p w:rsidR="00873AE7" w:rsidRPr="000E628F" w:rsidRDefault="0075612D" w:rsidP="0075612D">
      <w:pPr>
        <w:pStyle w:val="ListParagraph"/>
        <w:numPr>
          <w:ilvl w:val="0"/>
          <w:numId w:val="3"/>
        </w:numPr>
        <w:autoSpaceDE w:val="0"/>
        <w:autoSpaceDN w:val="0"/>
        <w:bidi w:val="0"/>
        <w:adjustRightInd w:val="0"/>
        <w:spacing w:after="0" w:line="276" w:lineRule="auto"/>
        <w:ind w:left="2610" w:hanging="450"/>
        <w:rPr>
          <w:rFonts w:ascii="Times New Roman" w:eastAsiaTheme="minorHAnsi" w:hAnsi="Times New Roman" w:cs="Times New Roman"/>
          <w:b w:val="0"/>
          <w:bCs w:val="0"/>
          <w:sz w:val="24"/>
          <w:szCs w:val="24"/>
        </w:rPr>
      </w:pPr>
      <w:r w:rsidRPr="000E628F">
        <w:rPr>
          <w:rFonts w:ascii="Times New Roman" w:eastAsiaTheme="minorHAnsi" w:hAnsi="Times New Roman" w:cs="Times New Roman"/>
          <w:b w:val="0"/>
          <w:bCs w:val="0"/>
          <w:sz w:val="24"/>
          <w:szCs w:val="24"/>
        </w:rPr>
        <w:t>C</w:t>
      </w:r>
      <w:r w:rsidR="00873AE7" w:rsidRPr="000E628F">
        <w:rPr>
          <w:rFonts w:ascii="Times New Roman" w:eastAsiaTheme="minorHAnsi" w:hAnsi="Times New Roman" w:cs="Times New Roman"/>
          <w:b w:val="0"/>
          <w:bCs w:val="0"/>
          <w:sz w:val="24"/>
          <w:szCs w:val="24"/>
        </w:rPr>
        <w:t xml:space="preserve">laim on an unrated corporate may </w:t>
      </w:r>
      <w:r w:rsidR="00C4459D" w:rsidRPr="000E628F">
        <w:rPr>
          <w:rFonts w:ascii="Times New Roman" w:eastAsiaTheme="minorHAnsi" w:hAnsi="Times New Roman" w:cs="Times New Roman"/>
          <w:b w:val="0"/>
          <w:bCs w:val="0"/>
          <w:sz w:val="24"/>
          <w:szCs w:val="24"/>
        </w:rPr>
        <w:t>be</w:t>
      </w:r>
      <w:r w:rsidR="00C4459D" w:rsidRPr="000E628F">
        <w:rPr>
          <w:rFonts w:ascii="Times New Roman" w:eastAsiaTheme="minorHAnsi" w:hAnsi="Times New Roman" w:cs="Times New Roman" w:hint="cs"/>
          <w:b w:val="0"/>
          <w:bCs w:val="0"/>
          <w:sz w:val="24"/>
          <w:szCs w:val="24"/>
          <w:rtl/>
        </w:rPr>
        <w:t xml:space="preserve"> </w:t>
      </w:r>
      <w:r w:rsidR="00C4459D" w:rsidRPr="000E628F">
        <w:rPr>
          <w:rFonts w:ascii="Times New Roman" w:eastAsiaTheme="minorHAnsi" w:hAnsi="Times New Roman" w:cs="Times New Roman"/>
          <w:b w:val="0"/>
          <w:bCs w:val="0"/>
          <w:sz w:val="24"/>
          <w:szCs w:val="24"/>
        </w:rPr>
        <w:t>not</w:t>
      </w:r>
      <w:r w:rsidR="00873AE7" w:rsidRPr="000E628F">
        <w:rPr>
          <w:rFonts w:ascii="Times New Roman" w:eastAsiaTheme="minorHAnsi" w:hAnsi="Times New Roman" w:cs="Times New Roman"/>
          <w:b w:val="0"/>
          <w:bCs w:val="0"/>
          <w:sz w:val="24"/>
          <w:szCs w:val="24"/>
        </w:rPr>
        <w:t xml:space="preserve"> given a risk weight preferential to that assigned to its sovereign of incorporation.</w:t>
      </w:r>
    </w:p>
    <w:p w:rsidR="00873AE7" w:rsidRPr="000E628F" w:rsidRDefault="00873AE7" w:rsidP="000E628F">
      <w:pPr>
        <w:pStyle w:val="ListParagraph"/>
        <w:numPr>
          <w:ilvl w:val="0"/>
          <w:numId w:val="3"/>
        </w:numPr>
        <w:autoSpaceDE w:val="0"/>
        <w:autoSpaceDN w:val="0"/>
        <w:bidi w:val="0"/>
        <w:adjustRightInd w:val="0"/>
        <w:spacing w:after="0" w:line="276" w:lineRule="auto"/>
        <w:ind w:left="2610" w:hanging="450"/>
        <w:rPr>
          <w:rFonts w:ascii="Times New Roman" w:eastAsiaTheme="minorHAnsi" w:hAnsi="Times New Roman" w:cs="Times New Roman"/>
          <w:b w:val="0"/>
          <w:bCs w:val="0"/>
          <w:sz w:val="24"/>
          <w:szCs w:val="24"/>
        </w:rPr>
      </w:pPr>
      <w:r w:rsidRPr="000E628F">
        <w:rPr>
          <w:rFonts w:ascii="Times New Roman" w:eastAsiaTheme="minorHAnsi" w:hAnsi="Times New Roman" w:cs="Times New Roman"/>
          <w:b w:val="0"/>
          <w:bCs w:val="0"/>
          <w:sz w:val="24"/>
          <w:szCs w:val="24"/>
        </w:rPr>
        <w:t>The Central Bank of Jordan may increase the risk weight</w:t>
      </w:r>
      <w:r w:rsidR="00616ECE" w:rsidRPr="000E628F">
        <w:rPr>
          <w:rFonts w:ascii="Times New Roman" w:eastAsiaTheme="minorHAnsi" w:hAnsi="Times New Roman" w:cs="Times New Roman" w:hint="cs"/>
          <w:b w:val="0"/>
          <w:bCs w:val="0"/>
          <w:sz w:val="24"/>
          <w:szCs w:val="24"/>
          <w:rtl/>
        </w:rPr>
        <w:t xml:space="preserve"> </w:t>
      </w:r>
      <w:r w:rsidR="00616ECE" w:rsidRPr="000E628F">
        <w:rPr>
          <w:rFonts w:ascii="Times New Roman" w:eastAsiaTheme="minorHAnsi" w:hAnsi="Times New Roman" w:cs="Times New Roman"/>
          <w:b w:val="0"/>
          <w:bCs w:val="0"/>
          <w:sz w:val="24"/>
          <w:szCs w:val="24"/>
        </w:rPr>
        <w:t>more than (100%)</w:t>
      </w:r>
      <w:r w:rsidRPr="000E628F">
        <w:rPr>
          <w:rFonts w:ascii="Times New Roman" w:eastAsiaTheme="minorHAnsi" w:hAnsi="Times New Roman" w:cs="Times New Roman"/>
          <w:b w:val="0"/>
          <w:bCs w:val="0"/>
          <w:sz w:val="24"/>
          <w:szCs w:val="24"/>
        </w:rPr>
        <w:t xml:space="preserve"> for unrated </w:t>
      </w:r>
      <w:r w:rsidR="00616ECE" w:rsidRPr="000E628F">
        <w:rPr>
          <w:rFonts w:ascii="Times New Roman" w:eastAsiaTheme="minorHAnsi" w:hAnsi="Times New Roman" w:cs="Times New Roman"/>
          <w:b w:val="0"/>
          <w:bCs w:val="0"/>
          <w:sz w:val="24"/>
          <w:szCs w:val="24"/>
        </w:rPr>
        <w:t xml:space="preserve">claims, based on its observations of the default rates in the various sectors at the level of all banks operating in the Kingdom and / or at the level of a single bank. </w:t>
      </w:r>
    </w:p>
    <w:p w:rsidR="00292B64" w:rsidRPr="000E628F" w:rsidRDefault="00873AE7" w:rsidP="0075612D">
      <w:pPr>
        <w:pStyle w:val="ListParagraph"/>
        <w:numPr>
          <w:ilvl w:val="0"/>
          <w:numId w:val="3"/>
        </w:numPr>
        <w:autoSpaceDE w:val="0"/>
        <w:autoSpaceDN w:val="0"/>
        <w:bidi w:val="0"/>
        <w:adjustRightInd w:val="0"/>
        <w:spacing w:after="0" w:line="276" w:lineRule="auto"/>
        <w:ind w:left="2610" w:hanging="450"/>
        <w:rPr>
          <w:rFonts w:ascii="Times New Roman" w:eastAsiaTheme="minorHAnsi" w:hAnsi="Times New Roman" w:cs="Times New Roman"/>
          <w:b w:val="0"/>
          <w:bCs w:val="0"/>
          <w:sz w:val="24"/>
          <w:szCs w:val="24"/>
          <w:lang w:val="en"/>
        </w:rPr>
      </w:pPr>
      <w:r w:rsidRPr="000E628F">
        <w:rPr>
          <w:rFonts w:ascii="Times New Roman" w:hAnsi="Times New Roman" w:cs="Times New Roman"/>
          <w:b w:val="0"/>
          <w:bCs w:val="0"/>
          <w:sz w:val="24"/>
          <w:szCs w:val="24"/>
          <w:lang w:val="en"/>
        </w:rPr>
        <w:t>A risk weight of 100% can be applied to all c</w:t>
      </w:r>
      <w:r w:rsidR="001A6F8F" w:rsidRPr="000E628F">
        <w:rPr>
          <w:rFonts w:ascii="Times New Roman" w:hAnsi="Times New Roman" w:cs="Times New Roman"/>
          <w:b w:val="0"/>
          <w:bCs w:val="0"/>
          <w:sz w:val="24"/>
          <w:szCs w:val="24"/>
          <w:lang w:val="en"/>
        </w:rPr>
        <w:t>orporates</w:t>
      </w:r>
      <w:r w:rsidRPr="000E628F">
        <w:rPr>
          <w:rFonts w:ascii="Times New Roman" w:hAnsi="Times New Roman" w:cs="Times New Roman"/>
          <w:b w:val="0"/>
          <w:bCs w:val="0"/>
          <w:sz w:val="24"/>
          <w:szCs w:val="24"/>
          <w:lang w:val="en"/>
        </w:rPr>
        <w:t xml:space="preserve">, regardless of their external </w:t>
      </w:r>
      <w:r w:rsidR="001A6F8F" w:rsidRPr="000E628F">
        <w:rPr>
          <w:rFonts w:ascii="Times New Roman" w:hAnsi="Times New Roman" w:cs="Times New Roman"/>
          <w:b w:val="0"/>
          <w:bCs w:val="0"/>
          <w:sz w:val="24"/>
          <w:szCs w:val="24"/>
          <w:lang w:val="en"/>
        </w:rPr>
        <w:t>rating</w:t>
      </w:r>
      <w:r w:rsidRPr="000E628F">
        <w:rPr>
          <w:rFonts w:ascii="Times New Roman" w:hAnsi="Times New Roman" w:cs="Times New Roman"/>
          <w:b w:val="0"/>
          <w:bCs w:val="0"/>
          <w:sz w:val="24"/>
          <w:szCs w:val="24"/>
          <w:lang w:val="en"/>
        </w:rPr>
        <w:t>, subject to obtaining prior approval from the Central Bank of Jordan to allow this</w:t>
      </w:r>
      <w:r w:rsidR="001A6F8F" w:rsidRPr="000E628F">
        <w:rPr>
          <w:rFonts w:ascii="Times New Roman" w:eastAsiaTheme="minorHAnsi" w:hAnsi="Times New Roman" w:cs="Times New Roman"/>
          <w:b w:val="0"/>
          <w:bCs w:val="0"/>
          <w:sz w:val="24"/>
          <w:szCs w:val="24"/>
        </w:rPr>
        <w:t xml:space="preserve">, provided that it is applied to all </w:t>
      </w:r>
      <w:r w:rsidR="001A6F8F" w:rsidRPr="000E628F">
        <w:rPr>
          <w:rFonts w:ascii="Times New Roman" w:hAnsi="Times New Roman" w:cs="Times New Roman"/>
          <w:b w:val="0"/>
          <w:bCs w:val="0"/>
          <w:sz w:val="24"/>
          <w:szCs w:val="24"/>
          <w:lang w:val="en"/>
        </w:rPr>
        <w:t>corporates'</w:t>
      </w:r>
      <w:r w:rsidR="001A6F8F" w:rsidRPr="000E628F">
        <w:rPr>
          <w:rFonts w:ascii="Times New Roman" w:eastAsiaTheme="minorHAnsi" w:hAnsi="Times New Roman" w:cs="Times New Roman"/>
          <w:b w:val="0"/>
          <w:bCs w:val="0"/>
          <w:sz w:val="24"/>
          <w:szCs w:val="24"/>
        </w:rPr>
        <w:t xml:space="preserve"> claims with the bank. </w:t>
      </w:r>
    </w:p>
    <w:p w:rsidR="001A6F8F" w:rsidRPr="003075B1" w:rsidRDefault="001A6F8F" w:rsidP="009559BF">
      <w:pPr>
        <w:autoSpaceDE w:val="0"/>
        <w:autoSpaceDN w:val="0"/>
        <w:bidi w:val="0"/>
        <w:adjustRightInd w:val="0"/>
        <w:spacing w:after="0" w:line="276" w:lineRule="auto"/>
        <w:rPr>
          <w:rFonts w:ascii="Times New Roman" w:eastAsiaTheme="minorHAnsi" w:hAnsi="Times New Roman" w:cs="Times New Roman"/>
          <w:b w:val="0"/>
          <w:bCs w:val="0"/>
          <w:sz w:val="10"/>
          <w:szCs w:val="10"/>
          <w:lang w:val="en"/>
        </w:rPr>
      </w:pPr>
    </w:p>
    <w:p w:rsidR="001A6F8F" w:rsidRPr="003075B1" w:rsidRDefault="001A6F8F" w:rsidP="00996068">
      <w:pPr>
        <w:autoSpaceDE w:val="0"/>
        <w:autoSpaceDN w:val="0"/>
        <w:bidi w:val="0"/>
        <w:adjustRightInd w:val="0"/>
        <w:spacing w:after="0" w:line="276" w:lineRule="auto"/>
        <w:ind w:left="2160" w:hanging="900"/>
        <w:rPr>
          <w:rFonts w:ascii="Times New Roman" w:hAnsi="Times New Roman" w:cs="Times New Roman"/>
          <w:b w:val="0"/>
          <w:bCs w:val="0"/>
          <w:sz w:val="24"/>
          <w:szCs w:val="24"/>
          <w:lang w:val="en"/>
        </w:rPr>
      </w:pPr>
      <w:r w:rsidRPr="003075B1">
        <w:rPr>
          <w:rFonts w:ascii="Times New Roman" w:eastAsiaTheme="minorHAnsi" w:hAnsi="Times New Roman" w:cs="Times New Roman"/>
          <w:b w:val="0"/>
          <w:bCs w:val="0"/>
          <w:sz w:val="24"/>
          <w:szCs w:val="24"/>
          <w:lang w:val="en"/>
        </w:rPr>
        <w:t xml:space="preserve">2.2.8 </w:t>
      </w:r>
      <w:r w:rsidR="0075612D" w:rsidRPr="003075B1">
        <w:rPr>
          <w:rFonts w:ascii="Times New Roman" w:eastAsiaTheme="minorHAnsi" w:hAnsi="Times New Roman" w:cs="Times New Roman"/>
          <w:b w:val="0"/>
          <w:bCs w:val="0"/>
          <w:sz w:val="24"/>
          <w:szCs w:val="24"/>
          <w:lang w:val="en"/>
        </w:rPr>
        <w:tab/>
      </w:r>
      <w:r w:rsidRPr="003075B1">
        <w:rPr>
          <w:rFonts w:ascii="Times New Roman" w:hAnsi="Times New Roman" w:cs="Times New Roman"/>
          <w:b w:val="0"/>
          <w:bCs w:val="0"/>
          <w:sz w:val="24"/>
          <w:szCs w:val="24"/>
        </w:rPr>
        <w:t>Claims Included in the Regulatory Retail Portfolio (</w:t>
      </w:r>
      <w:r w:rsidR="00996068" w:rsidRPr="003075B1">
        <w:rPr>
          <w:rFonts w:ascii="Times New Roman" w:hAnsi="Times New Roman" w:cs="Times New Roman"/>
          <w:b w:val="0"/>
          <w:bCs w:val="0"/>
          <w:sz w:val="24"/>
          <w:szCs w:val="24"/>
          <w:lang w:val="en"/>
        </w:rPr>
        <w:t>consistent</w:t>
      </w:r>
      <w:r w:rsidRPr="003075B1">
        <w:rPr>
          <w:rFonts w:ascii="Times New Roman" w:hAnsi="Times New Roman" w:cs="Times New Roman"/>
          <w:b w:val="0"/>
          <w:bCs w:val="0"/>
          <w:sz w:val="24"/>
          <w:szCs w:val="24"/>
          <w:lang w:val="en"/>
        </w:rPr>
        <w:t xml:space="preserve"> with the standards set by the Central Bank </w:t>
      </w:r>
      <w:r w:rsidR="00996068">
        <w:rPr>
          <w:rFonts w:ascii="Times New Roman" w:hAnsi="Times New Roman" w:cs="Times New Roman"/>
          <w:b w:val="0"/>
          <w:bCs w:val="0"/>
          <w:sz w:val="24"/>
          <w:szCs w:val="24"/>
          <w:lang w:val="en"/>
        </w:rPr>
        <w:t>that</w:t>
      </w:r>
      <w:r w:rsidRPr="003075B1">
        <w:rPr>
          <w:rFonts w:ascii="Times New Roman" w:hAnsi="Times New Roman" w:cs="Times New Roman"/>
          <w:b w:val="0"/>
          <w:bCs w:val="0"/>
          <w:sz w:val="24"/>
          <w:szCs w:val="24"/>
          <w:lang w:val="en"/>
        </w:rPr>
        <w:t xml:space="preserve"> listed below):</w:t>
      </w:r>
    </w:p>
    <w:p w:rsidR="001A6F8F" w:rsidRPr="003075B1" w:rsidRDefault="001A6F8F" w:rsidP="0075612D">
      <w:pPr>
        <w:autoSpaceDE w:val="0"/>
        <w:autoSpaceDN w:val="0"/>
        <w:bidi w:val="0"/>
        <w:adjustRightInd w:val="0"/>
        <w:spacing w:after="0" w:line="276" w:lineRule="auto"/>
        <w:ind w:left="2610" w:hanging="450"/>
        <w:rPr>
          <w:rFonts w:ascii="Times New Roman" w:eastAsiaTheme="minorHAnsi" w:hAnsi="Times New Roman" w:cs="Times New Roman"/>
          <w:b w:val="0"/>
          <w:bCs w:val="0"/>
          <w:sz w:val="24"/>
          <w:szCs w:val="24"/>
        </w:rPr>
      </w:pPr>
      <w:r w:rsidRPr="003075B1">
        <w:rPr>
          <w:rFonts w:ascii="Times New Roman" w:hAnsi="Times New Roman" w:cs="Times New Roman"/>
          <w:b w:val="0"/>
          <w:bCs w:val="0"/>
          <w:sz w:val="24"/>
          <w:szCs w:val="24"/>
          <w:lang w:val="en"/>
        </w:rPr>
        <w:t xml:space="preserve">- </w:t>
      </w:r>
      <w:r w:rsidR="0075612D" w:rsidRPr="003075B1">
        <w:rPr>
          <w:rFonts w:ascii="Times New Roman" w:hAnsi="Times New Roman" w:cs="Times New Roman"/>
          <w:b w:val="0"/>
          <w:bCs w:val="0"/>
          <w:sz w:val="24"/>
          <w:szCs w:val="24"/>
          <w:lang w:val="en"/>
        </w:rPr>
        <w:tab/>
      </w:r>
      <w:r w:rsidRPr="003075B1">
        <w:rPr>
          <w:rFonts w:ascii="Times New Roman" w:eastAsiaTheme="minorHAnsi" w:hAnsi="Times New Roman" w:cs="Times New Roman"/>
          <w:b w:val="0"/>
          <w:bCs w:val="0"/>
          <w:sz w:val="24"/>
          <w:szCs w:val="24"/>
        </w:rPr>
        <w:t>Claims that qualify under the criteria li</w:t>
      </w:r>
      <w:r w:rsidR="0075612D" w:rsidRPr="003075B1">
        <w:rPr>
          <w:rFonts w:ascii="Times New Roman" w:eastAsiaTheme="minorHAnsi" w:hAnsi="Times New Roman" w:cs="Times New Roman"/>
          <w:b w:val="0"/>
          <w:bCs w:val="0"/>
          <w:sz w:val="24"/>
          <w:szCs w:val="24"/>
        </w:rPr>
        <w:t xml:space="preserve">sted below may be considered as </w:t>
      </w:r>
      <w:r w:rsidRPr="003075B1">
        <w:rPr>
          <w:rFonts w:ascii="Times New Roman" w:eastAsiaTheme="minorHAnsi" w:hAnsi="Times New Roman" w:cs="Times New Roman"/>
          <w:b w:val="0"/>
          <w:bCs w:val="0"/>
          <w:sz w:val="24"/>
          <w:szCs w:val="24"/>
        </w:rPr>
        <w:t>retail claims for regulatory capital purposes and included in a regulatory retail portfolio.</w:t>
      </w:r>
    </w:p>
    <w:p w:rsidR="001A6F8F" w:rsidRPr="003075B1" w:rsidRDefault="001A6F8F" w:rsidP="0075612D">
      <w:pPr>
        <w:autoSpaceDE w:val="0"/>
        <w:autoSpaceDN w:val="0"/>
        <w:bidi w:val="0"/>
        <w:adjustRightInd w:val="0"/>
        <w:spacing w:after="0" w:line="276" w:lineRule="auto"/>
        <w:ind w:left="2610"/>
        <w:rPr>
          <w:rFonts w:ascii="Times New Roman" w:eastAsiaTheme="minorHAnsi" w:hAnsi="Times New Roman" w:cs="Times New Roman"/>
          <w:b w:val="0"/>
          <w:bCs w:val="0"/>
          <w:sz w:val="24"/>
          <w:szCs w:val="24"/>
        </w:rPr>
      </w:pPr>
      <w:r w:rsidRPr="003075B1">
        <w:rPr>
          <w:rFonts w:ascii="Times New Roman" w:eastAsiaTheme="minorHAnsi" w:hAnsi="Times New Roman" w:cs="Times New Roman"/>
          <w:b w:val="0"/>
          <w:bCs w:val="0"/>
          <w:sz w:val="24"/>
          <w:szCs w:val="24"/>
        </w:rPr>
        <w:t>Exposures included in such a portfolio may be risk-weighted at 75%:</w:t>
      </w:r>
    </w:p>
    <w:p w:rsidR="001A6F8F" w:rsidRPr="003075B1" w:rsidRDefault="001A6F8F" w:rsidP="003075B1">
      <w:pPr>
        <w:pStyle w:val="ListParagraph"/>
        <w:numPr>
          <w:ilvl w:val="0"/>
          <w:numId w:val="14"/>
        </w:numPr>
        <w:autoSpaceDE w:val="0"/>
        <w:autoSpaceDN w:val="0"/>
        <w:bidi w:val="0"/>
        <w:adjustRightInd w:val="0"/>
        <w:spacing w:after="0" w:line="276" w:lineRule="auto"/>
        <w:ind w:left="3060" w:hanging="450"/>
        <w:rPr>
          <w:rFonts w:ascii="Times New Roman" w:eastAsiaTheme="minorHAnsi" w:hAnsi="Times New Roman" w:cs="Times New Roman"/>
          <w:b w:val="0"/>
          <w:bCs w:val="0"/>
          <w:sz w:val="24"/>
          <w:szCs w:val="24"/>
        </w:rPr>
      </w:pPr>
      <w:r w:rsidRPr="003075B1">
        <w:rPr>
          <w:rFonts w:ascii="Times New Roman" w:eastAsiaTheme="minorHAnsi" w:hAnsi="Times New Roman" w:cs="Times New Roman"/>
          <w:b w:val="0"/>
          <w:bCs w:val="0"/>
          <w:sz w:val="24"/>
          <w:szCs w:val="24"/>
        </w:rPr>
        <w:t>Orientation criterion</w:t>
      </w:r>
      <w:r w:rsidR="002C6FDE" w:rsidRPr="003075B1">
        <w:rPr>
          <w:rFonts w:ascii="Times New Roman" w:eastAsiaTheme="minorHAnsi" w:hAnsi="Times New Roman" w:cs="Times New Roman"/>
          <w:b w:val="0"/>
          <w:bCs w:val="0"/>
          <w:sz w:val="24"/>
          <w:szCs w:val="24"/>
        </w:rPr>
        <w:t>:</w:t>
      </w:r>
      <w:r w:rsidR="00996068">
        <w:rPr>
          <w:rFonts w:ascii="Times New Roman" w:eastAsiaTheme="minorHAnsi" w:hAnsi="Times New Roman" w:cs="Times New Roman"/>
          <w:b w:val="0"/>
          <w:bCs w:val="0"/>
          <w:sz w:val="24"/>
          <w:szCs w:val="24"/>
        </w:rPr>
        <w:t xml:space="preserve"> t</w:t>
      </w:r>
      <w:r w:rsidRPr="003075B1">
        <w:rPr>
          <w:rFonts w:ascii="Times New Roman" w:eastAsiaTheme="minorHAnsi" w:hAnsi="Times New Roman" w:cs="Times New Roman"/>
          <w:b w:val="0"/>
          <w:bCs w:val="0"/>
          <w:sz w:val="24"/>
          <w:szCs w:val="24"/>
        </w:rPr>
        <w:t xml:space="preserve">he exposure is to an individual person or </w:t>
      </w:r>
      <w:r w:rsidR="00996068">
        <w:rPr>
          <w:rFonts w:ascii="Times New Roman" w:eastAsiaTheme="minorHAnsi" w:hAnsi="Times New Roman" w:cs="Times New Roman"/>
          <w:b w:val="0"/>
          <w:bCs w:val="0"/>
          <w:sz w:val="24"/>
          <w:szCs w:val="24"/>
        </w:rPr>
        <w:t xml:space="preserve">related </w:t>
      </w:r>
      <w:r w:rsidRPr="003075B1">
        <w:rPr>
          <w:rFonts w:ascii="Times New Roman" w:eastAsiaTheme="minorHAnsi" w:hAnsi="Times New Roman" w:cs="Times New Roman"/>
          <w:b w:val="0"/>
          <w:bCs w:val="0"/>
          <w:sz w:val="24"/>
          <w:szCs w:val="24"/>
        </w:rPr>
        <w:t>persons or to a small business;</w:t>
      </w:r>
      <w:r w:rsidRPr="003075B1">
        <w:rPr>
          <w:rFonts w:ascii="Times New Roman" w:hAnsi="Times New Roman" w:cs="Times New Roman"/>
          <w:b w:val="0"/>
          <w:bCs w:val="0"/>
          <w:sz w:val="24"/>
          <w:szCs w:val="24"/>
          <w:lang w:val="en"/>
        </w:rPr>
        <w:t xml:space="preserve"> according to the definition contained in </w:t>
      </w:r>
      <w:r w:rsidR="003075B1">
        <w:rPr>
          <w:rFonts w:ascii="Times New Roman" w:hAnsi="Times New Roman" w:cs="Times New Roman"/>
          <w:b w:val="0"/>
          <w:bCs w:val="0"/>
          <w:sz w:val="24"/>
          <w:szCs w:val="24"/>
          <w:lang w:val="en"/>
        </w:rPr>
        <w:t>a</w:t>
      </w:r>
      <w:r w:rsidRPr="003075B1">
        <w:rPr>
          <w:rFonts w:ascii="Times New Roman" w:hAnsi="Times New Roman" w:cs="Times New Roman"/>
          <w:b w:val="0"/>
          <w:bCs w:val="0"/>
          <w:sz w:val="24"/>
          <w:szCs w:val="24"/>
          <w:lang w:val="en"/>
        </w:rPr>
        <w:t xml:space="preserve">nnex </w:t>
      </w:r>
      <w:r w:rsidR="003075B1">
        <w:rPr>
          <w:rFonts w:ascii="Times New Roman" w:hAnsi="Times New Roman" w:cs="Times New Roman"/>
          <w:b w:val="0"/>
          <w:bCs w:val="0"/>
          <w:sz w:val="24"/>
          <w:szCs w:val="24"/>
          <w:lang w:val="en"/>
        </w:rPr>
        <w:t>n</w:t>
      </w:r>
      <w:r w:rsidRPr="003075B1">
        <w:rPr>
          <w:rFonts w:ascii="Times New Roman" w:hAnsi="Times New Roman" w:cs="Times New Roman"/>
          <w:b w:val="0"/>
          <w:bCs w:val="0"/>
          <w:sz w:val="24"/>
          <w:szCs w:val="24"/>
          <w:lang w:val="en"/>
        </w:rPr>
        <w:t>o. (11).</w:t>
      </w:r>
    </w:p>
    <w:p w:rsidR="001A6F8F" w:rsidRPr="003075B1" w:rsidRDefault="001A6F8F" w:rsidP="00996068">
      <w:pPr>
        <w:pStyle w:val="ListParagraph"/>
        <w:numPr>
          <w:ilvl w:val="0"/>
          <w:numId w:val="14"/>
        </w:numPr>
        <w:autoSpaceDE w:val="0"/>
        <w:autoSpaceDN w:val="0"/>
        <w:bidi w:val="0"/>
        <w:adjustRightInd w:val="0"/>
        <w:spacing w:after="0" w:line="276" w:lineRule="auto"/>
        <w:ind w:left="3060" w:hanging="450"/>
        <w:rPr>
          <w:rFonts w:ascii="Times New Roman" w:eastAsiaTheme="minorHAnsi" w:hAnsi="Times New Roman" w:cs="Times New Roman"/>
          <w:b w:val="0"/>
          <w:bCs w:val="0"/>
          <w:sz w:val="24"/>
          <w:szCs w:val="24"/>
          <w:lang w:val="en"/>
        </w:rPr>
      </w:pPr>
      <w:r w:rsidRPr="003075B1">
        <w:rPr>
          <w:rFonts w:ascii="Times New Roman" w:eastAsiaTheme="minorHAnsi" w:hAnsi="Times New Roman" w:cs="Times New Roman"/>
          <w:b w:val="0"/>
          <w:bCs w:val="0"/>
          <w:sz w:val="24"/>
          <w:szCs w:val="24"/>
        </w:rPr>
        <w:t xml:space="preserve">Product </w:t>
      </w:r>
      <w:r w:rsidR="002C6FDE" w:rsidRPr="003075B1">
        <w:rPr>
          <w:rFonts w:ascii="Times New Roman" w:eastAsiaTheme="minorHAnsi" w:hAnsi="Times New Roman" w:cs="Times New Roman"/>
          <w:b w:val="0"/>
          <w:bCs w:val="0"/>
          <w:sz w:val="24"/>
          <w:szCs w:val="24"/>
        </w:rPr>
        <w:t>criterion:</w:t>
      </w:r>
      <w:r w:rsidRPr="003075B1">
        <w:rPr>
          <w:rFonts w:ascii="Times New Roman" w:eastAsiaTheme="minorHAnsi" w:hAnsi="Times New Roman" w:cs="Times New Roman"/>
          <w:b w:val="0"/>
          <w:bCs w:val="0"/>
          <w:sz w:val="24"/>
          <w:szCs w:val="24"/>
        </w:rPr>
        <w:t xml:space="preserve"> The exposure takes the form of any of the following: </w:t>
      </w:r>
      <w:r w:rsidR="001D29CB" w:rsidRPr="003075B1">
        <w:rPr>
          <w:rFonts w:ascii="Times New Roman" w:eastAsiaTheme="minorHAnsi" w:hAnsi="Times New Roman" w:cs="Times New Roman"/>
          <w:b w:val="0"/>
          <w:bCs w:val="0"/>
          <w:sz w:val="24"/>
          <w:szCs w:val="24"/>
        </w:rPr>
        <w:t xml:space="preserve">personal loans, </w:t>
      </w:r>
      <w:r w:rsidRPr="003075B1">
        <w:rPr>
          <w:rFonts w:ascii="Times New Roman" w:eastAsiaTheme="minorHAnsi" w:hAnsi="Times New Roman" w:cs="Times New Roman"/>
          <w:b w:val="0"/>
          <w:bCs w:val="0"/>
          <w:sz w:val="24"/>
          <w:szCs w:val="24"/>
        </w:rPr>
        <w:t>credits</w:t>
      </w:r>
      <w:r w:rsidR="001D29CB" w:rsidRPr="003075B1">
        <w:rPr>
          <w:rFonts w:ascii="Times New Roman" w:eastAsiaTheme="minorHAnsi" w:hAnsi="Times New Roman" w:cs="Times New Roman"/>
          <w:b w:val="0"/>
          <w:bCs w:val="0"/>
          <w:sz w:val="24"/>
          <w:szCs w:val="24"/>
        </w:rPr>
        <w:t xml:space="preserve"> cards, auto loans, </w:t>
      </w:r>
      <w:r w:rsidR="006334BF" w:rsidRPr="003075B1">
        <w:rPr>
          <w:rFonts w:ascii="Times New Roman" w:eastAsiaTheme="minorHAnsi" w:hAnsi="Times New Roman" w:cs="Times New Roman"/>
          <w:b w:val="0"/>
          <w:bCs w:val="0"/>
          <w:sz w:val="24"/>
          <w:szCs w:val="24"/>
        </w:rPr>
        <w:t xml:space="preserve">consumption loans, educational loans, </w:t>
      </w:r>
      <w:r w:rsidR="00996068">
        <w:rPr>
          <w:rFonts w:ascii="Times New Roman" w:eastAsiaTheme="minorHAnsi" w:hAnsi="Times New Roman" w:cs="Times New Roman"/>
          <w:b w:val="0"/>
          <w:bCs w:val="0"/>
          <w:sz w:val="24"/>
          <w:szCs w:val="24"/>
        </w:rPr>
        <w:t>f</w:t>
      </w:r>
      <w:r w:rsidR="002C6FDE" w:rsidRPr="003075B1">
        <w:rPr>
          <w:rFonts w:ascii="Times New Roman" w:hAnsi="Times New Roman" w:cs="Times New Roman"/>
          <w:b w:val="0"/>
          <w:bCs w:val="0"/>
          <w:sz w:val="24"/>
          <w:szCs w:val="24"/>
        </w:rPr>
        <w:t>inancial</w:t>
      </w:r>
      <w:r w:rsidR="002C6FDE" w:rsidRPr="003075B1">
        <w:rPr>
          <w:rFonts w:ascii="Times New Roman" w:hAnsi="Times New Roman" w:cs="Times New Roman"/>
          <w:b w:val="0"/>
          <w:bCs w:val="0"/>
          <w:sz w:val="24"/>
          <w:szCs w:val="24"/>
          <w:rtl/>
        </w:rPr>
        <w:t xml:space="preserve"> </w:t>
      </w:r>
      <w:r w:rsidR="002C6FDE" w:rsidRPr="003075B1">
        <w:rPr>
          <w:rFonts w:ascii="Times New Roman" w:hAnsi="Times New Roman" w:cs="Times New Roman"/>
          <w:b w:val="0"/>
          <w:bCs w:val="0"/>
          <w:sz w:val="24"/>
          <w:szCs w:val="24"/>
        </w:rPr>
        <w:t xml:space="preserve">leasing, </w:t>
      </w:r>
      <w:r w:rsidRPr="003075B1">
        <w:rPr>
          <w:rFonts w:ascii="Times New Roman" w:eastAsiaTheme="minorHAnsi" w:hAnsi="Times New Roman" w:cs="Times New Roman"/>
          <w:b w:val="0"/>
          <w:bCs w:val="0"/>
          <w:sz w:val="24"/>
          <w:szCs w:val="24"/>
        </w:rPr>
        <w:t xml:space="preserve">small business facilities </w:t>
      </w:r>
      <w:r w:rsidR="002C6FDE" w:rsidRPr="003075B1">
        <w:rPr>
          <w:rFonts w:ascii="Times New Roman" w:hAnsi="Times New Roman" w:cs="Times New Roman"/>
          <w:b w:val="0"/>
          <w:bCs w:val="0"/>
          <w:sz w:val="24"/>
          <w:szCs w:val="24"/>
          <w:lang w:val="en"/>
        </w:rPr>
        <w:t xml:space="preserve">including commercial real estate loans granted to them, </w:t>
      </w:r>
      <w:r w:rsidR="002C6FDE" w:rsidRPr="003075B1">
        <w:rPr>
          <w:rFonts w:ascii="Times New Roman" w:eastAsiaTheme="minorHAnsi" w:hAnsi="Times New Roman" w:cs="Times New Roman"/>
          <w:b w:val="0"/>
          <w:bCs w:val="0"/>
          <w:sz w:val="24"/>
          <w:szCs w:val="24"/>
        </w:rPr>
        <w:t xml:space="preserve">others (any </w:t>
      </w:r>
      <w:r w:rsidR="002C6FDE" w:rsidRPr="003075B1">
        <w:rPr>
          <w:rFonts w:ascii="Times New Roman" w:hAnsi="Times New Roman" w:cs="Times New Roman"/>
          <w:b w:val="0"/>
          <w:bCs w:val="0"/>
          <w:sz w:val="24"/>
          <w:szCs w:val="24"/>
          <w:lang w:val="en"/>
        </w:rPr>
        <w:t xml:space="preserve">credit with similar characteristics </w:t>
      </w:r>
      <w:r w:rsidR="002C6FDE" w:rsidRPr="003075B1">
        <w:rPr>
          <w:rFonts w:ascii="Times New Roman" w:hAnsi="Times New Roman" w:cs="Times New Roman"/>
          <w:b w:val="0"/>
          <w:bCs w:val="0"/>
          <w:sz w:val="24"/>
          <w:szCs w:val="24"/>
          <w:lang w:val="en"/>
        </w:rPr>
        <w:lastRenderedPageBreak/>
        <w:t>to the products above and after obtaining the prior approval of the Central Bank).</w:t>
      </w:r>
    </w:p>
    <w:p w:rsidR="002C6FDE" w:rsidRPr="000E628F" w:rsidRDefault="002C6FDE" w:rsidP="000E628F">
      <w:pPr>
        <w:pStyle w:val="ListParagraph"/>
        <w:numPr>
          <w:ilvl w:val="0"/>
          <w:numId w:val="14"/>
        </w:numPr>
        <w:autoSpaceDE w:val="0"/>
        <w:autoSpaceDN w:val="0"/>
        <w:bidi w:val="0"/>
        <w:adjustRightInd w:val="0"/>
        <w:spacing w:after="0" w:line="276" w:lineRule="auto"/>
        <w:ind w:left="3060" w:hanging="450"/>
        <w:rPr>
          <w:rFonts w:ascii="Times New Roman" w:eastAsiaTheme="minorHAnsi" w:hAnsi="Times New Roman" w:cs="Times New Roman"/>
          <w:b w:val="0"/>
          <w:bCs w:val="0"/>
          <w:sz w:val="24"/>
          <w:szCs w:val="24"/>
          <w:lang w:val="en"/>
        </w:rPr>
      </w:pPr>
      <w:r w:rsidRPr="000E628F">
        <w:rPr>
          <w:rFonts w:ascii="Times New Roman" w:eastAsiaTheme="minorHAnsi" w:hAnsi="Times New Roman" w:cs="Times New Roman"/>
          <w:b w:val="0"/>
          <w:bCs w:val="0"/>
          <w:sz w:val="24"/>
          <w:szCs w:val="24"/>
        </w:rPr>
        <w:t>Granularity criterion:</w:t>
      </w:r>
      <w:r w:rsidR="00996068" w:rsidRPr="000E628F">
        <w:rPr>
          <w:rFonts w:ascii="Times New Roman" w:hAnsi="Times New Roman" w:cs="Times New Roman"/>
          <w:b w:val="0"/>
          <w:bCs w:val="0"/>
          <w:sz w:val="24"/>
          <w:szCs w:val="24"/>
          <w:lang w:val="en"/>
        </w:rPr>
        <w:t xml:space="preserve"> t</w:t>
      </w:r>
      <w:r w:rsidRPr="000E628F">
        <w:rPr>
          <w:rFonts w:ascii="Times New Roman" w:hAnsi="Times New Roman" w:cs="Times New Roman"/>
          <w:b w:val="0"/>
          <w:bCs w:val="0"/>
          <w:sz w:val="24"/>
          <w:szCs w:val="24"/>
          <w:lang w:val="en"/>
        </w:rPr>
        <w:t>o be a well-</w:t>
      </w:r>
      <w:r w:rsidRPr="000E628F">
        <w:rPr>
          <w:rFonts w:ascii="Times New Roman" w:hAnsi="Times New Roman" w:cs="Times New Roman"/>
          <w:b w:val="0"/>
          <w:bCs w:val="0"/>
          <w:sz w:val="24"/>
          <w:szCs w:val="24"/>
        </w:rPr>
        <w:t xml:space="preserve"> diversified</w:t>
      </w:r>
      <w:r w:rsidRPr="000E628F">
        <w:rPr>
          <w:rFonts w:ascii="Times New Roman" w:hAnsi="Times New Roman" w:cs="Times New Roman"/>
          <w:b w:val="0"/>
          <w:bCs w:val="0"/>
          <w:sz w:val="24"/>
          <w:szCs w:val="24"/>
          <w:lang w:val="en"/>
        </w:rPr>
        <w:t xml:space="preserve"> retail portfolio, </w:t>
      </w:r>
      <w:r w:rsidR="0075612D" w:rsidRPr="000E628F">
        <w:rPr>
          <w:rFonts w:ascii="Times New Roman" w:hAnsi="Times New Roman" w:cs="Times New Roman"/>
          <w:b w:val="0"/>
          <w:bCs w:val="0"/>
          <w:sz w:val="24"/>
          <w:szCs w:val="24"/>
          <w:lang w:val="en"/>
        </w:rPr>
        <w:t>so</w:t>
      </w:r>
      <w:r w:rsidRPr="000E628F">
        <w:rPr>
          <w:rFonts w:ascii="Times New Roman" w:hAnsi="Times New Roman" w:cs="Times New Roman"/>
          <w:b w:val="0"/>
          <w:bCs w:val="0"/>
          <w:sz w:val="24"/>
          <w:szCs w:val="24"/>
          <w:lang w:val="en"/>
        </w:rPr>
        <w:t xml:space="preserve"> that no aggregate</w:t>
      </w:r>
      <w:r w:rsidRPr="000E628F">
        <w:rPr>
          <w:rFonts w:ascii="Times New Roman" w:eastAsiaTheme="minorHAnsi" w:hAnsi="Times New Roman" w:cs="Times New Roman"/>
          <w:b w:val="0"/>
          <w:bCs w:val="0"/>
          <w:sz w:val="24"/>
          <w:szCs w:val="24"/>
        </w:rPr>
        <w:t xml:space="preserve"> exposure to one </w:t>
      </w:r>
      <w:r w:rsidR="000E628F" w:rsidRPr="000E628F">
        <w:rPr>
          <w:rFonts w:ascii="Times New Roman" w:eastAsiaTheme="minorHAnsi" w:hAnsi="Times New Roman" w:cs="Times New Roman"/>
          <w:b w:val="0"/>
          <w:bCs w:val="0"/>
          <w:sz w:val="24"/>
          <w:szCs w:val="24"/>
        </w:rPr>
        <w:t>client</w:t>
      </w:r>
      <w:r w:rsidRPr="000E628F">
        <w:rPr>
          <w:rFonts w:ascii="Times New Roman" w:eastAsiaTheme="minorHAnsi" w:hAnsi="Times New Roman" w:cs="Times New Roman"/>
          <w:b w:val="0"/>
          <w:bCs w:val="0"/>
          <w:sz w:val="24"/>
          <w:szCs w:val="24"/>
        </w:rPr>
        <w:t xml:space="preserve"> can exceed 0.2% of the overall retail </w:t>
      </w:r>
      <w:r w:rsidR="009170DA" w:rsidRPr="000E628F">
        <w:rPr>
          <w:rFonts w:ascii="Times New Roman" w:eastAsiaTheme="minorHAnsi" w:hAnsi="Times New Roman" w:cs="Times New Roman"/>
          <w:b w:val="0"/>
          <w:bCs w:val="0"/>
          <w:sz w:val="24"/>
          <w:szCs w:val="24"/>
        </w:rPr>
        <w:t>portfolio</w:t>
      </w:r>
      <w:r w:rsidRPr="000E628F">
        <w:rPr>
          <w:rFonts w:ascii="Times New Roman" w:hAnsi="Times New Roman" w:cs="Times New Roman"/>
          <w:b w:val="0"/>
          <w:bCs w:val="0"/>
          <w:sz w:val="24"/>
          <w:szCs w:val="24"/>
          <w:lang w:val="en"/>
        </w:rPr>
        <w:t>, and it is calculated at the level of the geographical region / country</w:t>
      </w:r>
      <w:r w:rsidR="009170DA" w:rsidRPr="000E628F">
        <w:rPr>
          <w:rFonts w:ascii="Times New Roman" w:hAnsi="Times New Roman" w:cs="Times New Roman"/>
          <w:b w:val="0"/>
          <w:bCs w:val="0"/>
          <w:sz w:val="24"/>
          <w:szCs w:val="24"/>
          <w:lang w:val="en"/>
        </w:rPr>
        <w:t>.</w:t>
      </w:r>
    </w:p>
    <w:p w:rsidR="009170DA" w:rsidRPr="003075B1" w:rsidRDefault="009170DA" w:rsidP="000E628F">
      <w:pPr>
        <w:pStyle w:val="ListParagraph"/>
        <w:numPr>
          <w:ilvl w:val="0"/>
          <w:numId w:val="14"/>
        </w:numPr>
        <w:autoSpaceDE w:val="0"/>
        <w:autoSpaceDN w:val="0"/>
        <w:bidi w:val="0"/>
        <w:adjustRightInd w:val="0"/>
        <w:spacing w:after="0" w:line="276" w:lineRule="auto"/>
        <w:ind w:left="3060" w:hanging="450"/>
        <w:rPr>
          <w:rFonts w:ascii="Times New Roman" w:eastAsiaTheme="minorHAnsi" w:hAnsi="Times New Roman" w:cs="Times New Roman"/>
          <w:b w:val="0"/>
          <w:bCs w:val="0"/>
          <w:sz w:val="24"/>
          <w:szCs w:val="24"/>
          <w:lang w:val="en"/>
        </w:rPr>
      </w:pPr>
      <w:r w:rsidRPr="003075B1">
        <w:rPr>
          <w:rFonts w:ascii="Times New Roman" w:hAnsi="Times New Roman" w:cs="Times New Roman"/>
          <w:b w:val="0"/>
          <w:bCs w:val="0"/>
          <w:sz w:val="24"/>
          <w:szCs w:val="24"/>
          <w:lang w:val="en"/>
        </w:rPr>
        <w:t>Ma</w:t>
      </w:r>
      <w:r w:rsidR="003E1267">
        <w:rPr>
          <w:rFonts w:ascii="Times New Roman" w:hAnsi="Times New Roman" w:cs="Times New Roman"/>
          <w:b w:val="0"/>
          <w:bCs w:val="0"/>
          <w:sz w:val="24"/>
          <w:szCs w:val="24"/>
          <w:lang w:val="en"/>
        </w:rPr>
        <w:t>ximum value criterion: t</w:t>
      </w:r>
      <w:r w:rsidRPr="003075B1">
        <w:rPr>
          <w:rFonts w:ascii="Times New Roman" w:hAnsi="Times New Roman" w:cs="Times New Roman"/>
          <w:b w:val="0"/>
          <w:bCs w:val="0"/>
          <w:sz w:val="24"/>
          <w:szCs w:val="24"/>
          <w:lang w:val="en"/>
        </w:rPr>
        <w:t>he total credit (excluding housing loans</w:t>
      </w:r>
      <w:r w:rsidRPr="000E628F">
        <w:rPr>
          <w:rFonts w:ascii="Times New Roman" w:hAnsi="Times New Roman" w:cs="Times New Roman"/>
          <w:b w:val="0"/>
          <w:bCs w:val="0"/>
          <w:sz w:val="24"/>
          <w:szCs w:val="24"/>
          <w:lang w:val="en"/>
        </w:rPr>
        <w:t xml:space="preserve">) granted </w:t>
      </w:r>
      <w:r w:rsidRPr="000E628F">
        <w:rPr>
          <w:rFonts w:ascii="Times New Roman" w:eastAsiaTheme="minorHAnsi" w:hAnsi="Times New Roman" w:cs="Times New Roman"/>
          <w:b w:val="0"/>
          <w:bCs w:val="0"/>
          <w:sz w:val="24"/>
          <w:szCs w:val="24"/>
        </w:rPr>
        <w:t xml:space="preserve">to one </w:t>
      </w:r>
      <w:r w:rsidR="000E628F" w:rsidRPr="000E628F">
        <w:rPr>
          <w:rFonts w:ascii="Times New Roman" w:eastAsiaTheme="minorHAnsi" w:hAnsi="Times New Roman" w:cs="Times New Roman"/>
          <w:b w:val="0"/>
          <w:bCs w:val="0"/>
          <w:sz w:val="24"/>
          <w:szCs w:val="24"/>
        </w:rPr>
        <w:t xml:space="preserve">client </w:t>
      </w:r>
      <w:r w:rsidRPr="003075B1">
        <w:rPr>
          <w:rFonts w:ascii="Times New Roman" w:hAnsi="Times New Roman" w:cs="Times New Roman"/>
          <w:b w:val="0"/>
          <w:bCs w:val="0"/>
          <w:sz w:val="24"/>
          <w:szCs w:val="24"/>
          <w:lang w:val="en"/>
        </w:rPr>
        <w:t xml:space="preserve">(whether at the level of the individual and / or small </w:t>
      </w:r>
      <w:r w:rsidRPr="003075B1">
        <w:rPr>
          <w:rFonts w:ascii="Times New Roman" w:eastAsiaTheme="minorHAnsi" w:hAnsi="Times New Roman" w:cs="Times New Roman"/>
          <w:b w:val="0"/>
          <w:bCs w:val="0"/>
          <w:sz w:val="24"/>
          <w:szCs w:val="24"/>
        </w:rPr>
        <w:t>business</w:t>
      </w:r>
      <w:r w:rsidRPr="003075B1">
        <w:rPr>
          <w:rFonts w:ascii="Times New Roman" w:hAnsi="Times New Roman" w:cs="Times New Roman"/>
          <w:b w:val="0"/>
          <w:bCs w:val="0"/>
          <w:sz w:val="24"/>
          <w:szCs w:val="24"/>
          <w:lang w:val="en"/>
        </w:rPr>
        <w:t xml:space="preserve">) does not exceed (250) thousand </w:t>
      </w:r>
      <w:r w:rsidR="000E628F">
        <w:rPr>
          <w:rFonts w:ascii="Times New Roman" w:hAnsi="Times New Roman" w:cs="Times New Roman"/>
          <w:b w:val="0"/>
          <w:bCs w:val="0"/>
          <w:sz w:val="24"/>
          <w:szCs w:val="24"/>
          <w:lang w:val="en"/>
        </w:rPr>
        <w:t>JD</w:t>
      </w:r>
      <w:r w:rsidRPr="003075B1">
        <w:rPr>
          <w:rFonts w:ascii="Times New Roman" w:hAnsi="Times New Roman" w:cs="Times New Roman"/>
          <w:b w:val="0"/>
          <w:bCs w:val="0"/>
          <w:sz w:val="24"/>
          <w:szCs w:val="24"/>
          <w:lang w:val="en"/>
        </w:rPr>
        <w:t xml:space="preserve"> at the level of a single bank.</w:t>
      </w:r>
    </w:p>
    <w:p w:rsidR="009170DA" w:rsidRPr="000E628F" w:rsidRDefault="0007017D" w:rsidP="00CA40EF">
      <w:pPr>
        <w:pStyle w:val="ListParagraph"/>
        <w:numPr>
          <w:ilvl w:val="0"/>
          <w:numId w:val="3"/>
        </w:numPr>
        <w:autoSpaceDE w:val="0"/>
        <w:autoSpaceDN w:val="0"/>
        <w:bidi w:val="0"/>
        <w:adjustRightInd w:val="0"/>
        <w:spacing w:after="0" w:line="276" w:lineRule="auto"/>
        <w:ind w:left="2610" w:hanging="450"/>
        <w:rPr>
          <w:rFonts w:ascii="Times New Roman" w:eastAsiaTheme="minorHAnsi" w:hAnsi="Times New Roman" w:cs="Times New Roman"/>
          <w:b w:val="0"/>
          <w:bCs w:val="0"/>
          <w:sz w:val="24"/>
          <w:szCs w:val="24"/>
        </w:rPr>
      </w:pPr>
      <w:r w:rsidRPr="000E628F">
        <w:rPr>
          <w:rFonts w:ascii="Times New Roman" w:eastAsiaTheme="minorHAnsi" w:hAnsi="Times New Roman" w:cs="Times New Roman"/>
          <w:b w:val="0"/>
          <w:bCs w:val="0"/>
          <w:sz w:val="24"/>
          <w:szCs w:val="24"/>
        </w:rPr>
        <w:t>None of the following are included in this portfolio:</w:t>
      </w:r>
    </w:p>
    <w:p w:rsidR="00052AB3" w:rsidRPr="000E628F" w:rsidRDefault="003E1267" w:rsidP="003E1267">
      <w:pPr>
        <w:pStyle w:val="ListParagraph"/>
        <w:numPr>
          <w:ilvl w:val="1"/>
          <w:numId w:val="1"/>
        </w:numPr>
        <w:autoSpaceDE w:val="0"/>
        <w:autoSpaceDN w:val="0"/>
        <w:bidi w:val="0"/>
        <w:adjustRightInd w:val="0"/>
        <w:spacing w:after="0" w:line="276" w:lineRule="auto"/>
        <w:ind w:left="3060" w:hanging="450"/>
        <w:rPr>
          <w:rFonts w:ascii="Times New Roman" w:hAnsi="Times New Roman" w:cs="Times New Roman"/>
          <w:b w:val="0"/>
          <w:bCs w:val="0"/>
          <w:sz w:val="24"/>
          <w:szCs w:val="24"/>
          <w:lang w:val="en"/>
        </w:rPr>
      </w:pPr>
      <w:r w:rsidRPr="000E628F">
        <w:rPr>
          <w:rFonts w:ascii="Times New Roman" w:hAnsi="Times New Roman" w:cs="Times New Roman"/>
          <w:b w:val="0"/>
          <w:bCs w:val="0"/>
          <w:sz w:val="24"/>
          <w:szCs w:val="24"/>
          <w:lang w:val="en"/>
        </w:rPr>
        <w:t>Eligible housing l</w:t>
      </w:r>
      <w:r w:rsidR="00052AB3" w:rsidRPr="000E628F">
        <w:rPr>
          <w:rFonts w:ascii="Times New Roman" w:hAnsi="Times New Roman" w:cs="Times New Roman"/>
          <w:b w:val="0"/>
          <w:bCs w:val="0"/>
          <w:sz w:val="24"/>
          <w:szCs w:val="24"/>
          <w:lang w:val="en"/>
        </w:rPr>
        <w:t xml:space="preserve">oans </w:t>
      </w:r>
      <w:r w:rsidRPr="000E628F">
        <w:rPr>
          <w:rFonts w:ascii="Times New Roman" w:hAnsi="Times New Roman" w:cs="Times New Roman"/>
          <w:b w:val="0"/>
          <w:bCs w:val="0"/>
          <w:sz w:val="24"/>
          <w:szCs w:val="24"/>
          <w:lang w:val="en"/>
        </w:rPr>
        <w:t>c</w:t>
      </w:r>
      <w:r w:rsidR="00052AB3" w:rsidRPr="000E628F">
        <w:rPr>
          <w:rFonts w:ascii="Times New Roman" w:hAnsi="Times New Roman" w:cs="Times New Roman"/>
          <w:b w:val="0"/>
          <w:bCs w:val="0"/>
          <w:sz w:val="24"/>
          <w:szCs w:val="24"/>
          <w:lang w:val="en"/>
        </w:rPr>
        <w:t>laims.</w:t>
      </w:r>
    </w:p>
    <w:p w:rsidR="00052AB3" w:rsidRPr="000E628F" w:rsidRDefault="00052AB3" w:rsidP="00CA40EF">
      <w:pPr>
        <w:pStyle w:val="ListParagraph"/>
        <w:numPr>
          <w:ilvl w:val="1"/>
          <w:numId w:val="1"/>
        </w:numPr>
        <w:autoSpaceDE w:val="0"/>
        <w:autoSpaceDN w:val="0"/>
        <w:bidi w:val="0"/>
        <w:adjustRightInd w:val="0"/>
        <w:spacing w:after="0" w:line="276" w:lineRule="auto"/>
        <w:ind w:left="3060" w:hanging="450"/>
        <w:rPr>
          <w:rFonts w:ascii="Times New Roman" w:hAnsi="Times New Roman" w:cs="Times New Roman"/>
          <w:b w:val="0"/>
          <w:bCs w:val="0"/>
          <w:sz w:val="24"/>
          <w:szCs w:val="24"/>
          <w:lang w:val="en"/>
        </w:rPr>
      </w:pPr>
      <w:r w:rsidRPr="000E628F">
        <w:rPr>
          <w:rFonts w:ascii="Times New Roman" w:hAnsi="Times New Roman" w:cs="Times New Roman"/>
          <w:b w:val="0"/>
          <w:bCs w:val="0"/>
          <w:sz w:val="24"/>
          <w:szCs w:val="24"/>
          <w:lang w:val="en"/>
        </w:rPr>
        <w:t>Debt bonds issued by small enterprises.</w:t>
      </w:r>
    </w:p>
    <w:p w:rsidR="00052AB3" w:rsidRPr="000E628F" w:rsidRDefault="00052AB3" w:rsidP="00CA40EF">
      <w:pPr>
        <w:pStyle w:val="ListParagraph"/>
        <w:numPr>
          <w:ilvl w:val="1"/>
          <w:numId w:val="1"/>
        </w:numPr>
        <w:autoSpaceDE w:val="0"/>
        <w:autoSpaceDN w:val="0"/>
        <w:bidi w:val="0"/>
        <w:adjustRightInd w:val="0"/>
        <w:spacing w:after="0" w:line="276" w:lineRule="auto"/>
        <w:ind w:left="3060" w:hanging="450"/>
        <w:rPr>
          <w:rFonts w:ascii="Times New Roman" w:hAnsi="Times New Roman" w:cs="Times New Roman"/>
          <w:b w:val="0"/>
          <w:bCs w:val="0"/>
          <w:sz w:val="24"/>
          <w:szCs w:val="24"/>
          <w:lang w:val="en"/>
        </w:rPr>
      </w:pPr>
      <w:r w:rsidRPr="000E628F">
        <w:rPr>
          <w:rFonts w:ascii="Times New Roman" w:hAnsi="Times New Roman" w:cs="Times New Roman"/>
          <w:b w:val="0"/>
          <w:bCs w:val="0"/>
          <w:sz w:val="24"/>
          <w:szCs w:val="24"/>
          <w:lang w:val="en"/>
        </w:rPr>
        <w:t>Any credit granted (within a product) for speculation, such as financing the purchase of stocks and / or lands, which aims to benefit from price differences in the foreseeable future.</w:t>
      </w:r>
    </w:p>
    <w:p w:rsidR="00052AB3" w:rsidRPr="000E628F" w:rsidRDefault="00052AB3" w:rsidP="00CA40EF">
      <w:pPr>
        <w:pStyle w:val="ListParagraph"/>
        <w:numPr>
          <w:ilvl w:val="1"/>
          <w:numId w:val="1"/>
        </w:numPr>
        <w:autoSpaceDE w:val="0"/>
        <w:autoSpaceDN w:val="0"/>
        <w:bidi w:val="0"/>
        <w:adjustRightInd w:val="0"/>
        <w:spacing w:after="0" w:line="276" w:lineRule="auto"/>
        <w:ind w:left="3060" w:hanging="450"/>
        <w:rPr>
          <w:rFonts w:ascii="Times New Roman" w:hAnsi="Times New Roman" w:cs="Times New Roman"/>
          <w:b w:val="0"/>
          <w:bCs w:val="0"/>
          <w:sz w:val="24"/>
          <w:szCs w:val="24"/>
          <w:lang w:val="en"/>
        </w:rPr>
      </w:pPr>
      <w:r w:rsidRPr="000E628F">
        <w:rPr>
          <w:rFonts w:ascii="Times New Roman" w:hAnsi="Times New Roman" w:cs="Times New Roman"/>
          <w:b w:val="0"/>
          <w:bCs w:val="0"/>
          <w:sz w:val="24"/>
          <w:szCs w:val="24"/>
          <w:lang w:val="en"/>
        </w:rPr>
        <w:t>Any claims over an original life of more than seven years.</w:t>
      </w:r>
    </w:p>
    <w:p w:rsidR="00052AB3" w:rsidRPr="000E628F" w:rsidRDefault="00052AB3" w:rsidP="00CA40EF">
      <w:pPr>
        <w:pStyle w:val="ListParagraph"/>
        <w:numPr>
          <w:ilvl w:val="1"/>
          <w:numId w:val="1"/>
        </w:numPr>
        <w:autoSpaceDE w:val="0"/>
        <w:autoSpaceDN w:val="0"/>
        <w:bidi w:val="0"/>
        <w:adjustRightInd w:val="0"/>
        <w:spacing w:after="0" w:line="276" w:lineRule="auto"/>
        <w:ind w:left="3060" w:hanging="450"/>
        <w:rPr>
          <w:rFonts w:ascii="Times New Roman" w:hAnsi="Times New Roman" w:cs="Times New Roman"/>
          <w:b w:val="0"/>
          <w:bCs w:val="0"/>
          <w:sz w:val="24"/>
          <w:szCs w:val="24"/>
          <w:lang w:val="en"/>
        </w:rPr>
      </w:pPr>
      <w:r w:rsidRPr="000E628F">
        <w:rPr>
          <w:rFonts w:ascii="Times New Roman" w:hAnsi="Times New Roman" w:cs="Times New Roman"/>
          <w:b w:val="0"/>
          <w:bCs w:val="0"/>
          <w:sz w:val="24"/>
          <w:szCs w:val="24"/>
          <w:lang w:val="en"/>
        </w:rPr>
        <w:t>Any client (individual) whose debt burden ratio - when granting and / or renewing facilities - exceeds 50% of his net monthly income recorded in the client's file after deducting income tax and social security contributions. The debt burden ratio means the total amount owed on the customer to his net monthly income after the above deductions.</w:t>
      </w:r>
    </w:p>
    <w:p w:rsidR="00052AB3" w:rsidRPr="000E628F" w:rsidRDefault="00052AB3" w:rsidP="00CA40EF">
      <w:pPr>
        <w:pStyle w:val="ListParagraph"/>
        <w:numPr>
          <w:ilvl w:val="0"/>
          <w:numId w:val="3"/>
        </w:numPr>
        <w:autoSpaceDE w:val="0"/>
        <w:autoSpaceDN w:val="0"/>
        <w:bidi w:val="0"/>
        <w:adjustRightInd w:val="0"/>
        <w:spacing w:after="0" w:line="276" w:lineRule="auto"/>
        <w:ind w:left="2610" w:hanging="450"/>
        <w:rPr>
          <w:rFonts w:ascii="Times New Roman" w:eastAsiaTheme="minorHAnsi" w:hAnsi="Times New Roman" w:cs="Times New Roman"/>
          <w:b w:val="0"/>
          <w:bCs w:val="0"/>
          <w:sz w:val="24"/>
          <w:szCs w:val="24"/>
        </w:rPr>
      </w:pPr>
      <w:r w:rsidRPr="000E628F">
        <w:rPr>
          <w:rFonts w:ascii="Times New Roman" w:eastAsiaTheme="minorHAnsi" w:hAnsi="Times New Roman" w:cs="Times New Roman"/>
          <w:b w:val="0"/>
          <w:bCs w:val="0"/>
          <w:sz w:val="24"/>
          <w:szCs w:val="24"/>
        </w:rPr>
        <w:t xml:space="preserve">Retail portfolio that do not meet all of the above conditions are given a risk weight (100%) and are included under the item “Other retail portfolio”. </w:t>
      </w:r>
    </w:p>
    <w:bookmarkEnd w:id="29"/>
    <w:bookmarkEnd w:id="30"/>
    <w:bookmarkEnd w:id="31"/>
    <w:p w:rsidR="00540457" w:rsidRPr="003075B1" w:rsidRDefault="00540457" w:rsidP="0007017D">
      <w:pPr>
        <w:spacing w:after="0" w:line="276" w:lineRule="auto"/>
        <w:rPr>
          <w:rFonts w:ascii="Times New Roman" w:hAnsi="Times New Roman" w:cs="Times New Roman"/>
          <w:b w:val="0"/>
          <w:bCs w:val="0"/>
          <w:sz w:val="16"/>
          <w:szCs w:val="16"/>
        </w:rPr>
      </w:pPr>
    </w:p>
    <w:p w:rsidR="00540457" w:rsidRPr="000E628F" w:rsidRDefault="008D2A88" w:rsidP="00CA40EF">
      <w:pPr>
        <w:bidi w:val="0"/>
        <w:spacing w:after="0" w:line="276" w:lineRule="auto"/>
        <w:ind w:left="2160" w:hanging="900"/>
        <w:rPr>
          <w:rFonts w:ascii="Times New Roman" w:hAnsi="Times New Roman" w:cs="Times New Roman"/>
          <w:b w:val="0"/>
          <w:bCs w:val="0"/>
          <w:sz w:val="24"/>
          <w:szCs w:val="24"/>
        </w:rPr>
      </w:pPr>
      <w:r w:rsidRPr="003075B1">
        <w:rPr>
          <w:rFonts w:ascii="Times New Roman" w:hAnsi="Times New Roman" w:cs="Times New Roman"/>
          <w:b w:val="0"/>
          <w:bCs w:val="0"/>
          <w:sz w:val="24"/>
          <w:szCs w:val="24"/>
        </w:rPr>
        <w:t xml:space="preserve">2.2.9 </w:t>
      </w:r>
      <w:r w:rsidR="00CA40EF" w:rsidRPr="003075B1">
        <w:rPr>
          <w:rFonts w:ascii="Times New Roman" w:hAnsi="Times New Roman" w:cs="Times New Roman"/>
          <w:b w:val="0"/>
          <w:bCs w:val="0"/>
          <w:sz w:val="24"/>
          <w:szCs w:val="24"/>
        </w:rPr>
        <w:tab/>
      </w:r>
      <w:r w:rsidRPr="003075B1">
        <w:rPr>
          <w:rFonts w:ascii="Times New Roman" w:hAnsi="Times New Roman" w:cs="Times New Roman"/>
          <w:b w:val="0"/>
          <w:bCs w:val="0"/>
          <w:sz w:val="24"/>
          <w:szCs w:val="24"/>
        </w:rPr>
        <w:t>Claims secured by residential property</w:t>
      </w:r>
      <w:r w:rsidR="003E1267">
        <w:rPr>
          <w:rFonts w:ascii="Times New Roman" w:hAnsi="Times New Roman" w:cs="Times New Roman"/>
          <w:b w:val="0"/>
          <w:bCs w:val="0"/>
          <w:sz w:val="24"/>
          <w:szCs w:val="24"/>
        </w:rPr>
        <w:t xml:space="preserve"> </w:t>
      </w:r>
      <w:r w:rsidR="003E1267" w:rsidRPr="000E628F">
        <w:rPr>
          <w:rFonts w:ascii="Times New Roman" w:hAnsi="Times New Roman" w:cs="Times New Roman"/>
          <w:b w:val="0"/>
          <w:bCs w:val="0"/>
          <w:sz w:val="24"/>
          <w:szCs w:val="24"/>
        </w:rPr>
        <w:t>(Including rent-to-own for residential apartments)</w:t>
      </w:r>
      <w:r w:rsidRPr="000E628F">
        <w:rPr>
          <w:rFonts w:ascii="Times New Roman" w:hAnsi="Times New Roman" w:cs="Times New Roman"/>
          <w:b w:val="0"/>
          <w:bCs w:val="0"/>
          <w:sz w:val="24"/>
          <w:szCs w:val="24"/>
        </w:rPr>
        <w:t xml:space="preserve">: </w:t>
      </w:r>
    </w:p>
    <w:p w:rsidR="008D2A88" w:rsidRPr="003075B1" w:rsidRDefault="008D2A88" w:rsidP="00CA40EF">
      <w:pPr>
        <w:bidi w:val="0"/>
        <w:spacing w:after="0" w:line="276" w:lineRule="auto"/>
        <w:ind w:left="2610" w:hanging="450"/>
        <w:rPr>
          <w:rFonts w:ascii="Times New Roman" w:hAnsi="Times New Roman" w:cs="Times New Roman"/>
          <w:b w:val="0"/>
          <w:bCs w:val="0"/>
          <w:sz w:val="24"/>
          <w:szCs w:val="24"/>
        </w:rPr>
      </w:pPr>
      <w:r w:rsidRPr="000E628F">
        <w:rPr>
          <w:rFonts w:ascii="Times New Roman" w:hAnsi="Times New Roman" w:cs="Times New Roman"/>
          <w:b w:val="0"/>
          <w:bCs w:val="0"/>
          <w:sz w:val="24"/>
          <w:szCs w:val="24"/>
        </w:rPr>
        <w:t>-</w:t>
      </w:r>
      <w:r w:rsidRPr="000E628F">
        <w:rPr>
          <w:rFonts w:ascii="Times New Roman" w:hAnsi="Times New Roman" w:cs="Times New Roman"/>
          <w:b w:val="0"/>
          <w:bCs w:val="0"/>
          <w:sz w:val="24"/>
          <w:szCs w:val="24"/>
        </w:rPr>
        <w:tab/>
        <w:t xml:space="preserve">Lending fully secured by mortgages on residential property will be risk weighted at 35%, in the event that all of the following conditions and conditions stipulated in </w:t>
      </w:r>
      <w:r w:rsidR="00CA40EF" w:rsidRPr="000E628F">
        <w:rPr>
          <w:rFonts w:ascii="Times New Roman" w:hAnsi="Times New Roman" w:cs="Times New Roman"/>
          <w:b w:val="0"/>
          <w:bCs w:val="0"/>
          <w:sz w:val="24"/>
          <w:szCs w:val="24"/>
        </w:rPr>
        <w:t>annex</w:t>
      </w:r>
      <w:r w:rsidRPr="000E628F">
        <w:rPr>
          <w:rFonts w:ascii="Times New Roman" w:hAnsi="Times New Roman" w:cs="Times New Roman"/>
          <w:b w:val="0"/>
          <w:bCs w:val="0"/>
          <w:sz w:val="24"/>
          <w:szCs w:val="24"/>
        </w:rPr>
        <w:t xml:space="preserve"> no. (12) are applied:</w:t>
      </w:r>
      <w:r w:rsidRPr="003075B1">
        <w:rPr>
          <w:rFonts w:ascii="Times New Roman" w:hAnsi="Times New Roman" w:cs="Times New Roman"/>
          <w:b w:val="0"/>
          <w:bCs w:val="0"/>
          <w:sz w:val="24"/>
          <w:szCs w:val="24"/>
        </w:rPr>
        <w:t xml:space="preserve"> </w:t>
      </w:r>
    </w:p>
    <w:p w:rsidR="00C663B4" w:rsidRPr="003075B1" w:rsidRDefault="00C663B4" w:rsidP="00CA40EF">
      <w:pPr>
        <w:bidi w:val="0"/>
        <w:spacing w:after="0" w:line="276" w:lineRule="auto"/>
        <w:ind w:left="3060" w:hanging="450"/>
        <w:rPr>
          <w:rFonts w:ascii="Times New Roman" w:hAnsi="Times New Roman" w:cs="Times New Roman"/>
          <w:b w:val="0"/>
          <w:bCs w:val="0"/>
          <w:sz w:val="24"/>
          <w:szCs w:val="24"/>
          <w:lang w:val="en"/>
        </w:rPr>
      </w:pPr>
      <w:r w:rsidRPr="003075B1">
        <w:rPr>
          <w:rFonts w:ascii="Times New Roman" w:hAnsi="Times New Roman" w:cs="Times New Roman"/>
          <w:b w:val="0"/>
          <w:bCs w:val="0"/>
          <w:sz w:val="24"/>
          <w:szCs w:val="24"/>
        </w:rPr>
        <w:t xml:space="preserve">a. </w:t>
      </w:r>
      <w:r w:rsidR="00CA40EF" w:rsidRPr="003075B1">
        <w:rPr>
          <w:rFonts w:ascii="Times New Roman" w:hAnsi="Times New Roman" w:cs="Times New Roman"/>
          <w:b w:val="0"/>
          <w:bCs w:val="0"/>
          <w:sz w:val="24"/>
          <w:szCs w:val="24"/>
        </w:rPr>
        <w:tab/>
      </w:r>
      <w:r w:rsidR="00BD3D21" w:rsidRPr="003075B1">
        <w:rPr>
          <w:rFonts w:ascii="Times New Roman" w:hAnsi="Times New Roman" w:cs="Times New Roman"/>
          <w:b w:val="0"/>
          <w:bCs w:val="0"/>
          <w:sz w:val="24"/>
          <w:szCs w:val="24"/>
          <w:lang w:val="en"/>
        </w:rPr>
        <w:t>Fully secured by mortgage of residential real estate (occupied by the borrower or leased to others and with a maximum of three rental housing units within the same building)</w:t>
      </w:r>
    </w:p>
    <w:p w:rsidR="00BD3D21" w:rsidRPr="003075B1" w:rsidRDefault="00BD3D21" w:rsidP="00CA40EF">
      <w:pPr>
        <w:bidi w:val="0"/>
        <w:spacing w:after="0" w:line="276" w:lineRule="auto"/>
        <w:ind w:left="3060" w:hanging="450"/>
        <w:rPr>
          <w:rFonts w:ascii="Times New Roman" w:hAnsi="Times New Roman" w:cs="Times New Roman"/>
          <w:b w:val="0"/>
          <w:bCs w:val="0"/>
          <w:sz w:val="24"/>
          <w:szCs w:val="24"/>
          <w:lang w:val="en"/>
        </w:rPr>
      </w:pPr>
      <w:r w:rsidRPr="003075B1">
        <w:rPr>
          <w:rFonts w:ascii="Times New Roman" w:hAnsi="Times New Roman" w:cs="Times New Roman"/>
          <w:b w:val="0"/>
          <w:bCs w:val="0"/>
          <w:sz w:val="24"/>
          <w:szCs w:val="24"/>
          <w:lang w:val="en"/>
        </w:rPr>
        <w:t xml:space="preserve">b. </w:t>
      </w:r>
      <w:r w:rsidR="00CA40EF" w:rsidRPr="003075B1">
        <w:rPr>
          <w:rFonts w:ascii="Times New Roman" w:hAnsi="Times New Roman" w:cs="Times New Roman"/>
          <w:b w:val="0"/>
          <w:bCs w:val="0"/>
          <w:sz w:val="24"/>
          <w:szCs w:val="24"/>
          <w:lang w:val="en"/>
        </w:rPr>
        <w:tab/>
      </w:r>
      <w:r w:rsidRPr="003075B1">
        <w:rPr>
          <w:rFonts w:ascii="Times New Roman" w:hAnsi="Times New Roman" w:cs="Times New Roman"/>
          <w:b w:val="0"/>
          <w:bCs w:val="0"/>
          <w:sz w:val="24"/>
          <w:szCs w:val="24"/>
          <w:lang w:val="en"/>
        </w:rPr>
        <w:t>The property is for residential and not for commercial purposes.</w:t>
      </w:r>
    </w:p>
    <w:p w:rsidR="00BD3D21" w:rsidRPr="003075B1" w:rsidRDefault="00BD3D21" w:rsidP="00CA40EF">
      <w:pPr>
        <w:bidi w:val="0"/>
        <w:spacing w:after="0" w:line="276" w:lineRule="auto"/>
        <w:ind w:left="3060" w:hanging="450"/>
        <w:rPr>
          <w:rFonts w:ascii="Times New Roman" w:hAnsi="Times New Roman" w:cs="Times New Roman"/>
          <w:b w:val="0"/>
          <w:bCs w:val="0"/>
          <w:sz w:val="24"/>
          <w:szCs w:val="24"/>
          <w:lang w:val="en"/>
        </w:rPr>
      </w:pPr>
      <w:r w:rsidRPr="003075B1">
        <w:rPr>
          <w:rFonts w:ascii="Times New Roman" w:hAnsi="Times New Roman" w:cs="Times New Roman"/>
          <w:b w:val="0"/>
          <w:bCs w:val="0"/>
          <w:sz w:val="24"/>
          <w:szCs w:val="24"/>
          <w:lang w:val="en"/>
        </w:rPr>
        <w:t>c.</w:t>
      </w:r>
      <w:r w:rsidRPr="003075B1">
        <w:rPr>
          <w:rFonts w:ascii="Times New Roman" w:hAnsi="Times New Roman" w:cs="Times New Roman"/>
          <w:b w:val="0"/>
          <w:bCs w:val="0"/>
          <w:sz w:val="24"/>
          <w:szCs w:val="24"/>
          <w:lang w:val="en"/>
        </w:rPr>
        <w:tab/>
        <w:t>The purpose of the loan is to build, buy, expand or renew a residential property (it does not include personal loans secured by real estate mortgages).</w:t>
      </w:r>
    </w:p>
    <w:p w:rsidR="00BD3D21" w:rsidRPr="003075B1" w:rsidRDefault="00BD3D21" w:rsidP="00CA40EF">
      <w:pPr>
        <w:bidi w:val="0"/>
        <w:spacing w:after="0" w:line="276" w:lineRule="auto"/>
        <w:ind w:left="3060" w:hanging="450"/>
        <w:rPr>
          <w:rFonts w:ascii="Times New Roman" w:hAnsi="Times New Roman" w:cs="Times New Roman"/>
          <w:b w:val="0"/>
          <w:bCs w:val="0"/>
          <w:sz w:val="24"/>
          <w:szCs w:val="24"/>
          <w:lang w:val="en"/>
        </w:rPr>
      </w:pPr>
      <w:r w:rsidRPr="003075B1">
        <w:rPr>
          <w:rFonts w:ascii="Times New Roman" w:hAnsi="Times New Roman" w:cs="Times New Roman"/>
          <w:b w:val="0"/>
          <w:bCs w:val="0"/>
          <w:sz w:val="24"/>
          <w:szCs w:val="24"/>
          <w:lang w:val="en"/>
        </w:rPr>
        <w:t>d.</w:t>
      </w:r>
      <w:r w:rsidRPr="003075B1">
        <w:rPr>
          <w:rFonts w:ascii="Times New Roman" w:hAnsi="Times New Roman" w:cs="Times New Roman"/>
          <w:b w:val="0"/>
          <w:bCs w:val="0"/>
          <w:sz w:val="24"/>
          <w:szCs w:val="24"/>
          <w:lang w:val="en"/>
        </w:rPr>
        <w:tab/>
        <w:t>That the loan to value does not exceed (80%) of the estimated value of the property or the purchasing value, whichever is less, upon granting.</w:t>
      </w:r>
    </w:p>
    <w:p w:rsidR="00BD3D21" w:rsidRPr="003075B1" w:rsidRDefault="00BD3D21" w:rsidP="00CA40EF">
      <w:pPr>
        <w:bidi w:val="0"/>
        <w:spacing w:after="0" w:line="276" w:lineRule="auto"/>
        <w:ind w:left="3060" w:hanging="450"/>
        <w:rPr>
          <w:rFonts w:ascii="Times New Roman" w:hAnsi="Times New Roman" w:cs="Times New Roman"/>
          <w:b w:val="0"/>
          <w:bCs w:val="0"/>
          <w:sz w:val="24"/>
          <w:szCs w:val="24"/>
          <w:lang w:val="en"/>
        </w:rPr>
      </w:pPr>
      <w:r w:rsidRPr="003075B1">
        <w:rPr>
          <w:rFonts w:ascii="Times New Roman" w:hAnsi="Times New Roman" w:cs="Times New Roman"/>
          <w:b w:val="0"/>
          <w:bCs w:val="0"/>
          <w:sz w:val="24"/>
          <w:szCs w:val="24"/>
          <w:lang w:val="en"/>
        </w:rPr>
        <w:lastRenderedPageBreak/>
        <w:t>e.</w:t>
      </w:r>
      <w:r w:rsidRPr="003075B1">
        <w:rPr>
          <w:rFonts w:ascii="Times New Roman" w:hAnsi="Times New Roman" w:cs="Times New Roman"/>
          <w:b w:val="0"/>
          <w:bCs w:val="0"/>
          <w:sz w:val="24"/>
          <w:szCs w:val="24"/>
          <w:lang w:val="en"/>
        </w:rPr>
        <w:tab/>
        <w:t>The property must be owned by an individual or group of individuals.</w:t>
      </w:r>
    </w:p>
    <w:p w:rsidR="00E935D2" w:rsidRPr="003075B1" w:rsidRDefault="00BD3D21" w:rsidP="00CA40EF">
      <w:pPr>
        <w:bidi w:val="0"/>
        <w:spacing w:after="0" w:line="276" w:lineRule="auto"/>
        <w:ind w:left="2610" w:hanging="450"/>
        <w:rPr>
          <w:rFonts w:ascii="Times New Roman" w:hAnsi="Times New Roman" w:cs="Times New Roman"/>
          <w:b w:val="0"/>
          <w:bCs w:val="0"/>
          <w:sz w:val="24"/>
          <w:szCs w:val="24"/>
          <w:lang w:val="en"/>
        </w:rPr>
      </w:pPr>
      <w:r w:rsidRPr="003075B1">
        <w:rPr>
          <w:rFonts w:ascii="Times New Roman" w:hAnsi="Times New Roman" w:cs="Times New Roman"/>
          <w:b w:val="0"/>
          <w:bCs w:val="0"/>
          <w:sz w:val="24"/>
          <w:szCs w:val="24"/>
          <w:lang w:val="en"/>
        </w:rPr>
        <w:t xml:space="preserve">- </w:t>
      </w:r>
      <w:r w:rsidR="00CA40EF" w:rsidRPr="003075B1">
        <w:rPr>
          <w:rFonts w:ascii="Times New Roman" w:hAnsi="Times New Roman" w:cs="Times New Roman"/>
          <w:b w:val="0"/>
          <w:bCs w:val="0"/>
          <w:sz w:val="24"/>
          <w:szCs w:val="24"/>
          <w:lang w:val="en"/>
        </w:rPr>
        <w:tab/>
      </w:r>
      <w:r w:rsidR="00E935D2" w:rsidRPr="000E628F">
        <w:rPr>
          <w:rFonts w:ascii="Times New Roman" w:hAnsi="Times New Roman" w:cs="Times New Roman"/>
          <w:b w:val="0"/>
          <w:bCs w:val="0"/>
          <w:sz w:val="24"/>
          <w:szCs w:val="24"/>
          <w:lang w:val="en"/>
        </w:rPr>
        <w:t xml:space="preserve">The Central Bank will </w:t>
      </w:r>
      <w:r w:rsidR="00E935D2" w:rsidRPr="000E628F">
        <w:rPr>
          <w:rFonts w:ascii="Times New Roman" w:hAnsi="Times New Roman" w:cs="Times New Roman"/>
          <w:b w:val="0"/>
          <w:bCs w:val="0"/>
          <w:sz w:val="24"/>
          <w:szCs w:val="24"/>
        </w:rPr>
        <w:t xml:space="preserve">raise the </w:t>
      </w:r>
      <w:r w:rsidRPr="000E628F">
        <w:rPr>
          <w:rFonts w:ascii="Times New Roman" w:hAnsi="Times New Roman" w:cs="Times New Roman"/>
          <w:b w:val="0"/>
          <w:bCs w:val="0"/>
          <w:sz w:val="24"/>
          <w:szCs w:val="24"/>
          <w:lang w:val="en"/>
        </w:rPr>
        <w:t xml:space="preserve">risk weight in case the losses resulting from the </w:t>
      </w:r>
      <w:r w:rsidR="00E935D2" w:rsidRPr="000E628F">
        <w:rPr>
          <w:rFonts w:ascii="Times New Roman" w:hAnsi="Times New Roman" w:cs="Times New Roman"/>
          <w:b w:val="0"/>
          <w:bCs w:val="0"/>
          <w:sz w:val="24"/>
          <w:szCs w:val="24"/>
          <w:lang w:val="en"/>
        </w:rPr>
        <w:t xml:space="preserve">residential </w:t>
      </w:r>
      <w:r w:rsidRPr="000E628F">
        <w:rPr>
          <w:rFonts w:ascii="Times New Roman" w:hAnsi="Times New Roman" w:cs="Times New Roman"/>
          <w:b w:val="0"/>
          <w:bCs w:val="0"/>
          <w:sz w:val="24"/>
          <w:szCs w:val="24"/>
          <w:lang w:val="en"/>
        </w:rPr>
        <w:t>loan portfolio is greater than expected, whether at the level of the banking system or a particular bank</w:t>
      </w:r>
      <w:r w:rsidR="00E935D2" w:rsidRPr="000E628F">
        <w:rPr>
          <w:rFonts w:ascii="Times New Roman" w:hAnsi="Times New Roman" w:cs="Times New Roman"/>
          <w:b w:val="0"/>
          <w:bCs w:val="0"/>
          <w:sz w:val="24"/>
          <w:szCs w:val="24"/>
          <w:lang w:val="en"/>
        </w:rPr>
        <w:t>.</w:t>
      </w:r>
    </w:p>
    <w:p w:rsidR="00E935D2" w:rsidRPr="003075B1" w:rsidRDefault="00E935D2" w:rsidP="00CA40EF">
      <w:pPr>
        <w:bidi w:val="0"/>
        <w:spacing w:after="0" w:line="276" w:lineRule="auto"/>
        <w:ind w:left="2610" w:hanging="450"/>
        <w:rPr>
          <w:rFonts w:ascii="Times New Roman" w:hAnsi="Times New Roman" w:cs="Times New Roman"/>
          <w:b w:val="0"/>
          <w:bCs w:val="0"/>
          <w:sz w:val="24"/>
          <w:szCs w:val="24"/>
          <w:lang w:val="en"/>
        </w:rPr>
      </w:pPr>
      <w:r w:rsidRPr="003075B1">
        <w:rPr>
          <w:rFonts w:ascii="Times New Roman" w:hAnsi="Times New Roman" w:cs="Times New Roman"/>
          <w:b w:val="0"/>
          <w:bCs w:val="0"/>
          <w:sz w:val="24"/>
          <w:szCs w:val="24"/>
          <w:lang w:val="en"/>
        </w:rPr>
        <w:t>-</w:t>
      </w:r>
      <w:r w:rsidRPr="003075B1">
        <w:rPr>
          <w:rFonts w:ascii="Times New Roman" w:hAnsi="Times New Roman" w:cs="Times New Roman"/>
          <w:b w:val="0"/>
          <w:bCs w:val="0"/>
          <w:sz w:val="24"/>
          <w:szCs w:val="24"/>
          <w:lang w:val="en"/>
        </w:rPr>
        <w:tab/>
        <w:t xml:space="preserve">In the event that all of the above conditions are not met, the full value of the </w:t>
      </w:r>
      <w:r w:rsidR="0007017D" w:rsidRPr="003075B1">
        <w:rPr>
          <w:rFonts w:ascii="Times New Roman" w:hAnsi="Times New Roman" w:cs="Times New Roman"/>
          <w:b w:val="0"/>
          <w:bCs w:val="0"/>
          <w:sz w:val="24"/>
          <w:szCs w:val="24"/>
          <w:lang w:val="en"/>
        </w:rPr>
        <w:t xml:space="preserve">credit exposure is subject to </w:t>
      </w:r>
      <w:r w:rsidR="0007017D" w:rsidRPr="003075B1">
        <w:rPr>
          <w:rFonts w:ascii="Times New Roman" w:hAnsi="Times New Roman" w:cs="Times New Roman"/>
          <w:b w:val="0"/>
          <w:bCs w:val="0"/>
          <w:sz w:val="24"/>
          <w:szCs w:val="24"/>
        </w:rPr>
        <w:t>1</w:t>
      </w:r>
      <w:r w:rsidR="00982275">
        <w:rPr>
          <w:rFonts w:ascii="Times New Roman" w:hAnsi="Times New Roman" w:cs="Times New Roman"/>
          <w:b w:val="0"/>
          <w:bCs w:val="0"/>
          <w:sz w:val="24"/>
          <w:szCs w:val="24"/>
        </w:rPr>
        <w:t>0</w:t>
      </w:r>
      <w:r w:rsidR="0007017D" w:rsidRPr="003075B1">
        <w:rPr>
          <w:rFonts w:ascii="Times New Roman" w:hAnsi="Times New Roman" w:cs="Times New Roman"/>
          <w:b w:val="0"/>
          <w:bCs w:val="0"/>
          <w:sz w:val="24"/>
          <w:szCs w:val="24"/>
        </w:rPr>
        <w:t xml:space="preserve">0% </w:t>
      </w:r>
      <w:r w:rsidRPr="003075B1">
        <w:rPr>
          <w:rFonts w:ascii="Times New Roman" w:hAnsi="Times New Roman" w:cs="Times New Roman"/>
          <w:b w:val="0"/>
          <w:bCs w:val="0"/>
          <w:sz w:val="24"/>
          <w:szCs w:val="24"/>
          <w:lang w:val="en"/>
        </w:rPr>
        <w:t>risk</w:t>
      </w:r>
      <w:r w:rsidR="0007017D" w:rsidRPr="003075B1">
        <w:rPr>
          <w:rFonts w:ascii="Times New Roman" w:hAnsi="Times New Roman" w:cs="Times New Roman"/>
          <w:b w:val="0"/>
          <w:bCs w:val="0"/>
          <w:sz w:val="24"/>
          <w:szCs w:val="24"/>
          <w:lang w:val="en"/>
        </w:rPr>
        <w:t>-weight.</w:t>
      </w:r>
    </w:p>
    <w:p w:rsidR="00BD3D21" w:rsidRPr="003075B1" w:rsidRDefault="00BD3D21" w:rsidP="0007017D">
      <w:pPr>
        <w:bidi w:val="0"/>
        <w:spacing w:after="0" w:line="276" w:lineRule="auto"/>
        <w:rPr>
          <w:rFonts w:ascii="Times New Roman" w:hAnsi="Times New Roman" w:cs="Times New Roman"/>
          <w:b w:val="0"/>
          <w:bCs w:val="0"/>
          <w:sz w:val="14"/>
          <w:szCs w:val="14"/>
          <w:lang w:val="en"/>
        </w:rPr>
      </w:pPr>
      <w:r w:rsidRPr="003075B1">
        <w:rPr>
          <w:rFonts w:ascii="Times New Roman" w:hAnsi="Times New Roman" w:cs="Times New Roman"/>
          <w:b w:val="0"/>
          <w:bCs w:val="0"/>
          <w:sz w:val="24"/>
          <w:szCs w:val="24"/>
          <w:lang w:val="en"/>
        </w:rPr>
        <w:tab/>
      </w:r>
    </w:p>
    <w:p w:rsidR="00C663B4" w:rsidRPr="003075B1" w:rsidRDefault="00C663B4" w:rsidP="0084521C">
      <w:pPr>
        <w:bidi w:val="0"/>
        <w:spacing w:after="0" w:line="276" w:lineRule="auto"/>
        <w:ind w:left="2160" w:hanging="900"/>
        <w:rPr>
          <w:rFonts w:ascii="Times New Roman" w:hAnsi="Times New Roman" w:cs="Times New Roman"/>
          <w:b w:val="0"/>
          <w:bCs w:val="0"/>
          <w:sz w:val="24"/>
          <w:szCs w:val="24"/>
        </w:rPr>
      </w:pPr>
      <w:r w:rsidRPr="003075B1">
        <w:rPr>
          <w:rFonts w:ascii="Times New Roman" w:hAnsi="Times New Roman" w:cs="Times New Roman"/>
          <w:b w:val="0"/>
          <w:bCs w:val="0"/>
          <w:sz w:val="24"/>
          <w:szCs w:val="24"/>
        </w:rPr>
        <w:t xml:space="preserve">2.2.10 </w:t>
      </w:r>
      <w:r w:rsidR="00CA40EF" w:rsidRPr="003075B1">
        <w:rPr>
          <w:rFonts w:ascii="Times New Roman" w:hAnsi="Times New Roman" w:cs="Times New Roman"/>
          <w:b w:val="0"/>
          <w:bCs w:val="0"/>
          <w:sz w:val="24"/>
          <w:szCs w:val="24"/>
        </w:rPr>
        <w:tab/>
      </w:r>
      <w:r w:rsidRPr="003075B1">
        <w:rPr>
          <w:rFonts w:ascii="Times New Roman" w:hAnsi="Times New Roman" w:cs="Times New Roman"/>
          <w:b w:val="0"/>
          <w:bCs w:val="0"/>
          <w:sz w:val="24"/>
          <w:szCs w:val="24"/>
        </w:rPr>
        <w:t xml:space="preserve">Claims Secured by Commercial Real </w:t>
      </w:r>
      <w:r w:rsidR="00CA40EF" w:rsidRPr="003075B1">
        <w:rPr>
          <w:rFonts w:ascii="Times New Roman" w:hAnsi="Times New Roman" w:cs="Times New Roman"/>
          <w:b w:val="0"/>
          <w:bCs w:val="0"/>
          <w:sz w:val="24"/>
          <w:szCs w:val="24"/>
        </w:rPr>
        <w:t>Estate</w:t>
      </w:r>
      <w:r w:rsidRPr="003075B1">
        <w:rPr>
          <w:rFonts w:ascii="Times New Roman" w:hAnsi="Times New Roman" w:cs="Times New Roman"/>
          <w:b w:val="0"/>
          <w:bCs w:val="0"/>
          <w:sz w:val="24"/>
          <w:szCs w:val="24"/>
        </w:rPr>
        <w:t>:</w:t>
      </w:r>
    </w:p>
    <w:p w:rsidR="00CA40EF" w:rsidRPr="003075B1" w:rsidRDefault="00CA40EF" w:rsidP="0084521C">
      <w:pPr>
        <w:bidi w:val="0"/>
        <w:spacing w:after="0" w:line="276" w:lineRule="auto"/>
        <w:ind w:left="2610" w:hanging="450"/>
        <w:rPr>
          <w:rFonts w:ascii="Times New Roman" w:hAnsi="Times New Roman" w:cs="Times New Roman"/>
          <w:b w:val="0"/>
          <w:bCs w:val="0"/>
          <w:sz w:val="24"/>
          <w:szCs w:val="24"/>
          <w:lang w:val="en"/>
        </w:rPr>
      </w:pPr>
      <w:r w:rsidRPr="003075B1">
        <w:rPr>
          <w:rFonts w:ascii="Times New Roman" w:hAnsi="Times New Roman" w:cs="Times New Roman"/>
          <w:b w:val="0"/>
          <w:bCs w:val="0"/>
          <w:sz w:val="24"/>
          <w:szCs w:val="24"/>
        </w:rPr>
        <w:t>-</w:t>
      </w:r>
      <w:r w:rsidRPr="003075B1">
        <w:rPr>
          <w:rFonts w:ascii="Times New Roman" w:hAnsi="Times New Roman" w:cs="Times New Roman"/>
          <w:b w:val="0"/>
          <w:bCs w:val="0"/>
          <w:sz w:val="24"/>
          <w:szCs w:val="24"/>
        </w:rPr>
        <w:tab/>
      </w:r>
      <w:r w:rsidRPr="003075B1">
        <w:rPr>
          <w:rFonts w:ascii="Times New Roman" w:hAnsi="Times New Roman" w:cs="Times New Roman"/>
          <w:b w:val="0"/>
          <w:bCs w:val="0"/>
          <w:sz w:val="24"/>
          <w:szCs w:val="24"/>
          <w:lang w:val="en"/>
        </w:rPr>
        <w:t>Specialized lending instructions apply to this type of financing.</w:t>
      </w:r>
    </w:p>
    <w:p w:rsidR="00CA40EF" w:rsidRPr="003075B1" w:rsidRDefault="00CA40EF" w:rsidP="0084521C">
      <w:pPr>
        <w:bidi w:val="0"/>
        <w:spacing w:after="0" w:line="276" w:lineRule="auto"/>
        <w:ind w:left="2610" w:hanging="450"/>
        <w:rPr>
          <w:rFonts w:ascii="Times New Roman" w:hAnsi="Times New Roman" w:cs="Times New Roman"/>
          <w:b w:val="0"/>
          <w:bCs w:val="0"/>
          <w:sz w:val="24"/>
          <w:szCs w:val="24"/>
          <w:lang w:val="en"/>
        </w:rPr>
      </w:pPr>
      <w:r w:rsidRPr="003075B1">
        <w:rPr>
          <w:rFonts w:ascii="Times New Roman" w:hAnsi="Times New Roman" w:cs="Times New Roman"/>
          <w:b w:val="0"/>
          <w:bCs w:val="0"/>
          <w:sz w:val="24"/>
          <w:szCs w:val="24"/>
          <w:lang w:val="en"/>
        </w:rPr>
        <w:t xml:space="preserve">- </w:t>
      </w:r>
      <w:r w:rsidRPr="003075B1">
        <w:rPr>
          <w:rFonts w:ascii="Times New Roman" w:hAnsi="Times New Roman" w:cs="Times New Roman"/>
          <w:b w:val="0"/>
          <w:bCs w:val="0"/>
          <w:sz w:val="24"/>
          <w:szCs w:val="24"/>
          <w:lang w:val="en"/>
        </w:rPr>
        <w:tab/>
        <w:t>In the event that lending to companies is to finance the buildings used for the purposes of the company, it is treated as corporate claims.</w:t>
      </w:r>
      <w:r w:rsidRPr="003075B1">
        <w:rPr>
          <w:rFonts w:ascii="Times New Roman" w:hAnsi="Times New Roman" w:cs="Times New Roman"/>
          <w:b w:val="0"/>
          <w:bCs w:val="0"/>
          <w:sz w:val="24"/>
          <w:szCs w:val="24"/>
          <w:lang w:val="en"/>
        </w:rPr>
        <w:tab/>
      </w:r>
    </w:p>
    <w:p w:rsidR="00C663B4" w:rsidRPr="003075B1" w:rsidRDefault="00C663B4" w:rsidP="003075B1">
      <w:pPr>
        <w:bidi w:val="0"/>
        <w:rPr>
          <w:b w:val="0"/>
          <w:bCs w:val="0"/>
          <w:sz w:val="12"/>
          <w:szCs w:val="12"/>
        </w:rPr>
      </w:pPr>
    </w:p>
    <w:p w:rsidR="00C663B4" w:rsidRPr="003075B1" w:rsidRDefault="00C663B4" w:rsidP="0084521C">
      <w:pPr>
        <w:bidi w:val="0"/>
        <w:spacing w:after="0" w:line="276" w:lineRule="auto"/>
        <w:ind w:left="2160" w:hanging="900"/>
        <w:rPr>
          <w:rFonts w:ascii="Times New Roman" w:hAnsi="Times New Roman" w:cs="Times New Roman"/>
          <w:b w:val="0"/>
          <w:bCs w:val="0"/>
          <w:sz w:val="24"/>
          <w:szCs w:val="24"/>
        </w:rPr>
      </w:pPr>
      <w:r w:rsidRPr="003075B1">
        <w:rPr>
          <w:rFonts w:ascii="Times New Roman" w:hAnsi="Times New Roman" w:cs="Times New Roman"/>
          <w:b w:val="0"/>
          <w:bCs w:val="0"/>
          <w:sz w:val="24"/>
          <w:szCs w:val="24"/>
        </w:rPr>
        <w:t>2.2.11</w:t>
      </w:r>
      <w:r w:rsidRPr="003075B1">
        <w:rPr>
          <w:rFonts w:ascii="Times New Roman" w:hAnsi="Times New Roman" w:cs="Times New Roman"/>
          <w:b w:val="0"/>
          <w:bCs w:val="0"/>
          <w:sz w:val="24"/>
          <w:szCs w:val="24"/>
        </w:rPr>
        <w:tab/>
        <w:t>Past Due Loans (included as an independent category from the rest of the claims):</w:t>
      </w:r>
    </w:p>
    <w:p w:rsidR="00C663B4" w:rsidRPr="003075B1" w:rsidRDefault="00C663B4" w:rsidP="0084521C">
      <w:pPr>
        <w:bidi w:val="0"/>
        <w:spacing w:after="0" w:line="276" w:lineRule="auto"/>
        <w:ind w:left="2700" w:hanging="540"/>
        <w:rPr>
          <w:rFonts w:ascii="Times New Roman" w:hAnsi="Times New Roman" w:cs="Times New Roman"/>
          <w:b w:val="0"/>
          <w:bCs w:val="0"/>
          <w:sz w:val="24"/>
          <w:szCs w:val="24"/>
        </w:rPr>
      </w:pPr>
      <w:r w:rsidRPr="003075B1">
        <w:rPr>
          <w:rFonts w:ascii="Times New Roman" w:hAnsi="Times New Roman" w:cs="Times New Roman"/>
          <w:b w:val="0"/>
          <w:bCs w:val="0"/>
          <w:sz w:val="24"/>
          <w:szCs w:val="24"/>
        </w:rPr>
        <w:t>-</w:t>
      </w:r>
      <w:r w:rsidRPr="003075B1">
        <w:rPr>
          <w:rFonts w:ascii="Times New Roman" w:hAnsi="Times New Roman" w:cs="Times New Roman"/>
          <w:b w:val="0"/>
          <w:bCs w:val="0"/>
          <w:sz w:val="24"/>
          <w:szCs w:val="24"/>
        </w:rPr>
        <w:tab/>
        <w:t>The unsecured portion of any loan (other than a qualifying residential mortgage loan) that is past due for more than 90 days, net of specific provisions, will be risk-weighted as follows</w:t>
      </w:r>
      <w:r w:rsidR="007D4C2B" w:rsidRPr="003075B1">
        <w:rPr>
          <w:rFonts w:ascii="Times New Roman" w:hAnsi="Times New Roman" w:cs="Times New Roman"/>
          <w:b w:val="0"/>
          <w:bCs w:val="0"/>
          <w:sz w:val="24"/>
          <w:szCs w:val="24"/>
        </w:rPr>
        <w:t>:</w:t>
      </w:r>
    </w:p>
    <w:p w:rsidR="007D4C2B" w:rsidRPr="003075B1" w:rsidRDefault="007D4C2B" w:rsidP="00982275">
      <w:pPr>
        <w:pStyle w:val="Default"/>
        <w:spacing w:line="276" w:lineRule="auto"/>
        <w:ind w:left="3150" w:hanging="450"/>
        <w:jc w:val="both"/>
        <w:rPr>
          <w:rFonts w:ascii="Times New Roman" w:hAnsi="Times New Roman" w:cs="Times New Roman"/>
          <w:color w:val="auto"/>
        </w:rPr>
      </w:pPr>
      <w:r w:rsidRPr="003075B1">
        <w:rPr>
          <w:rFonts w:ascii="Times New Roman" w:hAnsi="Times New Roman" w:cs="Times New Roman"/>
          <w:color w:val="auto"/>
        </w:rPr>
        <w:t>a.</w:t>
      </w:r>
      <w:r w:rsidRPr="003075B1">
        <w:rPr>
          <w:rFonts w:ascii="Times New Roman" w:hAnsi="Times New Roman" w:cs="Times New Roman"/>
          <w:color w:val="auto"/>
        </w:rPr>
        <w:tab/>
        <w:t>50% risk</w:t>
      </w:r>
      <w:r w:rsidR="00982275">
        <w:rPr>
          <w:rFonts w:ascii="Times New Roman" w:hAnsi="Times New Roman" w:cs="Times New Roman"/>
          <w:color w:val="auto"/>
        </w:rPr>
        <w:t xml:space="preserve"> weight when specific provision</w:t>
      </w:r>
      <w:r w:rsidRPr="003075B1">
        <w:rPr>
          <w:rFonts w:ascii="Times New Roman" w:hAnsi="Times New Roman" w:cs="Times New Roman"/>
          <w:color w:val="auto"/>
        </w:rPr>
        <w:t xml:space="preserve"> </w:t>
      </w:r>
      <w:r w:rsidR="00982275">
        <w:rPr>
          <w:rFonts w:ascii="Times New Roman" w:hAnsi="Times New Roman" w:cs="Times New Roman"/>
          <w:color w:val="auto"/>
        </w:rPr>
        <w:t>is</w:t>
      </w:r>
      <w:r w:rsidRPr="003075B1">
        <w:rPr>
          <w:rFonts w:ascii="Times New Roman" w:hAnsi="Times New Roman" w:cs="Times New Roman"/>
          <w:color w:val="auto"/>
        </w:rPr>
        <w:t xml:space="preserve"> greater than 50% of the outstanding amount of the loan.</w:t>
      </w:r>
    </w:p>
    <w:p w:rsidR="007D4C2B" w:rsidRPr="003075B1" w:rsidRDefault="007D4C2B" w:rsidP="00982275">
      <w:pPr>
        <w:pStyle w:val="Default"/>
        <w:spacing w:line="276" w:lineRule="auto"/>
        <w:ind w:left="3150" w:hanging="450"/>
        <w:jc w:val="both"/>
        <w:rPr>
          <w:rFonts w:ascii="Times New Roman" w:hAnsi="Times New Roman" w:cs="Times New Roman"/>
          <w:color w:val="auto"/>
        </w:rPr>
      </w:pPr>
      <w:r w:rsidRPr="003075B1">
        <w:rPr>
          <w:rFonts w:ascii="Times New Roman" w:hAnsi="Times New Roman" w:cs="Times New Roman"/>
          <w:color w:val="auto"/>
        </w:rPr>
        <w:t>b.</w:t>
      </w:r>
      <w:r w:rsidRPr="003075B1">
        <w:rPr>
          <w:rFonts w:ascii="Times New Roman" w:hAnsi="Times New Roman" w:cs="Times New Roman"/>
          <w:color w:val="auto"/>
        </w:rPr>
        <w:tab/>
        <w:t>100% risk</w:t>
      </w:r>
      <w:r w:rsidR="00982275">
        <w:rPr>
          <w:rFonts w:ascii="Times New Roman" w:hAnsi="Times New Roman" w:cs="Times New Roman"/>
          <w:color w:val="auto"/>
        </w:rPr>
        <w:t xml:space="preserve"> weight when specific provision</w:t>
      </w:r>
      <w:r w:rsidRPr="003075B1">
        <w:rPr>
          <w:rFonts w:ascii="Times New Roman" w:hAnsi="Times New Roman" w:cs="Times New Roman"/>
          <w:color w:val="auto"/>
        </w:rPr>
        <w:t xml:space="preserve"> </w:t>
      </w:r>
      <w:r w:rsidR="00982275">
        <w:rPr>
          <w:rFonts w:ascii="Times New Roman" w:hAnsi="Times New Roman" w:cs="Times New Roman"/>
          <w:color w:val="auto"/>
        </w:rPr>
        <w:t>is</w:t>
      </w:r>
      <w:r w:rsidRPr="003075B1">
        <w:rPr>
          <w:rFonts w:ascii="Times New Roman" w:hAnsi="Times New Roman" w:cs="Times New Roman"/>
          <w:color w:val="auto"/>
        </w:rPr>
        <w:t xml:space="preserve"> greater than or equal 20% and less than 50% of the outstanding amount of the loan.</w:t>
      </w:r>
    </w:p>
    <w:p w:rsidR="007D4C2B" w:rsidRPr="003075B1" w:rsidRDefault="007D4C2B" w:rsidP="00982275">
      <w:pPr>
        <w:pStyle w:val="Default"/>
        <w:spacing w:line="276" w:lineRule="auto"/>
        <w:ind w:left="3150" w:hanging="450"/>
        <w:jc w:val="both"/>
        <w:rPr>
          <w:rFonts w:ascii="Times New Roman" w:hAnsi="Times New Roman" w:cs="Times New Roman"/>
          <w:color w:val="auto"/>
        </w:rPr>
      </w:pPr>
      <w:r w:rsidRPr="003075B1">
        <w:rPr>
          <w:rFonts w:ascii="Times New Roman" w:hAnsi="Times New Roman" w:cs="Times New Roman"/>
          <w:color w:val="auto"/>
        </w:rPr>
        <w:t>c.</w:t>
      </w:r>
      <w:r w:rsidRPr="003075B1">
        <w:rPr>
          <w:rFonts w:ascii="Times New Roman" w:hAnsi="Times New Roman" w:cs="Times New Roman"/>
          <w:color w:val="auto"/>
        </w:rPr>
        <w:tab/>
        <w:t xml:space="preserve">150% risk weight when specific provision </w:t>
      </w:r>
      <w:r w:rsidR="00982275" w:rsidRPr="003075B1">
        <w:rPr>
          <w:rFonts w:ascii="Times New Roman" w:hAnsi="Times New Roman" w:cs="Times New Roman"/>
          <w:color w:val="auto"/>
        </w:rPr>
        <w:t>is</w:t>
      </w:r>
      <w:r w:rsidRPr="003075B1">
        <w:rPr>
          <w:rFonts w:ascii="Times New Roman" w:hAnsi="Times New Roman" w:cs="Times New Roman"/>
          <w:color w:val="auto"/>
        </w:rPr>
        <w:t xml:space="preserve"> less than 20% of the outstanding amount of the loan.</w:t>
      </w:r>
    </w:p>
    <w:p w:rsidR="007D4C2B" w:rsidRPr="003075B1" w:rsidRDefault="00A57696" w:rsidP="0084521C">
      <w:pPr>
        <w:pStyle w:val="Default"/>
        <w:numPr>
          <w:ilvl w:val="0"/>
          <w:numId w:val="3"/>
        </w:numPr>
        <w:spacing w:line="276" w:lineRule="auto"/>
        <w:ind w:left="2700" w:hanging="450"/>
        <w:jc w:val="both"/>
        <w:rPr>
          <w:rFonts w:ascii="Times New Roman" w:hAnsi="Times New Roman" w:cs="Times New Roman"/>
          <w:color w:val="auto"/>
        </w:rPr>
      </w:pPr>
      <w:r w:rsidRPr="003075B1">
        <w:rPr>
          <w:rFonts w:ascii="Times New Roman" w:hAnsi="Times New Roman" w:cs="Times New Roman"/>
          <w:color w:val="auto"/>
        </w:rPr>
        <w:t>For the purpose of defining the secured portion of the past due loan, eligible collateral and guarantees will be the same as for credit risk mitigation purposes.</w:t>
      </w:r>
    </w:p>
    <w:p w:rsidR="00A57696" w:rsidRPr="003075B1" w:rsidRDefault="00A57696" w:rsidP="0084521C">
      <w:pPr>
        <w:pStyle w:val="Default"/>
        <w:numPr>
          <w:ilvl w:val="0"/>
          <w:numId w:val="3"/>
        </w:numPr>
        <w:spacing w:line="276" w:lineRule="auto"/>
        <w:ind w:left="2700" w:hanging="450"/>
        <w:jc w:val="both"/>
        <w:rPr>
          <w:rFonts w:ascii="Times New Roman" w:hAnsi="Times New Roman" w:cs="Times New Roman"/>
          <w:color w:val="auto"/>
        </w:rPr>
      </w:pPr>
      <w:r w:rsidRPr="003075B1">
        <w:rPr>
          <w:rFonts w:ascii="Times New Roman" w:hAnsi="Times New Roman" w:cs="Times New Roman"/>
          <w:color w:val="auto"/>
        </w:rPr>
        <w:t>Past due retail loans are to be excluded from the overall regulatory retail portfolio when assessing the granularity criterion for risk-weighting purposes.</w:t>
      </w:r>
    </w:p>
    <w:p w:rsidR="00A57696" w:rsidRPr="003075B1" w:rsidRDefault="00A72BBD" w:rsidP="00982275">
      <w:pPr>
        <w:pStyle w:val="Default"/>
        <w:numPr>
          <w:ilvl w:val="0"/>
          <w:numId w:val="3"/>
        </w:numPr>
        <w:spacing w:line="276" w:lineRule="auto"/>
        <w:ind w:left="2700" w:hanging="450"/>
        <w:jc w:val="both"/>
        <w:rPr>
          <w:rFonts w:ascii="Times New Roman" w:hAnsi="Times New Roman" w:cs="Times New Roman"/>
          <w:color w:val="auto"/>
        </w:rPr>
      </w:pPr>
      <w:r w:rsidRPr="003075B1">
        <w:rPr>
          <w:rFonts w:ascii="Times New Roman" w:hAnsi="Times New Roman" w:cs="Times New Roman"/>
          <w:color w:val="auto"/>
        </w:rPr>
        <w:t xml:space="preserve">In the case of qualifying residential mortgage loans, when such loans are past due for more than 90 days they will be risk weighted at 100%, net of specific provisions. If such loans are past due but specific provisions are no less than 20% of their outstanding amount, the risk weight applicable to the remainder of the loan </w:t>
      </w:r>
      <w:r w:rsidR="00982275">
        <w:rPr>
          <w:rFonts w:ascii="Times New Roman" w:hAnsi="Times New Roman" w:cs="Times New Roman"/>
          <w:color w:val="auto"/>
        </w:rPr>
        <w:t>will be</w:t>
      </w:r>
      <w:r w:rsidRPr="003075B1">
        <w:rPr>
          <w:rFonts w:ascii="Times New Roman" w:hAnsi="Times New Roman" w:cs="Times New Roman"/>
          <w:color w:val="auto"/>
        </w:rPr>
        <w:t xml:space="preserve"> 50%.</w:t>
      </w:r>
    </w:p>
    <w:p w:rsidR="00A72BBD" w:rsidRPr="003075B1" w:rsidRDefault="00A72BBD" w:rsidP="0084521C">
      <w:pPr>
        <w:pStyle w:val="Default"/>
        <w:spacing w:line="276" w:lineRule="auto"/>
        <w:jc w:val="both"/>
        <w:rPr>
          <w:rFonts w:ascii="Times New Roman" w:hAnsi="Times New Roman" w:cs="Times New Roman"/>
          <w:color w:val="auto"/>
          <w:sz w:val="12"/>
          <w:szCs w:val="12"/>
        </w:rPr>
      </w:pPr>
    </w:p>
    <w:p w:rsidR="00A72BBD" w:rsidRPr="003075B1" w:rsidRDefault="0084521C" w:rsidP="0084521C">
      <w:pPr>
        <w:pStyle w:val="Default"/>
        <w:spacing w:line="276" w:lineRule="auto"/>
        <w:ind w:left="2160" w:hanging="900"/>
        <w:jc w:val="both"/>
        <w:rPr>
          <w:rFonts w:ascii="Times New Roman" w:hAnsi="Times New Roman" w:cs="Times New Roman"/>
          <w:color w:val="auto"/>
        </w:rPr>
      </w:pPr>
      <w:r w:rsidRPr="003075B1">
        <w:rPr>
          <w:rFonts w:ascii="Times New Roman" w:hAnsi="Times New Roman" w:cs="Times New Roman"/>
          <w:color w:val="auto"/>
        </w:rPr>
        <w:t>2.2.12</w:t>
      </w:r>
      <w:r w:rsidRPr="003075B1">
        <w:rPr>
          <w:rFonts w:ascii="Times New Roman" w:hAnsi="Times New Roman" w:cs="Times New Roman"/>
          <w:color w:val="auto"/>
        </w:rPr>
        <w:tab/>
      </w:r>
      <w:r w:rsidR="00A72BBD" w:rsidRPr="003075B1">
        <w:rPr>
          <w:rFonts w:ascii="Times New Roman" w:hAnsi="Times New Roman" w:cs="Times New Roman"/>
          <w:color w:val="auto"/>
        </w:rPr>
        <w:t>Higher – Risk Categories</w:t>
      </w:r>
    </w:p>
    <w:p w:rsidR="007D4C2B" w:rsidRPr="003075B1" w:rsidRDefault="00A72BBD" w:rsidP="0084521C">
      <w:pPr>
        <w:pStyle w:val="Default"/>
        <w:spacing w:line="276" w:lineRule="auto"/>
        <w:ind w:left="2700" w:hanging="540"/>
        <w:jc w:val="both"/>
        <w:rPr>
          <w:rFonts w:ascii="Times New Roman" w:hAnsi="Times New Roman" w:cs="Times New Roman"/>
          <w:b/>
          <w:bCs/>
          <w:color w:val="auto"/>
        </w:rPr>
      </w:pPr>
      <w:r w:rsidRPr="003075B1">
        <w:rPr>
          <w:rFonts w:ascii="Times New Roman" w:hAnsi="Times New Roman" w:cs="Times New Roman"/>
          <w:color w:val="auto"/>
        </w:rPr>
        <w:t>-</w:t>
      </w:r>
      <w:r w:rsidRPr="003075B1">
        <w:rPr>
          <w:rFonts w:ascii="Times New Roman" w:hAnsi="Times New Roman" w:cs="Times New Roman"/>
          <w:color w:val="auto"/>
        </w:rPr>
        <w:tab/>
        <w:t>The following claims will be risk weighted at 150% (included as an independent category from the rest of the claims):</w:t>
      </w:r>
    </w:p>
    <w:p w:rsidR="00A72BBD" w:rsidRPr="003075B1" w:rsidRDefault="00A72BBD" w:rsidP="0084521C">
      <w:pPr>
        <w:pStyle w:val="Default"/>
        <w:spacing w:line="276" w:lineRule="auto"/>
        <w:ind w:left="3150" w:hanging="450"/>
        <w:jc w:val="both"/>
        <w:rPr>
          <w:rFonts w:ascii="Times New Roman" w:hAnsi="Times New Roman" w:cs="Times New Roman"/>
          <w:color w:val="auto"/>
        </w:rPr>
      </w:pPr>
      <w:r w:rsidRPr="003075B1">
        <w:rPr>
          <w:rFonts w:ascii="Times New Roman" w:hAnsi="Times New Roman" w:cs="Times New Roman"/>
          <w:color w:val="auto"/>
        </w:rPr>
        <w:lastRenderedPageBreak/>
        <w:t>a</w:t>
      </w:r>
      <w:r w:rsidRPr="003075B1">
        <w:rPr>
          <w:rFonts w:ascii="Times New Roman" w:hAnsi="Times New Roman" w:cs="Times New Roman"/>
          <w:b/>
          <w:bCs/>
          <w:color w:val="auto"/>
        </w:rPr>
        <w:t>.</w:t>
      </w:r>
      <w:r w:rsidRPr="003075B1">
        <w:rPr>
          <w:rFonts w:ascii="Times New Roman" w:hAnsi="Times New Roman" w:cs="Times New Roman"/>
          <w:b/>
          <w:bCs/>
          <w:color w:val="auto"/>
        </w:rPr>
        <w:tab/>
      </w:r>
      <w:r w:rsidRPr="003075B1">
        <w:rPr>
          <w:rFonts w:ascii="Times New Roman" w:hAnsi="Times New Roman" w:cs="Times New Roman"/>
          <w:color w:val="auto"/>
        </w:rPr>
        <w:t xml:space="preserve">Claims on sovereigns, PSEs, banks, and securities firms rated below B-. </w:t>
      </w:r>
    </w:p>
    <w:p w:rsidR="00A72BBD" w:rsidRPr="003075B1" w:rsidRDefault="00A72BBD" w:rsidP="0084521C">
      <w:pPr>
        <w:pStyle w:val="Default"/>
        <w:spacing w:line="276" w:lineRule="auto"/>
        <w:ind w:left="3150" w:hanging="450"/>
        <w:jc w:val="both"/>
        <w:rPr>
          <w:rFonts w:ascii="Times New Roman" w:hAnsi="Times New Roman" w:cs="Times New Roman"/>
          <w:color w:val="auto"/>
        </w:rPr>
      </w:pPr>
      <w:r w:rsidRPr="003075B1">
        <w:rPr>
          <w:rFonts w:ascii="Times New Roman" w:hAnsi="Times New Roman" w:cs="Times New Roman"/>
          <w:color w:val="auto"/>
        </w:rPr>
        <w:t>b.</w:t>
      </w:r>
      <w:r w:rsidRPr="003075B1">
        <w:rPr>
          <w:rFonts w:ascii="Times New Roman" w:hAnsi="Times New Roman" w:cs="Times New Roman"/>
          <w:color w:val="auto"/>
        </w:rPr>
        <w:tab/>
        <w:t xml:space="preserve">Claims on corporates rated below BB-. </w:t>
      </w:r>
    </w:p>
    <w:p w:rsidR="0084521C" w:rsidRPr="003075B1" w:rsidRDefault="0084521C" w:rsidP="00982275">
      <w:pPr>
        <w:pStyle w:val="Default"/>
        <w:spacing w:line="276" w:lineRule="auto"/>
        <w:ind w:left="3150" w:hanging="450"/>
        <w:jc w:val="both"/>
        <w:rPr>
          <w:rFonts w:ascii="Times New Roman" w:hAnsi="Times New Roman" w:cs="Times New Roman"/>
          <w:color w:val="202124"/>
          <w:lang w:val="en"/>
        </w:rPr>
      </w:pPr>
      <w:r w:rsidRPr="003075B1">
        <w:rPr>
          <w:rFonts w:ascii="Times New Roman" w:hAnsi="Times New Roman" w:cs="Times New Roman"/>
          <w:color w:val="auto"/>
        </w:rPr>
        <w:t>c.</w:t>
      </w:r>
      <w:r w:rsidRPr="003075B1">
        <w:rPr>
          <w:rFonts w:ascii="Times New Roman" w:hAnsi="Times New Roman" w:cs="Times New Roman"/>
          <w:color w:val="auto"/>
        </w:rPr>
        <w:tab/>
      </w:r>
      <w:r w:rsidR="00741DE4" w:rsidRPr="00982275">
        <w:rPr>
          <w:rFonts w:ascii="Times New Roman" w:hAnsi="Times New Roman" w:cs="Times New Roman"/>
          <w:color w:val="202124"/>
          <w:lang w:val="en"/>
        </w:rPr>
        <w:t>Facilities</w:t>
      </w:r>
      <w:r w:rsidR="00741DE4" w:rsidRPr="003075B1">
        <w:rPr>
          <w:rFonts w:ascii="Times New Roman" w:hAnsi="Times New Roman" w:cs="Times New Roman"/>
          <w:color w:val="202124"/>
          <w:lang w:val="en"/>
        </w:rPr>
        <w:t xml:space="preserve"> granted to finance Venture Capital (Venture capital financing: </w:t>
      </w:r>
      <w:r w:rsidR="00741DE4" w:rsidRPr="00982275">
        <w:rPr>
          <w:rFonts w:ascii="Times New Roman" w:hAnsi="Times New Roman" w:cs="Times New Roman"/>
          <w:color w:val="202124"/>
          <w:lang w:val="en"/>
        </w:rPr>
        <w:t>facilities</w:t>
      </w:r>
      <w:r w:rsidR="00741DE4" w:rsidRPr="003075B1">
        <w:rPr>
          <w:rFonts w:ascii="Times New Roman" w:hAnsi="Times New Roman" w:cs="Times New Roman"/>
          <w:color w:val="202124"/>
          <w:lang w:val="en"/>
        </w:rPr>
        <w:t xml:space="preserve"> granted for the purpose of fin</w:t>
      </w:r>
      <w:r w:rsidR="00982275">
        <w:rPr>
          <w:rFonts w:ascii="Times New Roman" w:hAnsi="Times New Roman" w:cs="Times New Roman"/>
          <w:color w:val="202124"/>
          <w:lang w:val="en"/>
        </w:rPr>
        <w:t xml:space="preserve">ancing the purchase of shares </w:t>
      </w:r>
      <w:r w:rsidR="00741DE4" w:rsidRPr="003075B1">
        <w:rPr>
          <w:rFonts w:ascii="Times New Roman" w:hAnsi="Times New Roman" w:cs="Times New Roman"/>
          <w:color w:val="202124"/>
          <w:lang w:val="en"/>
        </w:rPr>
        <w:t>in the capital of companies, except for public joint-stock companies listed in the financial market).</w:t>
      </w:r>
    </w:p>
    <w:p w:rsidR="00741DE4" w:rsidRPr="003075B1" w:rsidRDefault="00741DE4" w:rsidP="000E628F">
      <w:pPr>
        <w:pStyle w:val="Default"/>
        <w:spacing w:line="276" w:lineRule="auto"/>
        <w:ind w:left="3150" w:hanging="450"/>
        <w:jc w:val="both"/>
        <w:rPr>
          <w:rFonts w:ascii="Times New Roman" w:hAnsi="Times New Roman" w:cs="Times New Roman"/>
          <w:color w:val="202124"/>
          <w:lang w:val="en"/>
        </w:rPr>
      </w:pPr>
      <w:r w:rsidRPr="003075B1">
        <w:rPr>
          <w:rFonts w:ascii="Times New Roman" w:hAnsi="Times New Roman" w:cs="Times New Roman"/>
          <w:color w:val="auto"/>
        </w:rPr>
        <w:t>d.</w:t>
      </w:r>
      <w:r w:rsidRPr="003075B1">
        <w:rPr>
          <w:rFonts w:ascii="Times New Roman" w:hAnsi="Times New Roman" w:cs="Times New Roman"/>
          <w:color w:val="auto"/>
        </w:rPr>
        <w:tab/>
      </w:r>
      <w:r w:rsidRPr="000E628F">
        <w:rPr>
          <w:rFonts w:ascii="Times New Roman" w:hAnsi="Times New Roman" w:cs="Times New Roman"/>
          <w:color w:val="202124"/>
          <w:lang w:val="en"/>
        </w:rPr>
        <w:t>Facilities granted to finance the shares</w:t>
      </w:r>
      <w:r w:rsidR="000E628F" w:rsidRPr="000E628F">
        <w:rPr>
          <w:rFonts w:ascii="Times New Roman" w:hAnsi="Times New Roman" w:cs="Times New Roman"/>
          <w:color w:val="202124"/>
          <w:lang w:val="en"/>
        </w:rPr>
        <w:t xml:space="preserve"> writing</w:t>
      </w:r>
      <w:r w:rsidRPr="000E628F">
        <w:rPr>
          <w:rFonts w:ascii="Times New Roman" w:hAnsi="Times New Roman" w:cs="Times New Roman"/>
          <w:color w:val="202124"/>
          <w:lang w:val="en"/>
        </w:rPr>
        <w:t xml:space="preserve"> </w:t>
      </w:r>
      <w:r w:rsidR="00EC0E25" w:rsidRPr="000E628F">
        <w:rPr>
          <w:rFonts w:ascii="Times New Roman" w:hAnsi="Times New Roman" w:cs="Times New Roman"/>
          <w:color w:val="202124"/>
          <w:lang w:val="en"/>
        </w:rPr>
        <w:t>in</w:t>
      </w:r>
      <w:r w:rsidRPr="000E628F">
        <w:rPr>
          <w:rFonts w:ascii="Times New Roman" w:hAnsi="Times New Roman" w:cs="Times New Roman"/>
          <w:color w:val="202124"/>
          <w:lang w:val="en"/>
        </w:rPr>
        <w:t xml:space="preserve"> public joint stock companies under incorporation.</w:t>
      </w:r>
    </w:p>
    <w:p w:rsidR="00741DE4" w:rsidRPr="003075B1" w:rsidRDefault="00741DE4" w:rsidP="000E628F">
      <w:pPr>
        <w:pStyle w:val="Default"/>
        <w:spacing w:line="276" w:lineRule="auto"/>
        <w:ind w:left="3150" w:hanging="450"/>
        <w:jc w:val="both"/>
        <w:rPr>
          <w:rFonts w:ascii="Times New Roman" w:hAnsi="Times New Roman" w:cs="Times New Roman"/>
          <w:color w:val="202124"/>
        </w:rPr>
      </w:pPr>
      <w:r w:rsidRPr="003075B1">
        <w:rPr>
          <w:rFonts w:ascii="Times New Roman" w:hAnsi="Times New Roman" w:cs="Times New Roman"/>
          <w:color w:val="auto"/>
          <w:lang w:val="en"/>
        </w:rPr>
        <w:t>e.</w:t>
      </w:r>
      <w:r w:rsidRPr="003075B1">
        <w:rPr>
          <w:rFonts w:ascii="Times New Roman" w:hAnsi="Times New Roman" w:cs="Times New Roman"/>
          <w:color w:val="auto"/>
          <w:lang w:val="en"/>
        </w:rPr>
        <w:tab/>
      </w:r>
      <w:r w:rsidRPr="003075B1">
        <w:rPr>
          <w:rFonts w:ascii="Times New Roman" w:hAnsi="Times New Roman" w:cs="Times New Roman"/>
          <w:color w:val="202124"/>
          <w:lang w:val="en"/>
        </w:rPr>
        <w:t xml:space="preserve">Direct and / or indirect </w:t>
      </w:r>
      <w:r w:rsidR="000E628F">
        <w:rPr>
          <w:rFonts w:ascii="Times New Roman" w:hAnsi="Times New Roman" w:cs="Times New Roman"/>
          <w:color w:val="202124"/>
          <w:lang w:val="en"/>
        </w:rPr>
        <w:t>writing</w:t>
      </w:r>
      <w:r w:rsidRPr="003075B1">
        <w:rPr>
          <w:rFonts w:ascii="Times New Roman" w:hAnsi="Times New Roman" w:cs="Times New Roman"/>
          <w:color w:val="202124"/>
          <w:lang w:val="en"/>
        </w:rPr>
        <w:t xml:space="preserve"> by banks of public joint-stock companies shares under incorporation</w:t>
      </w:r>
      <w:r w:rsidRPr="003075B1">
        <w:rPr>
          <w:rFonts w:ascii="Times New Roman" w:hAnsi="Times New Roman" w:cs="Times New Roman"/>
          <w:color w:val="202124"/>
        </w:rPr>
        <w:t>.</w:t>
      </w:r>
    </w:p>
    <w:p w:rsidR="00741DE4" w:rsidRPr="000E628F" w:rsidRDefault="00741DE4" w:rsidP="00741DE4">
      <w:pPr>
        <w:pStyle w:val="Default"/>
        <w:spacing w:line="276" w:lineRule="auto"/>
        <w:ind w:left="3150" w:hanging="450"/>
        <w:jc w:val="both"/>
        <w:rPr>
          <w:rFonts w:ascii="Times New Roman" w:hAnsi="Times New Roman" w:cs="Times New Roman"/>
          <w:color w:val="202124"/>
          <w:lang w:val="en"/>
        </w:rPr>
      </w:pPr>
      <w:r w:rsidRPr="003075B1">
        <w:rPr>
          <w:rFonts w:ascii="Times New Roman" w:hAnsi="Times New Roman" w:cs="Times New Roman"/>
          <w:color w:val="auto"/>
          <w:lang w:val="en"/>
        </w:rPr>
        <w:t>f.</w:t>
      </w:r>
      <w:r w:rsidRPr="003075B1">
        <w:rPr>
          <w:rFonts w:ascii="Times New Roman" w:hAnsi="Times New Roman" w:cs="Times New Roman"/>
          <w:color w:val="202124"/>
        </w:rPr>
        <w:tab/>
      </w:r>
      <w:r w:rsidRPr="003075B1">
        <w:rPr>
          <w:rFonts w:ascii="Times New Roman" w:hAnsi="Times New Roman" w:cs="Times New Roman"/>
          <w:color w:val="202124"/>
          <w:lang w:val="en"/>
        </w:rPr>
        <w:t xml:space="preserve">Credit exposures that take the form of subordinated debts, </w:t>
      </w:r>
      <w:r w:rsidRPr="000E628F">
        <w:rPr>
          <w:rFonts w:ascii="Times New Roman" w:hAnsi="Times New Roman" w:cs="Times New Roman"/>
          <w:color w:val="202124"/>
          <w:lang w:val="en"/>
        </w:rPr>
        <w:t>regardless of the borrower and its credit rating.</w:t>
      </w:r>
    </w:p>
    <w:p w:rsidR="00741DE4" w:rsidRPr="003075B1" w:rsidRDefault="00741DE4" w:rsidP="000E628F">
      <w:pPr>
        <w:pStyle w:val="Default"/>
        <w:spacing w:line="276" w:lineRule="auto"/>
        <w:ind w:left="3150" w:hanging="450"/>
        <w:jc w:val="both"/>
        <w:rPr>
          <w:rFonts w:ascii="Times New Roman" w:hAnsi="Times New Roman" w:cs="Times New Roman"/>
          <w:color w:val="202124"/>
          <w:lang w:val="en"/>
        </w:rPr>
      </w:pPr>
      <w:r w:rsidRPr="000E628F">
        <w:rPr>
          <w:rFonts w:ascii="Times New Roman" w:hAnsi="Times New Roman" w:cs="Times New Roman"/>
          <w:color w:val="auto"/>
          <w:lang w:val="en"/>
        </w:rPr>
        <w:t>g.</w:t>
      </w:r>
      <w:r w:rsidRPr="000E628F">
        <w:rPr>
          <w:rFonts w:ascii="Times New Roman" w:hAnsi="Times New Roman" w:cs="Times New Roman"/>
          <w:color w:val="202124"/>
        </w:rPr>
        <w:tab/>
      </w:r>
      <w:r w:rsidR="000E628F" w:rsidRPr="000E628F">
        <w:rPr>
          <w:rFonts w:ascii="Times New Roman" w:hAnsi="Times New Roman" w:cs="Times New Roman"/>
          <w:color w:val="202124"/>
          <w:lang w:val="en"/>
        </w:rPr>
        <w:t>Overdraft</w:t>
      </w:r>
      <w:r w:rsidRPr="000E628F">
        <w:rPr>
          <w:rFonts w:ascii="Times New Roman" w:hAnsi="Times New Roman" w:cs="Times New Roman"/>
          <w:color w:val="202124"/>
          <w:lang w:val="en"/>
        </w:rPr>
        <w:t xml:space="preserve"> current accounts (with the exception of current accounts that have been </w:t>
      </w:r>
      <w:r w:rsidR="002A7E51" w:rsidRPr="000E628F">
        <w:rPr>
          <w:rFonts w:ascii="Times New Roman" w:hAnsi="Times New Roman" w:cs="Times New Roman"/>
          <w:color w:val="202124"/>
          <w:lang w:val="en"/>
        </w:rPr>
        <w:t>overdrawn</w:t>
      </w:r>
      <w:r w:rsidRPr="000E628F">
        <w:rPr>
          <w:rFonts w:ascii="Times New Roman" w:hAnsi="Times New Roman" w:cs="Times New Roman"/>
          <w:color w:val="202124"/>
          <w:lang w:val="en"/>
        </w:rPr>
        <w:t xml:space="preserve"> for a period of less than 30 days, which are included in a product guaranteed by a salary transfer and up to the maximum value of that salary</w:t>
      </w:r>
      <w:r w:rsidR="002A7E51" w:rsidRPr="000E628F">
        <w:rPr>
          <w:rFonts w:ascii="Times New Roman" w:hAnsi="Times New Roman" w:cs="Times New Roman"/>
          <w:color w:val="202124"/>
          <w:lang w:val="en"/>
        </w:rPr>
        <w:t>).</w:t>
      </w:r>
    </w:p>
    <w:p w:rsidR="002A7E51" w:rsidRPr="003075B1" w:rsidRDefault="002A7E51" w:rsidP="002A7E51">
      <w:pPr>
        <w:pStyle w:val="Default"/>
        <w:spacing w:line="276" w:lineRule="auto"/>
        <w:ind w:left="3150" w:hanging="450"/>
        <w:jc w:val="both"/>
        <w:rPr>
          <w:rFonts w:ascii="Times New Roman" w:hAnsi="Times New Roman" w:cs="Times New Roman"/>
          <w:color w:val="202124"/>
          <w:rtl/>
          <w:lang w:bidi="ar-JO"/>
        </w:rPr>
      </w:pPr>
      <w:r w:rsidRPr="003075B1">
        <w:rPr>
          <w:rFonts w:ascii="Times New Roman" w:hAnsi="Times New Roman" w:cs="Times New Roman"/>
          <w:color w:val="auto"/>
          <w:lang w:val="en"/>
        </w:rPr>
        <w:t>h.</w:t>
      </w:r>
      <w:r w:rsidRPr="003075B1">
        <w:rPr>
          <w:rFonts w:ascii="Times New Roman" w:hAnsi="Times New Roman" w:cs="Times New Roman"/>
          <w:color w:val="202124"/>
          <w:lang w:bidi="ar-JO"/>
        </w:rPr>
        <w:tab/>
      </w:r>
      <w:r w:rsidRPr="003075B1">
        <w:rPr>
          <w:rFonts w:ascii="Times New Roman" w:hAnsi="Times New Roman" w:cs="Times New Roman"/>
          <w:color w:val="202124"/>
          <w:lang w:val="en"/>
        </w:rPr>
        <w:t>Any other claims that the Central Bank of Jordan includes in this category.</w:t>
      </w:r>
    </w:p>
    <w:p w:rsidR="00F770C4" w:rsidRPr="003075B1" w:rsidRDefault="00F770C4" w:rsidP="00EC0E25">
      <w:pPr>
        <w:pStyle w:val="ListParagraph"/>
        <w:numPr>
          <w:ilvl w:val="0"/>
          <w:numId w:val="3"/>
        </w:numPr>
        <w:autoSpaceDE w:val="0"/>
        <w:autoSpaceDN w:val="0"/>
        <w:bidi w:val="0"/>
        <w:adjustRightInd w:val="0"/>
        <w:spacing w:after="0"/>
        <w:ind w:left="2700" w:hanging="540"/>
        <w:rPr>
          <w:rFonts w:ascii="Times New Roman" w:eastAsiaTheme="minorHAnsi" w:hAnsi="Times New Roman" w:cs="Times New Roman"/>
          <w:b w:val="0"/>
          <w:bCs w:val="0"/>
          <w:sz w:val="24"/>
          <w:szCs w:val="24"/>
        </w:rPr>
      </w:pPr>
      <w:r w:rsidRPr="003075B1">
        <w:rPr>
          <w:rFonts w:ascii="Times New Roman" w:eastAsiaTheme="minorHAnsi" w:hAnsi="Times New Roman" w:cs="Times New Roman"/>
          <w:b w:val="0"/>
          <w:bCs w:val="0"/>
          <w:sz w:val="24"/>
          <w:szCs w:val="24"/>
        </w:rPr>
        <w:t>Securitisation tranches that are rated between BB+ and BB</w:t>
      </w:r>
      <w:r w:rsidR="002A7E51" w:rsidRPr="003075B1">
        <w:rPr>
          <w:rFonts w:ascii="Times New Roman" w:eastAsiaTheme="minorHAnsi" w:hAnsi="Times New Roman" w:cs="Times New Roman"/>
          <w:b w:val="0"/>
          <w:bCs w:val="0"/>
          <w:sz w:val="24"/>
          <w:szCs w:val="24"/>
        </w:rPr>
        <w:t>- will be risk weighted at 350%, the value of the parts with a lower credit rating is subtracted from the regulatory capital.</w:t>
      </w:r>
    </w:p>
    <w:p w:rsidR="00F770C4" w:rsidRPr="003075B1" w:rsidRDefault="00F770C4" w:rsidP="002A7E51">
      <w:pPr>
        <w:pStyle w:val="ListParagraph"/>
        <w:bidi w:val="0"/>
        <w:ind w:left="2551"/>
        <w:rPr>
          <w:b w:val="0"/>
          <w:bCs w:val="0"/>
          <w:sz w:val="10"/>
          <w:szCs w:val="10"/>
        </w:rPr>
      </w:pPr>
    </w:p>
    <w:p w:rsidR="002A7E51" w:rsidRPr="00BC5594" w:rsidRDefault="002A7E51" w:rsidP="00BC5594">
      <w:pPr>
        <w:pStyle w:val="ListParagraph"/>
        <w:bidi w:val="0"/>
        <w:spacing w:after="0"/>
        <w:ind w:left="2160" w:hanging="900"/>
        <w:rPr>
          <w:rFonts w:ascii="Times New Roman" w:hAnsi="Times New Roman" w:cs="Times New Roman"/>
          <w:b w:val="0"/>
          <w:bCs w:val="0"/>
          <w:color w:val="202124"/>
          <w:sz w:val="24"/>
          <w:szCs w:val="24"/>
          <w:lang w:val="en"/>
        </w:rPr>
      </w:pPr>
      <w:r w:rsidRPr="003075B1">
        <w:rPr>
          <w:b w:val="0"/>
          <w:bCs w:val="0"/>
          <w:sz w:val="24"/>
          <w:szCs w:val="24"/>
        </w:rPr>
        <w:t>2.2.13</w:t>
      </w:r>
      <w:r w:rsidRPr="003075B1">
        <w:rPr>
          <w:rFonts w:ascii="Times New Roman" w:hAnsi="Times New Roman" w:cs="Times New Roman"/>
          <w:b w:val="0"/>
          <w:bCs w:val="0"/>
          <w:sz w:val="24"/>
          <w:szCs w:val="24"/>
        </w:rPr>
        <w:tab/>
      </w:r>
      <w:r w:rsidR="006C7054" w:rsidRPr="00BC5594">
        <w:rPr>
          <w:rFonts w:ascii="Times New Roman" w:hAnsi="Times New Roman" w:cs="Times New Roman"/>
          <w:b w:val="0"/>
          <w:bCs w:val="0"/>
          <w:color w:val="202124"/>
          <w:sz w:val="24"/>
          <w:szCs w:val="24"/>
          <w:lang w:val="en"/>
        </w:rPr>
        <w:t xml:space="preserve">The facilities refinanced from the Jordan Mortgage Refinance </w:t>
      </w:r>
      <w:r w:rsidR="008563CA" w:rsidRPr="00BC5594">
        <w:rPr>
          <w:rFonts w:ascii="Times New Roman" w:hAnsi="Times New Roman" w:cs="Times New Roman"/>
          <w:b w:val="0"/>
          <w:bCs w:val="0"/>
          <w:color w:val="202124"/>
          <w:sz w:val="24"/>
          <w:szCs w:val="24"/>
          <w:lang w:val="en"/>
        </w:rPr>
        <w:t>C</w:t>
      </w:r>
      <w:r w:rsidR="006C7054" w:rsidRPr="00BC5594">
        <w:rPr>
          <w:rFonts w:ascii="Times New Roman" w:hAnsi="Times New Roman" w:cs="Times New Roman"/>
          <w:b w:val="0"/>
          <w:bCs w:val="0"/>
          <w:color w:val="202124"/>
          <w:sz w:val="24"/>
          <w:szCs w:val="24"/>
          <w:lang w:val="en"/>
        </w:rPr>
        <w:t>ompany and bonds issued by it, as well as the guaranteed portion of credit facilities by the Jordan Loan Guarantee Corporation</w:t>
      </w:r>
      <w:r w:rsidR="008563CA" w:rsidRPr="00BC5594">
        <w:rPr>
          <w:rFonts w:ascii="Times New Roman" w:hAnsi="Times New Roman" w:cs="Times New Roman"/>
          <w:b w:val="0"/>
          <w:bCs w:val="0"/>
          <w:color w:val="202124"/>
          <w:sz w:val="24"/>
          <w:szCs w:val="24"/>
          <w:lang w:val="en"/>
        </w:rPr>
        <w:t>:</w:t>
      </w:r>
    </w:p>
    <w:p w:rsidR="008563CA" w:rsidRPr="003075B1" w:rsidRDefault="008563CA" w:rsidP="003075B1">
      <w:pPr>
        <w:pStyle w:val="ListParagraph"/>
        <w:bidi w:val="0"/>
        <w:spacing w:after="0" w:line="276" w:lineRule="auto"/>
        <w:ind w:left="2160"/>
        <w:rPr>
          <w:rFonts w:ascii="Times New Roman" w:hAnsi="Times New Roman" w:cs="Times New Roman"/>
          <w:b w:val="0"/>
          <w:bCs w:val="0"/>
          <w:color w:val="202124"/>
          <w:sz w:val="24"/>
          <w:szCs w:val="24"/>
          <w:lang w:val="en"/>
        </w:rPr>
      </w:pPr>
      <w:r w:rsidRPr="00BC5594">
        <w:rPr>
          <w:rFonts w:ascii="Times New Roman" w:hAnsi="Times New Roman" w:cs="Times New Roman"/>
          <w:b w:val="0"/>
          <w:bCs w:val="0"/>
          <w:color w:val="202124"/>
          <w:sz w:val="24"/>
          <w:szCs w:val="24"/>
          <w:lang w:val="en"/>
        </w:rPr>
        <w:t>The facilities refinanced from</w:t>
      </w:r>
      <w:r w:rsidR="00BC5594" w:rsidRPr="00BC5594">
        <w:rPr>
          <w:rFonts w:ascii="Times New Roman" w:hAnsi="Times New Roman" w:cs="Times New Roman"/>
          <w:b w:val="0"/>
          <w:bCs w:val="0"/>
          <w:color w:val="202124"/>
          <w:sz w:val="24"/>
          <w:szCs w:val="24"/>
          <w:lang w:val="en"/>
        </w:rPr>
        <w:t xml:space="preserve"> the Jordan Mortgage Refinance</w:t>
      </w:r>
      <w:r w:rsidRPr="00BC5594">
        <w:rPr>
          <w:rFonts w:ascii="Times New Roman" w:hAnsi="Times New Roman" w:cs="Times New Roman"/>
          <w:b w:val="0"/>
          <w:bCs w:val="0"/>
          <w:color w:val="202124"/>
          <w:sz w:val="24"/>
          <w:szCs w:val="24"/>
          <w:lang w:val="en"/>
        </w:rPr>
        <w:t xml:space="preserve"> Company and the bonds issued by it, as well as the guaranteed portion of the credit facilities by the Jordan Loan Guarantee Corporation, are given a risk weight (20%).</w:t>
      </w:r>
    </w:p>
    <w:p w:rsidR="008563CA" w:rsidRPr="003075B1" w:rsidRDefault="008563CA" w:rsidP="00B31CCF">
      <w:pPr>
        <w:pStyle w:val="ListParagraph"/>
        <w:bidi w:val="0"/>
        <w:ind w:left="2160" w:hanging="884"/>
        <w:rPr>
          <w:color w:val="202124"/>
          <w:sz w:val="10"/>
          <w:szCs w:val="10"/>
          <w:lang w:val="en"/>
        </w:rPr>
      </w:pPr>
    </w:p>
    <w:p w:rsidR="008563CA" w:rsidRPr="00BC5594" w:rsidRDefault="008563CA" w:rsidP="00AD46EA">
      <w:pPr>
        <w:pStyle w:val="ListParagraph"/>
        <w:bidi w:val="0"/>
        <w:ind w:left="2160" w:hanging="900"/>
        <w:rPr>
          <w:rFonts w:ascii="Times New Roman" w:hAnsi="Times New Roman" w:cs="Times New Roman"/>
          <w:b w:val="0"/>
          <w:bCs w:val="0"/>
          <w:color w:val="202124"/>
          <w:sz w:val="24"/>
          <w:szCs w:val="24"/>
          <w:lang w:val="en"/>
        </w:rPr>
      </w:pPr>
      <w:r w:rsidRPr="003075B1">
        <w:rPr>
          <w:rFonts w:ascii="Times New Roman" w:hAnsi="Times New Roman" w:cs="Times New Roman"/>
          <w:b w:val="0"/>
          <w:bCs w:val="0"/>
          <w:color w:val="202124"/>
          <w:sz w:val="24"/>
          <w:szCs w:val="24"/>
          <w:lang w:val="en"/>
        </w:rPr>
        <w:t>2.2.14</w:t>
      </w:r>
      <w:r w:rsidRPr="003075B1">
        <w:rPr>
          <w:rFonts w:ascii="Times New Roman" w:hAnsi="Times New Roman" w:cs="Times New Roman"/>
          <w:b w:val="0"/>
          <w:bCs w:val="0"/>
          <w:color w:val="202124"/>
          <w:sz w:val="24"/>
          <w:szCs w:val="24"/>
          <w:lang w:val="en"/>
        </w:rPr>
        <w:tab/>
      </w:r>
      <w:r w:rsidR="0067499A" w:rsidRPr="00BC5594">
        <w:rPr>
          <w:rFonts w:ascii="Times New Roman" w:hAnsi="Times New Roman" w:cs="Times New Roman"/>
          <w:b w:val="0"/>
          <w:bCs w:val="0"/>
          <w:color w:val="202124"/>
          <w:sz w:val="24"/>
          <w:szCs w:val="24"/>
          <w:lang w:val="en"/>
        </w:rPr>
        <w:t>Specialized Lending</w:t>
      </w:r>
    </w:p>
    <w:p w:rsidR="0067499A" w:rsidRPr="00BC5594" w:rsidRDefault="0067499A" w:rsidP="00C77C3A">
      <w:pPr>
        <w:pStyle w:val="ListParagraph"/>
        <w:bidi w:val="0"/>
        <w:spacing w:after="0"/>
        <w:ind w:left="2790" w:hanging="630"/>
        <w:rPr>
          <w:rFonts w:ascii="Times New Roman" w:hAnsi="Times New Roman" w:cs="Times New Roman"/>
          <w:b w:val="0"/>
          <w:bCs w:val="0"/>
          <w:color w:val="202124"/>
          <w:sz w:val="24"/>
          <w:szCs w:val="24"/>
          <w:lang w:val="en"/>
        </w:rPr>
      </w:pPr>
      <w:r w:rsidRPr="00BC5594">
        <w:rPr>
          <w:color w:val="202124"/>
          <w:sz w:val="24"/>
          <w:szCs w:val="24"/>
          <w:lang w:val="en"/>
        </w:rPr>
        <w:t xml:space="preserve">- </w:t>
      </w:r>
      <w:r w:rsidR="00AD46EA" w:rsidRPr="00BC5594">
        <w:rPr>
          <w:color w:val="202124"/>
          <w:sz w:val="24"/>
          <w:szCs w:val="24"/>
          <w:lang w:val="en"/>
        </w:rPr>
        <w:tab/>
      </w:r>
      <w:r w:rsidRPr="00BC5594">
        <w:rPr>
          <w:rFonts w:ascii="Times New Roman" w:hAnsi="Times New Roman" w:cs="Times New Roman"/>
          <w:b w:val="0"/>
          <w:bCs w:val="0"/>
          <w:color w:val="202124"/>
          <w:sz w:val="24"/>
          <w:szCs w:val="24"/>
          <w:lang w:val="en"/>
        </w:rPr>
        <w:t xml:space="preserve">Banks must distinguish between five types of specialized lending when defining corporate lending, as follows, and according to annex </w:t>
      </w:r>
      <w:r w:rsidR="003075B1" w:rsidRPr="00BC5594">
        <w:rPr>
          <w:rFonts w:ascii="Times New Roman" w:hAnsi="Times New Roman" w:cs="Times New Roman"/>
          <w:b w:val="0"/>
          <w:bCs w:val="0"/>
          <w:color w:val="202124"/>
          <w:sz w:val="24"/>
          <w:szCs w:val="24"/>
          <w:lang w:val="en"/>
        </w:rPr>
        <w:t>n</w:t>
      </w:r>
      <w:r w:rsidRPr="00BC5594">
        <w:rPr>
          <w:rFonts w:ascii="Times New Roman" w:hAnsi="Times New Roman" w:cs="Times New Roman"/>
          <w:b w:val="0"/>
          <w:bCs w:val="0"/>
          <w:color w:val="202124"/>
          <w:sz w:val="24"/>
          <w:szCs w:val="24"/>
          <w:lang w:val="en"/>
        </w:rPr>
        <w:t xml:space="preserve">o. (13): </w:t>
      </w:r>
    </w:p>
    <w:p w:rsidR="0067499A" w:rsidRPr="00BC5594" w:rsidRDefault="0067499A" w:rsidP="00AD46EA">
      <w:pPr>
        <w:pStyle w:val="ListParagraph"/>
        <w:bidi w:val="0"/>
        <w:spacing w:after="0" w:line="276" w:lineRule="auto"/>
        <w:ind w:left="3240" w:hanging="450"/>
        <w:rPr>
          <w:rFonts w:ascii="Times New Roman" w:hAnsi="Times New Roman" w:cs="Times New Roman"/>
          <w:b w:val="0"/>
          <w:bCs w:val="0"/>
          <w:sz w:val="24"/>
          <w:szCs w:val="24"/>
        </w:rPr>
      </w:pPr>
      <w:r w:rsidRPr="00BC5594">
        <w:rPr>
          <w:rFonts w:ascii="Times New Roman" w:hAnsi="Times New Roman" w:cs="Times New Roman"/>
          <w:b w:val="0"/>
          <w:bCs w:val="0"/>
          <w:color w:val="202124"/>
          <w:sz w:val="24"/>
          <w:szCs w:val="24"/>
          <w:lang w:val="en"/>
        </w:rPr>
        <w:t>a.</w:t>
      </w:r>
      <w:r w:rsidRPr="00BC5594">
        <w:rPr>
          <w:rFonts w:ascii="Times New Roman" w:hAnsi="Times New Roman" w:cs="Times New Roman"/>
          <w:b w:val="0"/>
          <w:bCs w:val="0"/>
          <w:color w:val="202124"/>
          <w:sz w:val="24"/>
          <w:szCs w:val="24"/>
          <w:lang w:val="en"/>
        </w:rPr>
        <w:tab/>
      </w:r>
      <w:r w:rsidR="00AD46EA" w:rsidRPr="00BC5594">
        <w:rPr>
          <w:rFonts w:ascii="Times New Roman" w:hAnsi="Times New Roman" w:cs="Times New Roman"/>
          <w:b w:val="0"/>
          <w:bCs w:val="0"/>
          <w:color w:val="202124"/>
          <w:sz w:val="24"/>
          <w:szCs w:val="24"/>
          <w:lang w:val="en"/>
        </w:rPr>
        <w:t xml:space="preserve">Project </w:t>
      </w:r>
      <w:r w:rsidRPr="00BC5594">
        <w:rPr>
          <w:rFonts w:ascii="Times New Roman" w:hAnsi="Times New Roman" w:cs="Times New Roman"/>
          <w:b w:val="0"/>
          <w:bCs w:val="0"/>
          <w:sz w:val="24"/>
          <w:szCs w:val="24"/>
        </w:rPr>
        <w:t>finance.</w:t>
      </w:r>
    </w:p>
    <w:p w:rsidR="0067499A" w:rsidRPr="00BC5594" w:rsidRDefault="0067499A" w:rsidP="00AD46EA">
      <w:pPr>
        <w:pStyle w:val="ListParagraph"/>
        <w:bidi w:val="0"/>
        <w:spacing w:after="0" w:line="276" w:lineRule="auto"/>
        <w:ind w:left="3240" w:hanging="450"/>
        <w:rPr>
          <w:rFonts w:ascii="Times New Roman" w:hAnsi="Times New Roman" w:cs="Times New Roman"/>
          <w:b w:val="0"/>
          <w:bCs w:val="0"/>
          <w:sz w:val="24"/>
          <w:szCs w:val="24"/>
        </w:rPr>
      </w:pPr>
      <w:r w:rsidRPr="00BC5594">
        <w:rPr>
          <w:rFonts w:ascii="Times New Roman" w:hAnsi="Times New Roman" w:cs="Times New Roman"/>
          <w:b w:val="0"/>
          <w:bCs w:val="0"/>
          <w:color w:val="202124"/>
          <w:sz w:val="24"/>
          <w:szCs w:val="24"/>
          <w:lang w:val="en"/>
        </w:rPr>
        <w:t>b.</w:t>
      </w:r>
      <w:r w:rsidRPr="00BC5594">
        <w:rPr>
          <w:rFonts w:ascii="Times New Roman" w:hAnsi="Times New Roman" w:cs="Times New Roman"/>
          <w:b w:val="0"/>
          <w:bCs w:val="0"/>
          <w:color w:val="202124"/>
          <w:sz w:val="24"/>
          <w:szCs w:val="24"/>
          <w:lang w:val="en"/>
        </w:rPr>
        <w:tab/>
      </w:r>
      <w:r w:rsidR="00AD46EA" w:rsidRPr="00BC5594">
        <w:rPr>
          <w:rFonts w:ascii="Times New Roman" w:hAnsi="Times New Roman" w:cs="Times New Roman"/>
          <w:b w:val="0"/>
          <w:bCs w:val="0"/>
          <w:sz w:val="24"/>
          <w:szCs w:val="24"/>
        </w:rPr>
        <w:t>Object finance.</w:t>
      </w:r>
    </w:p>
    <w:p w:rsidR="00AD46EA" w:rsidRPr="00BC5594" w:rsidRDefault="00AD46EA" w:rsidP="00AD46EA">
      <w:pPr>
        <w:pStyle w:val="ListParagraph"/>
        <w:bidi w:val="0"/>
        <w:spacing w:after="0" w:line="276" w:lineRule="auto"/>
        <w:ind w:left="3240" w:hanging="450"/>
        <w:rPr>
          <w:rFonts w:ascii="Times New Roman" w:hAnsi="Times New Roman" w:cs="Times New Roman"/>
          <w:b w:val="0"/>
          <w:bCs w:val="0"/>
          <w:sz w:val="24"/>
          <w:szCs w:val="24"/>
        </w:rPr>
      </w:pPr>
      <w:r w:rsidRPr="00BC5594">
        <w:rPr>
          <w:rFonts w:ascii="Times New Roman" w:hAnsi="Times New Roman" w:cs="Times New Roman"/>
          <w:b w:val="0"/>
          <w:bCs w:val="0"/>
          <w:color w:val="202124"/>
          <w:sz w:val="24"/>
          <w:szCs w:val="24"/>
          <w:lang w:val="en"/>
        </w:rPr>
        <w:t>c.</w:t>
      </w:r>
      <w:r w:rsidRPr="00BC5594">
        <w:rPr>
          <w:rFonts w:ascii="Times New Roman" w:hAnsi="Times New Roman" w:cs="Times New Roman"/>
          <w:b w:val="0"/>
          <w:bCs w:val="0"/>
          <w:color w:val="202124"/>
          <w:sz w:val="24"/>
          <w:szCs w:val="24"/>
          <w:lang w:val="en"/>
        </w:rPr>
        <w:tab/>
      </w:r>
      <w:r w:rsidRPr="00BC5594">
        <w:rPr>
          <w:rFonts w:ascii="Times New Roman" w:hAnsi="Times New Roman" w:cs="Times New Roman"/>
          <w:b w:val="0"/>
          <w:bCs w:val="0"/>
          <w:sz w:val="24"/>
          <w:szCs w:val="24"/>
        </w:rPr>
        <w:t>Commodities finance.</w:t>
      </w:r>
    </w:p>
    <w:p w:rsidR="00AD46EA" w:rsidRPr="00BC5594" w:rsidRDefault="00AD46EA" w:rsidP="00AD46EA">
      <w:pPr>
        <w:pStyle w:val="ListParagraph"/>
        <w:bidi w:val="0"/>
        <w:spacing w:after="0" w:line="276" w:lineRule="auto"/>
        <w:ind w:left="3240" w:hanging="450"/>
        <w:rPr>
          <w:rFonts w:ascii="Times New Roman" w:hAnsi="Times New Roman" w:cs="Times New Roman"/>
          <w:b w:val="0"/>
          <w:bCs w:val="0"/>
          <w:sz w:val="24"/>
          <w:szCs w:val="24"/>
        </w:rPr>
      </w:pPr>
      <w:r w:rsidRPr="00BC5594">
        <w:rPr>
          <w:rFonts w:ascii="Times New Roman" w:hAnsi="Times New Roman" w:cs="Times New Roman"/>
          <w:b w:val="0"/>
          <w:bCs w:val="0"/>
          <w:color w:val="202124"/>
          <w:sz w:val="24"/>
          <w:szCs w:val="24"/>
          <w:lang w:val="en"/>
        </w:rPr>
        <w:t>d.</w:t>
      </w:r>
      <w:r w:rsidRPr="00BC5594">
        <w:rPr>
          <w:rFonts w:ascii="Times New Roman" w:hAnsi="Times New Roman" w:cs="Times New Roman"/>
          <w:b w:val="0"/>
          <w:bCs w:val="0"/>
          <w:color w:val="202124"/>
          <w:sz w:val="24"/>
          <w:szCs w:val="24"/>
          <w:lang w:val="en"/>
        </w:rPr>
        <w:tab/>
      </w:r>
      <w:r w:rsidRPr="00BC5594">
        <w:rPr>
          <w:rFonts w:ascii="Times New Roman" w:hAnsi="Times New Roman" w:cs="Times New Roman"/>
          <w:b w:val="0"/>
          <w:bCs w:val="0"/>
          <w:sz w:val="24"/>
          <w:szCs w:val="24"/>
        </w:rPr>
        <w:t>Income-producing real estate.</w:t>
      </w:r>
    </w:p>
    <w:p w:rsidR="00AD46EA" w:rsidRPr="00BC5594" w:rsidRDefault="00AD46EA" w:rsidP="00AD46EA">
      <w:pPr>
        <w:pStyle w:val="ListParagraph"/>
        <w:bidi w:val="0"/>
        <w:spacing w:after="0" w:line="276" w:lineRule="auto"/>
        <w:ind w:left="3240" w:hanging="450"/>
        <w:rPr>
          <w:rFonts w:ascii="Times New Roman" w:hAnsi="Times New Roman" w:cs="Times New Roman"/>
          <w:b w:val="0"/>
          <w:bCs w:val="0"/>
          <w:sz w:val="24"/>
          <w:szCs w:val="24"/>
        </w:rPr>
      </w:pPr>
      <w:r w:rsidRPr="00BC5594">
        <w:rPr>
          <w:rFonts w:ascii="Times New Roman" w:hAnsi="Times New Roman" w:cs="Times New Roman"/>
          <w:b w:val="0"/>
          <w:bCs w:val="0"/>
          <w:color w:val="202124"/>
          <w:sz w:val="24"/>
          <w:szCs w:val="24"/>
        </w:rPr>
        <w:t>e.</w:t>
      </w:r>
      <w:r w:rsidRPr="00BC5594">
        <w:rPr>
          <w:rFonts w:ascii="Times New Roman" w:hAnsi="Times New Roman" w:cs="Times New Roman"/>
          <w:b w:val="0"/>
          <w:bCs w:val="0"/>
          <w:color w:val="202124"/>
          <w:sz w:val="24"/>
          <w:szCs w:val="24"/>
        </w:rPr>
        <w:tab/>
      </w:r>
      <w:r w:rsidRPr="00BC5594">
        <w:rPr>
          <w:rFonts w:ascii="Times New Roman" w:hAnsi="Times New Roman" w:cs="Times New Roman"/>
          <w:b w:val="0"/>
          <w:bCs w:val="0"/>
          <w:sz w:val="24"/>
          <w:szCs w:val="24"/>
        </w:rPr>
        <w:t>High-volatility commercial real estate.</w:t>
      </w:r>
    </w:p>
    <w:p w:rsidR="00AD46EA" w:rsidRPr="00BC5594" w:rsidRDefault="00AD46EA" w:rsidP="00BC5594">
      <w:pPr>
        <w:bidi w:val="0"/>
        <w:spacing w:after="0" w:line="276" w:lineRule="auto"/>
        <w:ind w:left="2790" w:hanging="630"/>
        <w:rPr>
          <w:rFonts w:ascii="Times New Roman" w:hAnsi="Times New Roman" w:cs="Times New Roman"/>
          <w:b w:val="0"/>
          <w:bCs w:val="0"/>
          <w:color w:val="202124"/>
          <w:sz w:val="24"/>
          <w:szCs w:val="24"/>
          <w:lang w:val="en"/>
        </w:rPr>
      </w:pPr>
      <w:r w:rsidRPr="00BC5594">
        <w:rPr>
          <w:rFonts w:ascii="Times New Roman" w:hAnsi="Times New Roman" w:cs="Times New Roman"/>
          <w:b w:val="0"/>
          <w:bCs w:val="0"/>
          <w:color w:val="202124"/>
          <w:sz w:val="24"/>
          <w:szCs w:val="24"/>
        </w:rPr>
        <w:t>-</w:t>
      </w:r>
      <w:r w:rsidRPr="00BC5594">
        <w:rPr>
          <w:rFonts w:ascii="Times New Roman" w:hAnsi="Times New Roman" w:cs="Times New Roman"/>
          <w:b w:val="0"/>
          <w:bCs w:val="0"/>
          <w:color w:val="202124"/>
          <w:sz w:val="24"/>
          <w:szCs w:val="24"/>
        </w:rPr>
        <w:tab/>
      </w:r>
      <w:r w:rsidRPr="00BC5594">
        <w:rPr>
          <w:rFonts w:ascii="Times New Roman" w:hAnsi="Times New Roman" w:cs="Times New Roman"/>
          <w:b w:val="0"/>
          <w:bCs w:val="0"/>
          <w:color w:val="202124"/>
          <w:sz w:val="24"/>
          <w:szCs w:val="24"/>
          <w:lang w:val="en"/>
        </w:rPr>
        <w:t>Claims that fall within any of the previous five types are given a risk weight not less than (100%), except for those that fall under the</w:t>
      </w:r>
      <w:r w:rsidRPr="00BC5594">
        <w:rPr>
          <w:rFonts w:ascii="Times New Roman" w:hAnsi="Times New Roman" w:cs="Times New Roman"/>
          <w:b w:val="0"/>
          <w:bCs w:val="0"/>
          <w:sz w:val="24"/>
          <w:szCs w:val="24"/>
        </w:rPr>
        <w:t xml:space="preserve"> high-volatility commercial real estate,</w:t>
      </w:r>
      <w:r w:rsidRPr="00BC5594">
        <w:rPr>
          <w:rFonts w:ascii="Times New Roman" w:hAnsi="Times New Roman" w:cs="Times New Roman"/>
          <w:b w:val="0"/>
          <w:bCs w:val="0"/>
          <w:color w:val="202124"/>
          <w:sz w:val="24"/>
          <w:szCs w:val="24"/>
          <w:lang w:val="en"/>
        </w:rPr>
        <w:t xml:space="preserve"> which are given a risk weight not less than (150%).</w:t>
      </w:r>
    </w:p>
    <w:p w:rsidR="00AD46EA" w:rsidRPr="003075B1" w:rsidRDefault="00AD46EA" w:rsidP="00AD46EA">
      <w:pPr>
        <w:bidi w:val="0"/>
        <w:spacing w:after="0" w:line="276" w:lineRule="auto"/>
        <w:ind w:left="2790" w:hanging="630"/>
        <w:rPr>
          <w:rFonts w:ascii="Times New Roman" w:hAnsi="Times New Roman" w:cs="Times New Roman"/>
          <w:b w:val="0"/>
          <w:bCs w:val="0"/>
          <w:color w:val="202124"/>
          <w:sz w:val="24"/>
          <w:szCs w:val="24"/>
        </w:rPr>
      </w:pPr>
      <w:r w:rsidRPr="00BC5594">
        <w:rPr>
          <w:rFonts w:ascii="Times New Roman" w:hAnsi="Times New Roman" w:cs="Times New Roman"/>
          <w:b w:val="0"/>
          <w:bCs w:val="0"/>
          <w:color w:val="202124"/>
          <w:sz w:val="24"/>
          <w:szCs w:val="24"/>
          <w:lang w:val="en"/>
        </w:rPr>
        <w:lastRenderedPageBreak/>
        <w:t>-</w:t>
      </w:r>
      <w:r w:rsidRPr="00BC5594">
        <w:rPr>
          <w:rFonts w:ascii="Times New Roman" w:hAnsi="Times New Roman" w:cs="Times New Roman"/>
          <w:b w:val="0"/>
          <w:bCs w:val="0"/>
          <w:color w:val="202124"/>
          <w:sz w:val="24"/>
          <w:szCs w:val="24"/>
          <w:lang w:val="en"/>
        </w:rPr>
        <w:tab/>
        <w:t>The Central Bank may increase risk weights beyond the above rates at the level of all banks operating in the Kingdom and / or at the level of a single bank.</w:t>
      </w:r>
    </w:p>
    <w:p w:rsidR="0067499A" w:rsidRPr="003075B1" w:rsidRDefault="0067499A" w:rsidP="0067499A">
      <w:pPr>
        <w:pStyle w:val="ListParagraph"/>
        <w:bidi w:val="0"/>
        <w:ind w:left="2160"/>
        <w:rPr>
          <w:color w:val="202124"/>
          <w:sz w:val="10"/>
          <w:szCs w:val="10"/>
          <w:lang w:val="en"/>
        </w:rPr>
      </w:pPr>
      <w:r w:rsidRPr="003075B1">
        <w:rPr>
          <w:color w:val="202124"/>
          <w:sz w:val="24"/>
          <w:szCs w:val="24"/>
          <w:lang w:val="en"/>
        </w:rPr>
        <w:tab/>
      </w:r>
    </w:p>
    <w:p w:rsidR="00736FE4" w:rsidRPr="00BC5594" w:rsidRDefault="00736FE4" w:rsidP="00C0293B">
      <w:pPr>
        <w:pStyle w:val="ListParagraph"/>
        <w:bidi w:val="0"/>
        <w:spacing w:after="0" w:line="276" w:lineRule="auto"/>
        <w:ind w:left="2160" w:hanging="884"/>
        <w:rPr>
          <w:rFonts w:ascii="Times New Roman" w:hAnsi="Times New Roman" w:cs="Times New Roman"/>
          <w:b w:val="0"/>
          <w:bCs w:val="0"/>
          <w:color w:val="202124"/>
          <w:sz w:val="24"/>
          <w:szCs w:val="24"/>
          <w:lang w:val="en"/>
        </w:rPr>
      </w:pPr>
      <w:r w:rsidRPr="003075B1">
        <w:rPr>
          <w:rFonts w:ascii="Times New Roman" w:hAnsi="Times New Roman" w:cs="Times New Roman"/>
          <w:b w:val="0"/>
          <w:bCs w:val="0"/>
          <w:color w:val="202124"/>
          <w:sz w:val="24"/>
          <w:szCs w:val="24"/>
          <w:lang w:val="en"/>
        </w:rPr>
        <w:t>2.2.15</w:t>
      </w:r>
      <w:r w:rsidRPr="003075B1">
        <w:rPr>
          <w:rFonts w:ascii="Times New Roman" w:hAnsi="Times New Roman" w:cs="Times New Roman"/>
          <w:b w:val="0"/>
          <w:bCs w:val="0"/>
          <w:color w:val="202124"/>
          <w:sz w:val="24"/>
          <w:szCs w:val="24"/>
          <w:lang w:val="en"/>
        </w:rPr>
        <w:tab/>
      </w:r>
      <w:r w:rsidR="001E64FB" w:rsidRPr="00BC5594">
        <w:rPr>
          <w:rFonts w:ascii="Times New Roman" w:hAnsi="Times New Roman" w:cs="Times New Roman"/>
          <w:b w:val="0"/>
          <w:bCs w:val="0"/>
          <w:sz w:val="24"/>
          <w:szCs w:val="24"/>
        </w:rPr>
        <w:t xml:space="preserve">Other Assets (items </w:t>
      </w:r>
      <w:r w:rsidR="001E64FB" w:rsidRPr="00BC5594">
        <w:rPr>
          <w:rFonts w:ascii="Times New Roman" w:hAnsi="Times New Roman" w:cs="Times New Roman"/>
          <w:b w:val="0"/>
          <w:bCs w:val="0"/>
          <w:color w:val="202124"/>
          <w:sz w:val="24"/>
          <w:szCs w:val="24"/>
          <w:lang w:val="en"/>
        </w:rPr>
        <w:t>not listed in any of the above categories):</w:t>
      </w:r>
    </w:p>
    <w:p w:rsidR="001E64FB" w:rsidRPr="00BC5594" w:rsidRDefault="001E64FB" w:rsidP="00114FE2">
      <w:pPr>
        <w:pStyle w:val="ListParagraph"/>
        <w:bidi w:val="0"/>
        <w:spacing w:after="0" w:line="276" w:lineRule="auto"/>
        <w:ind w:left="2552" w:hanging="425"/>
        <w:rPr>
          <w:rFonts w:ascii="Times New Roman" w:hAnsi="Times New Roman" w:cs="Times New Roman"/>
          <w:b w:val="0"/>
          <w:bCs w:val="0"/>
          <w:sz w:val="24"/>
          <w:szCs w:val="24"/>
        </w:rPr>
      </w:pPr>
      <w:r w:rsidRPr="00BC5594">
        <w:rPr>
          <w:rFonts w:ascii="Times New Roman" w:hAnsi="Times New Roman" w:cs="Times New Roman"/>
          <w:b w:val="0"/>
          <w:bCs w:val="0"/>
          <w:color w:val="202124"/>
          <w:sz w:val="24"/>
          <w:szCs w:val="24"/>
          <w:lang w:val="en"/>
        </w:rPr>
        <w:t>-</w:t>
      </w:r>
      <w:r w:rsidRPr="00BC5594">
        <w:rPr>
          <w:rFonts w:ascii="Times New Roman" w:hAnsi="Times New Roman" w:cs="Times New Roman"/>
          <w:b w:val="0"/>
          <w:bCs w:val="0"/>
          <w:color w:val="202124"/>
          <w:sz w:val="24"/>
          <w:szCs w:val="24"/>
          <w:lang w:val="en"/>
        </w:rPr>
        <w:tab/>
      </w:r>
      <w:r w:rsidR="00EC0E25" w:rsidRPr="00BC5594">
        <w:rPr>
          <w:rFonts w:ascii="Times New Roman" w:hAnsi="Times New Roman" w:cs="Times New Roman"/>
          <w:b w:val="0"/>
          <w:bCs w:val="0"/>
          <w:sz w:val="24"/>
          <w:szCs w:val="24"/>
        </w:rPr>
        <w:t>Other assets will be</w:t>
      </w:r>
      <w:r w:rsidRPr="00BC5594">
        <w:rPr>
          <w:rFonts w:ascii="Times New Roman" w:hAnsi="Times New Roman" w:cs="Times New Roman"/>
          <w:b w:val="0"/>
          <w:bCs w:val="0"/>
          <w:sz w:val="24"/>
          <w:szCs w:val="24"/>
        </w:rPr>
        <w:t xml:space="preserve"> (0%) risk-weight as follows:</w:t>
      </w:r>
    </w:p>
    <w:p w:rsidR="001E64FB" w:rsidRPr="00BC5594" w:rsidRDefault="001E64FB" w:rsidP="00114FE2">
      <w:pPr>
        <w:pStyle w:val="ListParagraph"/>
        <w:bidi w:val="0"/>
        <w:spacing w:after="0" w:line="276" w:lineRule="auto"/>
        <w:ind w:left="2977" w:hanging="425"/>
        <w:rPr>
          <w:rFonts w:ascii="Times New Roman" w:hAnsi="Times New Roman" w:cs="Times New Roman"/>
          <w:b w:val="0"/>
          <w:bCs w:val="0"/>
          <w:color w:val="202124"/>
          <w:sz w:val="24"/>
          <w:szCs w:val="24"/>
          <w:lang w:val="en"/>
        </w:rPr>
      </w:pPr>
      <w:r w:rsidRPr="00BC5594">
        <w:rPr>
          <w:rFonts w:ascii="Times New Roman" w:hAnsi="Times New Roman" w:cs="Times New Roman"/>
          <w:b w:val="0"/>
          <w:bCs w:val="0"/>
          <w:sz w:val="24"/>
          <w:szCs w:val="24"/>
        </w:rPr>
        <w:t>a.</w:t>
      </w:r>
      <w:r w:rsidRPr="00BC5594">
        <w:rPr>
          <w:rFonts w:ascii="Times New Roman" w:hAnsi="Times New Roman" w:cs="Times New Roman"/>
          <w:b w:val="0"/>
          <w:bCs w:val="0"/>
          <w:sz w:val="24"/>
          <w:szCs w:val="24"/>
        </w:rPr>
        <w:tab/>
      </w:r>
      <w:r w:rsidRPr="00BC5594">
        <w:rPr>
          <w:rFonts w:ascii="Times New Roman" w:hAnsi="Times New Roman" w:cs="Times New Roman"/>
          <w:b w:val="0"/>
          <w:bCs w:val="0"/>
          <w:color w:val="202124"/>
          <w:sz w:val="24"/>
          <w:szCs w:val="24"/>
          <w:lang w:val="en"/>
        </w:rPr>
        <w:t xml:space="preserve">Cash </w:t>
      </w:r>
      <w:r w:rsidR="00BC5594" w:rsidRPr="00BC5594">
        <w:rPr>
          <w:rFonts w:ascii="Times New Roman" w:hAnsi="Times New Roman" w:cs="Times New Roman"/>
          <w:b w:val="0"/>
          <w:bCs w:val="0"/>
          <w:color w:val="202124"/>
          <w:sz w:val="24"/>
          <w:szCs w:val="24"/>
          <w:lang w:val="en"/>
        </w:rPr>
        <w:t xml:space="preserve">(or any assets like cash) </w:t>
      </w:r>
      <w:r w:rsidRPr="00BC5594">
        <w:rPr>
          <w:rFonts w:ascii="Times New Roman" w:hAnsi="Times New Roman" w:cs="Times New Roman"/>
          <w:b w:val="0"/>
          <w:bCs w:val="0"/>
          <w:color w:val="202124"/>
          <w:sz w:val="24"/>
          <w:szCs w:val="24"/>
          <w:lang w:val="en"/>
        </w:rPr>
        <w:t>that is kept with the bank, regardless of currency.</w:t>
      </w:r>
    </w:p>
    <w:p w:rsidR="001E64FB" w:rsidRPr="00BC5594" w:rsidRDefault="001E64FB" w:rsidP="00114FE2">
      <w:pPr>
        <w:pStyle w:val="ListParagraph"/>
        <w:bidi w:val="0"/>
        <w:spacing w:after="0" w:line="276" w:lineRule="auto"/>
        <w:ind w:left="2977" w:hanging="425"/>
        <w:rPr>
          <w:rFonts w:ascii="Times New Roman" w:hAnsi="Times New Roman" w:cs="Times New Roman"/>
          <w:b w:val="0"/>
          <w:bCs w:val="0"/>
          <w:sz w:val="24"/>
          <w:szCs w:val="24"/>
          <w:lang w:val="en"/>
        </w:rPr>
      </w:pPr>
      <w:r w:rsidRPr="00BC5594">
        <w:rPr>
          <w:rFonts w:ascii="Times New Roman" w:hAnsi="Times New Roman" w:cs="Times New Roman"/>
          <w:b w:val="0"/>
          <w:bCs w:val="0"/>
          <w:sz w:val="24"/>
          <w:szCs w:val="24"/>
          <w:lang w:val="en"/>
        </w:rPr>
        <w:t>b.</w:t>
      </w:r>
      <w:r w:rsidRPr="00BC5594">
        <w:rPr>
          <w:rFonts w:ascii="Times New Roman" w:hAnsi="Times New Roman" w:cs="Times New Roman"/>
          <w:b w:val="0"/>
          <w:bCs w:val="0"/>
          <w:color w:val="202124"/>
          <w:sz w:val="24"/>
          <w:szCs w:val="24"/>
          <w:lang w:val="en"/>
        </w:rPr>
        <w:t xml:space="preserve"> </w:t>
      </w:r>
      <w:r w:rsidRPr="00BC5594">
        <w:rPr>
          <w:rFonts w:ascii="Times New Roman" w:hAnsi="Times New Roman" w:cs="Times New Roman"/>
          <w:b w:val="0"/>
          <w:bCs w:val="0"/>
          <w:color w:val="202124"/>
          <w:sz w:val="24"/>
          <w:szCs w:val="24"/>
          <w:lang w:val="en"/>
        </w:rPr>
        <w:tab/>
        <w:t>Deposits held with foreign branches (including deposits with the parent company and bank</w:t>
      </w:r>
      <w:r w:rsidR="00EC0E25" w:rsidRPr="00BC5594">
        <w:rPr>
          <w:rFonts w:ascii="Times New Roman" w:hAnsi="Times New Roman" w:cs="Times New Roman"/>
          <w:b w:val="0"/>
          <w:bCs w:val="0"/>
          <w:color w:val="202124"/>
          <w:sz w:val="24"/>
          <w:szCs w:val="24"/>
          <w:lang w:val="en"/>
        </w:rPr>
        <w:t>ing</w:t>
      </w:r>
      <w:r w:rsidRPr="00BC5594">
        <w:rPr>
          <w:rFonts w:ascii="Times New Roman" w:hAnsi="Times New Roman" w:cs="Times New Roman"/>
          <w:b w:val="0"/>
          <w:bCs w:val="0"/>
          <w:color w:val="202124"/>
          <w:sz w:val="24"/>
          <w:szCs w:val="24"/>
          <w:lang w:val="en"/>
        </w:rPr>
        <w:t xml:space="preserve"> companies within the group) regardless of currency</w:t>
      </w:r>
      <w:r w:rsidR="00045269" w:rsidRPr="00BC5594">
        <w:rPr>
          <w:rFonts w:ascii="Times New Roman" w:hAnsi="Times New Roman" w:cs="Times New Roman"/>
          <w:b w:val="0"/>
          <w:bCs w:val="0"/>
          <w:color w:val="202124"/>
          <w:sz w:val="24"/>
          <w:szCs w:val="24"/>
          <w:lang w:val="en"/>
        </w:rPr>
        <w:t>.</w:t>
      </w:r>
      <w:r w:rsidRPr="00BC5594">
        <w:rPr>
          <w:rFonts w:ascii="Times New Roman" w:hAnsi="Times New Roman" w:cs="Times New Roman"/>
          <w:b w:val="0"/>
          <w:bCs w:val="0"/>
          <w:sz w:val="24"/>
          <w:szCs w:val="24"/>
          <w:lang w:val="en"/>
        </w:rPr>
        <w:tab/>
      </w:r>
    </w:p>
    <w:p w:rsidR="001E64FB" w:rsidRPr="00BC5594" w:rsidRDefault="001E64FB" w:rsidP="00114FE2">
      <w:pPr>
        <w:pStyle w:val="ListParagraph"/>
        <w:bidi w:val="0"/>
        <w:spacing w:after="0" w:line="276" w:lineRule="auto"/>
        <w:ind w:left="2977" w:hanging="425"/>
        <w:rPr>
          <w:rFonts w:ascii="Times New Roman" w:hAnsi="Times New Roman" w:cs="Times New Roman"/>
          <w:b w:val="0"/>
          <w:bCs w:val="0"/>
          <w:sz w:val="24"/>
          <w:szCs w:val="24"/>
        </w:rPr>
      </w:pPr>
      <w:r w:rsidRPr="00BC5594">
        <w:rPr>
          <w:rFonts w:ascii="Times New Roman" w:hAnsi="Times New Roman" w:cs="Times New Roman"/>
          <w:b w:val="0"/>
          <w:bCs w:val="0"/>
          <w:sz w:val="24"/>
          <w:szCs w:val="24"/>
          <w:lang w:val="en"/>
        </w:rPr>
        <w:t>c.</w:t>
      </w:r>
      <w:r w:rsidR="00045269" w:rsidRPr="00BC5594">
        <w:rPr>
          <w:rFonts w:ascii="Times New Roman" w:hAnsi="Times New Roman" w:cs="Times New Roman"/>
          <w:b w:val="0"/>
          <w:bCs w:val="0"/>
          <w:sz w:val="24"/>
          <w:szCs w:val="24"/>
        </w:rPr>
        <w:tab/>
      </w:r>
      <w:r w:rsidR="00045269" w:rsidRPr="00BC5594">
        <w:rPr>
          <w:rFonts w:ascii="Times New Roman" w:hAnsi="Times New Roman" w:cs="Times New Roman"/>
          <w:b w:val="0"/>
          <w:bCs w:val="0"/>
          <w:color w:val="202124"/>
          <w:sz w:val="24"/>
          <w:szCs w:val="24"/>
          <w:lang w:val="en"/>
        </w:rPr>
        <w:t>Compulsory cash reserve maintained with central banks, regardless of currency</w:t>
      </w:r>
    </w:p>
    <w:p w:rsidR="001E64FB" w:rsidRPr="00BC5594" w:rsidRDefault="001E64FB" w:rsidP="00114FE2">
      <w:pPr>
        <w:pStyle w:val="ListParagraph"/>
        <w:bidi w:val="0"/>
        <w:spacing w:after="0" w:line="276" w:lineRule="auto"/>
        <w:ind w:left="2977" w:hanging="425"/>
        <w:rPr>
          <w:rFonts w:ascii="Times New Roman" w:hAnsi="Times New Roman" w:cs="Times New Roman"/>
          <w:b w:val="0"/>
          <w:bCs w:val="0"/>
          <w:sz w:val="24"/>
          <w:szCs w:val="24"/>
          <w:lang w:val="en"/>
        </w:rPr>
      </w:pPr>
      <w:r w:rsidRPr="00BC5594">
        <w:rPr>
          <w:rFonts w:ascii="Times New Roman" w:hAnsi="Times New Roman" w:cs="Times New Roman"/>
          <w:b w:val="0"/>
          <w:bCs w:val="0"/>
          <w:sz w:val="24"/>
          <w:szCs w:val="24"/>
          <w:lang w:val="en"/>
        </w:rPr>
        <w:t>d.</w:t>
      </w:r>
      <w:r w:rsidRPr="00BC5594">
        <w:rPr>
          <w:rFonts w:ascii="Times New Roman" w:hAnsi="Times New Roman" w:cs="Times New Roman"/>
          <w:b w:val="0"/>
          <w:bCs w:val="0"/>
          <w:sz w:val="24"/>
          <w:szCs w:val="24"/>
        </w:rPr>
        <w:t xml:space="preserve"> </w:t>
      </w:r>
      <w:r w:rsidR="00C0293B" w:rsidRPr="00BC5594">
        <w:rPr>
          <w:rFonts w:ascii="Times New Roman" w:hAnsi="Times New Roman" w:cs="Times New Roman"/>
          <w:b w:val="0"/>
          <w:bCs w:val="0"/>
          <w:sz w:val="24"/>
          <w:szCs w:val="24"/>
        </w:rPr>
        <w:tab/>
        <w:t>G</w:t>
      </w:r>
      <w:r w:rsidRPr="00BC5594">
        <w:rPr>
          <w:rFonts w:ascii="Times New Roman" w:hAnsi="Times New Roman" w:cs="Times New Roman"/>
          <w:b w:val="0"/>
          <w:bCs w:val="0"/>
          <w:sz w:val="24"/>
          <w:szCs w:val="24"/>
        </w:rPr>
        <w:t xml:space="preserve">old bullion held in the bank’s own vaults or with specializes companies. </w:t>
      </w:r>
    </w:p>
    <w:p w:rsidR="00F770C4" w:rsidRPr="00BC5594" w:rsidRDefault="00F770C4" w:rsidP="00114FE2">
      <w:pPr>
        <w:pStyle w:val="ListParagraph"/>
        <w:numPr>
          <w:ilvl w:val="0"/>
          <w:numId w:val="3"/>
        </w:numPr>
        <w:bidi w:val="0"/>
        <w:spacing w:after="0" w:line="276" w:lineRule="auto"/>
        <w:ind w:left="2552" w:hanging="425"/>
        <w:rPr>
          <w:rFonts w:ascii="Times New Roman" w:hAnsi="Times New Roman" w:cs="Times New Roman"/>
          <w:b w:val="0"/>
          <w:bCs w:val="0"/>
          <w:sz w:val="24"/>
          <w:szCs w:val="24"/>
        </w:rPr>
      </w:pPr>
      <w:r w:rsidRPr="00BC5594">
        <w:rPr>
          <w:rFonts w:ascii="Times New Roman" w:hAnsi="Times New Roman" w:cs="Times New Roman"/>
          <w:b w:val="0"/>
          <w:bCs w:val="0"/>
          <w:sz w:val="24"/>
          <w:szCs w:val="24"/>
        </w:rPr>
        <w:t>The risk weight for the following other assets will be 100%:</w:t>
      </w:r>
    </w:p>
    <w:p w:rsidR="00F770C4" w:rsidRPr="00BC5594" w:rsidRDefault="00F770C4" w:rsidP="00BC5594">
      <w:pPr>
        <w:pStyle w:val="ListParagraph"/>
        <w:numPr>
          <w:ilvl w:val="2"/>
          <w:numId w:val="1"/>
        </w:numPr>
        <w:bidi w:val="0"/>
        <w:spacing w:after="0" w:line="276" w:lineRule="auto"/>
        <w:ind w:left="2977" w:hanging="425"/>
        <w:rPr>
          <w:rFonts w:ascii="Times New Roman" w:hAnsi="Times New Roman" w:cs="Times New Roman"/>
          <w:b w:val="0"/>
          <w:bCs w:val="0"/>
          <w:sz w:val="24"/>
          <w:szCs w:val="24"/>
        </w:rPr>
      </w:pPr>
      <w:r w:rsidRPr="00BC5594">
        <w:rPr>
          <w:rFonts w:ascii="Times New Roman" w:hAnsi="Times New Roman" w:cs="Times New Roman"/>
          <w:b w:val="0"/>
          <w:bCs w:val="0"/>
          <w:sz w:val="24"/>
          <w:szCs w:val="24"/>
        </w:rPr>
        <w:t>Investments in equity</w:t>
      </w:r>
      <w:r w:rsidR="00EC0E25" w:rsidRPr="00BC5594">
        <w:rPr>
          <w:rFonts w:ascii="Times New Roman" w:hAnsi="Times New Roman" w:cs="Times New Roman"/>
          <w:b w:val="0"/>
          <w:bCs w:val="0"/>
          <w:sz w:val="24"/>
          <w:szCs w:val="24"/>
        </w:rPr>
        <w:t xml:space="preserve"> (within the banking book)</w:t>
      </w:r>
      <w:r w:rsidRPr="00BC5594">
        <w:rPr>
          <w:rFonts w:ascii="Times New Roman" w:hAnsi="Times New Roman" w:cs="Times New Roman"/>
          <w:b w:val="0"/>
          <w:bCs w:val="0"/>
          <w:sz w:val="24"/>
          <w:szCs w:val="24"/>
        </w:rPr>
        <w:t xml:space="preserve"> or </w:t>
      </w:r>
      <w:r w:rsidR="00BC5594" w:rsidRPr="00BC5594">
        <w:rPr>
          <w:rFonts w:ascii="Times New Roman" w:hAnsi="Times New Roman" w:cs="Times New Roman"/>
          <w:b w:val="0"/>
          <w:bCs w:val="0"/>
          <w:sz w:val="24"/>
          <w:szCs w:val="24"/>
        </w:rPr>
        <w:t xml:space="preserve">any </w:t>
      </w:r>
      <w:r w:rsidRPr="00BC5594">
        <w:rPr>
          <w:rFonts w:ascii="Times New Roman" w:hAnsi="Times New Roman" w:cs="Times New Roman"/>
          <w:b w:val="0"/>
          <w:bCs w:val="0"/>
          <w:sz w:val="24"/>
          <w:szCs w:val="24"/>
        </w:rPr>
        <w:t>capital instruments issued by banks or securities</w:t>
      </w:r>
      <w:r w:rsidR="00BC5594" w:rsidRPr="00BC5594">
        <w:rPr>
          <w:rFonts w:ascii="Times New Roman" w:hAnsi="Times New Roman" w:cs="Times New Roman"/>
          <w:b w:val="0"/>
          <w:bCs w:val="0"/>
          <w:sz w:val="24"/>
          <w:szCs w:val="24"/>
        </w:rPr>
        <w:t xml:space="preserve"> and classified as regulatory capital</w:t>
      </w:r>
      <w:r w:rsidRPr="00BC5594">
        <w:rPr>
          <w:rFonts w:ascii="Times New Roman" w:hAnsi="Times New Roman" w:cs="Times New Roman"/>
          <w:b w:val="0"/>
          <w:bCs w:val="0"/>
          <w:sz w:val="24"/>
          <w:szCs w:val="24"/>
        </w:rPr>
        <w:t>, unless deducted from the capital base.</w:t>
      </w:r>
    </w:p>
    <w:p w:rsidR="00045269" w:rsidRPr="00BC5594" w:rsidRDefault="00045269" w:rsidP="00114FE2">
      <w:pPr>
        <w:pStyle w:val="ListParagraph"/>
        <w:numPr>
          <w:ilvl w:val="2"/>
          <w:numId w:val="1"/>
        </w:numPr>
        <w:bidi w:val="0"/>
        <w:spacing w:after="0" w:line="276" w:lineRule="auto"/>
        <w:ind w:left="2977" w:hanging="425"/>
        <w:rPr>
          <w:rFonts w:ascii="Times New Roman" w:hAnsi="Times New Roman" w:cs="Times New Roman"/>
          <w:b w:val="0"/>
          <w:bCs w:val="0"/>
          <w:sz w:val="24"/>
          <w:szCs w:val="24"/>
        </w:rPr>
      </w:pPr>
      <w:r w:rsidRPr="00BC5594">
        <w:rPr>
          <w:rFonts w:ascii="Times New Roman" w:hAnsi="Times New Roman" w:cs="Times New Roman"/>
          <w:b w:val="0"/>
          <w:bCs w:val="0"/>
          <w:color w:val="202124"/>
          <w:sz w:val="24"/>
          <w:szCs w:val="24"/>
          <w:lang w:val="en"/>
        </w:rPr>
        <w:t>All assets not included in the other assets category, with the exception of securitization assets.</w:t>
      </w:r>
    </w:p>
    <w:p w:rsidR="00045269" w:rsidRPr="003075B1" w:rsidRDefault="00045269" w:rsidP="00BC5594">
      <w:pPr>
        <w:bidi w:val="0"/>
        <w:spacing w:after="0" w:line="276" w:lineRule="auto"/>
        <w:ind w:left="2552" w:hanging="425"/>
        <w:rPr>
          <w:rFonts w:ascii="Times New Roman" w:hAnsi="Times New Roman" w:cs="Times New Roman"/>
          <w:b w:val="0"/>
          <w:bCs w:val="0"/>
          <w:sz w:val="24"/>
          <w:szCs w:val="24"/>
          <w:rtl/>
          <w:lang w:bidi="ar-JO"/>
        </w:rPr>
      </w:pPr>
      <w:r w:rsidRPr="00BC5594">
        <w:rPr>
          <w:rFonts w:ascii="Times New Roman" w:hAnsi="Times New Roman" w:cs="Times New Roman"/>
          <w:b w:val="0"/>
          <w:bCs w:val="0"/>
          <w:sz w:val="24"/>
          <w:szCs w:val="24"/>
        </w:rPr>
        <w:t>-</w:t>
      </w:r>
      <w:r w:rsidRPr="00BC5594">
        <w:rPr>
          <w:rFonts w:ascii="Times New Roman" w:hAnsi="Times New Roman" w:cs="Times New Roman"/>
          <w:b w:val="0"/>
          <w:bCs w:val="0"/>
          <w:sz w:val="24"/>
          <w:szCs w:val="24"/>
        </w:rPr>
        <w:tab/>
      </w:r>
      <w:r w:rsidR="00C0293B" w:rsidRPr="00BC5594">
        <w:rPr>
          <w:rFonts w:ascii="Times New Roman" w:hAnsi="Times New Roman" w:cs="Times New Roman"/>
          <w:b w:val="0"/>
          <w:bCs w:val="0"/>
          <w:color w:val="202124"/>
          <w:sz w:val="24"/>
          <w:szCs w:val="24"/>
          <w:lang w:val="en"/>
        </w:rPr>
        <w:t xml:space="preserve">Checks </w:t>
      </w:r>
      <w:r w:rsidR="00BC5594" w:rsidRPr="00BC5594">
        <w:rPr>
          <w:rFonts w:ascii="Times New Roman" w:hAnsi="Times New Roman" w:cs="Times New Roman"/>
          <w:b w:val="0"/>
          <w:bCs w:val="0"/>
          <w:color w:val="202124"/>
          <w:sz w:val="24"/>
          <w:szCs w:val="24"/>
          <w:lang w:val="en"/>
        </w:rPr>
        <w:t>under</w:t>
      </w:r>
      <w:r w:rsidR="00C0293B" w:rsidRPr="00BC5594">
        <w:rPr>
          <w:rFonts w:ascii="Times New Roman" w:hAnsi="Times New Roman" w:cs="Times New Roman"/>
          <w:b w:val="0"/>
          <w:bCs w:val="0"/>
          <w:color w:val="202124"/>
          <w:sz w:val="24"/>
          <w:szCs w:val="24"/>
          <w:lang w:val="en"/>
        </w:rPr>
        <w:t xml:space="preserve"> collection and </w:t>
      </w:r>
      <w:r w:rsidR="00C0293B" w:rsidRPr="00BC5594">
        <w:rPr>
          <w:rFonts w:ascii="Times New Roman" w:hAnsi="Times New Roman" w:cs="Times New Roman"/>
          <w:b w:val="0"/>
          <w:bCs w:val="0"/>
          <w:sz w:val="24"/>
          <w:szCs w:val="24"/>
        </w:rPr>
        <w:t>other items in transit</w:t>
      </w:r>
      <w:r w:rsidR="00C0293B" w:rsidRPr="00BC5594">
        <w:rPr>
          <w:rFonts w:ascii="Times New Roman" w:hAnsi="Times New Roman" w:cs="Times New Roman"/>
          <w:b w:val="0"/>
          <w:bCs w:val="0"/>
          <w:color w:val="202124"/>
          <w:sz w:val="24"/>
          <w:szCs w:val="24"/>
          <w:lang w:val="en"/>
        </w:rPr>
        <w:t xml:space="preserve"> are given </w:t>
      </w:r>
      <w:r w:rsidR="00C0293B" w:rsidRPr="00BC5594">
        <w:rPr>
          <w:rFonts w:ascii="Times New Roman" w:hAnsi="Times New Roman" w:cs="Times New Roman"/>
          <w:b w:val="0"/>
          <w:bCs w:val="0"/>
          <w:color w:val="202124"/>
          <w:sz w:val="24"/>
          <w:szCs w:val="24"/>
        </w:rPr>
        <w:t>(20%)</w:t>
      </w:r>
      <w:r w:rsidR="00C0293B" w:rsidRPr="00BC5594">
        <w:rPr>
          <w:rFonts w:ascii="Times New Roman" w:hAnsi="Times New Roman" w:cs="Times New Roman"/>
          <w:b w:val="0"/>
          <w:bCs w:val="0"/>
          <w:color w:val="202124"/>
          <w:sz w:val="24"/>
          <w:szCs w:val="24"/>
          <w:lang w:val="en"/>
        </w:rPr>
        <w:t xml:space="preserve"> risk weight.</w:t>
      </w:r>
    </w:p>
    <w:p w:rsidR="000F7D03" w:rsidRPr="008F08A6" w:rsidRDefault="000F7D03" w:rsidP="00114FE2">
      <w:pPr>
        <w:spacing w:after="0" w:line="276" w:lineRule="auto"/>
        <w:rPr>
          <w:rFonts w:ascii="Times New Roman" w:hAnsi="Times New Roman" w:cs="Times New Roman"/>
          <w:b w:val="0"/>
          <w:bCs w:val="0"/>
          <w:sz w:val="12"/>
          <w:szCs w:val="12"/>
        </w:rPr>
      </w:pPr>
    </w:p>
    <w:p w:rsidR="000F7D03" w:rsidRPr="003075B1" w:rsidRDefault="000F7D03" w:rsidP="00076A6A">
      <w:pPr>
        <w:bidi w:val="0"/>
        <w:spacing w:after="0" w:line="276" w:lineRule="auto"/>
        <w:ind w:left="709" w:hanging="567"/>
        <w:rPr>
          <w:rFonts w:ascii="Times New Roman" w:hAnsi="Times New Roman" w:cs="Times New Roman"/>
          <w:sz w:val="24"/>
          <w:szCs w:val="24"/>
        </w:rPr>
      </w:pPr>
      <w:r w:rsidRPr="003075B1">
        <w:rPr>
          <w:rFonts w:ascii="Times New Roman" w:hAnsi="Times New Roman" w:cs="Times New Roman"/>
          <w:sz w:val="24"/>
          <w:szCs w:val="24"/>
        </w:rPr>
        <w:t>3.</w:t>
      </w:r>
      <w:r w:rsidRPr="003075B1">
        <w:rPr>
          <w:rFonts w:ascii="Times New Roman" w:hAnsi="Times New Roman" w:cs="Times New Roman"/>
          <w:sz w:val="24"/>
          <w:szCs w:val="24"/>
        </w:rPr>
        <w:tab/>
        <w:t>Off – Balance Sheet Items</w:t>
      </w:r>
    </w:p>
    <w:p w:rsidR="004D6F0B" w:rsidRPr="003075B1" w:rsidRDefault="004D6F0B" w:rsidP="00076A6A">
      <w:pPr>
        <w:bidi w:val="0"/>
        <w:spacing w:after="0" w:line="276" w:lineRule="auto"/>
        <w:ind w:left="1276" w:hanging="567"/>
        <w:rPr>
          <w:rFonts w:ascii="Times New Roman" w:hAnsi="Times New Roman" w:cs="Times New Roman"/>
          <w:b w:val="0"/>
          <w:bCs w:val="0"/>
          <w:sz w:val="24"/>
          <w:szCs w:val="24"/>
        </w:rPr>
      </w:pPr>
      <w:r w:rsidRPr="003075B1">
        <w:rPr>
          <w:rFonts w:ascii="Times New Roman" w:hAnsi="Times New Roman" w:cs="Times New Roman"/>
          <w:b w:val="0"/>
          <w:bCs w:val="0"/>
          <w:sz w:val="24"/>
          <w:szCs w:val="24"/>
        </w:rPr>
        <w:t>3.1</w:t>
      </w:r>
      <w:r w:rsidRPr="003075B1">
        <w:rPr>
          <w:rFonts w:ascii="Times New Roman" w:hAnsi="Times New Roman" w:cs="Times New Roman"/>
          <w:b w:val="0"/>
          <w:bCs w:val="0"/>
          <w:sz w:val="24"/>
          <w:szCs w:val="24"/>
        </w:rPr>
        <w:tab/>
        <w:t>General Rules:</w:t>
      </w:r>
    </w:p>
    <w:p w:rsidR="004D6F0B" w:rsidRPr="003075B1" w:rsidRDefault="004D6F0B" w:rsidP="00114FE2">
      <w:pPr>
        <w:bidi w:val="0"/>
        <w:spacing w:after="0" w:line="276" w:lineRule="auto"/>
        <w:ind w:left="2127" w:hanging="851"/>
        <w:rPr>
          <w:rFonts w:ascii="Times New Roman" w:hAnsi="Times New Roman" w:cs="Times New Roman"/>
          <w:b w:val="0"/>
          <w:bCs w:val="0"/>
          <w:sz w:val="24"/>
          <w:szCs w:val="24"/>
        </w:rPr>
      </w:pPr>
      <w:r w:rsidRPr="003075B1">
        <w:rPr>
          <w:rFonts w:ascii="Times New Roman" w:hAnsi="Times New Roman" w:cs="Times New Roman"/>
          <w:b w:val="0"/>
          <w:bCs w:val="0"/>
          <w:sz w:val="24"/>
          <w:szCs w:val="24"/>
        </w:rPr>
        <w:t>3.1.1</w:t>
      </w:r>
      <w:r w:rsidRPr="003075B1">
        <w:rPr>
          <w:rFonts w:ascii="Times New Roman" w:hAnsi="Times New Roman" w:cs="Times New Roman"/>
          <w:b w:val="0"/>
          <w:bCs w:val="0"/>
          <w:sz w:val="24"/>
          <w:szCs w:val="24"/>
        </w:rPr>
        <w:tab/>
        <w:t>Calculation of credit risk-weighted amount for off-balance sheet items:</w:t>
      </w:r>
    </w:p>
    <w:p w:rsidR="00EE0675" w:rsidRPr="003075B1" w:rsidRDefault="00114FE2" w:rsidP="00114FE2">
      <w:pPr>
        <w:bidi w:val="0"/>
        <w:spacing w:after="0" w:line="276" w:lineRule="auto"/>
        <w:ind w:left="2552" w:hanging="425"/>
        <w:rPr>
          <w:rFonts w:ascii="Times New Roman" w:hAnsi="Times New Roman" w:cs="Times New Roman"/>
          <w:b w:val="0"/>
          <w:bCs w:val="0"/>
          <w:sz w:val="24"/>
          <w:szCs w:val="24"/>
        </w:rPr>
      </w:pPr>
      <w:r w:rsidRPr="003075B1">
        <w:rPr>
          <w:rFonts w:ascii="Times New Roman" w:hAnsi="Times New Roman" w:cs="Times New Roman"/>
          <w:b w:val="0"/>
          <w:bCs w:val="0"/>
          <w:sz w:val="24"/>
          <w:szCs w:val="24"/>
        </w:rPr>
        <w:t>-</w:t>
      </w:r>
      <w:r w:rsidRPr="003075B1">
        <w:rPr>
          <w:rFonts w:ascii="Times New Roman" w:hAnsi="Times New Roman" w:cs="Times New Roman"/>
          <w:b w:val="0"/>
          <w:bCs w:val="0"/>
          <w:sz w:val="24"/>
          <w:szCs w:val="24"/>
        </w:rPr>
        <w:tab/>
      </w:r>
      <w:r w:rsidR="00EE0675" w:rsidRPr="003075B1">
        <w:rPr>
          <w:rFonts w:ascii="Times New Roman" w:hAnsi="Times New Roman" w:cs="Times New Roman"/>
          <w:b w:val="0"/>
          <w:bCs w:val="0"/>
          <w:color w:val="202124"/>
          <w:sz w:val="24"/>
          <w:szCs w:val="24"/>
          <w:lang w:val="en"/>
        </w:rPr>
        <w:t xml:space="preserve">The first step: Converting </w:t>
      </w:r>
      <w:r w:rsidR="00EE0675" w:rsidRPr="00C77C3A">
        <w:rPr>
          <w:rFonts w:ascii="Times New Roman" w:hAnsi="Times New Roman" w:cs="Times New Roman"/>
          <w:b w:val="0"/>
          <w:bCs w:val="0"/>
          <w:color w:val="202124"/>
          <w:sz w:val="24"/>
          <w:szCs w:val="24"/>
          <w:lang w:val="en"/>
        </w:rPr>
        <w:t>the nominal value</w:t>
      </w:r>
      <w:r w:rsidR="00EE0675" w:rsidRPr="003075B1">
        <w:rPr>
          <w:rFonts w:ascii="Times New Roman" w:hAnsi="Times New Roman" w:cs="Times New Roman"/>
          <w:b w:val="0"/>
          <w:bCs w:val="0"/>
          <w:color w:val="202124"/>
          <w:sz w:val="24"/>
          <w:szCs w:val="24"/>
          <w:lang w:val="en"/>
        </w:rPr>
        <w:t xml:space="preserve"> of the item into a credit factor for items within the on-balance sheet by multiplying it by its </w:t>
      </w:r>
      <w:r w:rsidR="00EE0675" w:rsidRPr="003075B1">
        <w:rPr>
          <w:rFonts w:ascii="Times New Roman" w:hAnsi="Times New Roman" w:cs="Times New Roman"/>
          <w:b w:val="0"/>
          <w:bCs w:val="0"/>
          <w:sz w:val="24"/>
          <w:szCs w:val="24"/>
        </w:rPr>
        <w:t>Credit Conversion Factor (CCF).</w:t>
      </w:r>
    </w:p>
    <w:p w:rsidR="00EE0675" w:rsidRPr="003075B1" w:rsidRDefault="00EE0675" w:rsidP="00114FE2">
      <w:pPr>
        <w:bidi w:val="0"/>
        <w:spacing w:after="0" w:line="276" w:lineRule="auto"/>
        <w:ind w:left="2552" w:hanging="425"/>
        <w:rPr>
          <w:rFonts w:ascii="Times New Roman" w:hAnsi="Times New Roman" w:cs="Times New Roman"/>
          <w:b w:val="0"/>
          <w:bCs w:val="0"/>
          <w:sz w:val="24"/>
          <w:szCs w:val="24"/>
        </w:rPr>
      </w:pPr>
      <w:r w:rsidRPr="003075B1">
        <w:rPr>
          <w:rFonts w:ascii="Times New Roman" w:hAnsi="Times New Roman" w:cs="Times New Roman"/>
          <w:b w:val="0"/>
          <w:bCs w:val="0"/>
          <w:sz w:val="24"/>
          <w:szCs w:val="24"/>
        </w:rPr>
        <w:t>-</w:t>
      </w:r>
      <w:r w:rsidRPr="003075B1">
        <w:rPr>
          <w:rFonts w:ascii="Times New Roman" w:hAnsi="Times New Roman" w:cs="Times New Roman"/>
          <w:b w:val="0"/>
          <w:bCs w:val="0"/>
          <w:sz w:val="24"/>
          <w:szCs w:val="24"/>
        </w:rPr>
        <w:tab/>
      </w:r>
      <w:r w:rsidRPr="003075B1">
        <w:rPr>
          <w:rFonts w:ascii="Times New Roman" w:hAnsi="Times New Roman" w:cs="Times New Roman"/>
          <w:b w:val="0"/>
          <w:bCs w:val="0"/>
          <w:color w:val="202124"/>
          <w:sz w:val="24"/>
          <w:szCs w:val="24"/>
          <w:lang w:val="en"/>
        </w:rPr>
        <w:t xml:space="preserve">The second step: the outcome from the above step is multiplied by an appropriate risk weight for the item within the on-balance sheet and according to the type of claim. </w:t>
      </w:r>
    </w:p>
    <w:p w:rsidR="00CC4439" w:rsidRPr="003075B1" w:rsidRDefault="00CC4439" w:rsidP="00114FE2">
      <w:pPr>
        <w:bidi w:val="0"/>
        <w:spacing w:after="0" w:line="276" w:lineRule="auto"/>
        <w:ind w:left="2127" w:hanging="851"/>
        <w:rPr>
          <w:rFonts w:ascii="Times New Roman" w:hAnsi="Times New Roman" w:cs="Times New Roman"/>
          <w:b w:val="0"/>
          <w:bCs w:val="0"/>
          <w:color w:val="202124"/>
          <w:sz w:val="24"/>
          <w:szCs w:val="24"/>
          <w:lang w:val="en"/>
        </w:rPr>
      </w:pPr>
      <w:r w:rsidRPr="003075B1">
        <w:rPr>
          <w:rFonts w:ascii="Times New Roman" w:hAnsi="Times New Roman" w:cs="Times New Roman"/>
          <w:b w:val="0"/>
          <w:bCs w:val="0"/>
          <w:sz w:val="24"/>
          <w:szCs w:val="24"/>
        </w:rPr>
        <w:t>3.1.2</w:t>
      </w:r>
      <w:r w:rsidRPr="003075B1">
        <w:rPr>
          <w:rFonts w:ascii="Times New Roman" w:hAnsi="Times New Roman" w:cs="Times New Roman"/>
          <w:b w:val="0"/>
          <w:bCs w:val="0"/>
          <w:sz w:val="24"/>
          <w:szCs w:val="24"/>
        </w:rPr>
        <w:tab/>
      </w:r>
      <w:r w:rsidRPr="003075B1">
        <w:rPr>
          <w:rFonts w:ascii="Times New Roman" w:hAnsi="Times New Roman" w:cs="Times New Roman"/>
          <w:b w:val="0"/>
          <w:bCs w:val="0"/>
          <w:color w:val="202124"/>
          <w:sz w:val="24"/>
          <w:szCs w:val="24"/>
          <w:lang w:val="en"/>
        </w:rPr>
        <w:t xml:space="preserve">In the case of </w:t>
      </w:r>
      <w:r w:rsidR="00EE0675" w:rsidRPr="003075B1">
        <w:rPr>
          <w:rFonts w:ascii="Times New Roman" w:hAnsi="Times New Roman" w:cs="Times New Roman"/>
          <w:b w:val="0"/>
          <w:bCs w:val="0"/>
          <w:color w:val="202124"/>
          <w:sz w:val="24"/>
          <w:szCs w:val="24"/>
          <w:lang w:val="en"/>
        </w:rPr>
        <w:t>eligible</w:t>
      </w:r>
      <w:r w:rsidRPr="003075B1">
        <w:rPr>
          <w:rFonts w:ascii="Times New Roman" w:hAnsi="Times New Roman" w:cs="Times New Roman"/>
          <w:b w:val="0"/>
          <w:bCs w:val="0"/>
          <w:color w:val="202124"/>
          <w:sz w:val="24"/>
          <w:szCs w:val="24"/>
          <w:lang w:val="en"/>
        </w:rPr>
        <w:t xml:space="preserve"> guarantees, the effect of the guarantee is calculated before the first step above (i.e. subtracted from the </w:t>
      </w:r>
      <w:r w:rsidR="00EE0675" w:rsidRPr="003075B1">
        <w:rPr>
          <w:rFonts w:ascii="Times New Roman" w:hAnsi="Times New Roman" w:cs="Times New Roman"/>
          <w:b w:val="0"/>
          <w:bCs w:val="0"/>
          <w:color w:val="202124"/>
          <w:sz w:val="24"/>
          <w:szCs w:val="24"/>
          <w:lang w:val="en"/>
        </w:rPr>
        <w:t xml:space="preserve">nominal </w:t>
      </w:r>
      <w:r w:rsidRPr="003075B1">
        <w:rPr>
          <w:rFonts w:ascii="Times New Roman" w:hAnsi="Times New Roman" w:cs="Times New Roman"/>
          <w:b w:val="0"/>
          <w:bCs w:val="0"/>
          <w:color w:val="202124"/>
          <w:sz w:val="24"/>
          <w:szCs w:val="24"/>
          <w:lang w:val="en"/>
        </w:rPr>
        <w:t>value of the item and then transferred to a credit factor</w:t>
      </w:r>
      <w:r w:rsidR="00EE0675" w:rsidRPr="003075B1">
        <w:rPr>
          <w:rFonts w:ascii="Times New Roman" w:hAnsi="Times New Roman" w:cs="Times New Roman"/>
          <w:b w:val="0"/>
          <w:bCs w:val="0"/>
          <w:color w:val="202124"/>
          <w:sz w:val="24"/>
          <w:szCs w:val="24"/>
          <w:lang w:val="en"/>
        </w:rPr>
        <w:t>).</w:t>
      </w:r>
    </w:p>
    <w:p w:rsidR="00EE0675" w:rsidRPr="008F08A6" w:rsidRDefault="00EE0675" w:rsidP="00114FE2">
      <w:pPr>
        <w:bidi w:val="0"/>
        <w:spacing w:after="0" w:line="276" w:lineRule="auto"/>
        <w:rPr>
          <w:rFonts w:ascii="Times New Roman" w:hAnsi="Times New Roman" w:cs="Times New Roman"/>
          <w:b w:val="0"/>
          <w:bCs w:val="0"/>
          <w:color w:val="202124"/>
          <w:sz w:val="12"/>
          <w:szCs w:val="12"/>
          <w:lang w:val="en"/>
        </w:rPr>
      </w:pPr>
    </w:p>
    <w:p w:rsidR="00505A8B" w:rsidRPr="003075B1" w:rsidRDefault="00EE0675" w:rsidP="00076A6A">
      <w:pPr>
        <w:bidi w:val="0"/>
        <w:spacing w:after="0" w:line="276" w:lineRule="auto"/>
        <w:ind w:left="1276" w:hanging="567"/>
        <w:rPr>
          <w:rFonts w:ascii="Times New Roman" w:hAnsi="Times New Roman" w:cs="Times New Roman"/>
          <w:sz w:val="24"/>
          <w:szCs w:val="24"/>
          <w:rtl/>
          <w:lang w:bidi="ar-JO"/>
        </w:rPr>
      </w:pPr>
      <w:r w:rsidRPr="003075B1">
        <w:rPr>
          <w:rFonts w:ascii="Times New Roman" w:hAnsi="Times New Roman" w:cs="Times New Roman"/>
          <w:color w:val="202124"/>
          <w:sz w:val="24"/>
          <w:szCs w:val="24"/>
          <w:lang w:val="en"/>
        </w:rPr>
        <w:t>3.2</w:t>
      </w:r>
      <w:r w:rsidRPr="003075B1">
        <w:rPr>
          <w:rFonts w:ascii="Times New Roman" w:hAnsi="Times New Roman" w:cs="Times New Roman"/>
          <w:color w:val="202124"/>
          <w:sz w:val="24"/>
          <w:szCs w:val="24"/>
          <w:lang w:val="en"/>
        </w:rPr>
        <w:tab/>
        <w:t>Types of claims / exposures:</w:t>
      </w:r>
    </w:p>
    <w:p w:rsidR="00FA3AA7" w:rsidRPr="003075B1" w:rsidRDefault="00FA3AA7" w:rsidP="00114FE2">
      <w:pPr>
        <w:bidi w:val="0"/>
        <w:spacing w:after="0" w:line="276" w:lineRule="auto"/>
        <w:ind w:left="2127" w:hanging="851"/>
        <w:rPr>
          <w:rFonts w:ascii="Times New Roman" w:hAnsi="Times New Roman" w:cs="Times New Roman"/>
          <w:b w:val="0"/>
          <w:bCs w:val="0"/>
          <w:sz w:val="24"/>
          <w:szCs w:val="24"/>
          <w:rtl/>
        </w:rPr>
      </w:pPr>
      <w:r w:rsidRPr="003075B1">
        <w:rPr>
          <w:rFonts w:ascii="Times New Roman" w:hAnsi="Times New Roman" w:cs="Times New Roman"/>
          <w:b w:val="0"/>
          <w:bCs w:val="0"/>
          <w:sz w:val="24"/>
          <w:szCs w:val="24"/>
        </w:rPr>
        <w:t xml:space="preserve">3.2.1 </w:t>
      </w:r>
      <w:r w:rsidR="00114FE2" w:rsidRPr="003075B1">
        <w:rPr>
          <w:rFonts w:ascii="Times New Roman" w:hAnsi="Times New Roman" w:cs="Times New Roman"/>
          <w:b w:val="0"/>
          <w:bCs w:val="0"/>
          <w:sz w:val="24"/>
          <w:szCs w:val="24"/>
        </w:rPr>
        <w:tab/>
      </w:r>
      <w:r w:rsidRPr="003075B1">
        <w:rPr>
          <w:rFonts w:ascii="Times New Roman" w:hAnsi="Times New Roman" w:cs="Times New Roman"/>
          <w:b w:val="0"/>
          <w:bCs w:val="0"/>
          <w:sz w:val="24"/>
          <w:szCs w:val="24"/>
        </w:rPr>
        <w:t>Direct Credit Substitutes</w:t>
      </w:r>
    </w:p>
    <w:p w:rsidR="00FA3AA7" w:rsidRPr="003075B1" w:rsidRDefault="00FA3AA7" w:rsidP="00114FE2">
      <w:pPr>
        <w:bidi w:val="0"/>
        <w:spacing w:after="0" w:line="276" w:lineRule="auto"/>
        <w:ind w:left="2126" w:firstLine="1"/>
        <w:rPr>
          <w:rFonts w:ascii="Times New Roman" w:eastAsiaTheme="minorHAnsi" w:hAnsi="Times New Roman" w:cs="Times New Roman"/>
          <w:b w:val="0"/>
          <w:bCs w:val="0"/>
          <w:sz w:val="24"/>
          <w:szCs w:val="24"/>
        </w:rPr>
      </w:pPr>
      <w:r w:rsidRPr="003075B1">
        <w:rPr>
          <w:rFonts w:ascii="Times New Roman" w:hAnsi="Times New Roman" w:cs="Times New Roman"/>
          <w:b w:val="0"/>
          <w:bCs w:val="0"/>
          <w:sz w:val="24"/>
          <w:szCs w:val="24"/>
        </w:rPr>
        <w:t>The following Off – Balance Sheet Items</w:t>
      </w:r>
      <w:r w:rsidRPr="003075B1">
        <w:rPr>
          <w:rFonts w:ascii="Times New Roman" w:eastAsiaTheme="minorHAnsi" w:hAnsi="Times New Roman" w:cs="Times New Roman"/>
          <w:b w:val="0"/>
          <w:bCs w:val="0"/>
          <w:sz w:val="24"/>
          <w:szCs w:val="24"/>
        </w:rPr>
        <w:t xml:space="preserve"> will receive a CCF of 100%:</w:t>
      </w:r>
    </w:p>
    <w:p w:rsidR="00586DF0" w:rsidRPr="003075B1" w:rsidRDefault="00A405D8" w:rsidP="00114FE2">
      <w:pPr>
        <w:pStyle w:val="ListParagraph"/>
        <w:numPr>
          <w:ilvl w:val="0"/>
          <w:numId w:val="3"/>
        </w:numPr>
        <w:bidi w:val="0"/>
        <w:spacing w:after="0" w:line="276" w:lineRule="auto"/>
        <w:ind w:left="2552" w:hanging="425"/>
        <w:rPr>
          <w:rFonts w:ascii="Times New Roman" w:hAnsi="Times New Roman" w:cs="Times New Roman"/>
          <w:b w:val="0"/>
          <w:bCs w:val="0"/>
          <w:sz w:val="24"/>
          <w:szCs w:val="24"/>
        </w:rPr>
      </w:pPr>
      <w:r w:rsidRPr="003075B1">
        <w:rPr>
          <w:rFonts w:ascii="Times New Roman" w:hAnsi="Times New Roman" w:cs="Times New Roman"/>
          <w:b w:val="0"/>
          <w:bCs w:val="0"/>
          <w:color w:val="202124"/>
          <w:sz w:val="24"/>
          <w:szCs w:val="24"/>
          <w:lang w:val="en"/>
        </w:rPr>
        <w:t>All types of payment guarantees, including down payment guarantees.</w:t>
      </w:r>
    </w:p>
    <w:p w:rsidR="00A405D8" w:rsidRPr="003075B1" w:rsidRDefault="00A405D8" w:rsidP="00114FE2">
      <w:pPr>
        <w:pStyle w:val="ListParagraph"/>
        <w:numPr>
          <w:ilvl w:val="0"/>
          <w:numId w:val="3"/>
        </w:numPr>
        <w:bidi w:val="0"/>
        <w:spacing w:after="0" w:line="276" w:lineRule="auto"/>
        <w:ind w:left="2552" w:hanging="425"/>
        <w:rPr>
          <w:rFonts w:ascii="Times New Roman" w:hAnsi="Times New Roman" w:cs="Times New Roman"/>
          <w:b w:val="0"/>
          <w:bCs w:val="0"/>
          <w:sz w:val="24"/>
          <w:szCs w:val="24"/>
        </w:rPr>
      </w:pPr>
      <w:r w:rsidRPr="003075B1">
        <w:rPr>
          <w:rFonts w:ascii="Times New Roman" w:hAnsi="Times New Roman" w:cs="Times New Roman"/>
          <w:b w:val="0"/>
          <w:bCs w:val="0"/>
          <w:color w:val="202124"/>
          <w:sz w:val="24"/>
          <w:szCs w:val="24"/>
          <w:lang w:val="en"/>
        </w:rPr>
        <w:t xml:space="preserve">All types of customs </w:t>
      </w:r>
      <w:proofErr w:type="gramStart"/>
      <w:r w:rsidRPr="003075B1">
        <w:rPr>
          <w:rFonts w:ascii="Times New Roman" w:hAnsi="Times New Roman" w:cs="Times New Roman"/>
          <w:b w:val="0"/>
          <w:bCs w:val="0"/>
          <w:color w:val="202124"/>
          <w:sz w:val="24"/>
          <w:szCs w:val="24"/>
          <w:lang w:val="en"/>
        </w:rPr>
        <w:t>guarantees</w:t>
      </w:r>
      <w:proofErr w:type="gramEnd"/>
      <w:r w:rsidRPr="003075B1">
        <w:rPr>
          <w:rFonts w:ascii="Times New Roman" w:hAnsi="Times New Roman" w:cs="Times New Roman"/>
          <w:b w:val="0"/>
          <w:bCs w:val="0"/>
          <w:color w:val="202124"/>
          <w:sz w:val="24"/>
          <w:szCs w:val="24"/>
          <w:lang w:val="en"/>
        </w:rPr>
        <w:t>.</w:t>
      </w:r>
    </w:p>
    <w:p w:rsidR="00A405D8" w:rsidRPr="00BC5594" w:rsidRDefault="00A405D8" w:rsidP="009C1D8C">
      <w:pPr>
        <w:pStyle w:val="ListParagraph"/>
        <w:numPr>
          <w:ilvl w:val="0"/>
          <w:numId w:val="3"/>
        </w:numPr>
        <w:bidi w:val="0"/>
        <w:spacing w:after="0" w:line="276" w:lineRule="auto"/>
        <w:ind w:left="2552" w:hanging="425"/>
        <w:rPr>
          <w:rFonts w:ascii="Times New Roman" w:hAnsi="Times New Roman" w:cs="Times New Roman"/>
          <w:b w:val="0"/>
          <w:bCs w:val="0"/>
          <w:sz w:val="24"/>
          <w:szCs w:val="24"/>
        </w:rPr>
      </w:pPr>
      <w:r w:rsidRPr="00BC5594">
        <w:rPr>
          <w:rFonts w:ascii="Times New Roman" w:hAnsi="Times New Roman" w:cs="Times New Roman"/>
          <w:b w:val="0"/>
          <w:bCs w:val="0"/>
          <w:color w:val="202124"/>
          <w:sz w:val="24"/>
          <w:szCs w:val="24"/>
          <w:lang w:val="en"/>
        </w:rPr>
        <w:t xml:space="preserve">All types of </w:t>
      </w:r>
      <w:r w:rsidR="009C1D8C" w:rsidRPr="00BC5594">
        <w:rPr>
          <w:rFonts w:ascii="Times New Roman" w:hAnsi="Times New Roman" w:cs="Times New Roman"/>
          <w:b w:val="0"/>
          <w:bCs w:val="0"/>
          <w:color w:val="202124"/>
          <w:sz w:val="24"/>
          <w:szCs w:val="24"/>
          <w:lang w:val="en"/>
        </w:rPr>
        <w:t xml:space="preserve">practicing the profession </w:t>
      </w:r>
      <w:r w:rsidRPr="00BC5594">
        <w:rPr>
          <w:rFonts w:ascii="Times New Roman" w:hAnsi="Times New Roman" w:cs="Times New Roman"/>
          <w:b w:val="0"/>
          <w:bCs w:val="0"/>
          <w:color w:val="202124"/>
          <w:sz w:val="24"/>
          <w:szCs w:val="24"/>
          <w:lang w:val="en"/>
        </w:rPr>
        <w:t>guarantees.</w:t>
      </w:r>
    </w:p>
    <w:p w:rsidR="00A405D8" w:rsidRPr="003075B1" w:rsidRDefault="00A405D8" w:rsidP="009C1D8C">
      <w:pPr>
        <w:pStyle w:val="ListParagraph"/>
        <w:numPr>
          <w:ilvl w:val="0"/>
          <w:numId w:val="3"/>
        </w:numPr>
        <w:bidi w:val="0"/>
        <w:spacing w:after="0" w:line="276" w:lineRule="auto"/>
        <w:ind w:left="2552" w:hanging="425"/>
        <w:rPr>
          <w:rFonts w:ascii="Times New Roman" w:hAnsi="Times New Roman" w:cs="Times New Roman"/>
          <w:b w:val="0"/>
          <w:bCs w:val="0"/>
          <w:sz w:val="24"/>
          <w:szCs w:val="24"/>
        </w:rPr>
      </w:pPr>
      <w:r w:rsidRPr="003075B1">
        <w:rPr>
          <w:rFonts w:ascii="Times New Roman" w:hAnsi="Times New Roman" w:cs="Times New Roman"/>
          <w:b w:val="0"/>
          <w:bCs w:val="0"/>
          <w:color w:val="202124"/>
          <w:sz w:val="24"/>
          <w:szCs w:val="24"/>
          <w:lang w:val="en"/>
        </w:rPr>
        <w:lastRenderedPageBreak/>
        <w:t xml:space="preserve">All types of </w:t>
      </w:r>
      <w:r w:rsidR="009C1D8C" w:rsidRPr="003075B1">
        <w:rPr>
          <w:rFonts w:ascii="Times New Roman" w:hAnsi="Times New Roman" w:cs="Times New Roman"/>
          <w:b w:val="0"/>
          <w:bCs w:val="0"/>
          <w:color w:val="202124"/>
          <w:sz w:val="24"/>
          <w:szCs w:val="24"/>
          <w:lang w:val="en"/>
        </w:rPr>
        <w:t xml:space="preserve">goods suppling </w:t>
      </w:r>
      <w:r w:rsidRPr="003075B1">
        <w:rPr>
          <w:rFonts w:ascii="Times New Roman" w:hAnsi="Times New Roman" w:cs="Times New Roman"/>
          <w:b w:val="0"/>
          <w:bCs w:val="0"/>
          <w:color w:val="202124"/>
          <w:sz w:val="24"/>
          <w:szCs w:val="24"/>
          <w:lang w:val="en"/>
        </w:rPr>
        <w:t>guarantees (which are issued upon request of the buyer in favor of the supplier of goods</w:t>
      </w:r>
      <w:r w:rsidR="009C1D8C">
        <w:rPr>
          <w:rFonts w:ascii="Times New Roman" w:hAnsi="Times New Roman" w:cs="Times New Roman"/>
          <w:b w:val="0"/>
          <w:bCs w:val="0"/>
          <w:color w:val="202124"/>
          <w:sz w:val="24"/>
          <w:szCs w:val="24"/>
          <w:lang w:val="en"/>
        </w:rPr>
        <w:t>)</w:t>
      </w:r>
      <w:r w:rsidRPr="003075B1">
        <w:rPr>
          <w:rFonts w:ascii="Times New Roman" w:hAnsi="Times New Roman" w:cs="Times New Roman"/>
          <w:b w:val="0"/>
          <w:bCs w:val="0"/>
          <w:color w:val="202124"/>
          <w:sz w:val="24"/>
          <w:szCs w:val="24"/>
          <w:lang w:val="en"/>
        </w:rPr>
        <w:t>.</w:t>
      </w:r>
    </w:p>
    <w:p w:rsidR="00A405D8" w:rsidRPr="003075B1" w:rsidRDefault="00320B7B" w:rsidP="00114FE2">
      <w:pPr>
        <w:pStyle w:val="ListParagraph"/>
        <w:numPr>
          <w:ilvl w:val="0"/>
          <w:numId w:val="3"/>
        </w:numPr>
        <w:bidi w:val="0"/>
        <w:spacing w:after="0" w:line="276" w:lineRule="auto"/>
        <w:ind w:left="2552" w:hanging="425"/>
        <w:rPr>
          <w:rFonts w:ascii="Times New Roman" w:hAnsi="Times New Roman" w:cs="Times New Roman"/>
          <w:b w:val="0"/>
          <w:bCs w:val="0"/>
          <w:sz w:val="24"/>
          <w:szCs w:val="24"/>
        </w:rPr>
      </w:pPr>
      <w:r w:rsidRPr="003075B1">
        <w:rPr>
          <w:rFonts w:ascii="Times New Roman" w:hAnsi="Times New Roman" w:cs="Times New Roman"/>
          <w:b w:val="0"/>
          <w:bCs w:val="0"/>
          <w:color w:val="202124"/>
          <w:sz w:val="24"/>
          <w:szCs w:val="24"/>
          <w:lang w:val="en"/>
        </w:rPr>
        <w:t xml:space="preserve">All types of facilities </w:t>
      </w:r>
      <w:proofErr w:type="gramStart"/>
      <w:r w:rsidRPr="003075B1">
        <w:rPr>
          <w:rFonts w:ascii="Times New Roman" w:hAnsi="Times New Roman" w:cs="Times New Roman"/>
          <w:b w:val="0"/>
          <w:bCs w:val="0"/>
          <w:color w:val="202124"/>
          <w:sz w:val="24"/>
          <w:szCs w:val="24"/>
          <w:lang w:val="en"/>
        </w:rPr>
        <w:t>guarantees</w:t>
      </w:r>
      <w:proofErr w:type="gramEnd"/>
      <w:r w:rsidRPr="003075B1">
        <w:rPr>
          <w:rFonts w:ascii="Times New Roman" w:hAnsi="Times New Roman" w:cs="Times New Roman"/>
          <w:b w:val="0"/>
          <w:bCs w:val="0"/>
          <w:color w:val="202124"/>
          <w:sz w:val="24"/>
          <w:szCs w:val="24"/>
          <w:lang w:val="en"/>
        </w:rPr>
        <w:t>.</w:t>
      </w:r>
    </w:p>
    <w:p w:rsidR="00320B7B" w:rsidRPr="003075B1" w:rsidRDefault="00320B7B" w:rsidP="00114FE2">
      <w:pPr>
        <w:pStyle w:val="ListParagraph"/>
        <w:numPr>
          <w:ilvl w:val="0"/>
          <w:numId w:val="3"/>
        </w:numPr>
        <w:bidi w:val="0"/>
        <w:spacing w:after="0" w:line="276" w:lineRule="auto"/>
        <w:ind w:left="2552" w:hanging="425"/>
        <w:rPr>
          <w:rFonts w:ascii="Times New Roman" w:hAnsi="Times New Roman" w:cs="Times New Roman"/>
          <w:b w:val="0"/>
          <w:bCs w:val="0"/>
          <w:sz w:val="24"/>
          <w:szCs w:val="24"/>
        </w:rPr>
      </w:pPr>
      <w:r w:rsidRPr="003075B1">
        <w:rPr>
          <w:rFonts w:ascii="Times New Roman" w:hAnsi="Times New Roman" w:cs="Times New Roman"/>
          <w:b w:val="0"/>
          <w:bCs w:val="0"/>
          <w:sz w:val="24"/>
          <w:szCs w:val="24"/>
        </w:rPr>
        <w:t>Retention Guarantees.</w:t>
      </w:r>
    </w:p>
    <w:p w:rsidR="00320B7B" w:rsidRDefault="00320B7B" w:rsidP="00114FE2">
      <w:pPr>
        <w:pStyle w:val="ListParagraph"/>
        <w:numPr>
          <w:ilvl w:val="0"/>
          <w:numId w:val="3"/>
        </w:numPr>
        <w:bidi w:val="0"/>
        <w:spacing w:after="0" w:line="276" w:lineRule="auto"/>
        <w:ind w:left="2552" w:hanging="425"/>
        <w:rPr>
          <w:rFonts w:ascii="Times New Roman" w:hAnsi="Times New Roman" w:cs="Times New Roman"/>
          <w:b w:val="0"/>
          <w:bCs w:val="0"/>
          <w:sz w:val="24"/>
          <w:szCs w:val="24"/>
        </w:rPr>
      </w:pPr>
      <w:r w:rsidRPr="003075B1">
        <w:rPr>
          <w:rFonts w:ascii="Times New Roman" w:hAnsi="Times New Roman" w:cs="Times New Roman"/>
          <w:b w:val="0"/>
          <w:bCs w:val="0"/>
          <w:color w:val="202124"/>
          <w:sz w:val="24"/>
          <w:szCs w:val="24"/>
          <w:lang w:val="en"/>
        </w:rPr>
        <w:t xml:space="preserve">Deferred </w:t>
      </w:r>
      <w:r w:rsidR="00895D6C" w:rsidRPr="003075B1">
        <w:rPr>
          <w:rFonts w:ascii="Times New Roman" w:hAnsi="Times New Roman" w:cs="Times New Roman"/>
          <w:b w:val="0"/>
          <w:bCs w:val="0"/>
          <w:sz w:val="24"/>
          <w:szCs w:val="24"/>
        </w:rPr>
        <w:t>letters of credit.</w:t>
      </w:r>
    </w:p>
    <w:p w:rsidR="00BC5594" w:rsidRPr="003075B1" w:rsidRDefault="00BC5594" w:rsidP="00BC5594">
      <w:pPr>
        <w:pStyle w:val="ListParagraph"/>
        <w:numPr>
          <w:ilvl w:val="0"/>
          <w:numId w:val="3"/>
        </w:numPr>
        <w:bidi w:val="0"/>
        <w:spacing w:after="0" w:line="276" w:lineRule="auto"/>
        <w:ind w:left="2552" w:hanging="425"/>
        <w:rPr>
          <w:rFonts w:ascii="Times New Roman" w:hAnsi="Times New Roman" w:cs="Times New Roman"/>
          <w:b w:val="0"/>
          <w:bCs w:val="0"/>
          <w:sz w:val="24"/>
          <w:szCs w:val="24"/>
        </w:rPr>
      </w:pPr>
      <w:r>
        <w:rPr>
          <w:rFonts w:ascii="Times New Roman" w:hAnsi="Times New Roman" w:cs="Times New Roman"/>
          <w:b w:val="0"/>
          <w:bCs w:val="0"/>
          <w:color w:val="202124"/>
          <w:sz w:val="24"/>
          <w:szCs w:val="24"/>
          <w:lang w:val="en"/>
        </w:rPr>
        <w:t xml:space="preserve">Sight </w:t>
      </w:r>
      <w:r w:rsidRPr="003075B1">
        <w:rPr>
          <w:rFonts w:ascii="Times New Roman" w:hAnsi="Times New Roman" w:cs="Times New Roman"/>
          <w:b w:val="0"/>
          <w:bCs w:val="0"/>
          <w:sz w:val="24"/>
          <w:szCs w:val="24"/>
        </w:rPr>
        <w:t>letters of credit</w:t>
      </w:r>
      <w:r w:rsidRPr="00BC5594">
        <w:rPr>
          <w:rFonts w:ascii="Times New Roman" w:hAnsi="Times New Roman" w:cs="Times New Roman"/>
          <w:b w:val="0"/>
          <w:bCs w:val="0"/>
          <w:sz w:val="24"/>
          <w:szCs w:val="24"/>
        </w:rPr>
        <w:t xml:space="preserve"> of more than (180) days</w:t>
      </w:r>
      <w:r>
        <w:rPr>
          <w:rFonts w:ascii="Times New Roman" w:hAnsi="Times New Roman" w:cs="Times New Roman"/>
          <w:b w:val="0"/>
          <w:bCs w:val="0"/>
          <w:sz w:val="24"/>
          <w:szCs w:val="24"/>
        </w:rPr>
        <w:t>.</w:t>
      </w:r>
    </w:p>
    <w:p w:rsidR="00895D6C" w:rsidRDefault="00895D6C" w:rsidP="00114FE2">
      <w:pPr>
        <w:pStyle w:val="ListParagraph"/>
        <w:numPr>
          <w:ilvl w:val="0"/>
          <w:numId w:val="3"/>
        </w:numPr>
        <w:bidi w:val="0"/>
        <w:spacing w:after="0" w:line="276" w:lineRule="auto"/>
        <w:ind w:left="2552" w:hanging="425"/>
        <w:rPr>
          <w:rFonts w:ascii="Times New Roman" w:hAnsi="Times New Roman" w:cs="Times New Roman"/>
          <w:b w:val="0"/>
          <w:bCs w:val="0"/>
          <w:sz w:val="24"/>
          <w:szCs w:val="24"/>
        </w:rPr>
      </w:pPr>
      <w:r w:rsidRPr="003075B1">
        <w:rPr>
          <w:rFonts w:ascii="Times New Roman" w:hAnsi="Times New Roman" w:cs="Times New Roman"/>
          <w:b w:val="0"/>
          <w:bCs w:val="0"/>
          <w:sz w:val="24"/>
          <w:szCs w:val="24"/>
        </w:rPr>
        <w:t>Bank acceptance.</w:t>
      </w:r>
    </w:p>
    <w:p w:rsidR="00BC5594" w:rsidRDefault="00BC5594" w:rsidP="00BC5594">
      <w:pPr>
        <w:pStyle w:val="ListParagraph"/>
        <w:numPr>
          <w:ilvl w:val="0"/>
          <w:numId w:val="3"/>
        </w:numPr>
        <w:bidi w:val="0"/>
        <w:spacing w:after="0" w:line="276" w:lineRule="auto"/>
        <w:ind w:left="2552" w:hanging="425"/>
        <w:rPr>
          <w:rFonts w:ascii="Times New Roman" w:hAnsi="Times New Roman" w:cs="Times New Roman"/>
          <w:b w:val="0"/>
          <w:bCs w:val="0"/>
          <w:sz w:val="24"/>
          <w:szCs w:val="24"/>
        </w:rPr>
      </w:pPr>
      <w:r w:rsidRPr="00BC5594">
        <w:rPr>
          <w:rFonts w:ascii="Times New Roman" w:hAnsi="Times New Roman" w:cs="Times New Roman"/>
          <w:b w:val="0"/>
          <w:bCs w:val="0"/>
          <w:sz w:val="24"/>
          <w:szCs w:val="24"/>
        </w:rPr>
        <w:t xml:space="preserve">Enhancing </w:t>
      </w:r>
      <w:r w:rsidRPr="003075B1">
        <w:rPr>
          <w:rFonts w:ascii="Times New Roman" w:hAnsi="Times New Roman" w:cs="Times New Roman"/>
          <w:b w:val="0"/>
          <w:bCs w:val="0"/>
          <w:sz w:val="24"/>
          <w:szCs w:val="24"/>
        </w:rPr>
        <w:t>letters of credit</w:t>
      </w:r>
      <w:r w:rsidRPr="00BC5594">
        <w:rPr>
          <w:rFonts w:ascii="Times New Roman" w:hAnsi="Times New Roman" w:cs="Times New Roman"/>
          <w:b w:val="0"/>
          <w:bCs w:val="0"/>
          <w:sz w:val="24"/>
          <w:szCs w:val="24"/>
        </w:rPr>
        <w:t xml:space="preserve"> included in this category (direct credit substitutes</w:t>
      </w:r>
      <w:r>
        <w:rPr>
          <w:rFonts w:ascii="Times New Roman" w:hAnsi="Times New Roman" w:cs="Times New Roman"/>
          <w:b w:val="0"/>
          <w:bCs w:val="0"/>
          <w:sz w:val="24"/>
          <w:szCs w:val="24"/>
        </w:rPr>
        <w:t>).</w:t>
      </w:r>
      <w:r w:rsidRPr="00BC5594">
        <w:rPr>
          <w:rFonts w:ascii="Times New Roman" w:hAnsi="Times New Roman" w:cs="Times New Roman"/>
          <w:b w:val="0"/>
          <w:bCs w:val="0"/>
          <w:sz w:val="24"/>
          <w:szCs w:val="24"/>
        </w:rPr>
        <w:t xml:space="preserve"> </w:t>
      </w:r>
    </w:p>
    <w:p w:rsidR="00BC5594" w:rsidRPr="003075B1" w:rsidRDefault="00BC5594" w:rsidP="00BC5594">
      <w:pPr>
        <w:pStyle w:val="ListParagraph"/>
        <w:numPr>
          <w:ilvl w:val="0"/>
          <w:numId w:val="3"/>
        </w:numPr>
        <w:bidi w:val="0"/>
        <w:spacing w:after="0" w:line="276" w:lineRule="auto"/>
        <w:ind w:left="2552" w:hanging="425"/>
        <w:rPr>
          <w:rFonts w:ascii="Times New Roman" w:hAnsi="Times New Roman" w:cs="Times New Roman"/>
          <w:b w:val="0"/>
          <w:bCs w:val="0"/>
          <w:sz w:val="24"/>
          <w:szCs w:val="24"/>
        </w:rPr>
      </w:pPr>
      <w:r w:rsidRPr="00BC5594">
        <w:rPr>
          <w:rFonts w:ascii="Times New Roman" w:hAnsi="Times New Roman" w:cs="Times New Roman"/>
          <w:b w:val="0"/>
          <w:bCs w:val="0"/>
          <w:sz w:val="24"/>
          <w:szCs w:val="24"/>
        </w:rPr>
        <w:t>Enhancing bank acceptances of all kinds.</w:t>
      </w:r>
    </w:p>
    <w:p w:rsidR="00895D6C" w:rsidRPr="003075B1" w:rsidRDefault="00895D6C" w:rsidP="00114FE2">
      <w:pPr>
        <w:pStyle w:val="ListParagraph"/>
        <w:numPr>
          <w:ilvl w:val="0"/>
          <w:numId w:val="3"/>
        </w:numPr>
        <w:bidi w:val="0"/>
        <w:spacing w:after="0" w:line="276" w:lineRule="auto"/>
        <w:ind w:left="2552" w:hanging="425"/>
        <w:rPr>
          <w:rFonts w:ascii="Times New Roman" w:hAnsi="Times New Roman" w:cs="Times New Roman"/>
          <w:b w:val="0"/>
          <w:bCs w:val="0"/>
          <w:sz w:val="24"/>
          <w:szCs w:val="24"/>
        </w:rPr>
      </w:pPr>
      <w:r w:rsidRPr="003075B1">
        <w:rPr>
          <w:rFonts w:ascii="Times New Roman" w:hAnsi="Times New Roman" w:cs="Times New Roman"/>
          <w:b w:val="0"/>
          <w:bCs w:val="0"/>
          <w:sz w:val="24"/>
          <w:szCs w:val="24"/>
        </w:rPr>
        <w:t>All types of Selling Credit Protection.</w:t>
      </w:r>
    </w:p>
    <w:p w:rsidR="00895D6C" w:rsidRPr="003075B1" w:rsidRDefault="00895D6C" w:rsidP="00114FE2">
      <w:pPr>
        <w:pStyle w:val="ListParagraph"/>
        <w:numPr>
          <w:ilvl w:val="0"/>
          <w:numId w:val="3"/>
        </w:numPr>
        <w:bidi w:val="0"/>
        <w:spacing w:after="0" w:line="276" w:lineRule="auto"/>
        <w:ind w:left="2552" w:hanging="425"/>
        <w:rPr>
          <w:rFonts w:ascii="Times New Roman" w:hAnsi="Times New Roman" w:cs="Times New Roman"/>
          <w:b w:val="0"/>
          <w:bCs w:val="0"/>
          <w:sz w:val="24"/>
          <w:szCs w:val="24"/>
        </w:rPr>
      </w:pPr>
      <w:r w:rsidRPr="003075B1">
        <w:rPr>
          <w:rFonts w:ascii="Times New Roman" w:hAnsi="Times New Roman" w:cs="Times New Roman"/>
          <w:b w:val="0"/>
          <w:bCs w:val="0"/>
          <w:sz w:val="24"/>
          <w:szCs w:val="24"/>
        </w:rPr>
        <w:t>Standby letters of credit (SBLC)</w:t>
      </w:r>
      <w:r w:rsidR="00C707F1">
        <w:rPr>
          <w:rStyle w:val="FootnoteReference"/>
          <w:rFonts w:ascii="Times New Roman" w:hAnsi="Times New Roman" w:cs="Times New Roman"/>
          <w:b w:val="0"/>
          <w:bCs w:val="0"/>
          <w:sz w:val="24"/>
          <w:szCs w:val="24"/>
        </w:rPr>
        <w:footnoteReference w:id="19"/>
      </w:r>
      <w:r w:rsidRPr="003075B1">
        <w:rPr>
          <w:rFonts w:ascii="Times New Roman" w:hAnsi="Times New Roman" w:cs="Times New Roman"/>
          <w:b w:val="0"/>
          <w:bCs w:val="0"/>
          <w:sz w:val="24"/>
          <w:szCs w:val="24"/>
        </w:rPr>
        <w:t xml:space="preserve"> serving as financial guarantees.</w:t>
      </w:r>
    </w:p>
    <w:p w:rsidR="00895D6C" w:rsidRPr="00A114A6" w:rsidRDefault="0081334E" w:rsidP="00A114A6">
      <w:pPr>
        <w:pStyle w:val="ListParagraph"/>
        <w:numPr>
          <w:ilvl w:val="0"/>
          <w:numId w:val="3"/>
        </w:numPr>
        <w:bidi w:val="0"/>
        <w:spacing w:after="0" w:line="276" w:lineRule="auto"/>
        <w:ind w:left="2552" w:hanging="425"/>
        <w:rPr>
          <w:rFonts w:ascii="Times New Roman" w:hAnsi="Times New Roman" w:cs="Times New Roman"/>
          <w:b w:val="0"/>
          <w:bCs w:val="0"/>
          <w:sz w:val="24"/>
          <w:szCs w:val="24"/>
        </w:rPr>
      </w:pPr>
      <w:r w:rsidRPr="00A114A6">
        <w:rPr>
          <w:rFonts w:ascii="Times New Roman" w:hAnsi="Times New Roman" w:cs="Times New Roman"/>
          <w:b w:val="0"/>
          <w:bCs w:val="0"/>
          <w:color w:val="202124"/>
          <w:sz w:val="24"/>
          <w:szCs w:val="24"/>
          <w:lang w:val="en"/>
        </w:rPr>
        <w:t xml:space="preserve">Any other obligations treated as direct credit, so that the bank’s commitment </w:t>
      </w:r>
      <w:r w:rsidR="00A41662" w:rsidRPr="00A114A6">
        <w:rPr>
          <w:rFonts w:ascii="Times New Roman" w:hAnsi="Times New Roman" w:cs="Times New Roman"/>
          <w:b w:val="0"/>
          <w:bCs w:val="0"/>
          <w:color w:val="202124"/>
          <w:sz w:val="24"/>
          <w:szCs w:val="24"/>
          <w:lang w:val="en"/>
        </w:rPr>
        <w:t xml:space="preserve">under these obligations is an </w:t>
      </w:r>
      <w:r w:rsidRPr="00A114A6">
        <w:rPr>
          <w:rFonts w:ascii="Times New Roman" w:hAnsi="Times New Roman" w:cs="Times New Roman"/>
          <w:b w:val="0"/>
          <w:bCs w:val="0"/>
          <w:color w:val="202124"/>
          <w:sz w:val="24"/>
          <w:szCs w:val="24"/>
          <w:lang w:val="en"/>
        </w:rPr>
        <w:t>undertaking to pay a third party in the event of a deterioration in the credit position of the customer on whose behalf these obligations were issued.</w:t>
      </w:r>
    </w:p>
    <w:p w:rsidR="0081334E" w:rsidRPr="003075B1" w:rsidRDefault="0081334E" w:rsidP="00114FE2">
      <w:pPr>
        <w:pStyle w:val="ListParagraph"/>
        <w:numPr>
          <w:ilvl w:val="0"/>
          <w:numId w:val="3"/>
        </w:numPr>
        <w:bidi w:val="0"/>
        <w:spacing w:after="0" w:line="276" w:lineRule="auto"/>
        <w:ind w:left="2552" w:hanging="425"/>
        <w:rPr>
          <w:rFonts w:ascii="Times New Roman" w:hAnsi="Times New Roman" w:cs="Times New Roman"/>
          <w:b w:val="0"/>
          <w:bCs w:val="0"/>
          <w:sz w:val="24"/>
          <w:szCs w:val="24"/>
        </w:rPr>
      </w:pPr>
      <w:r w:rsidRPr="003075B1">
        <w:rPr>
          <w:rFonts w:ascii="Times New Roman" w:hAnsi="Times New Roman" w:cs="Times New Roman"/>
          <w:b w:val="0"/>
          <w:bCs w:val="0"/>
          <w:color w:val="202124"/>
          <w:sz w:val="24"/>
          <w:szCs w:val="24"/>
          <w:lang w:val="en"/>
        </w:rPr>
        <w:t>Any other obligations that the Central Bank of Jordan adds to this list.</w:t>
      </w:r>
    </w:p>
    <w:p w:rsidR="0081334E" w:rsidRPr="003075B1" w:rsidRDefault="0081334E" w:rsidP="00114FE2">
      <w:pPr>
        <w:bidi w:val="0"/>
        <w:spacing w:after="0" w:line="276" w:lineRule="auto"/>
        <w:ind w:left="2127" w:hanging="851"/>
        <w:rPr>
          <w:rFonts w:ascii="Times New Roman" w:hAnsi="Times New Roman" w:cs="Times New Roman"/>
          <w:b w:val="0"/>
          <w:bCs w:val="0"/>
          <w:sz w:val="24"/>
          <w:szCs w:val="24"/>
        </w:rPr>
      </w:pPr>
      <w:r w:rsidRPr="003075B1">
        <w:rPr>
          <w:rFonts w:ascii="Times New Roman" w:hAnsi="Times New Roman" w:cs="Times New Roman"/>
          <w:b w:val="0"/>
          <w:bCs w:val="0"/>
          <w:sz w:val="24"/>
          <w:szCs w:val="24"/>
        </w:rPr>
        <w:t>3.2.2</w:t>
      </w:r>
      <w:r w:rsidRPr="003075B1">
        <w:rPr>
          <w:rFonts w:ascii="Times New Roman" w:hAnsi="Times New Roman" w:cs="Times New Roman"/>
          <w:b w:val="0"/>
          <w:bCs w:val="0"/>
          <w:sz w:val="24"/>
          <w:szCs w:val="24"/>
        </w:rPr>
        <w:tab/>
        <w:t>Performance Related Contingencies:</w:t>
      </w:r>
    </w:p>
    <w:p w:rsidR="0081334E" w:rsidRPr="009C1D8C" w:rsidRDefault="0081334E" w:rsidP="00114FE2">
      <w:pPr>
        <w:bidi w:val="0"/>
        <w:spacing w:after="0" w:line="276" w:lineRule="auto"/>
        <w:ind w:left="2127"/>
        <w:rPr>
          <w:rFonts w:ascii="Times New Roman" w:hAnsi="Times New Roman" w:cs="Times New Roman"/>
          <w:b w:val="0"/>
          <w:bCs w:val="0"/>
          <w:color w:val="202124"/>
          <w:sz w:val="24"/>
          <w:szCs w:val="24"/>
        </w:rPr>
      </w:pPr>
      <w:r w:rsidRPr="003075B1">
        <w:rPr>
          <w:rFonts w:ascii="Times New Roman" w:hAnsi="Times New Roman" w:cs="Times New Roman"/>
          <w:b w:val="0"/>
          <w:bCs w:val="0"/>
          <w:color w:val="202124"/>
          <w:sz w:val="24"/>
          <w:szCs w:val="24"/>
          <w:lang w:val="en"/>
        </w:rPr>
        <w:t xml:space="preserve">The following </w:t>
      </w:r>
      <w:r w:rsidRPr="003075B1">
        <w:rPr>
          <w:rFonts w:ascii="Times New Roman" w:hAnsi="Times New Roman" w:cs="Times New Roman"/>
          <w:b w:val="0"/>
          <w:bCs w:val="0"/>
          <w:sz w:val="24"/>
          <w:szCs w:val="24"/>
        </w:rPr>
        <w:t>Performance Related Contingencies</w:t>
      </w:r>
      <w:r w:rsidRPr="003075B1">
        <w:rPr>
          <w:rFonts w:ascii="Times New Roman" w:hAnsi="Times New Roman" w:cs="Times New Roman"/>
          <w:b w:val="0"/>
          <w:bCs w:val="0"/>
          <w:color w:val="202124"/>
          <w:sz w:val="24"/>
          <w:szCs w:val="24"/>
          <w:lang w:val="en"/>
        </w:rPr>
        <w:t xml:space="preserve"> </w:t>
      </w:r>
      <w:r w:rsidRPr="003075B1">
        <w:rPr>
          <w:rFonts w:ascii="Times New Roman" w:eastAsiaTheme="minorHAnsi" w:hAnsi="Times New Roman" w:cs="Times New Roman"/>
          <w:b w:val="0"/>
          <w:bCs w:val="0"/>
          <w:sz w:val="24"/>
          <w:szCs w:val="24"/>
        </w:rPr>
        <w:t xml:space="preserve">will receive a CCF of </w:t>
      </w:r>
      <w:r w:rsidRPr="003075B1">
        <w:rPr>
          <w:rFonts w:ascii="Times New Roman" w:hAnsi="Times New Roman" w:cs="Times New Roman"/>
          <w:b w:val="0"/>
          <w:bCs w:val="0"/>
          <w:color w:val="202124"/>
          <w:sz w:val="24"/>
          <w:szCs w:val="24"/>
        </w:rPr>
        <w:t>(50%)</w:t>
      </w:r>
      <w:r w:rsidR="009C1D8C">
        <w:rPr>
          <w:rFonts w:ascii="Times New Roman" w:hAnsi="Times New Roman" w:cs="Times New Roman"/>
          <w:b w:val="0"/>
          <w:bCs w:val="0"/>
          <w:color w:val="202124"/>
          <w:sz w:val="24"/>
          <w:szCs w:val="24"/>
        </w:rPr>
        <w:t>:</w:t>
      </w:r>
    </w:p>
    <w:p w:rsidR="0081334E" w:rsidRPr="003075B1" w:rsidRDefault="0081334E" w:rsidP="00114FE2">
      <w:pPr>
        <w:pStyle w:val="ListParagraph"/>
        <w:numPr>
          <w:ilvl w:val="0"/>
          <w:numId w:val="3"/>
        </w:numPr>
        <w:bidi w:val="0"/>
        <w:spacing w:after="0" w:line="276" w:lineRule="auto"/>
        <w:ind w:left="2552" w:hanging="425"/>
        <w:rPr>
          <w:rFonts w:ascii="Times New Roman" w:hAnsi="Times New Roman" w:cs="Times New Roman"/>
          <w:b w:val="0"/>
          <w:bCs w:val="0"/>
          <w:sz w:val="24"/>
          <w:szCs w:val="24"/>
        </w:rPr>
      </w:pPr>
      <w:r w:rsidRPr="003075B1">
        <w:rPr>
          <w:rFonts w:ascii="Times New Roman" w:hAnsi="Times New Roman" w:cs="Times New Roman"/>
          <w:b w:val="0"/>
          <w:bCs w:val="0"/>
          <w:color w:val="202124"/>
          <w:sz w:val="24"/>
          <w:szCs w:val="24"/>
          <w:lang w:val="en"/>
        </w:rPr>
        <w:t>Bid entry guarantees</w:t>
      </w:r>
      <w:r w:rsidR="00CF69EA" w:rsidRPr="003075B1">
        <w:rPr>
          <w:rFonts w:ascii="Times New Roman" w:hAnsi="Times New Roman" w:cs="Times New Roman"/>
          <w:b w:val="0"/>
          <w:bCs w:val="0"/>
          <w:color w:val="202124"/>
          <w:sz w:val="24"/>
          <w:szCs w:val="24"/>
          <w:lang w:val="en"/>
        </w:rPr>
        <w:t>.</w:t>
      </w:r>
    </w:p>
    <w:p w:rsidR="00CF69EA" w:rsidRPr="003075B1" w:rsidRDefault="00CF69EA" w:rsidP="00114FE2">
      <w:pPr>
        <w:pStyle w:val="ListParagraph"/>
        <w:numPr>
          <w:ilvl w:val="0"/>
          <w:numId w:val="3"/>
        </w:numPr>
        <w:bidi w:val="0"/>
        <w:spacing w:after="0" w:line="276" w:lineRule="auto"/>
        <w:ind w:left="2552" w:hanging="425"/>
        <w:rPr>
          <w:rFonts w:ascii="Times New Roman" w:hAnsi="Times New Roman" w:cs="Times New Roman"/>
          <w:b w:val="0"/>
          <w:bCs w:val="0"/>
          <w:sz w:val="24"/>
          <w:szCs w:val="24"/>
        </w:rPr>
      </w:pPr>
      <w:r w:rsidRPr="003075B1">
        <w:rPr>
          <w:rFonts w:ascii="Times New Roman" w:hAnsi="Times New Roman" w:cs="Times New Roman"/>
          <w:b w:val="0"/>
          <w:bCs w:val="0"/>
          <w:sz w:val="24"/>
          <w:szCs w:val="24"/>
        </w:rPr>
        <w:t>performance</w:t>
      </w:r>
      <w:r w:rsidRPr="003075B1">
        <w:rPr>
          <w:rFonts w:ascii="Times New Roman" w:hAnsi="Times New Roman" w:cs="Times New Roman"/>
          <w:b w:val="0"/>
          <w:bCs w:val="0"/>
          <w:color w:val="202124"/>
          <w:sz w:val="24"/>
          <w:szCs w:val="24"/>
          <w:lang w:val="en"/>
        </w:rPr>
        <w:t xml:space="preserve"> guarantees.</w:t>
      </w:r>
    </w:p>
    <w:p w:rsidR="00CF69EA" w:rsidRPr="003075B1" w:rsidRDefault="00CF69EA" w:rsidP="00114FE2">
      <w:pPr>
        <w:pStyle w:val="ListParagraph"/>
        <w:numPr>
          <w:ilvl w:val="0"/>
          <w:numId w:val="3"/>
        </w:numPr>
        <w:bidi w:val="0"/>
        <w:spacing w:after="0" w:line="276" w:lineRule="auto"/>
        <w:ind w:left="2552" w:hanging="425"/>
        <w:rPr>
          <w:rFonts w:ascii="Times New Roman" w:hAnsi="Times New Roman" w:cs="Times New Roman"/>
          <w:b w:val="0"/>
          <w:bCs w:val="0"/>
          <w:sz w:val="24"/>
          <w:szCs w:val="24"/>
        </w:rPr>
      </w:pPr>
      <w:r w:rsidRPr="003075B1">
        <w:rPr>
          <w:rFonts w:ascii="Times New Roman" w:hAnsi="Times New Roman" w:cs="Times New Roman"/>
          <w:b w:val="0"/>
          <w:bCs w:val="0"/>
          <w:sz w:val="24"/>
          <w:szCs w:val="24"/>
        </w:rPr>
        <w:t xml:space="preserve">Maintenance </w:t>
      </w:r>
      <w:r w:rsidRPr="003075B1">
        <w:rPr>
          <w:rFonts w:ascii="Times New Roman" w:hAnsi="Times New Roman" w:cs="Times New Roman"/>
          <w:b w:val="0"/>
          <w:bCs w:val="0"/>
          <w:color w:val="202124"/>
          <w:sz w:val="24"/>
          <w:szCs w:val="24"/>
          <w:lang w:val="en"/>
        </w:rPr>
        <w:t>guarantees.</w:t>
      </w:r>
    </w:p>
    <w:p w:rsidR="00CF69EA" w:rsidRPr="003075B1" w:rsidRDefault="00CF69EA" w:rsidP="00114FE2">
      <w:pPr>
        <w:pStyle w:val="ListParagraph"/>
        <w:numPr>
          <w:ilvl w:val="0"/>
          <w:numId w:val="3"/>
        </w:numPr>
        <w:bidi w:val="0"/>
        <w:spacing w:after="0" w:line="276" w:lineRule="auto"/>
        <w:ind w:left="2552" w:hanging="425"/>
        <w:rPr>
          <w:rFonts w:ascii="Times New Roman" w:hAnsi="Times New Roman" w:cs="Times New Roman"/>
          <w:b w:val="0"/>
          <w:bCs w:val="0"/>
          <w:sz w:val="24"/>
          <w:szCs w:val="24"/>
        </w:rPr>
      </w:pPr>
      <w:r w:rsidRPr="003075B1">
        <w:rPr>
          <w:rFonts w:ascii="Times New Roman" w:hAnsi="Times New Roman" w:cs="Times New Roman"/>
          <w:b w:val="0"/>
          <w:bCs w:val="0"/>
          <w:color w:val="202124"/>
          <w:sz w:val="24"/>
          <w:szCs w:val="24"/>
          <w:lang w:val="en"/>
        </w:rPr>
        <w:t>Shipping guarantees (according to the maximum value of the goods).</w:t>
      </w:r>
    </w:p>
    <w:p w:rsidR="00CF69EA" w:rsidRPr="003075B1" w:rsidRDefault="009C1D8C" w:rsidP="00114FE2">
      <w:pPr>
        <w:pStyle w:val="ListParagraph"/>
        <w:numPr>
          <w:ilvl w:val="0"/>
          <w:numId w:val="3"/>
        </w:numPr>
        <w:bidi w:val="0"/>
        <w:spacing w:after="0" w:line="276" w:lineRule="auto"/>
        <w:ind w:left="2552" w:hanging="425"/>
        <w:rPr>
          <w:rFonts w:ascii="Times New Roman" w:hAnsi="Times New Roman" w:cs="Times New Roman"/>
          <w:b w:val="0"/>
          <w:bCs w:val="0"/>
          <w:sz w:val="24"/>
          <w:szCs w:val="24"/>
        </w:rPr>
      </w:pPr>
      <w:r>
        <w:rPr>
          <w:rFonts w:ascii="Times New Roman" w:hAnsi="Times New Roman" w:cs="Times New Roman"/>
          <w:b w:val="0"/>
          <w:bCs w:val="0"/>
          <w:color w:val="202124"/>
          <w:sz w:val="24"/>
          <w:szCs w:val="24"/>
          <w:lang w:val="en"/>
        </w:rPr>
        <w:t>C</w:t>
      </w:r>
      <w:r w:rsidR="00CF69EA" w:rsidRPr="003075B1">
        <w:rPr>
          <w:rFonts w:ascii="Times New Roman" w:hAnsi="Times New Roman" w:cs="Times New Roman"/>
          <w:b w:val="0"/>
          <w:bCs w:val="0"/>
          <w:color w:val="202124"/>
          <w:sz w:val="24"/>
          <w:szCs w:val="24"/>
          <w:lang w:val="en"/>
        </w:rPr>
        <w:t>ompliance with legislation and laws guarantees.</w:t>
      </w:r>
    </w:p>
    <w:p w:rsidR="00CF69EA" w:rsidRPr="003075B1" w:rsidRDefault="00CF69EA" w:rsidP="00114FE2">
      <w:pPr>
        <w:pStyle w:val="ListParagraph"/>
        <w:numPr>
          <w:ilvl w:val="0"/>
          <w:numId w:val="3"/>
        </w:numPr>
        <w:bidi w:val="0"/>
        <w:spacing w:after="0" w:line="276" w:lineRule="auto"/>
        <w:ind w:left="2552" w:hanging="425"/>
        <w:rPr>
          <w:rFonts w:ascii="Times New Roman" w:hAnsi="Times New Roman" w:cs="Times New Roman"/>
          <w:b w:val="0"/>
          <w:bCs w:val="0"/>
          <w:sz w:val="24"/>
          <w:szCs w:val="24"/>
        </w:rPr>
      </w:pPr>
      <w:r w:rsidRPr="003075B1">
        <w:rPr>
          <w:rFonts w:ascii="Times New Roman" w:hAnsi="Times New Roman" w:cs="Times New Roman"/>
          <w:b w:val="0"/>
          <w:bCs w:val="0"/>
          <w:sz w:val="24"/>
          <w:szCs w:val="24"/>
        </w:rPr>
        <w:t>Warranties.</w:t>
      </w:r>
    </w:p>
    <w:p w:rsidR="00CF69EA" w:rsidRPr="003075B1" w:rsidRDefault="00CF69EA" w:rsidP="00114FE2">
      <w:pPr>
        <w:pStyle w:val="ListParagraph"/>
        <w:numPr>
          <w:ilvl w:val="0"/>
          <w:numId w:val="3"/>
        </w:numPr>
        <w:bidi w:val="0"/>
        <w:spacing w:after="0" w:line="276" w:lineRule="auto"/>
        <w:ind w:left="2552" w:hanging="425"/>
        <w:rPr>
          <w:rFonts w:ascii="Times New Roman" w:hAnsi="Times New Roman" w:cs="Times New Roman"/>
          <w:b w:val="0"/>
          <w:bCs w:val="0"/>
          <w:sz w:val="24"/>
          <w:szCs w:val="24"/>
        </w:rPr>
      </w:pPr>
      <w:r w:rsidRPr="003075B1">
        <w:rPr>
          <w:rFonts w:ascii="Times New Roman" w:hAnsi="Times New Roman" w:cs="Times New Roman"/>
          <w:b w:val="0"/>
          <w:bCs w:val="0"/>
          <w:sz w:val="24"/>
          <w:szCs w:val="24"/>
        </w:rPr>
        <w:t>Indemnities.</w:t>
      </w:r>
    </w:p>
    <w:p w:rsidR="00CF69EA" w:rsidRPr="00A114A6" w:rsidRDefault="00CF69EA" w:rsidP="00A114A6">
      <w:pPr>
        <w:pStyle w:val="ListParagraph"/>
        <w:numPr>
          <w:ilvl w:val="0"/>
          <w:numId w:val="3"/>
        </w:numPr>
        <w:bidi w:val="0"/>
        <w:spacing w:after="0" w:line="276" w:lineRule="auto"/>
        <w:ind w:left="2552" w:hanging="425"/>
        <w:rPr>
          <w:rFonts w:ascii="Times New Roman" w:hAnsi="Times New Roman" w:cs="Times New Roman"/>
          <w:b w:val="0"/>
          <w:bCs w:val="0"/>
          <w:sz w:val="24"/>
          <w:szCs w:val="24"/>
        </w:rPr>
      </w:pPr>
      <w:r w:rsidRPr="00A114A6">
        <w:rPr>
          <w:rFonts w:ascii="Times New Roman" w:hAnsi="Times New Roman" w:cs="Times New Roman"/>
          <w:b w:val="0"/>
          <w:bCs w:val="0"/>
          <w:color w:val="202124"/>
          <w:sz w:val="24"/>
          <w:szCs w:val="24"/>
          <w:lang w:val="en"/>
        </w:rPr>
        <w:t xml:space="preserve">SBLC </w:t>
      </w:r>
      <w:r w:rsidR="00A114A6" w:rsidRPr="00A114A6">
        <w:rPr>
          <w:rFonts w:ascii="Times New Roman" w:hAnsi="Times New Roman" w:cs="Times New Roman"/>
          <w:b w:val="0"/>
          <w:bCs w:val="0"/>
          <w:sz w:val="24"/>
          <w:szCs w:val="24"/>
        </w:rPr>
        <w:t xml:space="preserve">serving as </w:t>
      </w:r>
      <w:r w:rsidRPr="00A114A6">
        <w:rPr>
          <w:rFonts w:ascii="Times New Roman" w:hAnsi="Times New Roman" w:cs="Times New Roman"/>
          <w:b w:val="0"/>
          <w:bCs w:val="0"/>
          <w:color w:val="202124"/>
          <w:sz w:val="24"/>
          <w:szCs w:val="24"/>
          <w:lang w:val="en"/>
        </w:rPr>
        <w:t>the above guarantees.</w:t>
      </w:r>
    </w:p>
    <w:p w:rsidR="00CF69EA" w:rsidRPr="003075B1" w:rsidRDefault="00CF69EA" w:rsidP="00114FE2">
      <w:pPr>
        <w:bidi w:val="0"/>
        <w:spacing w:after="0" w:line="276" w:lineRule="auto"/>
        <w:ind w:left="2127" w:hanging="851"/>
        <w:rPr>
          <w:rFonts w:ascii="Times New Roman" w:hAnsi="Times New Roman" w:cs="Times New Roman"/>
          <w:b w:val="0"/>
          <w:bCs w:val="0"/>
          <w:sz w:val="24"/>
          <w:szCs w:val="24"/>
        </w:rPr>
      </w:pPr>
      <w:r w:rsidRPr="003075B1">
        <w:rPr>
          <w:rFonts w:ascii="Times New Roman" w:hAnsi="Times New Roman" w:cs="Times New Roman"/>
          <w:b w:val="0"/>
          <w:bCs w:val="0"/>
          <w:sz w:val="24"/>
          <w:szCs w:val="24"/>
        </w:rPr>
        <w:t>3.2.3</w:t>
      </w:r>
      <w:r w:rsidRPr="003075B1">
        <w:rPr>
          <w:rFonts w:ascii="Times New Roman" w:hAnsi="Times New Roman" w:cs="Times New Roman"/>
          <w:b w:val="0"/>
          <w:bCs w:val="0"/>
          <w:sz w:val="24"/>
          <w:szCs w:val="24"/>
        </w:rPr>
        <w:tab/>
      </w:r>
      <w:r w:rsidR="00125BF6" w:rsidRPr="003075B1">
        <w:rPr>
          <w:rFonts w:ascii="Times New Roman" w:hAnsi="Times New Roman" w:cs="Times New Roman"/>
          <w:b w:val="0"/>
          <w:bCs w:val="0"/>
          <w:sz w:val="24"/>
          <w:szCs w:val="24"/>
        </w:rPr>
        <w:t>Trade Related Contingencies:</w:t>
      </w:r>
    </w:p>
    <w:p w:rsidR="00125BF6" w:rsidRPr="00A114A6" w:rsidRDefault="009C1D8C" w:rsidP="00A114A6">
      <w:pPr>
        <w:bidi w:val="0"/>
        <w:spacing w:after="0" w:line="276" w:lineRule="auto"/>
        <w:ind w:left="2126" w:firstLine="1"/>
        <w:rPr>
          <w:rFonts w:ascii="Times New Roman" w:eastAsiaTheme="minorHAnsi" w:hAnsi="Times New Roman" w:cs="Times New Roman"/>
          <w:b w:val="0"/>
          <w:bCs w:val="0"/>
          <w:sz w:val="24"/>
          <w:szCs w:val="24"/>
        </w:rPr>
      </w:pPr>
      <w:r>
        <w:rPr>
          <w:rFonts w:ascii="Times New Roman" w:hAnsi="Times New Roman" w:cs="Times New Roman"/>
          <w:b w:val="0"/>
          <w:bCs w:val="0"/>
          <w:sz w:val="24"/>
          <w:szCs w:val="24"/>
        </w:rPr>
        <w:t>The following off – balance sheet i</w:t>
      </w:r>
      <w:r w:rsidR="00125BF6" w:rsidRPr="003075B1">
        <w:rPr>
          <w:rFonts w:ascii="Times New Roman" w:hAnsi="Times New Roman" w:cs="Times New Roman"/>
          <w:b w:val="0"/>
          <w:bCs w:val="0"/>
          <w:sz w:val="24"/>
          <w:szCs w:val="24"/>
        </w:rPr>
        <w:t>tems</w:t>
      </w:r>
      <w:r w:rsidR="00125BF6" w:rsidRPr="003075B1">
        <w:rPr>
          <w:rFonts w:ascii="Times New Roman" w:eastAsiaTheme="minorHAnsi" w:hAnsi="Times New Roman" w:cs="Times New Roman"/>
          <w:b w:val="0"/>
          <w:bCs w:val="0"/>
          <w:sz w:val="24"/>
          <w:szCs w:val="24"/>
        </w:rPr>
        <w:t xml:space="preserve"> will receive a CCF of 20%:</w:t>
      </w:r>
    </w:p>
    <w:p w:rsidR="00125BF6" w:rsidRPr="00A114A6" w:rsidRDefault="00A114A6" w:rsidP="00A114A6">
      <w:pPr>
        <w:pStyle w:val="ListParagraph"/>
        <w:numPr>
          <w:ilvl w:val="0"/>
          <w:numId w:val="3"/>
        </w:numPr>
        <w:bidi w:val="0"/>
        <w:spacing w:after="0" w:line="276" w:lineRule="auto"/>
        <w:ind w:left="2552" w:hanging="425"/>
        <w:rPr>
          <w:rFonts w:ascii="Times New Roman" w:hAnsi="Times New Roman" w:cs="Times New Roman"/>
          <w:b w:val="0"/>
          <w:bCs w:val="0"/>
          <w:color w:val="202124"/>
          <w:sz w:val="24"/>
          <w:szCs w:val="24"/>
          <w:lang w:val="en"/>
        </w:rPr>
      </w:pPr>
      <w:r w:rsidRPr="00A114A6">
        <w:rPr>
          <w:rFonts w:ascii="Times New Roman" w:hAnsi="Times New Roman" w:cs="Times New Roman"/>
          <w:b w:val="0"/>
          <w:bCs w:val="0"/>
          <w:color w:val="202124"/>
          <w:sz w:val="24"/>
          <w:szCs w:val="24"/>
          <w:lang w:val="en"/>
        </w:rPr>
        <w:t xml:space="preserve">Sight </w:t>
      </w:r>
      <w:r w:rsidRPr="00A114A6">
        <w:rPr>
          <w:rFonts w:ascii="Times New Roman" w:hAnsi="Times New Roman" w:cs="Times New Roman"/>
          <w:b w:val="0"/>
          <w:bCs w:val="0"/>
          <w:sz w:val="24"/>
          <w:szCs w:val="24"/>
        </w:rPr>
        <w:t>letters of credit of (180) days or less,</w:t>
      </w:r>
      <w:r w:rsidR="00C77C3A">
        <w:rPr>
          <w:rFonts w:ascii="Times New Roman" w:hAnsi="Times New Roman" w:cs="Times New Roman"/>
          <w:b w:val="0"/>
          <w:bCs w:val="0"/>
          <w:sz w:val="24"/>
          <w:szCs w:val="24"/>
        </w:rPr>
        <w:t xml:space="preserve"> </w:t>
      </w:r>
      <w:r w:rsidR="00C77C3A" w:rsidRPr="00A114A6">
        <w:rPr>
          <w:rFonts w:ascii="Times New Roman" w:hAnsi="Times New Roman" w:cs="Times New Roman"/>
          <w:b w:val="0"/>
          <w:bCs w:val="0"/>
          <w:color w:val="202124"/>
          <w:sz w:val="24"/>
          <w:szCs w:val="24"/>
          <w:lang w:val="en"/>
        </w:rPr>
        <w:t>provided</w:t>
      </w:r>
      <w:r w:rsidR="00125BF6" w:rsidRPr="00A114A6">
        <w:rPr>
          <w:rFonts w:ascii="Times New Roman" w:hAnsi="Times New Roman" w:cs="Times New Roman"/>
          <w:b w:val="0"/>
          <w:bCs w:val="0"/>
          <w:color w:val="202124"/>
          <w:sz w:val="24"/>
          <w:szCs w:val="24"/>
          <w:lang w:val="en"/>
        </w:rPr>
        <w:t xml:space="preserve"> that it is self-</w:t>
      </w:r>
      <w:r w:rsidR="00125BF6" w:rsidRPr="00A114A6">
        <w:rPr>
          <w:rFonts w:ascii="Times New Roman" w:hAnsi="Times New Roman" w:cs="Times New Roman"/>
          <w:b w:val="0"/>
          <w:bCs w:val="0"/>
          <w:sz w:val="24"/>
          <w:szCs w:val="24"/>
        </w:rPr>
        <w:t xml:space="preserve"> liquidating </w:t>
      </w:r>
      <w:r w:rsidR="00125BF6" w:rsidRPr="00A114A6">
        <w:rPr>
          <w:rFonts w:ascii="Times New Roman" w:hAnsi="Times New Roman" w:cs="Times New Roman"/>
          <w:b w:val="0"/>
          <w:bCs w:val="0"/>
          <w:color w:val="202124"/>
          <w:sz w:val="24"/>
          <w:szCs w:val="24"/>
          <w:lang w:val="en"/>
        </w:rPr>
        <w:t xml:space="preserve">and related to the transportation of goods and that it does not contain any condition that may negatively affect the value </w:t>
      </w:r>
      <w:r w:rsidR="00125BF6" w:rsidRPr="00A114A6">
        <w:rPr>
          <w:rFonts w:ascii="Times New Roman" w:hAnsi="Times New Roman" w:cs="Times New Roman"/>
          <w:b w:val="0"/>
          <w:bCs w:val="0"/>
          <w:color w:val="202124"/>
          <w:sz w:val="24"/>
          <w:szCs w:val="24"/>
          <w:lang w:val="en"/>
        </w:rPr>
        <w:lastRenderedPageBreak/>
        <w:t xml:space="preserve">of the goods (for example: that the goods are perishable or that the shipment is by land ... </w:t>
      </w:r>
      <w:proofErr w:type="spellStart"/>
      <w:r w:rsidR="00125BF6" w:rsidRPr="00A114A6">
        <w:rPr>
          <w:rFonts w:ascii="Times New Roman" w:hAnsi="Times New Roman" w:cs="Times New Roman"/>
          <w:b w:val="0"/>
          <w:bCs w:val="0"/>
          <w:color w:val="202124"/>
          <w:sz w:val="24"/>
          <w:szCs w:val="24"/>
          <w:lang w:val="en"/>
        </w:rPr>
        <w:t>etc</w:t>
      </w:r>
      <w:proofErr w:type="spellEnd"/>
      <w:r w:rsidR="00125BF6" w:rsidRPr="00A114A6">
        <w:rPr>
          <w:rFonts w:ascii="Times New Roman" w:hAnsi="Times New Roman" w:cs="Times New Roman"/>
          <w:b w:val="0"/>
          <w:bCs w:val="0"/>
          <w:color w:val="202124"/>
          <w:sz w:val="24"/>
          <w:szCs w:val="24"/>
          <w:lang w:val="en"/>
        </w:rPr>
        <w:t>).</w:t>
      </w:r>
    </w:p>
    <w:p w:rsidR="00125BF6" w:rsidRPr="00A114A6" w:rsidRDefault="00125BF6" w:rsidP="00A114A6">
      <w:pPr>
        <w:pStyle w:val="ListParagraph"/>
        <w:numPr>
          <w:ilvl w:val="0"/>
          <w:numId w:val="3"/>
        </w:numPr>
        <w:bidi w:val="0"/>
        <w:spacing w:after="0" w:line="276" w:lineRule="auto"/>
        <w:ind w:left="2552" w:hanging="425"/>
        <w:rPr>
          <w:rFonts w:ascii="Times New Roman" w:eastAsiaTheme="minorHAnsi" w:hAnsi="Times New Roman" w:cs="Times New Roman"/>
          <w:b w:val="0"/>
          <w:bCs w:val="0"/>
          <w:sz w:val="24"/>
          <w:szCs w:val="24"/>
        </w:rPr>
      </w:pPr>
      <w:r w:rsidRPr="00A114A6">
        <w:rPr>
          <w:rFonts w:ascii="Times New Roman" w:hAnsi="Times New Roman" w:cs="Times New Roman"/>
          <w:b w:val="0"/>
          <w:bCs w:val="0"/>
          <w:color w:val="202124"/>
          <w:sz w:val="24"/>
          <w:szCs w:val="24"/>
          <w:lang w:val="en"/>
        </w:rPr>
        <w:t xml:space="preserve">SBLC </w:t>
      </w:r>
      <w:r w:rsidR="00A114A6" w:rsidRPr="00A114A6">
        <w:rPr>
          <w:rFonts w:ascii="Times New Roman" w:hAnsi="Times New Roman" w:cs="Times New Roman"/>
          <w:b w:val="0"/>
          <w:bCs w:val="0"/>
          <w:sz w:val="24"/>
          <w:szCs w:val="24"/>
        </w:rPr>
        <w:t xml:space="preserve">serving as </w:t>
      </w:r>
      <w:r w:rsidRPr="00A114A6">
        <w:rPr>
          <w:rFonts w:ascii="Times New Roman" w:hAnsi="Times New Roman" w:cs="Times New Roman"/>
          <w:b w:val="0"/>
          <w:bCs w:val="0"/>
          <w:color w:val="202124"/>
          <w:sz w:val="24"/>
          <w:szCs w:val="24"/>
          <w:lang w:val="en"/>
        </w:rPr>
        <w:t xml:space="preserve">the above </w:t>
      </w:r>
      <w:r w:rsidR="009C1D8C" w:rsidRPr="00A114A6">
        <w:rPr>
          <w:rFonts w:ascii="Times New Roman" w:hAnsi="Times New Roman" w:cs="Times New Roman"/>
          <w:b w:val="0"/>
          <w:bCs w:val="0"/>
          <w:sz w:val="24"/>
          <w:szCs w:val="24"/>
        </w:rPr>
        <w:t>letters of credit</w:t>
      </w:r>
      <w:r w:rsidRPr="00A114A6">
        <w:rPr>
          <w:rFonts w:ascii="Times New Roman" w:hAnsi="Times New Roman" w:cs="Times New Roman"/>
          <w:b w:val="0"/>
          <w:bCs w:val="0"/>
          <w:sz w:val="24"/>
          <w:szCs w:val="24"/>
        </w:rPr>
        <w:t>.</w:t>
      </w:r>
    </w:p>
    <w:p w:rsidR="00125BF6" w:rsidRPr="00A114A6" w:rsidRDefault="00A114A6" w:rsidP="00A114A6">
      <w:pPr>
        <w:pStyle w:val="ListParagraph"/>
        <w:numPr>
          <w:ilvl w:val="0"/>
          <w:numId w:val="3"/>
        </w:numPr>
        <w:bidi w:val="0"/>
        <w:spacing w:after="0" w:line="276" w:lineRule="auto"/>
        <w:ind w:left="2552" w:hanging="425"/>
        <w:rPr>
          <w:rFonts w:ascii="Times New Roman" w:eastAsiaTheme="minorHAnsi" w:hAnsi="Times New Roman" w:cs="Times New Roman"/>
          <w:b w:val="0"/>
          <w:bCs w:val="0"/>
          <w:sz w:val="24"/>
          <w:szCs w:val="24"/>
        </w:rPr>
      </w:pPr>
      <w:r w:rsidRPr="00A114A6">
        <w:rPr>
          <w:rFonts w:ascii="Times New Roman" w:hAnsi="Times New Roman" w:cs="Times New Roman"/>
          <w:b w:val="0"/>
          <w:bCs w:val="0"/>
          <w:sz w:val="24"/>
          <w:szCs w:val="24"/>
        </w:rPr>
        <w:t xml:space="preserve">Enhancing letters of credit </w:t>
      </w:r>
      <w:r w:rsidR="00125BF6" w:rsidRPr="00A114A6">
        <w:rPr>
          <w:rFonts w:ascii="Times New Roman" w:hAnsi="Times New Roman" w:cs="Times New Roman"/>
          <w:b w:val="0"/>
          <w:bCs w:val="0"/>
          <w:color w:val="202124"/>
          <w:sz w:val="24"/>
          <w:szCs w:val="24"/>
          <w:lang w:val="en"/>
        </w:rPr>
        <w:t xml:space="preserve">in the two </w:t>
      </w:r>
      <w:r w:rsidRPr="00A114A6">
        <w:rPr>
          <w:rFonts w:ascii="Times New Roman" w:hAnsi="Times New Roman" w:cs="Times New Roman"/>
          <w:b w:val="0"/>
          <w:bCs w:val="0"/>
          <w:color w:val="202124"/>
          <w:sz w:val="24"/>
          <w:szCs w:val="24"/>
          <w:lang w:val="en"/>
        </w:rPr>
        <w:t xml:space="preserve">above </w:t>
      </w:r>
      <w:r w:rsidR="00125BF6" w:rsidRPr="00A114A6">
        <w:rPr>
          <w:rFonts w:ascii="Times New Roman" w:hAnsi="Times New Roman" w:cs="Times New Roman"/>
          <w:b w:val="0"/>
          <w:bCs w:val="0"/>
          <w:color w:val="202124"/>
          <w:sz w:val="24"/>
          <w:szCs w:val="24"/>
          <w:lang w:val="en"/>
        </w:rPr>
        <w:t>items.</w:t>
      </w:r>
    </w:p>
    <w:p w:rsidR="00125BF6" w:rsidRPr="003075B1" w:rsidRDefault="00125BF6" w:rsidP="00114FE2">
      <w:pPr>
        <w:bidi w:val="0"/>
        <w:spacing w:after="0" w:line="276" w:lineRule="auto"/>
        <w:ind w:left="2127" w:hanging="851"/>
        <w:rPr>
          <w:rFonts w:ascii="Times New Roman" w:hAnsi="Times New Roman" w:cs="Times New Roman"/>
          <w:b w:val="0"/>
          <w:bCs w:val="0"/>
          <w:sz w:val="24"/>
          <w:szCs w:val="24"/>
        </w:rPr>
      </w:pPr>
      <w:r w:rsidRPr="003075B1">
        <w:rPr>
          <w:rFonts w:ascii="Times New Roman" w:eastAsiaTheme="minorHAnsi" w:hAnsi="Times New Roman" w:cs="Times New Roman"/>
          <w:b w:val="0"/>
          <w:bCs w:val="0"/>
          <w:sz w:val="24"/>
          <w:szCs w:val="24"/>
        </w:rPr>
        <w:t>3.2.4</w:t>
      </w:r>
      <w:r w:rsidRPr="003075B1">
        <w:rPr>
          <w:rFonts w:ascii="Times New Roman" w:eastAsiaTheme="minorHAnsi" w:hAnsi="Times New Roman" w:cs="Times New Roman"/>
          <w:b w:val="0"/>
          <w:bCs w:val="0"/>
          <w:sz w:val="24"/>
          <w:szCs w:val="24"/>
        </w:rPr>
        <w:tab/>
      </w:r>
      <w:r w:rsidR="000D34B3" w:rsidRPr="003075B1">
        <w:rPr>
          <w:rFonts w:ascii="Times New Roman" w:hAnsi="Times New Roman" w:cs="Times New Roman"/>
          <w:b w:val="0"/>
          <w:bCs w:val="0"/>
          <w:sz w:val="24"/>
          <w:szCs w:val="24"/>
        </w:rPr>
        <w:t>Credit Commitments:</w:t>
      </w:r>
    </w:p>
    <w:p w:rsidR="000D34B3" w:rsidRPr="003075B1" w:rsidRDefault="000D34B3" w:rsidP="00114FE2">
      <w:pPr>
        <w:bidi w:val="0"/>
        <w:spacing w:after="0" w:line="276" w:lineRule="auto"/>
        <w:ind w:left="2552" w:hanging="425"/>
        <w:rPr>
          <w:rFonts w:ascii="Times New Roman" w:hAnsi="Times New Roman" w:cs="Times New Roman"/>
          <w:b w:val="0"/>
          <w:bCs w:val="0"/>
          <w:sz w:val="24"/>
          <w:szCs w:val="24"/>
        </w:rPr>
      </w:pPr>
      <w:r w:rsidRPr="003075B1">
        <w:rPr>
          <w:rFonts w:ascii="Times New Roman" w:hAnsi="Times New Roman" w:cs="Times New Roman"/>
          <w:b w:val="0"/>
          <w:bCs w:val="0"/>
          <w:sz w:val="24"/>
          <w:szCs w:val="24"/>
        </w:rPr>
        <w:t>-</w:t>
      </w:r>
      <w:r w:rsidRPr="003075B1">
        <w:rPr>
          <w:rFonts w:ascii="Times New Roman" w:hAnsi="Times New Roman" w:cs="Times New Roman"/>
          <w:b w:val="0"/>
          <w:bCs w:val="0"/>
          <w:sz w:val="24"/>
          <w:szCs w:val="24"/>
        </w:rPr>
        <w:tab/>
      </w:r>
      <w:r w:rsidR="00A257A3" w:rsidRPr="00A114A6">
        <w:rPr>
          <w:rFonts w:ascii="Times New Roman" w:hAnsi="Times New Roman" w:cs="Times New Roman"/>
          <w:b w:val="0"/>
          <w:bCs w:val="0"/>
          <w:sz w:val="24"/>
          <w:szCs w:val="24"/>
        </w:rPr>
        <w:t>Commitments that are unconditionally cancellable at any time without prior notice</w:t>
      </w:r>
      <w:r w:rsidR="00825791" w:rsidRPr="00A114A6">
        <w:rPr>
          <w:rFonts w:ascii="Times New Roman" w:hAnsi="Times New Roman" w:cs="Times New Roman"/>
          <w:b w:val="0"/>
          <w:bCs w:val="0"/>
          <w:sz w:val="24"/>
          <w:szCs w:val="24"/>
        </w:rPr>
        <w:t xml:space="preserve"> are given (0%) credit c</w:t>
      </w:r>
      <w:r w:rsidR="00A257A3" w:rsidRPr="00A114A6">
        <w:rPr>
          <w:rFonts w:ascii="Times New Roman" w:hAnsi="Times New Roman" w:cs="Times New Roman"/>
          <w:b w:val="0"/>
          <w:bCs w:val="0"/>
          <w:sz w:val="24"/>
          <w:szCs w:val="24"/>
        </w:rPr>
        <w:t>onversion factor.</w:t>
      </w:r>
    </w:p>
    <w:p w:rsidR="00A257A3" w:rsidRPr="003075B1" w:rsidRDefault="00A257A3" w:rsidP="00114FE2">
      <w:pPr>
        <w:bidi w:val="0"/>
        <w:spacing w:after="0" w:line="276" w:lineRule="auto"/>
        <w:ind w:left="2552" w:hanging="425"/>
        <w:rPr>
          <w:rFonts w:ascii="Times New Roman" w:hAnsi="Times New Roman" w:cs="Times New Roman"/>
          <w:b w:val="0"/>
          <w:bCs w:val="0"/>
          <w:sz w:val="24"/>
          <w:szCs w:val="24"/>
        </w:rPr>
      </w:pPr>
      <w:r w:rsidRPr="003075B1">
        <w:rPr>
          <w:rFonts w:ascii="Times New Roman" w:hAnsi="Times New Roman" w:cs="Times New Roman"/>
          <w:b w:val="0"/>
          <w:bCs w:val="0"/>
          <w:sz w:val="24"/>
          <w:szCs w:val="24"/>
        </w:rPr>
        <w:t>-</w:t>
      </w:r>
      <w:r w:rsidRPr="003075B1">
        <w:rPr>
          <w:rFonts w:ascii="Times New Roman" w:hAnsi="Times New Roman" w:cs="Times New Roman"/>
          <w:b w:val="0"/>
          <w:bCs w:val="0"/>
          <w:sz w:val="24"/>
          <w:szCs w:val="24"/>
        </w:rPr>
        <w:tab/>
        <w:t>Commitments with an original maturity of on</w:t>
      </w:r>
      <w:r w:rsidR="00825791">
        <w:rPr>
          <w:rFonts w:ascii="Times New Roman" w:hAnsi="Times New Roman" w:cs="Times New Roman"/>
          <w:b w:val="0"/>
          <w:bCs w:val="0"/>
          <w:sz w:val="24"/>
          <w:szCs w:val="24"/>
        </w:rPr>
        <w:t>e year or less are given (20%) credit c</w:t>
      </w:r>
      <w:r w:rsidRPr="003075B1">
        <w:rPr>
          <w:rFonts w:ascii="Times New Roman" w:hAnsi="Times New Roman" w:cs="Times New Roman"/>
          <w:b w:val="0"/>
          <w:bCs w:val="0"/>
          <w:sz w:val="24"/>
          <w:szCs w:val="24"/>
        </w:rPr>
        <w:t>onversion factor.</w:t>
      </w:r>
    </w:p>
    <w:p w:rsidR="00A257A3" w:rsidRPr="003075B1" w:rsidRDefault="00A257A3" w:rsidP="00114FE2">
      <w:pPr>
        <w:bidi w:val="0"/>
        <w:spacing w:after="0" w:line="276" w:lineRule="auto"/>
        <w:ind w:left="2552" w:hanging="425"/>
        <w:rPr>
          <w:rFonts w:ascii="Times New Roman" w:hAnsi="Times New Roman" w:cs="Times New Roman"/>
          <w:b w:val="0"/>
          <w:bCs w:val="0"/>
          <w:sz w:val="24"/>
          <w:szCs w:val="24"/>
        </w:rPr>
      </w:pPr>
      <w:r w:rsidRPr="003075B1">
        <w:rPr>
          <w:rFonts w:ascii="Times New Roman" w:hAnsi="Times New Roman" w:cs="Times New Roman"/>
          <w:b w:val="0"/>
          <w:bCs w:val="0"/>
          <w:sz w:val="24"/>
          <w:szCs w:val="24"/>
        </w:rPr>
        <w:t>-</w:t>
      </w:r>
      <w:r w:rsidRPr="003075B1">
        <w:rPr>
          <w:rFonts w:ascii="Times New Roman" w:hAnsi="Times New Roman" w:cs="Times New Roman"/>
          <w:b w:val="0"/>
          <w:bCs w:val="0"/>
          <w:sz w:val="24"/>
          <w:szCs w:val="24"/>
        </w:rPr>
        <w:tab/>
        <w:t>Commitments with an original maturity exce</w:t>
      </w:r>
      <w:r w:rsidR="00825791">
        <w:rPr>
          <w:rFonts w:ascii="Times New Roman" w:hAnsi="Times New Roman" w:cs="Times New Roman"/>
          <w:b w:val="0"/>
          <w:bCs w:val="0"/>
          <w:sz w:val="24"/>
          <w:szCs w:val="24"/>
        </w:rPr>
        <w:t>eding one year are given (50%) credit c</w:t>
      </w:r>
      <w:r w:rsidRPr="003075B1">
        <w:rPr>
          <w:rFonts w:ascii="Times New Roman" w:hAnsi="Times New Roman" w:cs="Times New Roman"/>
          <w:b w:val="0"/>
          <w:bCs w:val="0"/>
          <w:sz w:val="24"/>
          <w:szCs w:val="24"/>
        </w:rPr>
        <w:t>onversion factor.</w:t>
      </w:r>
    </w:p>
    <w:p w:rsidR="00125BF6" w:rsidRPr="003075B1" w:rsidRDefault="00A257A3" w:rsidP="00114FE2">
      <w:pPr>
        <w:bidi w:val="0"/>
        <w:spacing w:after="0" w:line="276" w:lineRule="auto"/>
        <w:ind w:left="2127" w:hanging="851"/>
        <w:rPr>
          <w:rFonts w:ascii="Times New Roman" w:hAnsi="Times New Roman" w:cs="Times New Roman"/>
          <w:b w:val="0"/>
          <w:bCs w:val="0"/>
          <w:sz w:val="24"/>
          <w:szCs w:val="24"/>
        </w:rPr>
      </w:pPr>
      <w:r w:rsidRPr="003075B1">
        <w:rPr>
          <w:rFonts w:ascii="Times New Roman" w:hAnsi="Times New Roman" w:cs="Times New Roman"/>
          <w:b w:val="0"/>
          <w:bCs w:val="0"/>
          <w:sz w:val="24"/>
          <w:szCs w:val="24"/>
        </w:rPr>
        <w:t>3.2.5</w:t>
      </w:r>
      <w:r w:rsidRPr="003075B1">
        <w:rPr>
          <w:rFonts w:ascii="Times New Roman" w:hAnsi="Times New Roman" w:cs="Times New Roman"/>
          <w:b w:val="0"/>
          <w:bCs w:val="0"/>
          <w:sz w:val="24"/>
          <w:szCs w:val="24"/>
        </w:rPr>
        <w:tab/>
        <w:t>Other Off-Balance Sheet Items</w:t>
      </w:r>
    </w:p>
    <w:p w:rsidR="00A257A3" w:rsidRPr="003075B1" w:rsidRDefault="009F4F5E" w:rsidP="00114FE2">
      <w:pPr>
        <w:bidi w:val="0"/>
        <w:spacing w:after="0" w:line="276" w:lineRule="auto"/>
        <w:ind w:firstLine="2127"/>
        <w:rPr>
          <w:rFonts w:ascii="Times New Roman" w:hAnsi="Times New Roman" w:cs="Times New Roman"/>
          <w:b w:val="0"/>
          <w:bCs w:val="0"/>
          <w:color w:val="202124"/>
          <w:sz w:val="24"/>
          <w:szCs w:val="24"/>
          <w:lang w:val="en"/>
        </w:rPr>
      </w:pPr>
      <w:r w:rsidRPr="003075B1">
        <w:rPr>
          <w:rFonts w:ascii="Times New Roman" w:hAnsi="Times New Roman" w:cs="Times New Roman"/>
          <w:b w:val="0"/>
          <w:bCs w:val="0"/>
          <w:color w:val="202124"/>
          <w:sz w:val="24"/>
          <w:szCs w:val="24"/>
          <w:lang w:val="en"/>
        </w:rPr>
        <w:t xml:space="preserve">The following items are given (100%) </w:t>
      </w:r>
      <w:r w:rsidR="00A257A3" w:rsidRPr="003075B1">
        <w:rPr>
          <w:rFonts w:ascii="Times New Roman" w:hAnsi="Times New Roman" w:cs="Times New Roman"/>
          <w:b w:val="0"/>
          <w:bCs w:val="0"/>
          <w:color w:val="202124"/>
          <w:sz w:val="24"/>
          <w:szCs w:val="24"/>
          <w:lang w:val="en"/>
        </w:rPr>
        <w:t xml:space="preserve">credit </w:t>
      </w:r>
      <w:r w:rsidR="00A257A3" w:rsidRPr="003075B1">
        <w:rPr>
          <w:rFonts w:ascii="Times New Roman" w:hAnsi="Times New Roman" w:cs="Times New Roman"/>
          <w:b w:val="0"/>
          <w:bCs w:val="0"/>
          <w:sz w:val="24"/>
          <w:szCs w:val="24"/>
        </w:rPr>
        <w:t xml:space="preserve">conversion </w:t>
      </w:r>
      <w:r w:rsidR="00A257A3" w:rsidRPr="003075B1">
        <w:rPr>
          <w:rFonts w:ascii="Times New Roman" w:hAnsi="Times New Roman" w:cs="Times New Roman"/>
          <w:b w:val="0"/>
          <w:bCs w:val="0"/>
          <w:color w:val="202124"/>
          <w:sz w:val="24"/>
          <w:szCs w:val="24"/>
          <w:lang w:val="en"/>
        </w:rPr>
        <w:t>factor:</w:t>
      </w:r>
    </w:p>
    <w:p w:rsidR="00A257A3" w:rsidRPr="003075B1" w:rsidRDefault="00D25CAB" w:rsidP="00114FE2">
      <w:pPr>
        <w:pStyle w:val="ListParagraph"/>
        <w:numPr>
          <w:ilvl w:val="0"/>
          <w:numId w:val="3"/>
        </w:numPr>
        <w:bidi w:val="0"/>
        <w:spacing w:after="0" w:line="276" w:lineRule="auto"/>
        <w:ind w:left="2552" w:hanging="425"/>
        <w:rPr>
          <w:rFonts w:ascii="Times New Roman" w:hAnsi="Times New Roman" w:cs="Times New Roman"/>
          <w:b w:val="0"/>
          <w:bCs w:val="0"/>
          <w:sz w:val="24"/>
          <w:szCs w:val="24"/>
        </w:rPr>
      </w:pPr>
      <w:r w:rsidRPr="003075B1">
        <w:rPr>
          <w:rFonts w:ascii="Times New Roman" w:hAnsi="Times New Roman" w:cs="Times New Roman"/>
          <w:b w:val="0"/>
          <w:bCs w:val="0"/>
          <w:color w:val="202124"/>
          <w:sz w:val="24"/>
          <w:szCs w:val="24"/>
          <w:lang w:val="en"/>
        </w:rPr>
        <w:t>Securities lending and / or depositing as collateral operations.</w:t>
      </w:r>
    </w:p>
    <w:p w:rsidR="00D25CAB" w:rsidRPr="003075B1" w:rsidRDefault="00D25CAB" w:rsidP="00114FE2">
      <w:pPr>
        <w:pStyle w:val="ListParagraph"/>
        <w:numPr>
          <w:ilvl w:val="0"/>
          <w:numId w:val="3"/>
        </w:numPr>
        <w:bidi w:val="0"/>
        <w:spacing w:after="0" w:line="276" w:lineRule="auto"/>
        <w:ind w:left="2552" w:hanging="425"/>
        <w:rPr>
          <w:rFonts w:ascii="Times New Roman" w:hAnsi="Times New Roman" w:cs="Times New Roman"/>
          <w:b w:val="0"/>
          <w:bCs w:val="0"/>
          <w:sz w:val="24"/>
          <w:szCs w:val="24"/>
        </w:rPr>
      </w:pPr>
      <w:r w:rsidRPr="003075B1">
        <w:rPr>
          <w:rFonts w:ascii="Times New Roman" w:hAnsi="Times New Roman" w:cs="Times New Roman"/>
          <w:b w:val="0"/>
          <w:bCs w:val="0"/>
          <w:sz w:val="24"/>
          <w:szCs w:val="24"/>
        </w:rPr>
        <w:t>Sale and repurchase agreements.</w:t>
      </w:r>
    </w:p>
    <w:p w:rsidR="00D25CAB" w:rsidRPr="003075B1" w:rsidRDefault="00D25CAB" w:rsidP="00114FE2">
      <w:pPr>
        <w:pStyle w:val="ListParagraph"/>
        <w:numPr>
          <w:ilvl w:val="0"/>
          <w:numId w:val="3"/>
        </w:numPr>
        <w:bidi w:val="0"/>
        <w:spacing w:after="0" w:line="276" w:lineRule="auto"/>
        <w:ind w:left="2552" w:hanging="425"/>
        <w:rPr>
          <w:rFonts w:ascii="Times New Roman" w:hAnsi="Times New Roman" w:cs="Times New Roman"/>
          <w:b w:val="0"/>
          <w:bCs w:val="0"/>
          <w:sz w:val="24"/>
          <w:szCs w:val="24"/>
        </w:rPr>
      </w:pPr>
      <w:r w:rsidRPr="003075B1">
        <w:rPr>
          <w:rFonts w:ascii="Times New Roman" w:hAnsi="Times New Roman" w:cs="Times New Roman"/>
          <w:b w:val="0"/>
          <w:bCs w:val="0"/>
          <w:sz w:val="24"/>
          <w:szCs w:val="24"/>
        </w:rPr>
        <w:t>Assets Sold with Recourse.</w:t>
      </w:r>
    </w:p>
    <w:p w:rsidR="00D25CAB" w:rsidRPr="003075B1" w:rsidRDefault="00C74920" w:rsidP="00114FE2">
      <w:pPr>
        <w:pStyle w:val="ListParagraph"/>
        <w:numPr>
          <w:ilvl w:val="0"/>
          <w:numId w:val="3"/>
        </w:numPr>
        <w:bidi w:val="0"/>
        <w:spacing w:after="0" w:line="276" w:lineRule="auto"/>
        <w:ind w:left="2552" w:hanging="425"/>
        <w:rPr>
          <w:rFonts w:ascii="Times New Roman" w:hAnsi="Times New Roman" w:cs="Times New Roman"/>
          <w:b w:val="0"/>
          <w:bCs w:val="0"/>
          <w:sz w:val="24"/>
          <w:szCs w:val="24"/>
        </w:rPr>
      </w:pPr>
      <w:r w:rsidRPr="00A114A6">
        <w:rPr>
          <w:rFonts w:ascii="Times New Roman" w:hAnsi="Times New Roman" w:cs="Times New Roman"/>
          <w:b w:val="0"/>
          <w:bCs w:val="0"/>
          <w:sz w:val="24"/>
          <w:szCs w:val="24"/>
        </w:rPr>
        <w:t>Forward agreements</w:t>
      </w:r>
      <w:r w:rsidRPr="003075B1">
        <w:rPr>
          <w:rFonts w:ascii="Times New Roman" w:hAnsi="Times New Roman" w:cs="Times New Roman"/>
          <w:b w:val="0"/>
          <w:bCs w:val="0"/>
          <w:sz w:val="24"/>
          <w:szCs w:val="24"/>
        </w:rPr>
        <w:t xml:space="preserve"> to purchase assets</w:t>
      </w:r>
      <w:r w:rsidRPr="003075B1">
        <w:rPr>
          <w:rFonts w:ascii="Times New Roman" w:hAnsi="Times New Roman" w:cs="Times New Roman"/>
          <w:b w:val="0"/>
          <w:bCs w:val="0"/>
          <w:color w:val="202124"/>
          <w:sz w:val="24"/>
          <w:szCs w:val="24"/>
          <w:lang w:val="en"/>
        </w:rPr>
        <w:t>, which includes the agreement to purchase a loan, debt bond, or any other asset from a foreign party at a future date.</w:t>
      </w:r>
    </w:p>
    <w:p w:rsidR="00C74920" w:rsidRPr="003075B1" w:rsidRDefault="00EA4BD9" w:rsidP="00114FE2">
      <w:pPr>
        <w:pStyle w:val="ListParagraph"/>
        <w:numPr>
          <w:ilvl w:val="0"/>
          <w:numId w:val="3"/>
        </w:numPr>
        <w:bidi w:val="0"/>
        <w:spacing w:after="0" w:line="276" w:lineRule="auto"/>
        <w:ind w:left="2552" w:hanging="425"/>
        <w:rPr>
          <w:rFonts w:ascii="Times New Roman" w:hAnsi="Times New Roman" w:cs="Times New Roman"/>
          <w:b w:val="0"/>
          <w:bCs w:val="0"/>
          <w:sz w:val="24"/>
          <w:szCs w:val="24"/>
        </w:rPr>
      </w:pPr>
      <w:r w:rsidRPr="003075B1">
        <w:rPr>
          <w:rFonts w:ascii="Times New Roman" w:hAnsi="Times New Roman" w:cs="Times New Roman"/>
          <w:b w:val="0"/>
          <w:bCs w:val="0"/>
          <w:color w:val="202124"/>
          <w:sz w:val="24"/>
          <w:szCs w:val="24"/>
          <w:lang w:val="en"/>
        </w:rPr>
        <w:t xml:space="preserve">The unpaid portion of </w:t>
      </w:r>
      <w:r w:rsidR="00892A5E" w:rsidRPr="003075B1">
        <w:rPr>
          <w:rFonts w:ascii="Times New Roman" w:hAnsi="Times New Roman" w:cs="Times New Roman"/>
          <w:b w:val="0"/>
          <w:bCs w:val="0"/>
          <w:color w:val="202124"/>
          <w:sz w:val="24"/>
          <w:szCs w:val="24"/>
          <w:lang w:val="en"/>
        </w:rPr>
        <w:t xml:space="preserve">purchased </w:t>
      </w:r>
      <w:r w:rsidRPr="003075B1">
        <w:rPr>
          <w:rFonts w:ascii="Times New Roman" w:hAnsi="Times New Roman" w:cs="Times New Roman"/>
          <w:b w:val="0"/>
          <w:bCs w:val="0"/>
          <w:color w:val="202124"/>
          <w:sz w:val="24"/>
          <w:szCs w:val="24"/>
          <w:lang w:val="en"/>
        </w:rPr>
        <w:t xml:space="preserve">shares and / or </w:t>
      </w:r>
      <w:r w:rsidR="00892A5E" w:rsidRPr="003075B1">
        <w:rPr>
          <w:rFonts w:ascii="Times New Roman" w:hAnsi="Times New Roman" w:cs="Times New Roman"/>
          <w:b w:val="0"/>
          <w:bCs w:val="0"/>
          <w:color w:val="202124"/>
          <w:sz w:val="24"/>
          <w:szCs w:val="24"/>
          <w:lang w:val="en"/>
        </w:rPr>
        <w:t xml:space="preserve">securities </w:t>
      </w:r>
      <w:r w:rsidRPr="003075B1">
        <w:rPr>
          <w:rFonts w:ascii="Times New Roman" w:hAnsi="Times New Roman" w:cs="Times New Roman"/>
          <w:b w:val="0"/>
          <w:bCs w:val="0"/>
          <w:color w:val="202124"/>
          <w:sz w:val="24"/>
          <w:szCs w:val="24"/>
          <w:lang w:val="en"/>
        </w:rPr>
        <w:t>that represent an obligation on the bank to pay this portion at a future date</w:t>
      </w:r>
      <w:r w:rsidR="00892A5E" w:rsidRPr="003075B1">
        <w:rPr>
          <w:rFonts w:ascii="Times New Roman" w:hAnsi="Times New Roman" w:cs="Times New Roman"/>
          <w:b w:val="0"/>
          <w:bCs w:val="0"/>
          <w:color w:val="202124"/>
          <w:sz w:val="24"/>
          <w:szCs w:val="24"/>
          <w:lang w:val="en"/>
        </w:rPr>
        <w:t>.</w:t>
      </w:r>
    </w:p>
    <w:p w:rsidR="00892A5E" w:rsidRPr="003075B1" w:rsidRDefault="009F4F5E" w:rsidP="00114FE2">
      <w:pPr>
        <w:pStyle w:val="ListParagraph"/>
        <w:numPr>
          <w:ilvl w:val="0"/>
          <w:numId w:val="3"/>
        </w:numPr>
        <w:bidi w:val="0"/>
        <w:spacing w:after="0" w:line="276" w:lineRule="auto"/>
        <w:ind w:left="2552" w:hanging="425"/>
        <w:rPr>
          <w:rFonts w:ascii="Times New Roman" w:hAnsi="Times New Roman" w:cs="Times New Roman"/>
          <w:b w:val="0"/>
          <w:bCs w:val="0"/>
          <w:sz w:val="24"/>
          <w:szCs w:val="24"/>
        </w:rPr>
      </w:pPr>
      <w:r w:rsidRPr="003075B1">
        <w:rPr>
          <w:rFonts w:ascii="Times New Roman" w:hAnsi="Times New Roman" w:cs="Times New Roman"/>
          <w:b w:val="0"/>
          <w:bCs w:val="0"/>
          <w:color w:val="202124"/>
          <w:sz w:val="24"/>
          <w:szCs w:val="24"/>
          <w:lang w:val="en"/>
        </w:rPr>
        <w:t>The bank’s commitment to make term deposits with other parties.</w:t>
      </w:r>
    </w:p>
    <w:p w:rsidR="009F4F5E" w:rsidRPr="003075B1" w:rsidRDefault="009F4F5E" w:rsidP="00114FE2">
      <w:pPr>
        <w:pStyle w:val="ListParagraph"/>
        <w:bidi w:val="0"/>
        <w:spacing w:after="0" w:line="276" w:lineRule="auto"/>
        <w:ind w:left="2127"/>
        <w:rPr>
          <w:rFonts w:ascii="Times New Roman" w:hAnsi="Times New Roman" w:cs="Times New Roman"/>
          <w:b w:val="0"/>
          <w:bCs w:val="0"/>
          <w:sz w:val="24"/>
          <w:szCs w:val="24"/>
        </w:rPr>
      </w:pPr>
      <w:r w:rsidRPr="003075B1">
        <w:rPr>
          <w:rFonts w:ascii="Times New Roman" w:hAnsi="Times New Roman" w:cs="Times New Roman"/>
          <w:b w:val="0"/>
          <w:bCs w:val="0"/>
          <w:color w:val="202124"/>
          <w:sz w:val="24"/>
          <w:szCs w:val="24"/>
          <w:lang w:val="en"/>
        </w:rPr>
        <w:t xml:space="preserve">The bank's obligations to cover and / or finance the purchase of the unsubscribed portion of the securities issues are given (50%) </w:t>
      </w:r>
      <w:r w:rsidRPr="003075B1">
        <w:rPr>
          <w:rFonts w:ascii="Times New Roman" w:hAnsi="Times New Roman" w:cs="Times New Roman"/>
          <w:b w:val="0"/>
          <w:bCs w:val="0"/>
          <w:sz w:val="24"/>
          <w:szCs w:val="24"/>
        </w:rPr>
        <w:t>conversion factor.</w:t>
      </w:r>
    </w:p>
    <w:p w:rsidR="00D25CAB" w:rsidRPr="0039291D" w:rsidRDefault="009F4F5E" w:rsidP="00953713">
      <w:pPr>
        <w:bidi w:val="0"/>
        <w:spacing w:after="0" w:line="276" w:lineRule="auto"/>
        <w:ind w:left="2127" w:hanging="851"/>
        <w:rPr>
          <w:rFonts w:ascii="Times New Roman" w:hAnsi="Times New Roman" w:cs="Times New Roman"/>
          <w:b w:val="0"/>
          <w:bCs w:val="0"/>
          <w:sz w:val="22"/>
          <w:szCs w:val="22"/>
        </w:rPr>
      </w:pPr>
      <w:r w:rsidRPr="003075B1">
        <w:rPr>
          <w:rFonts w:ascii="Times New Roman" w:hAnsi="Times New Roman" w:cs="Times New Roman"/>
          <w:b w:val="0"/>
          <w:bCs w:val="0"/>
          <w:sz w:val="24"/>
          <w:szCs w:val="24"/>
        </w:rPr>
        <w:t>3.2.6</w:t>
      </w:r>
      <w:r w:rsidRPr="003075B1">
        <w:rPr>
          <w:rFonts w:ascii="Times New Roman" w:hAnsi="Times New Roman" w:cs="Times New Roman"/>
          <w:b w:val="0"/>
          <w:bCs w:val="0"/>
          <w:sz w:val="24"/>
          <w:szCs w:val="24"/>
        </w:rPr>
        <w:tab/>
      </w:r>
      <w:r w:rsidR="00953713">
        <w:rPr>
          <w:rFonts w:ascii="Times New Roman" w:hAnsi="Times New Roman" w:cs="Times New Roman"/>
          <w:b w:val="0"/>
          <w:bCs w:val="0"/>
          <w:sz w:val="22"/>
          <w:szCs w:val="22"/>
        </w:rPr>
        <w:t>Market related off-balance s</w:t>
      </w:r>
      <w:r w:rsidRPr="0039291D">
        <w:rPr>
          <w:rFonts w:ascii="Times New Roman" w:hAnsi="Times New Roman" w:cs="Times New Roman"/>
          <w:b w:val="0"/>
          <w:bCs w:val="0"/>
          <w:sz w:val="22"/>
          <w:szCs w:val="22"/>
        </w:rPr>
        <w:t xml:space="preserve">heet </w:t>
      </w:r>
      <w:r w:rsidR="00953713">
        <w:rPr>
          <w:rFonts w:ascii="Times New Roman" w:hAnsi="Times New Roman" w:cs="Times New Roman"/>
          <w:b w:val="0"/>
          <w:bCs w:val="0"/>
          <w:sz w:val="22"/>
          <w:szCs w:val="22"/>
        </w:rPr>
        <w:t>i</w:t>
      </w:r>
      <w:r w:rsidRPr="0039291D">
        <w:rPr>
          <w:rFonts w:ascii="Times New Roman" w:hAnsi="Times New Roman" w:cs="Times New Roman"/>
          <w:b w:val="0"/>
          <w:bCs w:val="0"/>
          <w:sz w:val="22"/>
          <w:szCs w:val="22"/>
        </w:rPr>
        <w:t>tems</w:t>
      </w:r>
      <w:r w:rsidR="005A3CCC" w:rsidRPr="0039291D">
        <w:rPr>
          <w:rFonts w:ascii="Times New Roman" w:hAnsi="Times New Roman" w:cs="Times New Roman"/>
          <w:b w:val="0"/>
          <w:bCs w:val="0"/>
          <w:sz w:val="22"/>
          <w:szCs w:val="22"/>
        </w:rPr>
        <w:t>:</w:t>
      </w:r>
    </w:p>
    <w:p w:rsidR="005A3CCC" w:rsidRPr="0039291D" w:rsidRDefault="005A3CCC" w:rsidP="00114FE2">
      <w:pPr>
        <w:bidi w:val="0"/>
        <w:spacing w:after="0" w:line="276" w:lineRule="auto"/>
        <w:ind w:left="2552" w:hanging="425"/>
        <w:rPr>
          <w:rFonts w:ascii="Times New Roman" w:hAnsi="Times New Roman" w:cs="Times New Roman"/>
          <w:b w:val="0"/>
          <w:bCs w:val="0"/>
          <w:color w:val="202124"/>
          <w:sz w:val="22"/>
          <w:szCs w:val="22"/>
        </w:rPr>
      </w:pPr>
      <w:r w:rsidRPr="0039291D">
        <w:rPr>
          <w:rFonts w:ascii="Times New Roman" w:hAnsi="Times New Roman" w:cs="Times New Roman"/>
          <w:b w:val="0"/>
          <w:bCs w:val="0"/>
          <w:sz w:val="22"/>
          <w:szCs w:val="22"/>
        </w:rPr>
        <w:t>-</w:t>
      </w:r>
      <w:r w:rsidRPr="0039291D">
        <w:rPr>
          <w:rFonts w:ascii="Times New Roman" w:hAnsi="Times New Roman" w:cs="Times New Roman"/>
          <w:b w:val="0"/>
          <w:bCs w:val="0"/>
          <w:sz w:val="22"/>
          <w:szCs w:val="22"/>
        </w:rPr>
        <w:tab/>
      </w:r>
      <w:r w:rsidRPr="0039291D">
        <w:rPr>
          <w:rFonts w:ascii="Times New Roman" w:hAnsi="Times New Roman" w:cs="Times New Roman"/>
          <w:b w:val="0"/>
          <w:bCs w:val="0"/>
          <w:color w:val="202124"/>
          <w:sz w:val="22"/>
          <w:szCs w:val="22"/>
          <w:lang w:val="en"/>
        </w:rPr>
        <w:t xml:space="preserve">The following items are given credit </w:t>
      </w:r>
      <w:r w:rsidRPr="0039291D">
        <w:rPr>
          <w:rFonts w:ascii="Times New Roman" w:hAnsi="Times New Roman" w:cs="Times New Roman"/>
          <w:b w:val="0"/>
          <w:bCs w:val="0"/>
          <w:sz w:val="22"/>
          <w:szCs w:val="22"/>
        </w:rPr>
        <w:t>conversion factor</w:t>
      </w:r>
      <w:r w:rsidRPr="0039291D">
        <w:rPr>
          <w:rFonts w:ascii="Times New Roman" w:hAnsi="Times New Roman" w:cs="Times New Roman"/>
          <w:b w:val="0"/>
          <w:bCs w:val="0"/>
          <w:color w:val="202124"/>
          <w:sz w:val="22"/>
          <w:szCs w:val="22"/>
          <w:lang w:val="en"/>
        </w:rPr>
        <w:t xml:space="preserve"> as shown in the table below and are calculated based on the contract's nominal value:</w:t>
      </w:r>
    </w:p>
    <w:tbl>
      <w:tblPr>
        <w:tblStyle w:val="TableGrid"/>
        <w:tblW w:w="8647" w:type="dxa"/>
        <w:tblInd w:w="562" w:type="dxa"/>
        <w:tblLook w:val="04A0" w:firstRow="1" w:lastRow="0" w:firstColumn="1" w:lastColumn="0" w:noHBand="0" w:noVBand="1"/>
      </w:tblPr>
      <w:tblGrid>
        <w:gridCol w:w="1979"/>
        <w:gridCol w:w="985"/>
        <w:gridCol w:w="1739"/>
        <w:gridCol w:w="1150"/>
        <w:gridCol w:w="1520"/>
        <w:gridCol w:w="1274"/>
      </w:tblGrid>
      <w:tr w:rsidR="00114FE2" w:rsidRPr="00DA4F3E" w:rsidTr="0039291D">
        <w:tc>
          <w:tcPr>
            <w:tcW w:w="2042" w:type="dxa"/>
            <w:shd w:val="clear" w:color="auto" w:fill="E7E6E6" w:themeFill="background2"/>
            <w:vAlign w:val="center"/>
          </w:tcPr>
          <w:p w:rsidR="004718C4" w:rsidRPr="00825791" w:rsidRDefault="004718C4" w:rsidP="00114FE2">
            <w:pPr>
              <w:bidi w:val="0"/>
              <w:spacing w:after="0" w:line="276" w:lineRule="auto"/>
              <w:jc w:val="center"/>
              <w:rPr>
                <w:rFonts w:ascii="Times New Roman" w:hAnsi="Times New Roman" w:cs="Times New Roman"/>
                <w:b w:val="0"/>
                <w:bCs w:val="0"/>
                <w:color w:val="202124"/>
                <w:sz w:val="20"/>
                <w:szCs w:val="20"/>
              </w:rPr>
            </w:pPr>
            <w:r w:rsidRPr="00825791">
              <w:rPr>
                <w:rFonts w:ascii="Times New Roman" w:hAnsi="Times New Roman" w:cs="Times New Roman"/>
                <w:b w:val="0"/>
                <w:bCs w:val="0"/>
                <w:color w:val="202124"/>
                <w:sz w:val="20"/>
                <w:szCs w:val="20"/>
              </w:rPr>
              <w:t>Maturity date</w:t>
            </w:r>
          </w:p>
        </w:tc>
        <w:tc>
          <w:tcPr>
            <w:tcW w:w="988" w:type="dxa"/>
            <w:shd w:val="clear" w:color="auto" w:fill="E7E6E6" w:themeFill="background2"/>
            <w:vAlign w:val="center"/>
          </w:tcPr>
          <w:p w:rsidR="004718C4" w:rsidRPr="00825791" w:rsidRDefault="004718C4" w:rsidP="00114FE2">
            <w:pPr>
              <w:bidi w:val="0"/>
              <w:spacing w:after="0" w:line="276" w:lineRule="auto"/>
              <w:jc w:val="center"/>
              <w:rPr>
                <w:rFonts w:ascii="Times New Roman" w:hAnsi="Times New Roman" w:cs="Times New Roman"/>
                <w:b w:val="0"/>
                <w:bCs w:val="0"/>
                <w:color w:val="202124"/>
                <w:sz w:val="20"/>
                <w:szCs w:val="20"/>
              </w:rPr>
            </w:pPr>
            <w:r w:rsidRPr="00825791">
              <w:rPr>
                <w:rFonts w:ascii="Times New Roman" w:hAnsi="Times New Roman" w:cs="Times New Roman"/>
                <w:b w:val="0"/>
                <w:bCs w:val="0"/>
                <w:sz w:val="20"/>
                <w:szCs w:val="20"/>
              </w:rPr>
              <w:t>Interest rate contracts</w:t>
            </w:r>
          </w:p>
        </w:tc>
        <w:tc>
          <w:tcPr>
            <w:tcW w:w="1790" w:type="dxa"/>
            <w:shd w:val="clear" w:color="auto" w:fill="E7E6E6" w:themeFill="background2"/>
            <w:vAlign w:val="center"/>
          </w:tcPr>
          <w:p w:rsidR="004718C4" w:rsidRPr="00825791" w:rsidRDefault="004718C4" w:rsidP="00114FE2">
            <w:pPr>
              <w:bidi w:val="0"/>
              <w:spacing w:after="0" w:line="276" w:lineRule="auto"/>
              <w:jc w:val="center"/>
              <w:rPr>
                <w:rFonts w:ascii="Times New Roman" w:hAnsi="Times New Roman" w:cs="Times New Roman"/>
                <w:b w:val="0"/>
                <w:bCs w:val="0"/>
                <w:color w:val="202124"/>
                <w:sz w:val="20"/>
                <w:szCs w:val="20"/>
              </w:rPr>
            </w:pPr>
            <w:r w:rsidRPr="00825791">
              <w:rPr>
                <w:rFonts w:ascii="Times New Roman" w:hAnsi="Times New Roman" w:cs="Times New Roman"/>
                <w:b w:val="0"/>
                <w:bCs w:val="0"/>
                <w:sz w:val="20"/>
                <w:szCs w:val="20"/>
              </w:rPr>
              <w:t>Foreign exchange rate and gold contracts</w:t>
            </w:r>
          </w:p>
        </w:tc>
        <w:tc>
          <w:tcPr>
            <w:tcW w:w="992" w:type="dxa"/>
            <w:shd w:val="clear" w:color="auto" w:fill="E7E6E6" w:themeFill="background2"/>
            <w:vAlign w:val="center"/>
          </w:tcPr>
          <w:p w:rsidR="004718C4" w:rsidRPr="00825791" w:rsidRDefault="004718C4" w:rsidP="00114FE2">
            <w:pPr>
              <w:bidi w:val="0"/>
              <w:spacing w:after="0" w:line="276" w:lineRule="auto"/>
              <w:jc w:val="center"/>
              <w:rPr>
                <w:rFonts w:ascii="Times New Roman" w:hAnsi="Times New Roman" w:cs="Times New Roman"/>
                <w:b w:val="0"/>
                <w:bCs w:val="0"/>
                <w:color w:val="202124"/>
                <w:sz w:val="20"/>
                <w:szCs w:val="20"/>
              </w:rPr>
            </w:pPr>
            <w:r w:rsidRPr="00825791">
              <w:rPr>
                <w:rFonts w:ascii="Times New Roman" w:hAnsi="Times New Roman" w:cs="Times New Roman"/>
                <w:b w:val="0"/>
                <w:bCs w:val="0"/>
                <w:sz w:val="20"/>
                <w:szCs w:val="20"/>
              </w:rPr>
              <w:t xml:space="preserve">Equity </w:t>
            </w:r>
            <w:r w:rsidR="00825791" w:rsidRPr="00825791">
              <w:rPr>
                <w:rFonts w:ascii="Times New Roman" w:hAnsi="Times New Roman" w:cs="Times New Roman"/>
                <w:b w:val="0"/>
                <w:bCs w:val="0"/>
                <w:sz w:val="20"/>
                <w:szCs w:val="20"/>
              </w:rPr>
              <w:t xml:space="preserve">instruments </w:t>
            </w:r>
            <w:r w:rsidRPr="00825791">
              <w:rPr>
                <w:rFonts w:ascii="Times New Roman" w:hAnsi="Times New Roman" w:cs="Times New Roman"/>
                <w:b w:val="0"/>
                <w:bCs w:val="0"/>
                <w:sz w:val="20"/>
                <w:szCs w:val="20"/>
              </w:rPr>
              <w:t>contracts</w:t>
            </w:r>
          </w:p>
        </w:tc>
        <w:tc>
          <w:tcPr>
            <w:tcW w:w="1559" w:type="dxa"/>
            <w:shd w:val="clear" w:color="auto" w:fill="E7E6E6" w:themeFill="background2"/>
            <w:vAlign w:val="center"/>
          </w:tcPr>
          <w:p w:rsidR="004718C4" w:rsidRPr="00825791" w:rsidRDefault="00FC5701" w:rsidP="00114FE2">
            <w:pPr>
              <w:bidi w:val="0"/>
              <w:spacing w:after="0" w:line="276" w:lineRule="auto"/>
              <w:jc w:val="center"/>
              <w:rPr>
                <w:rFonts w:ascii="Times New Roman" w:hAnsi="Times New Roman" w:cs="Times New Roman"/>
                <w:b w:val="0"/>
                <w:bCs w:val="0"/>
                <w:color w:val="202124"/>
                <w:sz w:val="20"/>
                <w:szCs w:val="20"/>
              </w:rPr>
            </w:pPr>
            <w:r w:rsidRPr="00825791">
              <w:rPr>
                <w:rFonts w:ascii="Times New Roman" w:hAnsi="Times New Roman" w:cs="Times New Roman"/>
                <w:b w:val="0"/>
                <w:bCs w:val="0"/>
                <w:sz w:val="20"/>
                <w:szCs w:val="20"/>
              </w:rPr>
              <w:t>Precious metals contracts</w:t>
            </w:r>
            <w:r w:rsidR="00B31CCF" w:rsidRPr="00825791">
              <w:rPr>
                <w:rFonts w:ascii="Times New Roman" w:hAnsi="Times New Roman" w:cs="Times New Roman"/>
                <w:b w:val="0"/>
                <w:bCs w:val="0"/>
                <w:sz w:val="20"/>
                <w:szCs w:val="20"/>
              </w:rPr>
              <w:t xml:space="preserve"> </w:t>
            </w:r>
            <w:r w:rsidR="00B31CCF" w:rsidRPr="00825791">
              <w:rPr>
                <w:rFonts w:ascii="Times New Roman" w:hAnsi="Times New Roman" w:cs="Times New Roman"/>
                <w:b w:val="0"/>
                <w:bCs w:val="0"/>
                <w:color w:val="202124"/>
                <w:sz w:val="20"/>
                <w:szCs w:val="20"/>
                <w:lang w:val="en"/>
              </w:rPr>
              <w:t>(except gold)</w:t>
            </w:r>
          </w:p>
        </w:tc>
        <w:tc>
          <w:tcPr>
            <w:tcW w:w="1276" w:type="dxa"/>
            <w:shd w:val="clear" w:color="auto" w:fill="E7E6E6" w:themeFill="background2"/>
            <w:vAlign w:val="center"/>
          </w:tcPr>
          <w:p w:rsidR="004718C4" w:rsidRPr="00825791" w:rsidRDefault="00B31CCF" w:rsidP="00114FE2">
            <w:pPr>
              <w:bidi w:val="0"/>
              <w:spacing w:after="0" w:line="276" w:lineRule="auto"/>
              <w:jc w:val="center"/>
              <w:rPr>
                <w:rFonts w:ascii="Times New Roman" w:hAnsi="Times New Roman" w:cs="Times New Roman"/>
                <w:b w:val="0"/>
                <w:bCs w:val="0"/>
                <w:color w:val="202124"/>
                <w:sz w:val="20"/>
                <w:szCs w:val="20"/>
              </w:rPr>
            </w:pPr>
            <w:r w:rsidRPr="00825791">
              <w:rPr>
                <w:rFonts w:ascii="Times New Roman" w:hAnsi="Times New Roman" w:cs="Times New Roman"/>
                <w:b w:val="0"/>
                <w:bCs w:val="0"/>
                <w:sz w:val="20"/>
                <w:szCs w:val="20"/>
              </w:rPr>
              <w:t>Contracts on other commodities</w:t>
            </w:r>
          </w:p>
        </w:tc>
      </w:tr>
      <w:tr w:rsidR="00B31CCF" w:rsidRPr="00DA4F3E" w:rsidTr="0039291D">
        <w:tc>
          <w:tcPr>
            <w:tcW w:w="2042" w:type="dxa"/>
          </w:tcPr>
          <w:p w:rsidR="004718C4" w:rsidRPr="00825791" w:rsidRDefault="00B31CCF" w:rsidP="00114FE2">
            <w:pPr>
              <w:bidi w:val="0"/>
              <w:spacing w:after="0" w:line="276" w:lineRule="auto"/>
              <w:rPr>
                <w:rFonts w:ascii="Times New Roman" w:hAnsi="Times New Roman" w:cs="Times New Roman"/>
                <w:b w:val="0"/>
                <w:bCs w:val="0"/>
                <w:color w:val="202124"/>
                <w:sz w:val="20"/>
                <w:szCs w:val="20"/>
              </w:rPr>
            </w:pPr>
            <w:r w:rsidRPr="00825791">
              <w:rPr>
                <w:rFonts w:ascii="Times New Roman" w:hAnsi="Times New Roman" w:cs="Times New Roman"/>
                <w:b w:val="0"/>
                <w:bCs w:val="0"/>
                <w:sz w:val="20"/>
                <w:szCs w:val="20"/>
              </w:rPr>
              <w:t>one year or less</w:t>
            </w:r>
          </w:p>
        </w:tc>
        <w:tc>
          <w:tcPr>
            <w:tcW w:w="988" w:type="dxa"/>
          </w:tcPr>
          <w:p w:rsidR="004718C4" w:rsidRPr="00825791" w:rsidRDefault="00B31CCF" w:rsidP="00114FE2">
            <w:pPr>
              <w:bidi w:val="0"/>
              <w:spacing w:after="0" w:line="276" w:lineRule="auto"/>
              <w:jc w:val="center"/>
              <w:rPr>
                <w:rFonts w:ascii="Times New Roman" w:hAnsi="Times New Roman" w:cs="Times New Roman"/>
                <w:b w:val="0"/>
                <w:bCs w:val="0"/>
                <w:color w:val="202124"/>
                <w:sz w:val="20"/>
                <w:szCs w:val="20"/>
              </w:rPr>
            </w:pPr>
            <w:r w:rsidRPr="00825791">
              <w:rPr>
                <w:rFonts w:ascii="Times New Roman" w:hAnsi="Times New Roman" w:cs="Times New Roman"/>
                <w:b w:val="0"/>
                <w:bCs w:val="0"/>
                <w:color w:val="202124"/>
                <w:sz w:val="20"/>
                <w:szCs w:val="20"/>
              </w:rPr>
              <w:t>0.5%</w:t>
            </w:r>
          </w:p>
        </w:tc>
        <w:tc>
          <w:tcPr>
            <w:tcW w:w="1790" w:type="dxa"/>
          </w:tcPr>
          <w:p w:rsidR="004718C4" w:rsidRPr="00825791" w:rsidRDefault="00B31CCF" w:rsidP="00114FE2">
            <w:pPr>
              <w:bidi w:val="0"/>
              <w:spacing w:after="0" w:line="276" w:lineRule="auto"/>
              <w:jc w:val="center"/>
              <w:rPr>
                <w:rFonts w:ascii="Times New Roman" w:hAnsi="Times New Roman" w:cs="Times New Roman"/>
                <w:b w:val="0"/>
                <w:bCs w:val="0"/>
                <w:color w:val="202124"/>
                <w:sz w:val="20"/>
                <w:szCs w:val="20"/>
              </w:rPr>
            </w:pPr>
            <w:r w:rsidRPr="00825791">
              <w:rPr>
                <w:rFonts w:ascii="Times New Roman" w:hAnsi="Times New Roman" w:cs="Times New Roman"/>
                <w:b w:val="0"/>
                <w:bCs w:val="0"/>
                <w:color w:val="202124"/>
                <w:sz w:val="20"/>
                <w:szCs w:val="20"/>
              </w:rPr>
              <w:t>1%</w:t>
            </w:r>
          </w:p>
        </w:tc>
        <w:tc>
          <w:tcPr>
            <w:tcW w:w="992" w:type="dxa"/>
          </w:tcPr>
          <w:p w:rsidR="004718C4" w:rsidRPr="00825791" w:rsidRDefault="00B31CCF" w:rsidP="00114FE2">
            <w:pPr>
              <w:bidi w:val="0"/>
              <w:spacing w:after="0" w:line="276" w:lineRule="auto"/>
              <w:jc w:val="center"/>
              <w:rPr>
                <w:rFonts w:ascii="Times New Roman" w:hAnsi="Times New Roman" w:cs="Times New Roman"/>
                <w:b w:val="0"/>
                <w:bCs w:val="0"/>
                <w:color w:val="202124"/>
                <w:sz w:val="20"/>
                <w:szCs w:val="20"/>
              </w:rPr>
            </w:pPr>
            <w:r w:rsidRPr="00825791">
              <w:rPr>
                <w:rFonts w:ascii="Times New Roman" w:hAnsi="Times New Roman" w:cs="Times New Roman"/>
                <w:b w:val="0"/>
                <w:bCs w:val="0"/>
                <w:color w:val="202124"/>
                <w:sz w:val="20"/>
                <w:szCs w:val="20"/>
              </w:rPr>
              <w:t>6%</w:t>
            </w:r>
          </w:p>
        </w:tc>
        <w:tc>
          <w:tcPr>
            <w:tcW w:w="1559" w:type="dxa"/>
          </w:tcPr>
          <w:p w:rsidR="004718C4" w:rsidRPr="00825791" w:rsidRDefault="00B31CCF" w:rsidP="00114FE2">
            <w:pPr>
              <w:bidi w:val="0"/>
              <w:spacing w:after="0" w:line="276" w:lineRule="auto"/>
              <w:jc w:val="center"/>
              <w:rPr>
                <w:rFonts w:ascii="Times New Roman" w:hAnsi="Times New Roman" w:cs="Times New Roman"/>
                <w:b w:val="0"/>
                <w:bCs w:val="0"/>
                <w:color w:val="202124"/>
                <w:sz w:val="20"/>
                <w:szCs w:val="20"/>
              </w:rPr>
            </w:pPr>
            <w:r w:rsidRPr="00825791">
              <w:rPr>
                <w:rFonts w:ascii="Times New Roman" w:hAnsi="Times New Roman" w:cs="Times New Roman"/>
                <w:b w:val="0"/>
                <w:bCs w:val="0"/>
                <w:color w:val="202124"/>
                <w:sz w:val="20"/>
                <w:szCs w:val="20"/>
              </w:rPr>
              <w:t>7%</w:t>
            </w:r>
          </w:p>
        </w:tc>
        <w:tc>
          <w:tcPr>
            <w:tcW w:w="1276" w:type="dxa"/>
          </w:tcPr>
          <w:p w:rsidR="004718C4" w:rsidRPr="00825791" w:rsidRDefault="00B31CCF" w:rsidP="00114FE2">
            <w:pPr>
              <w:bidi w:val="0"/>
              <w:spacing w:after="0" w:line="276" w:lineRule="auto"/>
              <w:jc w:val="center"/>
              <w:rPr>
                <w:rFonts w:ascii="Times New Roman" w:hAnsi="Times New Roman" w:cs="Times New Roman"/>
                <w:b w:val="0"/>
                <w:bCs w:val="0"/>
                <w:color w:val="202124"/>
                <w:sz w:val="20"/>
                <w:szCs w:val="20"/>
              </w:rPr>
            </w:pPr>
            <w:r w:rsidRPr="00825791">
              <w:rPr>
                <w:rFonts w:ascii="Times New Roman" w:hAnsi="Times New Roman" w:cs="Times New Roman"/>
                <w:b w:val="0"/>
                <w:bCs w:val="0"/>
                <w:color w:val="202124"/>
                <w:sz w:val="20"/>
                <w:szCs w:val="20"/>
              </w:rPr>
              <w:t>10%</w:t>
            </w:r>
          </w:p>
        </w:tc>
      </w:tr>
      <w:tr w:rsidR="00B31CCF" w:rsidRPr="00DA4F3E" w:rsidTr="0039291D">
        <w:tc>
          <w:tcPr>
            <w:tcW w:w="2042" w:type="dxa"/>
          </w:tcPr>
          <w:p w:rsidR="004718C4" w:rsidRPr="00825791" w:rsidRDefault="00B31CCF" w:rsidP="00114FE2">
            <w:pPr>
              <w:bidi w:val="0"/>
              <w:spacing w:after="0" w:line="276" w:lineRule="auto"/>
              <w:rPr>
                <w:rFonts w:ascii="Times New Roman" w:hAnsi="Times New Roman" w:cs="Times New Roman"/>
                <w:b w:val="0"/>
                <w:bCs w:val="0"/>
                <w:color w:val="202124"/>
                <w:sz w:val="20"/>
                <w:szCs w:val="20"/>
              </w:rPr>
            </w:pPr>
            <w:r w:rsidRPr="00825791">
              <w:rPr>
                <w:rFonts w:ascii="Times New Roman" w:hAnsi="Times New Roman" w:cs="Times New Roman"/>
                <w:b w:val="0"/>
                <w:bCs w:val="0"/>
                <w:sz w:val="20"/>
                <w:szCs w:val="20"/>
              </w:rPr>
              <w:t>exceeding one year and five years or less</w:t>
            </w:r>
          </w:p>
        </w:tc>
        <w:tc>
          <w:tcPr>
            <w:tcW w:w="988" w:type="dxa"/>
          </w:tcPr>
          <w:p w:rsidR="004718C4" w:rsidRPr="00825791" w:rsidRDefault="00B31CCF" w:rsidP="00114FE2">
            <w:pPr>
              <w:bidi w:val="0"/>
              <w:spacing w:after="0" w:line="276" w:lineRule="auto"/>
              <w:jc w:val="center"/>
              <w:rPr>
                <w:rFonts w:ascii="Times New Roman" w:hAnsi="Times New Roman" w:cs="Times New Roman"/>
                <w:b w:val="0"/>
                <w:bCs w:val="0"/>
                <w:color w:val="202124"/>
                <w:sz w:val="20"/>
                <w:szCs w:val="20"/>
              </w:rPr>
            </w:pPr>
            <w:r w:rsidRPr="00825791">
              <w:rPr>
                <w:rFonts w:ascii="Times New Roman" w:hAnsi="Times New Roman" w:cs="Times New Roman"/>
                <w:b w:val="0"/>
                <w:bCs w:val="0"/>
                <w:color w:val="202124"/>
                <w:sz w:val="20"/>
                <w:szCs w:val="20"/>
              </w:rPr>
              <w:t>1%</w:t>
            </w:r>
          </w:p>
        </w:tc>
        <w:tc>
          <w:tcPr>
            <w:tcW w:w="1790" w:type="dxa"/>
          </w:tcPr>
          <w:p w:rsidR="004718C4" w:rsidRPr="00825791" w:rsidRDefault="00B31CCF" w:rsidP="00114FE2">
            <w:pPr>
              <w:bidi w:val="0"/>
              <w:spacing w:after="0" w:line="276" w:lineRule="auto"/>
              <w:jc w:val="center"/>
              <w:rPr>
                <w:rFonts w:ascii="Times New Roman" w:hAnsi="Times New Roman" w:cs="Times New Roman"/>
                <w:b w:val="0"/>
                <w:bCs w:val="0"/>
                <w:color w:val="202124"/>
                <w:sz w:val="20"/>
                <w:szCs w:val="20"/>
              </w:rPr>
            </w:pPr>
            <w:r w:rsidRPr="00825791">
              <w:rPr>
                <w:rFonts w:ascii="Times New Roman" w:hAnsi="Times New Roman" w:cs="Times New Roman"/>
                <w:b w:val="0"/>
                <w:bCs w:val="0"/>
                <w:color w:val="202124"/>
                <w:sz w:val="20"/>
                <w:szCs w:val="20"/>
              </w:rPr>
              <w:t>5%</w:t>
            </w:r>
          </w:p>
        </w:tc>
        <w:tc>
          <w:tcPr>
            <w:tcW w:w="992" w:type="dxa"/>
          </w:tcPr>
          <w:p w:rsidR="004718C4" w:rsidRPr="00825791" w:rsidRDefault="00B31CCF" w:rsidP="00114FE2">
            <w:pPr>
              <w:bidi w:val="0"/>
              <w:spacing w:after="0" w:line="276" w:lineRule="auto"/>
              <w:jc w:val="center"/>
              <w:rPr>
                <w:rFonts w:ascii="Times New Roman" w:hAnsi="Times New Roman" w:cs="Times New Roman"/>
                <w:b w:val="0"/>
                <w:bCs w:val="0"/>
                <w:color w:val="202124"/>
                <w:sz w:val="20"/>
                <w:szCs w:val="20"/>
              </w:rPr>
            </w:pPr>
            <w:r w:rsidRPr="00825791">
              <w:rPr>
                <w:rFonts w:ascii="Times New Roman" w:hAnsi="Times New Roman" w:cs="Times New Roman"/>
                <w:b w:val="0"/>
                <w:bCs w:val="0"/>
                <w:color w:val="202124"/>
                <w:sz w:val="20"/>
                <w:szCs w:val="20"/>
              </w:rPr>
              <w:t>8%</w:t>
            </w:r>
          </w:p>
        </w:tc>
        <w:tc>
          <w:tcPr>
            <w:tcW w:w="1559" w:type="dxa"/>
          </w:tcPr>
          <w:p w:rsidR="004718C4" w:rsidRPr="00825791" w:rsidRDefault="00B31CCF" w:rsidP="00114FE2">
            <w:pPr>
              <w:bidi w:val="0"/>
              <w:spacing w:after="0" w:line="276" w:lineRule="auto"/>
              <w:jc w:val="center"/>
              <w:rPr>
                <w:rFonts w:ascii="Times New Roman" w:hAnsi="Times New Roman" w:cs="Times New Roman"/>
                <w:b w:val="0"/>
                <w:bCs w:val="0"/>
                <w:color w:val="202124"/>
                <w:sz w:val="20"/>
                <w:szCs w:val="20"/>
              </w:rPr>
            </w:pPr>
            <w:r w:rsidRPr="00825791">
              <w:rPr>
                <w:rFonts w:ascii="Times New Roman" w:hAnsi="Times New Roman" w:cs="Times New Roman"/>
                <w:b w:val="0"/>
                <w:bCs w:val="0"/>
                <w:color w:val="202124"/>
                <w:sz w:val="20"/>
                <w:szCs w:val="20"/>
              </w:rPr>
              <w:t>7%</w:t>
            </w:r>
          </w:p>
        </w:tc>
        <w:tc>
          <w:tcPr>
            <w:tcW w:w="1276" w:type="dxa"/>
          </w:tcPr>
          <w:p w:rsidR="004718C4" w:rsidRPr="00825791" w:rsidRDefault="00B31CCF" w:rsidP="00114FE2">
            <w:pPr>
              <w:bidi w:val="0"/>
              <w:spacing w:after="0" w:line="276" w:lineRule="auto"/>
              <w:jc w:val="center"/>
              <w:rPr>
                <w:rFonts w:ascii="Times New Roman" w:hAnsi="Times New Roman" w:cs="Times New Roman"/>
                <w:b w:val="0"/>
                <w:bCs w:val="0"/>
                <w:color w:val="202124"/>
                <w:sz w:val="20"/>
                <w:szCs w:val="20"/>
              </w:rPr>
            </w:pPr>
            <w:r w:rsidRPr="00825791">
              <w:rPr>
                <w:rFonts w:ascii="Times New Roman" w:hAnsi="Times New Roman" w:cs="Times New Roman"/>
                <w:b w:val="0"/>
                <w:bCs w:val="0"/>
                <w:color w:val="202124"/>
                <w:sz w:val="20"/>
                <w:szCs w:val="20"/>
              </w:rPr>
              <w:t>12%</w:t>
            </w:r>
          </w:p>
        </w:tc>
      </w:tr>
      <w:tr w:rsidR="00B31CCF" w:rsidRPr="00DA4F3E" w:rsidTr="0039291D">
        <w:tc>
          <w:tcPr>
            <w:tcW w:w="2042" w:type="dxa"/>
          </w:tcPr>
          <w:p w:rsidR="004718C4" w:rsidRPr="00825791" w:rsidRDefault="00B31CCF" w:rsidP="00114FE2">
            <w:pPr>
              <w:bidi w:val="0"/>
              <w:spacing w:after="0" w:line="276" w:lineRule="auto"/>
              <w:rPr>
                <w:rFonts w:ascii="Times New Roman" w:hAnsi="Times New Roman" w:cs="Times New Roman"/>
                <w:b w:val="0"/>
                <w:bCs w:val="0"/>
                <w:color w:val="202124"/>
                <w:sz w:val="20"/>
                <w:szCs w:val="20"/>
              </w:rPr>
            </w:pPr>
            <w:r w:rsidRPr="00825791">
              <w:rPr>
                <w:rFonts w:ascii="Times New Roman" w:hAnsi="Times New Roman" w:cs="Times New Roman"/>
                <w:b w:val="0"/>
                <w:bCs w:val="0"/>
                <w:sz w:val="20"/>
                <w:szCs w:val="20"/>
              </w:rPr>
              <w:t xml:space="preserve">exceeding five years </w:t>
            </w:r>
          </w:p>
        </w:tc>
        <w:tc>
          <w:tcPr>
            <w:tcW w:w="988" w:type="dxa"/>
          </w:tcPr>
          <w:p w:rsidR="004718C4" w:rsidRPr="00825791" w:rsidRDefault="00B31CCF" w:rsidP="00114FE2">
            <w:pPr>
              <w:bidi w:val="0"/>
              <w:spacing w:after="0" w:line="276" w:lineRule="auto"/>
              <w:jc w:val="center"/>
              <w:rPr>
                <w:rFonts w:ascii="Times New Roman" w:hAnsi="Times New Roman" w:cs="Times New Roman"/>
                <w:b w:val="0"/>
                <w:bCs w:val="0"/>
                <w:color w:val="202124"/>
                <w:sz w:val="20"/>
                <w:szCs w:val="20"/>
              </w:rPr>
            </w:pPr>
            <w:r w:rsidRPr="00825791">
              <w:rPr>
                <w:rFonts w:ascii="Times New Roman" w:hAnsi="Times New Roman" w:cs="Times New Roman"/>
                <w:b w:val="0"/>
                <w:bCs w:val="0"/>
                <w:color w:val="202124"/>
                <w:sz w:val="20"/>
                <w:szCs w:val="20"/>
              </w:rPr>
              <w:t>2%</w:t>
            </w:r>
          </w:p>
        </w:tc>
        <w:tc>
          <w:tcPr>
            <w:tcW w:w="1790" w:type="dxa"/>
          </w:tcPr>
          <w:p w:rsidR="004718C4" w:rsidRPr="00825791" w:rsidRDefault="00B31CCF" w:rsidP="00114FE2">
            <w:pPr>
              <w:bidi w:val="0"/>
              <w:spacing w:after="0" w:line="276" w:lineRule="auto"/>
              <w:jc w:val="center"/>
              <w:rPr>
                <w:rFonts w:ascii="Times New Roman" w:hAnsi="Times New Roman" w:cs="Times New Roman"/>
                <w:b w:val="0"/>
                <w:bCs w:val="0"/>
                <w:color w:val="202124"/>
                <w:sz w:val="20"/>
                <w:szCs w:val="20"/>
              </w:rPr>
            </w:pPr>
            <w:r w:rsidRPr="00825791">
              <w:rPr>
                <w:rFonts w:ascii="Times New Roman" w:hAnsi="Times New Roman" w:cs="Times New Roman"/>
                <w:b w:val="0"/>
                <w:bCs w:val="0"/>
                <w:color w:val="202124"/>
                <w:sz w:val="20"/>
                <w:szCs w:val="20"/>
              </w:rPr>
              <w:t>7.5%</w:t>
            </w:r>
          </w:p>
        </w:tc>
        <w:tc>
          <w:tcPr>
            <w:tcW w:w="992" w:type="dxa"/>
          </w:tcPr>
          <w:p w:rsidR="004718C4" w:rsidRPr="00825791" w:rsidRDefault="00B31CCF" w:rsidP="00114FE2">
            <w:pPr>
              <w:bidi w:val="0"/>
              <w:spacing w:after="0" w:line="276" w:lineRule="auto"/>
              <w:jc w:val="center"/>
              <w:rPr>
                <w:rFonts w:ascii="Times New Roman" w:hAnsi="Times New Roman" w:cs="Times New Roman"/>
                <w:b w:val="0"/>
                <w:bCs w:val="0"/>
                <w:color w:val="202124"/>
                <w:sz w:val="20"/>
                <w:szCs w:val="20"/>
              </w:rPr>
            </w:pPr>
            <w:r w:rsidRPr="00825791">
              <w:rPr>
                <w:rFonts w:ascii="Times New Roman" w:hAnsi="Times New Roman" w:cs="Times New Roman"/>
                <w:b w:val="0"/>
                <w:bCs w:val="0"/>
                <w:color w:val="202124"/>
                <w:sz w:val="20"/>
                <w:szCs w:val="20"/>
              </w:rPr>
              <w:t>10%</w:t>
            </w:r>
          </w:p>
        </w:tc>
        <w:tc>
          <w:tcPr>
            <w:tcW w:w="1559" w:type="dxa"/>
          </w:tcPr>
          <w:p w:rsidR="004718C4" w:rsidRPr="00825791" w:rsidRDefault="00B31CCF" w:rsidP="00114FE2">
            <w:pPr>
              <w:bidi w:val="0"/>
              <w:spacing w:after="0" w:line="276" w:lineRule="auto"/>
              <w:jc w:val="center"/>
              <w:rPr>
                <w:rFonts w:ascii="Times New Roman" w:hAnsi="Times New Roman" w:cs="Times New Roman"/>
                <w:b w:val="0"/>
                <w:bCs w:val="0"/>
                <w:color w:val="202124"/>
                <w:sz w:val="20"/>
                <w:szCs w:val="20"/>
              </w:rPr>
            </w:pPr>
            <w:r w:rsidRPr="00825791">
              <w:rPr>
                <w:rFonts w:ascii="Times New Roman" w:hAnsi="Times New Roman" w:cs="Times New Roman"/>
                <w:b w:val="0"/>
                <w:bCs w:val="0"/>
                <w:color w:val="202124"/>
                <w:sz w:val="20"/>
                <w:szCs w:val="20"/>
              </w:rPr>
              <w:t>8%</w:t>
            </w:r>
          </w:p>
        </w:tc>
        <w:tc>
          <w:tcPr>
            <w:tcW w:w="1276" w:type="dxa"/>
          </w:tcPr>
          <w:p w:rsidR="004718C4" w:rsidRPr="00825791" w:rsidRDefault="00B31CCF" w:rsidP="00114FE2">
            <w:pPr>
              <w:bidi w:val="0"/>
              <w:spacing w:after="0" w:line="276" w:lineRule="auto"/>
              <w:jc w:val="center"/>
              <w:rPr>
                <w:rFonts w:ascii="Times New Roman" w:hAnsi="Times New Roman" w:cs="Times New Roman"/>
                <w:b w:val="0"/>
                <w:bCs w:val="0"/>
                <w:color w:val="202124"/>
                <w:sz w:val="20"/>
                <w:szCs w:val="20"/>
              </w:rPr>
            </w:pPr>
            <w:r w:rsidRPr="00825791">
              <w:rPr>
                <w:rFonts w:ascii="Times New Roman" w:hAnsi="Times New Roman" w:cs="Times New Roman"/>
                <w:b w:val="0"/>
                <w:bCs w:val="0"/>
                <w:color w:val="202124"/>
                <w:sz w:val="20"/>
                <w:szCs w:val="20"/>
              </w:rPr>
              <w:t>15%</w:t>
            </w:r>
          </w:p>
        </w:tc>
      </w:tr>
    </w:tbl>
    <w:p w:rsidR="005A3CCC" w:rsidRDefault="005A3CCC" w:rsidP="00114FE2">
      <w:pPr>
        <w:bidi w:val="0"/>
        <w:spacing w:after="0" w:line="276" w:lineRule="auto"/>
        <w:ind w:left="2552" w:hanging="425"/>
        <w:rPr>
          <w:rFonts w:ascii="Times New Roman" w:hAnsi="Times New Roman" w:cs="Times New Roman"/>
          <w:b w:val="0"/>
          <w:bCs w:val="0"/>
          <w:color w:val="202124"/>
          <w:sz w:val="24"/>
          <w:szCs w:val="24"/>
          <w:lang w:val="en"/>
        </w:rPr>
      </w:pPr>
      <w:r w:rsidRPr="00DA4F3E">
        <w:rPr>
          <w:rFonts w:ascii="Times New Roman" w:hAnsi="Times New Roman" w:cs="Times New Roman"/>
          <w:b w:val="0"/>
          <w:bCs w:val="0"/>
          <w:color w:val="202124"/>
          <w:sz w:val="24"/>
          <w:szCs w:val="24"/>
          <w:lang w:val="en"/>
        </w:rPr>
        <w:t>-</w:t>
      </w:r>
      <w:r w:rsidRPr="00DA4F3E">
        <w:rPr>
          <w:rFonts w:ascii="Times New Roman" w:hAnsi="Times New Roman" w:cs="Times New Roman"/>
          <w:b w:val="0"/>
          <w:bCs w:val="0"/>
          <w:color w:val="202124"/>
          <w:sz w:val="24"/>
          <w:szCs w:val="24"/>
          <w:lang w:val="en"/>
        </w:rPr>
        <w:tab/>
        <w:t>This does not apply to operations where failure has been confirmed, as the appropriate capital requirements for these operations are taken</w:t>
      </w:r>
      <w:r w:rsidR="00DA4F3E">
        <w:rPr>
          <w:rFonts w:ascii="Times New Roman" w:hAnsi="Times New Roman" w:cs="Times New Roman"/>
          <w:b w:val="0"/>
          <w:bCs w:val="0"/>
          <w:color w:val="202124"/>
          <w:sz w:val="24"/>
          <w:szCs w:val="24"/>
          <w:lang w:val="en"/>
        </w:rPr>
        <w:t>.</w:t>
      </w:r>
    </w:p>
    <w:p w:rsidR="00DA4F3E" w:rsidRDefault="00DA4F3E" w:rsidP="00DA4F3E">
      <w:pPr>
        <w:bidi w:val="0"/>
        <w:spacing w:after="0" w:line="276" w:lineRule="auto"/>
        <w:ind w:left="2552" w:hanging="425"/>
        <w:rPr>
          <w:rFonts w:ascii="Times New Roman" w:hAnsi="Times New Roman" w:cs="Times New Roman"/>
          <w:b w:val="0"/>
          <w:bCs w:val="0"/>
          <w:color w:val="202124"/>
          <w:sz w:val="24"/>
          <w:szCs w:val="24"/>
          <w:lang w:bidi="ar-JO"/>
        </w:rPr>
      </w:pPr>
    </w:p>
    <w:p w:rsidR="00C77C3A" w:rsidRDefault="00C77C3A" w:rsidP="00C77C3A">
      <w:pPr>
        <w:bidi w:val="0"/>
        <w:spacing w:after="0" w:line="276" w:lineRule="auto"/>
        <w:ind w:left="2552" w:hanging="425"/>
        <w:rPr>
          <w:rFonts w:ascii="Times New Roman" w:hAnsi="Times New Roman" w:cs="Times New Roman"/>
          <w:b w:val="0"/>
          <w:bCs w:val="0"/>
          <w:color w:val="202124"/>
          <w:sz w:val="24"/>
          <w:szCs w:val="24"/>
          <w:lang w:bidi="ar-JO"/>
        </w:rPr>
      </w:pPr>
    </w:p>
    <w:p w:rsidR="00C77C3A" w:rsidRDefault="00C77C3A" w:rsidP="00C77C3A">
      <w:pPr>
        <w:bidi w:val="0"/>
        <w:spacing w:after="0" w:line="276" w:lineRule="auto"/>
        <w:ind w:left="2552" w:hanging="425"/>
        <w:rPr>
          <w:rFonts w:ascii="Times New Roman" w:hAnsi="Times New Roman" w:cs="Times New Roman"/>
          <w:b w:val="0"/>
          <w:bCs w:val="0"/>
          <w:color w:val="202124"/>
          <w:sz w:val="24"/>
          <w:szCs w:val="24"/>
          <w:lang w:bidi="ar-JO"/>
        </w:rPr>
      </w:pPr>
    </w:p>
    <w:p w:rsidR="00C77C3A" w:rsidRPr="00DA4F3E" w:rsidRDefault="00C77C3A" w:rsidP="00C77C3A">
      <w:pPr>
        <w:bidi w:val="0"/>
        <w:spacing w:after="0" w:line="276" w:lineRule="auto"/>
        <w:ind w:left="2552" w:hanging="425"/>
        <w:rPr>
          <w:rFonts w:ascii="Times New Roman" w:hAnsi="Times New Roman" w:cs="Times New Roman"/>
          <w:b w:val="0"/>
          <w:bCs w:val="0"/>
          <w:color w:val="202124"/>
          <w:sz w:val="24"/>
          <w:szCs w:val="24"/>
          <w:rtl/>
          <w:lang w:bidi="ar-JO"/>
        </w:rPr>
      </w:pPr>
    </w:p>
    <w:p w:rsidR="00D56836" w:rsidRPr="00B13AF5" w:rsidRDefault="00D56836" w:rsidP="00DA4F3E">
      <w:pPr>
        <w:pStyle w:val="Heading2"/>
        <w:bidi w:val="0"/>
      </w:pPr>
      <w:bookmarkStart w:id="32" w:name="_Toc65354405"/>
      <w:r w:rsidRPr="00B13AF5">
        <w:rPr>
          <w:lang w:bidi="ar-JO"/>
        </w:rPr>
        <w:lastRenderedPageBreak/>
        <w:t xml:space="preserve">Second: </w:t>
      </w:r>
      <w:r w:rsidRPr="00B13AF5">
        <w:t>Credit Risk Mitigations</w:t>
      </w:r>
      <w:r w:rsidR="00C77C3A">
        <w:t xml:space="preserve"> (CRM)</w:t>
      </w:r>
      <w:bookmarkEnd w:id="32"/>
    </w:p>
    <w:p w:rsidR="00D56836" w:rsidRPr="00DA4F3E" w:rsidRDefault="00D56836" w:rsidP="009A7488">
      <w:pPr>
        <w:pStyle w:val="ListParagraph"/>
        <w:numPr>
          <w:ilvl w:val="0"/>
          <w:numId w:val="15"/>
        </w:numPr>
        <w:bidi w:val="0"/>
        <w:spacing w:after="0" w:line="276" w:lineRule="auto"/>
        <w:ind w:left="709" w:hanging="567"/>
        <w:rPr>
          <w:rFonts w:ascii="Times New Roman" w:hAnsi="Times New Roman" w:cs="Times New Roman"/>
          <w:sz w:val="24"/>
          <w:szCs w:val="24"/>
          <w:lang w:bidi="ar-JO"/>
        </w:rPr>
      </w:pPr>
      <w:r w:rsidRPr="00DA4F3E">
        <w:rPr>
          <w:rFonts w:ascii="Times New Roman" w:hAnsi="Times New Roman" w:cs="Times New Roman"/>
          <w:sz w:val="24"/>
          <w:szCs w:val="24"/>
        </w:rPr>
        <w:t>General Remarks</w:t>
      </w:r>
    </w:p>
    <w:p w:rsidR="00D56836" w:rsidRPr="00DA4F3E" w:rsidRDefault="00D56836" w:rsidP="00825791">
      <w:pPr>
        <w:pStyle w:val="ListParagraph"/>
        <w:numPr>
          <w:ilvl w:val="1"/>
          <w:numId w:val="15"/>
        </w:numPr>
        <w:bidi w:val="0"/>
        <w:spacing w:after="0" w:line="276" w:lineRule="auto"/>
        <w:ind w:left="1276" w:hanging="567"/>
        <w:rPr>
          <w:rFonts w:ascii="Times New Roman" w:hAnsi="Times New Roman" w:cs="Times New Roman"/>
          <w:b w:val="0"/>
          <w:bCs w:val="0"/>
          <w:sz w:val="24"/>
          <w:szCs w:val="24"/>
        </w:rPr>
      </w:pPr>
      <w:r w:rsidRPr="00DA4F3E">
        <w:rPr>
          <w:rFonts w:ascii="Times New Roman" w:hAnsi="Times New Roman" w:cs="Times New Roman"/>
          <w:b w:val="0"/>
          <w:bCs w:val="0"/>
          <w:sz w:val="24"/>
          <w:szCs w:val="24"/>
        </w:rPr>
        <w:t xml:space="preserve">The framework set out in this instructions is applicable to the banking book exposures </w:t>
      </w:r>
      <w:r w:rsidR="00825791" w:rsidRPr="00825791">
        <w:rPr>
          <w:rFonts w:ascii="Times New Roman" w:hAnsi="Times New Roman" w:cs="Times New Roman"/>
          <w:b w:val="0"/>
          <w:bCs w:val="0"/>
          <w:sz w:val="24"/>
          <w:szCs w:val="24"/>
          <w:u w:val="single"/>
        </w:rPr>
        <w:t>within</w:t>
      </w:r>
      <w:r w:rsidRPr="00825791">
        <w:rPr>
          <w:rFonts w:ascii="Times New Roman" w:hAnsi="Times New Roman" w:cs="Times New Roman"/>
          <w:b w:val="0"/>
          <w:bCs w:val="0"/>
          <w:sz w:val="24"/>
          <w:szCs w:val="24"/>
          <w:u w:val="single"/>
        </w:rPr>
        <w:t xml:space="preserve"> the standardised approach</w:t>
      </w:r>
      <w:r w:rsidR="00825791" w:rsidRPr="00825791">
        <w:rPr>
          <w:rFonts w:ascii="Times New Roman" w:hAnsi="Times New Roman" w:cs="Times New Roman"/>
          <w:b w:val="0"/>
          <w:bCs w:val="0"/>
          <w:sz w:val="24"/>
          <w:szCs w:val="24"/>
          <w:u w:val="single"/>
        </w:rPr>
        <w:t xml:space="preserve"> only</w:t>
      </w:r>
      <w:r w:rsidRPr="00DA4F3E">
        <w:rPr>
          <w:rFonts w:ascii="Times New Roman" w:hAnsi="Times New Roman" w:cs="Times New Roman"/>
          <w:b w:val="0"/>
          <w:bCs w:val="0"/>
          <w:sz w:val="24"/>
          <w:szCs w:val="24"/>
        </w:rPr>
        <w:t>.</w:t>
      </w:r>
    </w:p>
    <w:p w:rsidR="00D56836" w:rsidRPr="00DA4F3E" w:rsidRDefault="00D56836" w:rsidP="00336AAD">
      <w:pPr>
        <w:pStyle w:val="ListParagraph"/>
        <w:numPr>
          <w:ilvl w:val="1"/>
          <w:numId w:val="15"/>
        </w:numPr>
        <w:bidi w:val="0"/>
        <w:spacing w:after="0" w:line="276" w:lineRule="auto"/>
        <w:ind w:left="1276" w:hanging="567"/>
        <w:rPr>
          <w:rFonts w:ascii="Times New Roman" w:hAnsi="Times New Roman" w:cs="Times New Roman"/>
          <w:b w:val="0"/>
          <w:bCs w:val="0"/>
          <w:sz w:val="24"/>
          <w:szCs w:val="24"/>
          <w:lang w:bidi="ar-JO"/>
        </w:rPr>
      </w:pPr>
      <w:r w:rsidRPr="00DA4F3E">
        <w:rPr>
          <w:rFonts w:ascii="Times New Roman" w:hAnsi="Times New Roman" w:cs="Times New Roman"/>
          <w:b w:val="0"/>
          <w:bCs w:val="0"/>
          <w:sz w:val="24"/>
          <w:szCs w:val="24"/>
        </w:rPr>
        <w:t xml:space="preserve">The comprehensive approach </w:t>
      </w:r>
      <w:r w:rsidR="00336AAD" w:rsidRPr="00336AAD">
        <w:rPr>
          <w:rFonts w:ascii="Times New Roman" w:hAnsi="Times New Roman" w:cs="Times New Roman"/>
          <w:b w:val="0"/>
          <w:bCs w:val="0"/>
          <w:sz w:val="24"/>
          <w:szCs w:val="24"/>
        </w:rPr>
        <w:t xml:space="preserve">within this framework applies to the following within the trading </w:t>
      </w:r>
      <w:r w:rsidR="00336AAD">
        <w:rPr>
          <w:rFonts w:ascii="Times New Roman" w:hAnsi="Times New Roman" w:cs="Times New Roman"/>
          <w:b w:val="0"/>
          <w:bCs w:val="0"/>
          <w:sz w:val="24"/>
          <w:szCs w:val="24"/>
        </w:rPr>
        <w:t>book</w:t>
      </w:r>
      <w:r w:rsidRPr="00DA4F3E">
        <w:rPr>
          <w:rFonts w:ascii="Times New Roman" w:hAnsi="Times New Roman" w:cs="Times New Roman"/>
          <w:b w:val="0"/>
          <w:bCs w:val="0"/>
          <w:sz w:val="24"/>
          <w:szCs w:val="24"/>
        </w:rPr>
        <w:t>:</w:t>
      </w:r>
    </w:p>
    <w:p w:rsidR="00D56836" w:rsidRPr="00DA4F3E" w:rsidRDefault="00D56836" w:rsidP="009A7488">
      <w:pPr>
        <w:pStyle w:val="ListParagraph"/>
        <w:numPr>
          <w:ilvl w:val="2"/>
          <w:numId w:val="15"/>
        </w:numPr>
        <w:bidi w:val="0"/>
        <w:spacing w:after="0" w:line="276" w:lineRule="auto"/>
        <w:ind w:left="2127" w:hanging="851"/>
        <w:rPr>
          <w:rFonts w:ascii="Times New Roman" w:hAnsi="Times New Roman" w:cs="Times New Roman"/>
          <w:b w:val="0"/>
          <w:bCs w:val="0"/>
          <w:sz w:val="24"/>
          <w:szCs w:val="24"/>
        </w:rPr>
      </w:pPr>
      <w:r w:rsidRPr="00DA4F3E">
        <w:rPr>
          <w:rFonts w:ascii="Times New Roman" w:hAnsi="Times New Roman" w:cs="Times New Roman"/>
          <w:b w:val="0"/>
          <w:bCs w:val="0"/>
          <w:sz w:val="24"/>
          <w:szCs w:val="24"/>
        </w:rPr>
        <w:t>The counterparty risk charges for OTC derivatives.</w:t>
      </w:r>
    </w:p>
    <w:p w:rsidR="00D56836" w:rsidRPr="00DA4F3E" w:rsidRDefault="00336AAD" w:rsidP="00336AAD">
      <w:pPr>
        <w:pStyle w:val="ListParagraph"/>
        <w:numPr>
          <w:ilvl w:val="2"/>
          <w:numId w:val="15"/>
        </w:numPr>
        <w:bidi w:val="0"/>
        <w:spacing w:after="0" w:line="276" w:lineRule="auto"/>
        <w:ind w:left="2127" w:hanging="851"/>
        <w:rPr>
          <w:rFonts w:ascii="Times New Roman" w:hAnsi="Times New Roman" w:cs="Times New Roman"/>
          <w:b w:val="0"/>
          <w:bCs w:val="0"/>
          <w:sz w:val="24"/>
          <w:szCs w:val="24"/>
          <w:lang w:bidi="ar-JO"/>
        </w:rPr>
      </w:pPr>
      <w:r w:rsidRPr="00DA4F3E">
        <w:rPr>
          <w:rFonts w:ascii="Times New Roman" w:hAnsi="Times New Roman" w:cs="Times New Roman"/>
          <w:b w:val="0"/>
          <w:bCs w:val="0"/>
          <w:sz w:val="24"/>
          <w:szCs w:val="24"/>
        </w:rPr>
        <w:t xml:space="preserve">The counterparty risk charges for </w:t>
      </w:r>
      <w:r>
        <w:rPr>
          <w:rFonts w:ascii="Times New Roman" w:hAnsi="Times New Roman" w:cs="Times New Roman"/>
          <w:b w:val="0"/>
          <w:bCs w:val="0"/>
          <w:sz w:val="24"/>
          <w:szCs w:val="24"/>
        </w:rPr>
        <w:t>r</w:t>
      </w:r>
      <w:r w:rsidR="00D56836" w:rsidRPr="00DA4F3E">
        <w:rPr>
          <w:rFonts w:ascii="Times New Roman" w:hAnsi="Times New Roman" w:cs="Times New Roman"/>
          <w:b w:val="0"/>
          <w:bCs w:val="0"/>
          <w:sz w:val="24"/>
          <w:szCs w:val="24"/>
        </w:rPr>
        <w:t>epo-style transactions.</w:t>
      </w:r>
    </w:p>
    <w:p w:rsidR="00D56836" w:rsidRPr="00DA4F3E" w:rsidRDefault="00D56836" w:rsidP="00336AAD">
      <w:pPr>
        <w:bidi w:val="0"/>
        <w:spacing w:after="0" w:line="276" w:lineRule="auto"/>
        <w:ind w:left="1276" w:hanging="567"/>
        <w:rPr>
          <w:rFonts w:ascii="Times New Roman" w:hAnsi="Times New Roman" w:cs="Times New Roman"/>
          <w:b w:val="0"/>
          <w:bCs w:val="0"/>
          <w:sz w:val="24"/>
          <w:szCs w:val="24"/>
        </w:rPr>
      </w:pPr>
      <w:r w:rsidRPr="00DA4F3E">
        <w:rPr>
          <w:rFonts w:ascii="Times New Roman" w:hAnsi="Times New Roman" w:cs="Times New Roman"/>
          <w:b w:val="0"/>
          <w:bCs w:val="0"/>
          <w:sz w:val="24"/>
          <w:szCs w:val="24"/>
          <w:lang w:bidi="ar-JO"/>
        </w:rPr>
        <w:t>1.3</w:t>
      </w:r>
      <w:r w:rsidRPr="00DA4F3E">
        <w:rPr>
          <w:rFonts w:ascii="Times New Roman" w:hAnsi="Times New Roman" w:cs="Times New Roman"/>
          <w:b w:val="0"/>
          <w:bCs w:val="0"/>
          <w:sz w:val="24"/>
          <w:szCs w:val="24"/>
          <w:lang w:bidi="ar-JO"/>
        </w:rPr>
        <w:tab/>
      </w:r>
      <w:r w:rsidRPr="00DA4F3E">
        <w:rPr>
          <w:rFonts w:ascii="Times New Roman" w:hAnsi="Times New Roman" w:cs="Times New Roman"/>
          <w:b w:val="0"/>
          <w:bCs w:val="0"/>
          <w:sz w:val="24"/>
          <w:szCs w:val="24"/>
        </w:rPr>
        <w:t xml:space="preserve">No transaction in which CRM techniques are used should receive a higher capital </w:t>
      </w:r>
      <w:r w:rsidR="00336AAD">
        <w:rPr>
          <w:rFonts w:ascii="Times New Roman" w:hAnsi="Times New Roman" w:cs="Times New Roman"/>
          <w:b w:val="0"/>
          <w:bCs w:val="0"/>
          <w:sz w:val="24"/>
          <w:szCs w:val="24"/>
        </w:rPr>
        <w:t>charge</w:t>
      </w:r>
      <w:r w:rsidRPr="00DA4F3E">
        <w:rPr>
          <w:rFonts w:ascii="Times New Roman" w:hAnsi="Times New Roman" w:cs="Times New Roman"/>
          <w:b w:val="0"/>
          <w:bCs w:val="0"/>
          <w:sz w:val="24"/>
          <w:szCs w:val="24"/>
        </w:rPr>
        <w:t xml:space="preserve"> than an otherwise identical transaction where such techniques are not used.</w:t>
      </w:r>
    </w:p>
    <w:p w:rsidR="00D56836" w:rsidRPr="00DA4F3E" w:rsidRDefault="00D56836" w:rsidP="009A7488">
      <w:pPr>
        <w:bidi w:val="0"/>
        <w:spacing w:after="0" w:line="276" w:lineRule="auto"/>
        <w:ind w:left="1276" w:hanging="567"/>
        <w:rPr>
          <w:rFonts w:ascii="Times New Roman" w:hAnsi="Times New Roman" w:cs="Times New Roman"/>
          <w:b w:val="0"/>
          <w:bCs w:val="0"/>
          <w:sz w:val="24"/>
          <w:szCs w:val="24"/>
        </w:rPr>
      </w:pPr>
      <w:r w:rsidRPr="00DA4F3E">
        <w:rPr>
          <w:rFonts w:ascii="Times New Roman" w:hAnsi="Times New Roman" w:cs="Times New Roman"/>
          <w:b w:val="0"/>
          <w:bCs w:val="0"/>
          <w:sz w:val="24"/>
          <w:szCs w:val="24"/>
          <w:lang w:bidi="ar-JO"/>
        </w:rPr>
        <w:t xml:space="preserve">1.4 </w:t>
      </w:r>
      <w:r w:rsidR="009A7488" w:rsidRPr="00DA4F3E">
        <w:rPr>
          <w:rFonts w:ascii="Times New Roman" w:hAnsi="Times New Roman" w:cs="Times New Roman"/>
          <w:b w:val="0"/>
          <w:bCs w:val="0"/>
          <w:sz w:val="24"/>
          <w:szCs w:val="24"/>
          <w:lang w:bidi="ar-JO"/>
        </w:rPr>
        <w:tab/>
      </w:r>
      <w:r w:rsidR="00526AF4" w:rsidRPr="00DA4F3E">
        <w:rPr>
          <w:rFonts w:ascii="Times New Roman" w:hAnsi="Times New Roman" w:cs="Times New Roman"/>
          <w:b w:val="0"/>
          <w:bCs w:val="0"/>
          <w:sz w:val="24"/>
          <w:szCs w:val="24"/>
        </w:rPr>
        <w:t>The effects of CRM will not be double counted. Therefore, no additional supervisory recognition of CRM for regulatory capital purposes will be granted on claims for which an issue-specific rating is used that already reflects that CRM. Principal-only ratings will also not be allowed within the framework of CRM.</w:t>
      </w:r>
    </w:p>
    <w:p w:rsidR="00526AF4" w:rsidRPr="00DA4F3E" w:rsidRDefault="00526AF4" w:rsidP="009A7488">
      <w:pPr>
        <w:bidi w:val="0"/>
        <w:spacing w:after="0" w:line="276" w:lineRule="auto"/>
        <w:ind w:left="1276" w:hanging="567"/>
        <w:rPr>
          <w:rFonts w:ascii="Times New Roman" w:hAnsi="Times New Roman" w:cs="Times New Roman"/>
          <w:b w:val="0"/>
          <w:bCs w:val="0"/>
          <w:sz w:val="24"/>
          <w:szCs w:val="24"/>
        </w:rPr>
      </w:pPr>
      <w:r w:rsidRPr="00DA4F3E">
        <w:rPr>
          <w:rFonts w:ascii="Times New Roman" w:hAnsi="Times New Roman" w:cs="Times New Roman"/>
          <w:b w:val="0"/>
          <w:bCs w:val="0"/>
          <w:sz w:val="24"/>
          <w:szCs w:val="24"/>
          <w:lang w:bidi="ar-JO"/>
        </w:rPr>
        <w:t>1.5</w:t>
      </w:r>
      <w:r w:rsidRPr="00DA4F3E">
        <w:rPr>
          <w:rFonts w:ascii="Times New Roman" w:hAnsi="Times New Roman" w:cs="Times New Roman"/>
          <w:b w:val="0"/>
          <w:bCs w:val="0"/>
          <w:sz w:val="24"/>
          <w:szCs w:val="24"/>
          <w:lang w:bidi="ar-JO"/>
        </w:rPr>
        <w:tab/>
        <w:t xml:space="preserve"> </w:t>
      </w:r>
      <w:r w:rsidRPr="00DA4F3E">
        <w:rPr>
          <w:rFonts w:ascii="Times New Roman" w:hAnsi="Times New Roman" w:cs="Times New Roman"/>
          <w:b w:val="0"/>
          <w:bCs w:val="0"/>
          <w:sz w:val="24"/>
          <w:szCs w:val="24"/>
        </w:rPr>
        <w:t>While the use of CRM techniques reduces or transfers credit risk, it simultaneously may increase other risks (residual risks). Residual risks include legal, operational, liquidity and market risks. Therefore, it is imperative that banks employ robust procedures and processes to control these risks, including strategy; consideration of the underlying credit; valuation; policies and procedures; systems; control of roll-off risks; and management of concentration risk arising from the bank’s use of CRM techniques and its interaction with the bank’s overall credit risk profile. The Pillar 3 requirements must also be observed for banks to obtain capital relief in respect of any CRM techniques.</w:t>
      </w:r>
    </w:p>
    <w:p w:rsidR="00430403" w:rsidRPr="00DA4F3E" w:rsidRDefault="00526AF4" w:rsidP="009A7488">
      <w:pPr>
        <w:bidi w:val="0"/>
        <w:spacing w:after="0" w:line="276" w:lineRule="auto"/>
        <w:ind w:left="1276" w:hanging="567"/>
        <w:rPr>
          <w:rFonts w:ascii="Times New Roman" w:hAnsi="Times New Roman" w:cs="Times New Roman"/>
          <w:b w:val="0"/>
          <w:bCs w:val="0"/>
          <w:sz w:val="24"/>
          <w:szCs w:val="24"/>
        </w:rPr>
      </w:pPr>
      <w:r w:rsidRPr="00DA4F3E">
        <w:rPr>
          <w:rFonts w:ascii="Times New Roman" w:hAnsi="Times New Roman" w:cs="Times New Roman"/>
          <w:b w:val="0"/>
          <w:bCs w:val="0"/>
          <w:sz w:val="24"/>
          <w:szCs w:val="24"/>
          <w:lang w:bidi="ar-JO"/>
        </w:rPr>
        <w:t xml:space="preserve">1.6 </w:t>
      </w:r>
      <w:r w:rsidR="009A7488" w:rsidRPr="00DA4F3E">
        <w:rPr>
          <w:rFonts w:ascii="Times New Roman" w:hAnsi="Times New Roman" w:cs="Times New Roman"/>
          <w:b w:val="0"/>
          <w:bCs w:val="0"/>
          <w:sz w:val="24"/>
          <w:szCs w:val="24"/>
          <w:lang w:bidi="ar-JO"/>
        </w:rPr>
        <w:tab/>
      </w:r>
      <w:r w:rsidRPr="00DA4F3E">
        <w:rPr>
          <w:rFonts w:ascii="Times New Roman" w:hAnsi="Times New Roman" w:cs="Times New Roman"/>
          <w:b w:val="0"/>
          <w:bCs w:val="0"/>
          <w:sz w:val="24"/>
          <w:szCs w:val="24"/>
        </w:rPr>
        <w:t>Where these risks are not adequately controlled, CBJ may impose</w:t>
      </w:r>
      <w:r w:rsidR="00430403" w:rsidRPr="00DA4F3E">
        <w:rPr>
          <w:rFonts w:ascii="Times New Roman" w:hAnsi="Times New Roman" w:cs="Times New Roman"/>
          <w:b w:val="0"/>
          <w:bCs w:val="0"/>
          <w:sz w:val="24"/>
          <w:szCs w:val="24"/>
        </w:rPr>
        <w:t xml:space="preserve"> the following:</w:t>
      </w:r>
    </w:p>
    <w:p w:rsidR="00430403" w:rsidRPr="00DA4F3E" w:rsidRDefault="009A7488" w:rsidP="009A7488">
      <w:pPr>
        <w:bidi w:val="0"/>
        <w:spacing w:after="0" w:line="276" w:lineRule="auto"/>
        <w:ind w:left="2127" w:hanging="851"/>
        <w:rPr>
          <w:rFonts w:ascii="Times New Roman" w:hAnsi="Times New Roman" w:cs="Times New Roman"/>
          <w:b w:val="0"/>
          <w:bCs w:val="0"/>
          <w:sz w:val="24"/>
          <w:szCs w:val="24"/>
        </w:rPr>
      </w:pPr>
      <w:r w:rsidRPr="00DA4F3E">
        <w:rPr>
          <w:rFonts w:ascii="Times New Roman" w:hAnsi="Times New Roman" w:cs="Times New Roman"/>
          <w:b w:val="0"/>
          <w:bCs w:val="0"/>
          <w:sz w:val="24"/>
          <w:szCs w:val="24"/>
          <w:lang w:bidi="ar-JO"/>
        </w:rPr>
        <w:t xml:space="preserve">1.6.1 </w:t>
      </w:r>
      <w:r w:rsidRPr="00DA4F3E">
        <w:rPr>
          <w:rFonts w:ascii="Times New Roman" w:hAnsi="Times New Roman" w:cs="Times New Roman"/>
          <w:b w:val="0"/>
          <w:bCs w:val="0"/>
          <w:sz w:val="24"/>
          <w:szCs w:val="24"/>
        </w:rPr>
        <w:tab/>
      </w:r>
      <w:r w:rsidR="00430403" w:rsidRPr="00DA4F3E">
        <w:rPr>
          <w:rFonts w:ascii="Times New Roman" w:hAnsi="Times New Roman" w:cs="Times New Roman"/>
          <w:b w:val="0"/>
          <w:bCs w:val="0"/>
          <w:sz w:val="24"/>
          <w:szCs w:val="24"/>
        </w:rPr>
        <w:t>Not recognition the impact of CRM.</w:t>
      </w:r>
    </w:p>
    <w:p w:rsidR="00430403" w:rsidRPr="00DA4F3E" w:rsidRDefault="00430403" w:rsidP="009A7488">
      <w:pPr>
        <w:bidi w:val="0"/>
        <w:spacing w:after="0" w:line="276" w:lineRule="auto"/>
        <w:ind w:left="2127" w:hanging="851"/>
        <w:rPr>
          <w:rFonts w:ascii="Times New Roman" w:hAnsi="Times New Roman" w:cs="Times New Roman"/>
          <w:b w:val="0"/>
          <w:bCs w:val="0"/>
          <w:sz w:val="24"/>
          <w:szCs w:val="24"/>
          <w:lang w:val="en"/>
        </w:rPr>
      </w:pPr>
      <w:r w:rsidRPr="00DA4F3E">
        <w:rPr>
          <w:rFonts w:ascii="Times New Roman" w:hAnsi="Times New Roman" w:cs="Times New Roman"/>
          <w:b w:val="0"/>
          <w:bCs w:val="0"/>
          <w:sz w:val="24"/>
          <w:szCs w:val="24"/>
          <w:lang w:bidi="ar-JO"/>
        </w:rPr>
        <w:t xml:space="preserve">1.6.2 </w:t>
      </w:r>
      <w:r w:rsidR="009A7488" w:rsidRPr="00DA4F3E">
        <w:rPr>
          <w:rFonts w:ascii="Times New Roman" w:hAnsi="Times New Roman" w:cs="Times New Roman"/>
          <w:b w:val="0"/>
          <w:bCs w:val="0"/>
          <w:sz w:val="24"/>
          <w:szCs w:val="24"/>
          <w:lang w:bidi="ar-JO"/>
        </w:rPr>
        <w:tab/>
      </w:r>
      <w:r w:rsidRPr="00DA4F3E">
        <w:rPr>
          <w:rFonts w:ascii="Times New Roman" w:hAnsi="Times New Roman" w:cs="Times New Roman"/>
          <w:b w:val="0"/>
          <w:bCs w:val="0"/>
          <w:sz w:val="24"/>
          <w:szCs w:val="24"/>
          <w:lang w:val="en"/>
        </w:rPr>
        <w:t>Increase the minimum regulatory capital requirements in accordance with the instructions related to pillar 2 issued pursuant to Circular No. (10/1533) dated 3/2/2010.</w:t>
      </w:r>
    </w:p>
    <w:p w:rsidR="00430403" w:rsidRPr="00DA4F3E" w:rsidRDefault="00207C54" w:rsidP="009A7488">
      <w:pPr>
        <w:bidi w:val="0"/>
        <w:spacing w:after="0" w:line="276" w:lineRule="auto"/>
        <w:ind w:left="709" w:hanging="567"/>
        <w:rPr>
          <w:rFonts w:ascii="Times New Roman" w:hAnsi="Times New Roman" w:cs="Times New Roman"/>
          <w:sz w:val="24"/>
          <w:szCs w:val="24"/>
        </w:rPr>
      </w:pPr>
      <w:r w:rsidRPr="00DA4F3E">
        <w:rPr>
          <w:rFonts w:ascii="Times New Roman" w:hAnsi="Times New Roman" w:cs="Times New Roman"/>
          <w:sz w:val="24"/>
          <w:szCs w:val="24"/>
          <w:lang w:bidi="ar-JO"/>
        </w:rPr>
        <w:t>2.</w:t>
      </w:r>
      <w:r w:rsidRPr="00DA4F3E">
        <w:rPr>
          <w:rFonts w:ascii="Times New Roman" w:hAnsi="Times New Roman" w:cs="Times New Roman"/>
          <w:sz w:val="24"/>
          <w:szCs w:val="24"/>
          <w:lang w:bidi="ar-JO"/>
        </w:rPr>
        <w:tab/>
      </w:r>
      <w:r w:rsidR="00430403" w:rsidRPr="00DA4F3E">
        <w:rPr>
          <w:rFonts w:ascii="Times New Roman" w:hAnsi="Times New Roman" w:cs="Times New Roman"/>
          <w:sz w:val="24"/>
          <w:szCs w:val="24"/>
        </w:rPr>
        <w:t>Legal certainty</w:t>
      </w:r>
    </w:p>
    <w:p w:rsidR="00430403" w:rsidRPr="00DA4F3E" w:rsidRDefault="00430403" w:rsidP="009A7488">
      <w:pPr>
        <w:bidi w:val="0"/>
        <w:spacing w:after="0" w:line="276" w:lineRule="auto"/>
        <w:ind w:left="1276" w:hanging="567"/>
        <w:rPr>
          <w:rFonts w:ascii="Times New Roman" w:hAnsi="Times New Roman" w:cs="Times New Roman"/>
          <w:b w:val="0"/>
          <w:bCs w:val="0"/>
          <w:sz w:val="24"/>
          <w:szCs w:val="24"/>
        </w:rPr>
      </w:pPr>
      <w:r w:rsidRPr="00DA4F3E">
        <w:rPr>
          <w:rFonts w:ascii="Times New Roman" w:hAnsi="Times New Roman" w:cs="Times New Roman"/>
          <w:b w:val="0"/>
          <w:bCs w:val="0"/>
          <w:sz w:val="24"/>
          <w:szCs w:val="24"/>
        </w:rPr>
        <w:t xml:space="preserve">2.1 </w:t>
      </w:r>
      <w:r w:rsidR="009A7488" w:rsidRPr="00DA4F3E">
        <w:rPr>
          <w:rFonts w:ascii="Times New Roman" w:hAnsi="Times New Roman" w:cs="Times New Roman"/>
          <w:b w:val="0"/>
          <w:bCs w:val="0"/>
          <w:sz w:val="24"/>
          <w:szCs w:val="24"/>
        </w:rPr>
        <w:tab/>
      </w:r>
      <w:r w:rsidRPr="00DA4F3E">
        <w:rPr>
          <w:rFonts w:ascii="Times New Roman" w:hAnsi="Times New Roman" w:cs="Times New Roman"/>
          <w:b w:val="0"/>
          <w:bCs w:val="0"/>
          <w:sz w:val="24"/>
          <w:szCs w:val="24"/>
        </w:rPr>
        <w:t>In order for banks to obtain capital relief for any use of CRM techniques, the following minimum standards for legal documentation must be met:</w:t>
      </w:r>
    </w:p>
    <w:p w:rsidR="00430403" w:rsidRPr="00DA4F3E" w:rsidRDefault="00430403" w:rsidP="009A7488">
      <w:pPr>
        <w:pStyle w:val="ListParagraph"/>
        <w:numPr>
          <w:ilvl w:val="2"/>
          <w:numId w:val="16"/>
        </w:numPr>
        <w:bidi w:val="0"/>
        <w:spacing w:after="0" w:line="276" w:lineRule="auto"/>
        <w:ind w:left="2127" w:hanging="851"/>
        <w:rPr>
          <w:rFonts w:ascii="Times New Roman" w:hAnsi="Times New Roman" w:cs="Times New Roman"/>
          <w:b w:val="0"/>
          <w:bCs w:val="0"/>
          <w:sz w:val="24"/>
          <w:szCs w:val="24"/>
        </w:rPr>
      </w:pPr>
      <w:r w:rsidRPr="00DA4F3E">
        <w:rPr>
          <w:rFonts w:ascii="Times New Roman" w:hAnsi="Times New Roman" w:cs="Times New Roman"/>
          <w:b w:val="0"/>
          <w:bCs w:val="0"/>
          <w:sz w:val="24"/>
          <w:szCs w:val="24"/>
        </w:rPr>
        <w:t>All documentation used in collateralised transactions and for documenting on</w:t>
      </w:r>
      <w:r w:rsidR="009A7488" w:rsidRPr="00DA4F3E">
        <w:rPr>
          <w:rFonts w:ascii="Times New Roman" w:hAnsi="Times New Roman" w:cs="Times New Roman"/>
          <w:b w:val="0"/>
          <w:bCs w:val="0"/>
          <w:sz w:val="24"/>
          <w:szCs w:val="24"/>
        </w:rPr>
        <w:t>-</w:t>
      </w:r>
      <w:r w:rsidRPr="00DA4F3E">
        <w:rPr>
          <w:rFonts w:ascii="Times New Roman" w:hAnsi="Times New Roman" w:cs="Times New Roman"/>
          <w:b w:val="0"/>
          <w:bCs w:val="0"/>
          <w:sz w:val="24"/>
          <w:szCs w:val="24"/>
        </w:rPr>
        <w:t>balance sheet netting, guarantees and credit derivatives must be binding on all parties and legally enforceable in all relevant jurisdictions.</w:t>
      </w:r>
    </w:p>
    <w:p w:rsidR="00430403" w:rsidRPr="00DA4F3E" w:rsidRDefault="00430403" w:rsidP="009A7488">
      <w:pPr>
        <w:pStyle w:val="ListParagraph"/>
        <w:numPr>
          <w:ilvl w:val="2"/>
          <w:numId w:val="16"/>
        </w:numPr>
        <w:bidi w:val="0"/>
        <w:spacing w:after="0" w:line="276" w:lineRule="auto"/>
        <w:ind w:left="2127" w:hanging="851"/>
        <w:rPr>
          <w:rFonts w:ascii="Times New Roman" w:hAnsi="Times New Roman" w:cs="Times New Roman"/>
          <w:b w:val="0"/>
          <w:bCs w:val="0"/>
          <w:sz w:val="24"/>
          <w:szCs w:val="24"/>
        </w:rPr>
      </w:pPr>
      <w:r w:rsidRPr="00DA4F3E">
        <w:rPr>
          <w:rFonts w:ascii="Times New Roman" w:hAnsi="Times New Roman" w:cs="Times New Roman"/>
          <w:b w:val="0"/>
          <w:bCs w:val="0"/>
          <w:sz w:val="24"/>
          <w:szCs w:val="24"/>
        </w:rPr>
        <w:t xml:space="preserve">Banks must have conducted sufficient legal review to verify this and have a </w:t>
      </w:r>
      <w:r w:rsidR="009A7488" w:rsidRPr="00DA4F3E">
        <w:rPr>
          <w:rFonts w:ascii="Times New Roman" w:hAnsi="Times New Roman" w:cs="Times New Roman"/>
          <w:b w:val="0"/>
          <w:bCs w:val="0"/>
          <w:sz w:val="24"/>
          <w:szCs w:val="24"/>
        </w:rPr>
        <w:t>well-founded</w:t>
      </w:r>
      <w:r w:rsidRPr="00DA4F3E">
        <w:rPr>
          <w:rFonts w:ascii="Times New Roman" w:hAnsi="Times New Roman" w:cs="Times New Roman"/>
          <w:b w:val="0"/>
          <w:bCs w:val="0"/>
          <w:sz w:val="24"/>
          <w:szCs w:val="24"/>
        </w:rPr>
        <w:t xml:space="preserve"> legal basis to reach this conclusion, and undertake such further review as necessary to ensure continuing enforceability.</w:t>
      </w:r>
    </w:p>
    <w:p w:rsidR="00430403" w:rsidRPr="00DA4F3E" w:rsidRDefault="00430403" w:rsidP="009A7488">
      <w:pPr>
        <w:pStyle w:val="ListParagraph"/>
        <w:numPr>
          <w:ilvl w:val="1"/>
          <w:numId w:val="16"/>
        </w:numPr>
        <w:bidi w:val="0"/>
        <w:spacing w:after="0" w:line="276" w:lineRule="auto"/>
        <w:ind w:left="1276" w:hanging="567"/>
        <w:rPr>
          <w:rFonts w:ascii="Times New Roman" w:hAnsi="Times New Roman" w:cs="Times New Roman"/>
          <w:b w:val="0"/>
          <w:bCs w:val="0"/>
          <w:sz w:val="24"/>
          <w:szCs w:val="24"/>
        </w:rPr>
      </w:pPr>
      <w:r w:rsidRPr="00DA4F3E">
        <w:rPr>
          <w:rFonts w:ascii="Times New Roman" w:hAnsi="Times New Roman" w:cs="Times New Roman"/>
          <w:b w:val="0"/>
          <w:bCs w:val="0"/>
          <w:sz w:val="24"/>
          <w:szCs w:val="24"/>
        </w:rPr>
        <w:t>Overall Framework and Minimum Conditions</w:t>
      </w:r>
      <w:r w:rsidR="00C77C3A">
        <w:rPr>
          <w:rFonts w:ascii="Times New Roman" w:hAnsi="Times New Roman" w:cs="Times New Roman"/>
          <w:b w:val="0"/>
          <w:bCs w:val="0"/>
          <w:sz w:val="24"/>
          <w:szCs w:val="24"/>
        </w:rPr>
        <w:t>:</w:t>
      </w:r>
    </w:p>
    <w:p w:rsidR="00AE1964" w:rsidRPr="00DA4F3E" w:rsidRDefault="00AE1964" w:rsidP="009A7488">
      <w:pPr>
        <w:pStyle w:val="ListParagraph"/>
        <w:numPr>
          <w:ilvl w:val="2"/>
          <w:numId w:val="16"/>
        </w:numPr>
        <w:bidi w:val="0"/>
        <w:spacing w:after="0" w:line="276" w:lineRule="auto"/>
        <w:ind w:left="2127" w:hanging="851"/>
        <w:rPr>
          <w:rFonts w:ascii="Times New Roman" w:hAnsi="Times New Roman" w:cs="Times New Roman"/>
          <w:b w:val="0"/>
          <w:bCs w:val="0"/>
          <w:sz w:val="24"/>
          <w:szCs w:val="24"/>
          <w:lang w:val="en"/>
        </w:rPr>
      </w:pPr>
      <w:r w:rsidRPr="00DA4F3E">
        <w:rPr>
          <w:rFonts w:ascii="Times New Roman" w:hAnsi="Times New Roman" w:cs="Times New Roman"/>
          <w:b w:val="0"/>
          <w:bCs w:val="0"/>
          <w:sz w:val="24"/>
          <w:szCs w:val="24"/>
        </w:rPr>
        <w:t>Banks may opt for either the simple approach or for the comprehensive approach</w:t>
      </w:r>
      <w:r w:rsidR="00661287" w:rsidRPr="00DA4F3E">
        <w:rPr>
          <w:rFonts w:ascii="Times New Roman" w:hAnsi="Times New Roman" w:cs="Times New Roman"/>
          <w:b w:val="0"/>
          <w:bCs w:val="0"/>
          <w:sz w:val="24"/>
          <w:szCs w:val="24"/>
        </w:rPr>
        <w:t xml:space="preserve">, </w:t>
      </w:r>
      <w:r w:rsidR="00661287" w:rsidRPr="00DA4F3E">
        <w:rPr>
          <w:rFonts w:ascii="Times New Roman" w:hAnsi="Times New Roman" w:cs="Times New Roman"/>
          <w:b w:val="0"/>
          <w:bCs w:val="0"/>
          <w:sz w:val="24"/>
          <w:szCs w:val="24"/>
          <w:lang w:val="en"/>
        </w:rPr>
        <w:t>according to the following:</w:t>
      </w:r>
    </w:p>
    <w:p w:rsidR="00661287" w:rsidRPr="00DA4F3E" w:rsidRDefault="00661287" w:rsidP="009A7488">
      <w:pPr>
        <w:pStyle w:val="ListParagraph"/>
        <w:numPr>
          <w:ilvl w:val="0"/>
          <w:numId w:val="3"/>
        </w:numPr>
        <w:bidi w:val="0"/>
        <w:spacing w:after="0" w:line="276" w:lineRule="auto"/>
        <w:ind w:left="2552" w:hanging="425"/>
        <w:rPr>
          <w:rFonts w:ascii="Times New Roman" w:hAnsi="Times New Roman" w:cs="Times New Roman"/>
          <w:b w:val="0"/>
          <w:bCs w:val="0"/>
          <w:sz w:val="24"/>
          <w:szCs w:val="24"/>
          <w:lang w:val="en"/>
        </w:rPr>
      </w:pPr>
      <w:r w:rsidRPr="00DA4F3E">
        <w:rPr>
          <w:rFonts w:ascii="Times New Roman" w:hAnsi="Times New Roman" w:cs="Times New Roman"/>
          <w:b w:val="0"/>
          <w:bCs w:val="0"/>
          <w:sz w:val="24"/>
          <w:szCs w:val="24"/>
        </w:rPr>
        <w:lastRenderedPageBreak/>
        <w:t>Banks may operate under either, but not both, approaches in the banking book.</w:t>
      </w:r>
    </w:p>
    <w:p w:rsidR="00661287" w:rsidRPr="00DA4F3E" w:rsidRDefault="00661287" w:rsidP="009A7488">
      <w:pPr>
        <w:pStyle w:val="ListParagraph"/>
        <w:numPr>
          <w:ilvl w:val="0"/>
          <w:numId w:val="3"/>
        </w:numPr>
        <w:bidi w:val="0"/>
        <w:spacing w:after="0" w:line="276" w:lineRule="auto"/>
        <w:ind w:left="2552" w:hanging="425"/>
        <w:rPr>
          <w:rFonts w:ascii="Times New Roman" w:hAnsi="Times New Roman" w:cs="Times New Roman"/>
          <w:b w:val="0"/>
          <w:bCs w:val="0"/>
          <w:sz w:val="24"/>
          <w:szCs w:val="24"/>
          <w:lang w:val="en"/>
        </w:rPr>
      </w:pPr>
      <w:r w:rsidRPr="00DA4F3E">
        <w:rPr>
          <w:rFonts w:ascii="Times New Roman" w:hAnsi="Times New Roman" w:cs="Times New Roman"/>
          <w:b w:val="0"/>
          <w:bCs w:val="0"/>
          <w:sz w:val="24"/>
          <w:szCs w:val="24"/>
        </w:rPr>
        <w:t>Operate only under the comprehensive approach in the trading book.</w:t>
      </w:r>
    </w:p>
    <w:p w:rsidR="00661287" w:rsidRPr="00DA4F3E" w:rsidRDefault="00661287" w:rsidP="009A7488">
      <w:pPr>
        <w:pStyle w:val="ListParagraph"/>
        <w:numPr>
          <w:ilvl w:val="0"/>
          <w:numId w:val="3"/>
        </w:numPr>
        <w:bidi w:val="0"/>
        <w:spacing w:after="0" w:line="276" w:lineRule="auto"/>
        <w:ind w:left="2552" w:hanging="425"/>
        <w:rPr>
          <w:rFonts w:ascii="Times New Roman" w:hAnsi="Times New Roman" w:cs="Times New Roman"/>
          <w:b w:val="0"/>
          <w:bCs w:val="0"/>
          <w:sz w:val="24"/>
          <w:szCs w:val="24"/>
          <w:lang w:val="en"/>
        </w:rPr>
      </w:pPr>
      <w:r w:rsidRPr="00DA4F3E">
        <w:rPr>
          <w:rFonts w:ascii="Times New Roman" w:hAnsi="Times New Roman" w:cs="Times New Roman"/>
          <w:b w:val="0"/>
          <w:bCs w:val="0"/>
          <w:sz w:val="24"/>
          <w:szCs w:val="24"/>
        </w:rPr>
        <w:t>Partial collateralisation is recognised in both approaches.</w:t>
      </w:r>
    </w:p>
    <w:p w:rsidR="00661287" w:rsidRPr="00DA4F3E" w:rsidRDefault="00661287" w:rsidP="009A7488">
      <w:pPr>
        <w:pStyle w:val="ListParagraph"/>
        <w:numPr>
          <w:ilvl w:val="0"/>
          <w:numId w:val="3"/>
        </w:numPr>
        <w:bidi w:val="0"/>
        <w:spacing w:after="0" w:line="276" w:lineRule="auto"/>
        <w:ind w:left="2552" w:hanging="425"/>
        <w:rPr>
          <w:rFonts w:ascii="Times New Roman" w:hAnsi="Times New Roman" w:cs="Times New Roman"/>
          <w:b w:val="0"/>
          <w:bCs w:val="0"/>
          <w:sz w:val="24"/>
          <w:szCs w:val="24"/>
          <w:lang w:val="en"/>
        </w:rPr>
      </w:pPr>
      <w:r w:rsidRPr="00DA4F3E">
        <w:rPr>
          <w:rFonts w:ascii="Times New Roman" w:hAnsi="Times New Roman" w:cs="Times New Roman"/>
          <w:b w:val="0"/>
          <w:bCs w:val="0"/>
          <w:sz w:val="24"/>
          <w:szCs w:val="24"/>
        </w:rPr>
        <w:t>Mismatches in the maturity of the underlying exposure and the collateral will only be allowed under the comprehensive approach.</w:t>
      </w:r>
    </w:p>
    <w:p w:rsidR="00336AAD" w:rsidRDefault="00661287" w:rsidP="009A7488">
      <w:pPr>
        <w:pStyle w:val="ListParagraph"/>
        <w:numPr>
          <w:ilvl w:val="2"/>
          <w:numId w:val="16"/>
        </w:numPr>
        <w:bidi w:val="0"/>
        <w:spacing w:after="0" w:line="276" w:lineRule="auto"/>
        <w:ind w:left="2127" w:hanging="851"/>
        <w:rPr>
          <w:rFonts w:ascii="Times New Roman" w:hAnsi="Times New Roman" w:cs="Times New Roman"/>
          <w:b w:val="0"/>
          <w:bCs w:val="0"/>
          <w:sz w:val="24"/>
          <w:szCs w:val="24"/>
        </w:rPr>
      </w:pPr>
      <w:r w:rsidRPr="00DA4F3E">
        <w:rPr>
          <w:rFonts w:ascii="Times New Roman" w:hAnsi="Times New Roman" w:cs="Times New Roman"/>
          <w:b w:val="0"/>
          <w:bCs w:val="0"/>
          <w:sz w:val="24"/>
          <w:szCs w:val="24"/>
        </w:rPr>
        <w:t xml:space="preserve">In addition to the above general requirements for legal certainty, the legal mechanism by which collateral is pledged or transferred must ensure that the bank has the right to liquidate or take legal possession of it, in a timely manner, in the event of the default, insolvency or bankruptcy (or one or more otherwise-defined credit events set out in the transaction documentation) of the counterparty (and, where applicable, of the custodian holding the collateral). </w:t>
      </w:r>
    </w:p>
    <w:p w:rsidR="00661287" w:rsidRPr="00DA4F3E" w:rsidRDefault="009A7488" w:rsidP="00336AAD">
      <w:pPr>
        <w:pStyle w:val="ListParagraph"/>
        <w:bidi w:val="0"/>
        <w:spacing w:after="0" w:line="276" w:lineRule="auto"/>
        <w:ind w:left="2127"/>
        <w:rPr>
          <w:rFonts w:ascii="Times New Roman" w:hAnsi="Times New Roman" w:cs="Times New Roman"/>
          <w:b w:val="0"/>
          <w:bCs w:val="0"/>
          <w:sz w:val="24"/>
          <w:szCs w:val="24"/>
        </w:rPr>
      </w:pPr>
      <w:r w:rsidRPr="00DA4F3E">
        <w:rPr>
          <w:rFonts w:ascii="Times New Roman" w:hAnsi="Times New Roman" w:cs="Times New Roman"/>
          <w:b w:val="0"/>
          <w:bCs w:val="0"/>
          <w:sz w:val="24"/>
          <w:szCs w:val="24"/>
        </w:rPr>
        <w:t>Furthermore,</w:t>
      </w:r>
      <w:r w:rsidR="00661287" w:rsidRPr="00DA4F3E">
        <w:rPr>
          <w:rFonts w:ascii="Times New Roman" w:hAnsi="Times New Roman" w:cs="Times New Roman"/>
          <w:b w:val="0"/>
          <w:bCs w:val="0"/>
          <w:sz w:val="24"/>
          <w:szCs w:val="24"/>
        </w:rPr>
        <w:t xml:space="preserve"> banks must take all steps necessary to fulfil those requirements under the law applicable to the bank’s interest in the collateral for obtaining and maintaining an enforceable security interest, e.g. by registering it with a registrar, or for exercising a right to net or set off in relation to title transfer collateral.</w:t>
      </w:r>
    </w:p>
    <w:p w:rsidR="00661287" w:rsidRPr="00DA4F3E" w:rsidRDefault="00906175" w:rsidP="009A7488">
      <w:pPr>
        <w:pStyle w:val="ListParagraph"/>
        <w:numPr>
          <w:ilvl w:val="2"/>
          <w:numId w:val="16"/>
        </w:numPr>
        <w:bidi w:val="0"/>
        <w:spacing w:after="0" w:line="276" w:lineRule="auto"/>
        <w:ind w:left="2127" w:hanging="851"/>
        <w:rPr>
          <w:rFonts w:ascii="Times New Roman" w:hAnsi="Times New Roman" w:cs="Times New Roman"/>
          <w:b w:val="0"/>
          <w:bCs w:val="0"/>
          <w:sz w:val="24"/>
          <w:szCs w:val="24"/>
        </w:rPr>
      </w:pPr>
      <w:r>
        <w:rPr>
          <w:rFonts w:ascii="Times New Roman" w:hAnsi="Times New Roman" w:cs="Times New Roman"/>
          <w:b w:val="0"/>
          <w:bCs w:val="0"/>
          <w:sz w:val="24"/>
          <w:szCs w:val="24"/>
        </w:rPr>
        <w:t>T</w:t>
      </w:r>
      <w:r w:rsidR="0046241D" w:rsidRPr="00DA4F3E">
        <w:rPr>
          <w:rFonts w:ascii="Times New Roman" w:hAnsi="Times New Roman" w:cs="Times New Roman"/>
          <w:b w:val="0"/>
          <w:bCs w:val="0"/>
          <w:sz w:val="24"/>
          <w:szCs w:val="24"/>
        </w:rPr>
        <w:t>he credit quality of the counterparty and the value of the collateral must not have a material positive correlation. For example, securities issued by the counterparty or by any related group entity.</w:t>
      </w:r>
    </w:p>
    <w:p w:rsidR="0046241D" w:rsidRPr="00DA4F3E" w:rsidRDefault="0046241D" w:rsidP="009A7488">
      <w:pPr>
        <w:pStyle w:val="ListParagraph"/>
        <w:numPr>
          <w:ilvl w:val="2"/>
          <w:numId w:val="16"/>
        </w:numPr>
        <w:bidi w:val="0"/>
        <w:spacing w:after="0" w:line="276" w:lineRule="auto"/>
        <w:ind w:left="2127" w:hanging="851"/>
        <w:rPr>
          <w:rFonts w:ascii="Times New Roman" w:hAnsi="Times New Roman" w:cs="Times New Roman"/>
          <w:b w:val="0"/>
          <w:bCs w:val="0"/>
          <w:sz w:val="24"/>
          <w:szCs w:val="24"/>
        </w:rPr>
      </w:pPr>
      <w:r w:rsidRPr="00DA4F3E">
        <w:rPr>
          <w:rFonts w:ascii="Times New Roman" w:hAnsi="Times New Roman" w:cs="Times New Roman"/>
          <w:b w:val="0"/>
          <w:bCs w:val="0"/>
          <w:sz w:val="24"/>
          <w:szCs w:val="24"/>
        </w:rPr>
        <w:t>Banks must have clear and robust procedures for the timely liquidation of collateral to ensure that any legal conditions required for declaring the default of the counterparty and liquidating the collateral are observed, and that collateral can be liquidated promptly.</w:t>
      </w:r>
    </w:p>
    <w:p w:rsidR="0046241D" w:rsidRPr="00DA4F3E" w:rsidRDefault="0046241D" w:rsidP="009A7488">
      <w:pPr>
        <w:pStyle w:val="ListParagraph"/>
        <w:numPr>
          <w:ilvl w:val="2"/>
          <w:numId w:val="16"/>
        </w:numPr>
        <w:bidi w:val="0"/>
        <w:spacing w:after="0" w:line="276" w:lineRule="auto"/>
        <w:ind w:left="2127" w:hanging="851"/>
        <w:rPr>
          <w:rFonts w:ascii="Times New Roman" w:hAnsi="Times New Roman" w:cs="Times New Roman"/>
          <w:b w:val="0"/>
          <w:bCs w:val="0"/>
          <w:sz w:val="24"/>
          <w:szCs w:val="24"/>
        </w:rPr>
      </w:pPr>
      <w:r w:rsidRPr="00DA4F3E">
        <w:rPr>
          <w:rFonts w:ascii="Times New Roman" w:hAnsi="Times New Roman" w:cs="Times New Roman"/>
          <w:b w:val="0"/>
          <w:bCs w:val="0"/>
          <w:sz w:val="24"/>
          <w:szCs w:val="24"/>
        </w:rPr>
        <w:t>Where the collateral is held by a custodian, banks must take reasonable steps to ensure that the custodian segregates the collateral from its own assets.</w:t>
      </w:r>
    </w:p>
    <w:p w:rsidR="0046241D" w:rsidRPr="00DA4F3E" w:rsidRDefault="0046241D" w:rsidP="009A7488">
      <w:pPr>
        <w:pStyle w:val="ListParagraph"/>
        <w:numPr>
          <w:ilvl w:val="2"/>
          <w:numId w:val="16"/>
        </w:numPr>
        <w:bidi w:val="0"/>
        <w:spacing w:after="0" w:line="276" w:lineRule="auto"/>
        <w:ind w:left="2127" w:hanging="851"/>
        <w:rPr>
          <w:rFonts w:ascii="Times New Roman" w:hAnsi="Times New Roman" w:cs="Times New Roman"/>
          <w:b w:val="0"/>
          <w:bCs w:val="0"/>
          <w:sz w:val="24"/>
          <w:szCs w:val="24"/>
        </w:rPr>
      </w:pPr>
      <w:r w:rsidRPr="00DA4F3E">
        <w:rPr>
          <w:rFonts w:ascii="Times New Roman" w:hAnsi="Times New Roman" w:cs="Times New Roman"/>
          <w:b w:val="0"/>
          <w:bCs w:val="0"/>
          <w:sz w:val="24"/>
          <w:szCs w:val="24"/>
        </w:rPr>
        <w:t>A capital requirement will be applied to a bank on either side of the collateralised transaction: for example, both repos and reverse repos, both sides of a securities lending and borrowing transaction</w:t>
      </w:r>
      <w:r w:rsidRPr="00DA4F3E">
        <w:rPr>
          <w:rFonts w:ascii="Times New Roman" w:hAnsi="Times New Roman" w:cs="Times New Roman"/>
          <w:b w:val="0"/>
          <w:bCs w:val="0"/>
          <w:sz w:val="24"/>
          <w:szCs w:val="24"/>
          <w:lang w:val="en"/>
        </w:rPr>
        <w:t xml:space="preserve"> and any other similar lending / borrowing.</w:t>
      </w:r>
    </w:p>
    <w:p w:rsidR="00207C54" w:rsidRPr="00DA4F3E" w:rsidRDefault="00207C54" w:rsidP="009A7488">
      <w:pPr>
        <w:pStyle w:val="ListParagraph"/>
        <w:numPr>
          <w:ilvl w:val="2"/>
          <w:numId w:val="16"/>
        </w:numPr>
        <w:bidi w:val="0"/>
        <w:spacing w:after="0" w:line="276" w:lineRule="auto"/>
        <w:ind w:left="2127" w:hanging="851"/>
        <w:rPr>
          <w:rFonts w:ascii="Times New Roman" w:hAnsi="Times New Roman" w:cs="Times New Roman"/>
          <w:b w:val="0"/>
          <w:bCs w:val="0"/>
          <w:sz w:val="24"/>
          <w:szCs w:val="24"/>
        </w:rPr>
      </w:pPr>
      <w:r w:rsidRPr="00DA4F3E">
        <w:rPr>
          <w:rFonts w:ascii="Times New Roman" w:hAnsi="Times New Roman" w:cs="Times New Roman"/>
          <w:b w:val="0"/>
          <w:bCs w:val="0"/>
          <w:sz w:val="24"/>
          <w:szCs w:val="24"/>
        </w:rPr>
        <w:t xml:space="preserve">Where a bank, acting as an agent, arranges a repo-style transaction between a customer and a third party and provides a guarantee to the customer that the third party will perform on its obligations, then the risk to the bank is the same as if the bank had entered into the transaction as a principal. In such circumstances, a bank will be required to calculate capital requirements as if it were itself the principal. </w:t>
      </w:r>
    </w:p>
    <w:p w:rsidR="00EA69C5" w:rsidRDefault="00EA69C5" w:rsidP="00EA69C5">
      <w:pPr>
        <w:pStyle w:val="ListParagraph"/>
        <w:bidi w:val="0"/>
        <w:spacing w:after="0" w:line="276" w:lineRule="auto"/>
        <w:ind w:left="2127"/>
        <w:rPr>
          <w:rFonts w:ascii="Times New Roman" w:hAnsi="Times New Roman" w:cs="Times New Roman"/>
          <w:b w:val="0"/>
          <w:bCs w:val="0"/>
          <w:sz w:val="14"/>
          <w:szCs w:val="14"/>
        </w:rPr>
      </w:pPr>
    </w:p>
    <w:p w:rsidR="00F1087B" w:rsidRDefault="00F1087B" w:rsidP="00F1087B">
      <w:pPr>
        <w:pStyle w:val="ListParagraph"/>
        <w:bidi w:val="0"/>
        <w:spacing w:after="0" w:line="276" w:lineRule="auto"/>
        <w:ind w:left="2127"/>
        <w:rPr>
          <w:rFonts w:ascii="Times New Roman" w:hAnsi="Times New Roman" w:cs="Times New Roman"/>
          <w:b w:val="0"/>
          <w:bCs w:val="0"/>
          <w:sz w:val="14"/>
          <w:szCs w:val="14"/>
        </w:rPr>
      </w:pPr>
    </w:p>
    <w:p w:rsidR="00F1087B" w:rsidRDefault="00F1087B" w:rsidP="00F1087B">
      <w:pPr>
        <w:pStyle w:val="ListParagraph"/>
        <w:bidi w:val="0"/>
        <w:spacing w:after="0" w:line="276" w:lineRule="auto"/>
        <w:ind w:left="2127"/>
        <w:rPr>
          <w:rFonts w:ascii="Times New Roman" w:hAnsi="Times New Roman" w:cs="Times New Roman"/>
          <w:b w:val="0"/>
          <w:bCs w:val="0"/>
          <w:sz w:val="14"/>
          <w:szCs w:val="14"/>
        </w:rPr>
      </w:pPr>
    </w:p>
    <w:p w:rsidR="00F1087B" w:rsidRDefault="00F1087B" w:rsidP="00F1087B">
      <w:pPr>
        <w:pStyle w:val="ListParagraph"/>
        <w:bidi w:val="0"/>
        <w:spacing w:after="0" w:line="276" w:lineRule="auto"/>
        <w:ind w:left="2127"/>
        <w:rPr>
          <w:rFonts w:ascii="Times New Roman" w:hAnsi="Times New Roman" w:cs="Times New Roman"/>
          <w:b w:val="0"/>
          <w:bCs w:val="0"/>
          <w:sz w:val="14"/>
          <w:szCs w:val="14"/>
        </w:rPr>
      </w:pPr>
    </w:p>
    <w:p w:rsidR="00F1087B" w:rsidRDefault="00F1087B" w:rsidP="00F1087B">
      <w:pPr>
        <w:pStyle w:val="ListParagraph"/>
        <w:bidi w:val="0"/>
        <w:spacing w:after="0" w:line="276" w:lineRule="auto"/>
        <w:ind w:left="2127"/>
        <w:rPr>
          <w:rFonts w:ascii="Times New Roman" w:hAnsi="Times New Roman" w:cs="Times New Roman"/>
          <w:b w:val="0"/>
          <w:bCs w:val="0"/>
          <w:sz w:val="14"/>
          <w:szCs w:val="14"/>
        </w:rPr>
      </w:pPr>
    </w:p>
    <w:p w:rsidR="00F1087B" w:rsidRPr="00F1087B" w:rsidRDefault="00F1087B" w:rsidP="00F1087B">
      <w:pPr>
        <w:pStyle w:val="ListParagraph"/>
        <w:bidi w:val="0"/>
        <w:spacing w:after="0" w:line="276" w:lineRule="auto"/>
        <w:ind w:left="2127"/>
        <w:rPr>
          <w:rFonts w:ascii="Times New Roman" w:hAnsi="Times New Roman" w:cs="Times New Roman"/>
          <w:b w:val="0"/>
          <w:bCs w:val="0"/>
          <w:sz w:val="14"/>
          <w:szCs w:val="14"/>
        </w:rPr>
      </w:pPr>
    </w:p>
    <w:p w:rsidR="00207C54" w:rsidRPr="00DA4F3E" w:rsidRDefault="00207C54" w:rsidP="00EA69C5">
      <w:pPr>
        <w:bidi w:val="0"/>
        <w:spacing w:after="0" w:line="276" w:lineRule="auto"/>
        <w:ind w:left="720" w:hanging="578"/>
        <w:rPr>
          <w:rFonts w:ascii="Times New Roman" w:hAnsi="Times New Roman" w:cs="Times New Roman"/>
          <w:sz w:val="24"/>
          <w:szCs w:val="24"/>
        </w:rPr>
      </w:pPr>
      <w:r w:rsidRPr="00DA4F3E">
        <w:rPr>
          <w:rFonts w:ascii="Times New Roman" w:hAnsi="Times New Roman" w:cs="Times New Roman"/>
          <w:sz w:val="24"/>
          <w:szCs w:val="24"/>
        </w:rPr>
        <w:lastRenderedPageBreak/>
        <w:t xml:space="preserve">3. </w:t>
      </w:r>
      <w:r w:rsidR="00EA69C5" w:rsidRPr="00DA4F3E">
        <w:rPr>
          <w:rFonts w:ascii="Times New Roman" w:hAnsi="Times New Roman" w:cs="Times New Roman"/>
          <w:sz w:val="24"/>
          <w:szCs w:val="24"/>
        </w:rPr>
        <w:tab/>
      </w:r>
      <w:r w:rsidR="006D491D" w:rsidRPr="00DA4F3E">
        <w:rPr>
          <w:rFonts w:ascii="Times New Roman" w:hAnsi="Times New Roman" w:cs="Times New Roman"/>
          <w:sz w:val="24"/>
          <w:szCs w:val="24"/>
        </w:rPr>
        <w:t>Credit Risk Mitigation Techniques</w:t>
      </w:r>
    </w:p>
    <w:p w:rsidR="006D491D" w:rsidRPr="00DA4F3E" w:rsidRDefault="006D491D" w:rsidP="00EA69C5">
      <w:pPr>
        <w:bidi w:val="0"/>
        <w:spacing w:after="0" w:line="276" w:lineRule="auto"/>
        <w:ind w:left="1276" w:hanging="556"/>
        <w:rPr>
          <w:rFonts w:ascii="Times New Roman" w:hAnsi="Times New Roman" w:cs="Times New Roman"/>
          <w:b w:val="0"/>
          <w:bCs w:val="0"/>
          <w:sz w:val="24"/>
          <w:szCs w:val="24"/>
        </w:rPr>
      </w:pPr>
      <w:r w:rsidRPr="00DA4F3E">
        <w:rPr>
          <w:rFonts w:ascii="Times New Roman" w:hAnsi="Times New Roman" w:cs="Times New Roman"/>
          <w:b w:val="0"/>
          <w:bCs w:val="0"/>
          <w:sz w:val="24"/>
          <w:szCs w:val="24"/>
        </w:rPr>
        <w:t>3.1</w:t>
      </w:r>
      <w:r w:rsidRPr="00DA4F3E">
        <w:rPr>
          <w:rFonts w:ascii="Times New Roman" w:hAnsi="Times New Roman" w:cs="Times New Roman"/>
          <w:b w:val="0"/>
          <w:bCs w:val="0"/>
          <w:sz w:val="24"/>
          <w:szCs w:val="24"/>
        </w:rPr>
        <w:tab/>
        <w:t>Collateralized Exposures</w:t>
      </w:r>
    </w:p>
    <w:p w:rsidR="006D491D" w:rsidRPr="00DA4F3E" w:rsidRDefault="006D491D" w:rsidP="00906175">
      <w:pPr>
        <w:bidi w:val="0"/>
        <w:spacing w:after="0" w:line="276" w:lineRule="auto"/>
        <w:ind w:left="2127" w:hanging="851"/>
        <w:rPr>
          <w:rFonts w:ascii="Times New Roman" w:hAnsi="Times New Roman" w:cs="Times New Roman"/>
          <w:b w:val="0"/>
          <w:bCs w:val="0"/>
          <w:sz w:val="24"/>
          <w:szCs w:val="24"/>
        </w:rPr>
      </w:pPr>
      <w:r w:rsidRPr="00DA4F3E">
        <w:rPr>
          <w:rFonts w:ascii="Times New Roman" w:hAnsi="Times New Roman" w:cs="Times New Roman"/>
          <w:b w:val="0"/>
          <w:bCs w:val="0"/>
          <w:sz w:val="24"/>
          <w:szCs w:val="24"/>
        </w:rPr>
        <w:t xml:space="preserve">3.1.1 </w:t>
      </w:r>
      <w:r w:rsidR="00F4114E" w:rsidRPr="00DA4F3E">
        <w:rPr>
          <w:rFonts w:ascii="Times New Roman" w:hAnsi="Times New Roman" w:cs="Times New Roman"/>
          <w:b w:val="0"/>
          <w:bCs w:val="0"/>
          <w:sz w:val="24"/>
          <w:szCs w:val="24"/>
        </w:rPr>
        <w:tab/>
        <w:t>A collateralised transaction is one in which banks have a credit exposure or potential credit exposure, and that exposure is hedged in whole or in part by collateral posted by a counterparty or by a third party on behalf of the counterparty.</w:t>
      </w:r>
    </w:p>
    <w:p w:rsidR="00F4114E" w:rsidRPr="00DA4F3E" w:rsidRDefault="00F4114E" w:rsidP="00F4114E">
      <w:pPr>
        <w:bidi w:val="0"/>
        <w:spacing w:after="0" w:line="276" w:lineRule="auto"/>
        <w:ind w:left="2127" w:hanging="851"/>
        <w:rPr>
          <w:rFonts w:ascii="Times New Roman" w:hAnsi="Times New Roman" w:cs="Times New Roman"/>
          <w:b w:val="0"/>
          <w:bCs w:val="0"/>
          <w:sz w:val="24"/>
          <w:szCs w:val="24"/>
        </w:rPr>
      </w:pPr>
      <w:r w:rsidRPr="00DA4F3E">
        <w:rPr>
          <w:rFonts w:ascii="Times New Roman" w:hAnsi="Times New Roman" w:cs="Times New Roman"/>
          <w:b w:val="0"/>
          <w:bCs w:val="0"/>
          <w:sz w:val="24"/>
          <w:szCs w:val="24"/>
        </w:rPr>
        <w:t>3.1.2</w:t>
      </w:r>
      <w:r w:rsidRPr="00DA4F3E">
        <w:rPr>
          <w:rFonts w:ascii="Times New Roman" w:hAnsi="Times New Roman" w:cs="Times New Roman"/>
          <w:b w:val="0"/>
          <w:bCs w:val="0"/>
          <w:sz w:val="24"/>
          <w:szCs w:val="24"/>
        </w:rPr>
        <w:tab/>
      </w:r>
      <w:r w:rsidRPr="00DA4F3E">
        <w:rPr>
          <w:rFonts w:ascii="Times New Roman" w:hAnsi="Times New Roman" w:cs="Times New Roman"/>
          <w:b w:val="0"/>
          <w:bCs w:val="0"/>
          <w:sz w:val="24"/>
          <w:szCs w:val="24"/>
        </w:rPr>
        <w:tab/>
        <w:t>Where banks take eligible financial collateral (</w:t>
      </w:r>
      <w:r w:rsidR="00A114A6">
        <w:rPr>
          <w:rFonts w:ascii="Times New Roman" w:hAnsi="Times New Roman" w:cs="Times New Roman"/>
          <w:b w:val="0"/>
          <w:bCs w:val="0"/>
          <w:sz w:val="24"/>
          <w:szCs w:val="24"/>
          <w:lang w:val="en"/>
        </w:rPr>
        <w:t>Contained within clause n</w:t>
      </w:r>
      <w:r w:rsidRPr="00DA4F3E">
        <w:rPr>
          <w:rFonts w:ascii="Times New Roman" w:hAnsi="Times New Roman" w:cs="Times New Roman"/>
          <w:b w:val="0"/>
          <w:bCs w:val="0"/>
          <w:sz w:val="24"/>
          <w:szCs w:val="24"/>
          <w:lang w:val="en"/>
        </w:rPr>
        <w:t>o. (4) below)</w:t>
      </w:r>
      <w:r w:rsidRPr="00DA4F3E">
        <w:rPr>
          <w:rFonts w:ascii="Times New Roman" w:hAnsi="Times New Roman" w:cs="Times New Roman"/>
          <w:b w:val="0"/>
          <w:bCs w:val="0"/>
          <w:sz w:val="24"/>
          <w:szCs w:val="24"/>
        </w:rPr>
        <w:t>, they are allowed to reduce their credit exposure to a counterparty when calculating their capital requirements to take account of the risk mitigating effect of the collateral.</w:t>
      </w:r>
    </w:p>
    <w:p w:rsidR="00505A8B" w:rsidRPr="00F1087B" w:rsidRDefault="00505A8B" w:rsidP="00D1054E">
      <w:pPr>
        <w:spacing w:after="0" w:line="276" w:lineRule="auto"/>
        <w:rPr>
          <w:rFonts w:ascii="Times New Roman" w:hAnsi="Times New Roman" w:cs="Times New Roman"/>
          <w:sz w:val="8"/>
          <w:szCs w:val="8"/>
          <w:rtl/>
        </w:rPr>
      </w:pPr>
      <w:bookmarkStart w:id="33" w:name="_Toc451176284"/>
      <w:bookmarkStart w:id="34" w:name="_Toc451180265"/>
      <w:r w:rsidRPr="00DA4F3E">
        <w:rPr>
          <w:sz w:val="24"/>
          <w:szCs w:val="24"/>
          <w:rtl/>
        </w:rPr>
        <w:t xml:space="preserve"> </w:t>
      </w:r>
      <w:bookmarkEnd w:id="33"/>
      <w:bookmarkEnd w:id="34"/>
    </w:p>
    <w:p w:rsidR="000D7978" w:rsidRPr="00DA4F3E" w:rsidRDefault="000D7978" w:rsidP="00D1054E">
      <w:pPr>
        <w:bidi w:val="0"/>
        <w:spacing w:after="0" w:line="276" w:lineRule="auto"/>
        <w:ind w:left="709" w:hanging="567"/>
        <w:rPr>
          <w:rFonts w:ascii="Times New Roman" w:hAnsi="Times New Roman" w:cs="Times New Roman"/>
          <w:sz w:val="24"/>
          <w:szCs w:val="24"/>
        </w:rPr>
      </w:pPr>
      <w:r w:rsidRPr="00DA4F3E">
        <w:rPr>
          <w:rFonts w:ascii="Times New Roman" w:hAnsi="Times New Roman" w:cs="Times New Roman"/>
          <w:sz w:val="24"/>
          <w:szCs w:val="24"/>
        </w:rPr>
        <w:t xml:space="preserve">4. </w:t>
      </w:r>
      <w:r w:rsidR="00D1054E" w:rsidRPr="00DA4F3E">
        <w:rPr>
          <w:rFonts w:ascii="Times New Roman" w:hAnsi="Times New Roman" w:cs="Times New Roman"/>
          <w:sz w:val="24"/>
          <w:szCs w:val="24"/>
        </w:rPr>
        <w:tab/>
      </w:r>
      <w:r w:rsidRPr="00DA4F3E">
        <w:rPr>
          <w:rFonts w:ascii="Times New Roman" w:hAnsi="Times New Roman" w:cs="Times New Roman"/>
          <w:sz w:val="24"/>
          <w:szCs w:val="24"/>
        </w:rPr>
        <w:t>Collaterals</w:t>
      </w:r>
    </w:p>
    <w:p w:rsidR="000D7978" w:rsidRPr="00DA4F3E" w:rsidRDefault="000D7978" w:rsidP="00D1054E">
      <w:pPr>
        <w:bidi w:val="0"/>
        <w:spacing w:after="0" w:line="276" w:lineRule="auto"/>
        <w:ind w:left="1276" w:hanging="567"/>
        <w:rPr>
          <w:rFonts w:ascii="Times New Roman" w:hAnsi="Times New Roman" w:cs="Times New Roman"/>
          <w:b w:val="0"/>
          <w:bCs w:val="0"/>
          <w:sz w:val="24"/>
          <w:szCs w:val="24"/>
        </w:rPr>
      </w:pPr>
      <w:r w:rsidRPr="00DA4F3E">
        <w:rPr>
          <w:rFonts w:ascii="Times New Roman" w:hAnsi="Times New Roman" w:cs="Times New Roman"/>
          <w:b w:val="0"/>
          <w:bCs w:val="0"/>
          <w:sz w:val="24"/>
          <w:szCs w:val="24"/>
        </w:rPr>
        <w:t>4.1</w:t>
      </w:r>
      <w:r w:rsidRPr="00DA4F3E">
        <w:rPr>
          <w:rFonts w:ascii="Times New Roman" w:hAnsi="Times New Roman" w:cs="Times New Roman"/>
          <w:b w:val="0"/>
          <w:bCs w:val="0"/>
          <w:sz w:val="24"/>
          <w:szCs w:val="24"/>
        </w:rPr>
        <w:tab/>
        <w:t>Eligible financial collaterals:</w:t>
      </w:r>
    </w:p>
    <w:p w:rsidR="000D7978" w:rsidRPr="00DA4F3E" w:rsidRDefault="000D7978" w:rsidP="0096474C">
      <w:pPr>
        <w:bidi w:val="0"/>
        <w:spacing w:after="0" w:line="276" w:lineRule="auto"/>
        <w:ind w:left="2127" w:hanging="851"/>
        <w:rPr>
          <w:rFonts w:ascii="Times New Roman" w:hAnsi="Times New Roman" w:cs="Times New Roman"/>
          <w:b w:val="0"/>
          <w:bCs w:val="0"/>
          <w:sz w:val="24"/>
          <w:szCs w:val="24"/>
        </w:rPr>
      </w:pPr>
      <w:r w:rsidRPr="00DA4F3E">
        <w:rPr>
          <w:rFonts w:ascii="Times New Roman" w:hAnsi="Times New Roman" w:cs="Times New Roman"/>
          <w:b w:val="0"/>
          <w:bCs w:val="0"/>
          <w:sz w:val="24"/>
          <w:szCs w:val="24"/>
        </w:rPr>
        <w:t>4.1.1</w:t>
      </w:r>
      <w:r w:rsidR="00D1054E" w:rsidRPr="00DA4F3E">
        <w:rPr>
          <w:rFonts w:ascii="Times New Roman" w:hAnsi="Times New Roman" w:cs="Times New Roman"/>
          <w:b w:val="0"/>
          <w:bCs w:val="0"/>
          <w:sz w:val="24"/>
          <w:szCs w:val="24"/>
        </w:rPr>
        <w:tab/>
      </w:r>
      <w:r w:rsidRPr="00DA4F3E">
        <w:rPr>
          <w:rFonts w:ascii="Times New Roman" w:hAnsi="Times New Roman" w:cs="Times New Roman"/>
          <w:b w:val="0"/>
          <w:bCs w:val="0"/>
          <w:sz w:val="24"/>
          <w:szCs w:val="24"/>
        </w:rPr>
        <w:t>The following collateral</w:t>
      </w:r>
      <w:r w:rsidR="0096474C">
        <w:rPr>
          <w:rFonts w:ascii="Times New Roman" w:hAnsi="Times New Roman" w:cs="Times New Roman"/>
          <w:b w:val="0"/>
          <w:bCs w:val="0"/>
          <w:sz w:val="24"/>
          <w:szCs w:val="24"/>
        </w:rPr>
        <w:t>s</w:t>
      </w:r>
      <w:r w:rsidRPr="00DA4F3E">
        <w:rPr>
          <w:rFonts w:ascii="Times New Roman" w:hAnsi="Times New Roman" w:cs="Times New Roman"/>
          <w:b w:val="0"/>
          <w:bCs w:val="0"/>
          <w:sz w:val="24"/>
          <w:szCs w:val="24"/>
        </w:rPr>
        <w:t xml:space="preserve"> are eligible for recognition in the simple approach:</w:t>
      </w:r>
    </w:p>
    <w:p w:rsidR="000D7978" w:rsidRPr="00DA4F3E" w:rsidRDefault="00D1054E" w:rsidP="0096474C">
      <w:pPr>
        <w:bidi w:val="0"/>
        <w:spacing w:after="0" w:line="276" w:lineRule="auto"/>
        <w:ind w:left="2552" w:hanging="425"/>
        <w:rPr>
          <w:rFonts w:ascii="Times New Roman" w:hAnsi="Times New Roman" w:cs="Times New Roman"/>
          <w:b w:val="0"/>
          <w:bCs w:val="0"/>
          <w:sz w:val="24"/>
          <w:szCs w:val="24"/>
        </w:rPr>
      </w:pPr>
      <w:r w:rsidRPr="00DA4F3E">
        <w:rPr>
          <w:rFonts w:ascii="Times New Roman" w:hAnsi="Times New Roman" w:cs="Times New Roman"/>
          <w:b w:val="0"/>
          <w:bCs w:val="0"/>
          <w:sz w:val="24"/>
          <w:szCs w:val="24"/>
        </w:rPr>
        <w:t>-</w:t>
      </w:r>
      <w:r w:rsidRPr="00DA4F3E">
        <w:rPr>
          <w:rFonts w:ascii="Times New Roman" w:hAnsi="Times New Roman" w:cs="Times New Roman"/>
          <w:b w:val="0"/>
          <w:bCs w:val="0"/>
          <w:sz w:val="24"/>
          <w:szCs w:val="24"/>
        </w:rPr>
        <w:tab/>
      </w:r>
      <w:r w:rsidR="000D7978" w:rsidRPr="00DA4F3E">
        <w:rPr>
          <w:rFonts w:ascii="Times New Roman" w:hAnsi="Times New Roman" w:cs="Times New Roman"/>
          <w:b w:val="0"/>
          <w:bCs w:val="0"/>
          <w:sz w:val="24"/>
          <w:szCs w:val="24"/>
        </w:rPr>
        <w:t xml:space="preserve">Cash </w:t>
      </w:r>
      <w:r w:rsidR="0096474C" w:rsidRPr="00DA4F3E">
        <w:rPr>
          <w:rFonts w:ascii="Times New Roman" w:hAnsi="Times New Roman" w:cs="Times New Roman"/>
          <w:b w:val="0"/>
          <w:bCs w:val="0"/>
          <w:sz w:val="24"/>
          <w:szCs w:val="24"/>
        </w:rPr>
        <w:t xml:space="preserve">on deposit </w:t>
      </w:r>
      <w:r w:rsidR="000D7978" w:rsidRPr="00DA4F3E">
        <w:rPr>
          <w:rFonts w:ascii="Times New Roman" w:hAnsi="Times New Roman" w:cs="Times New Roman"/>
          <w:b w:val="0"/>
          <w:bCs w:val="0"/>
          <w:sz w:val="24"/>
          <w:szCs w:val="24"/>
        </w:rPr>
        <w:t>(as well as certificates of deposit or comparable instruments issued by the lending bank) with the bank which is incurring the counterparty exposure. When cash on deposit, certificates of deposit or comparable instruments issued by the lending bank are held as collateral at a third-party bank in a non-custodial arrangement, if they are openly pledged/assigned to the lending bank and if the pledge/assignment is unconditional and irrevocable, the exposure amount covered by the collateral (after any necessary haircuts for currency risk) will receive the risk weight of the third-party bank.</w:t>
      </w:r>
    </w:p>
    <w:p w:rsidR="000D7978" w:rsidRPr="00DA4F3E" w:rsidRDefault="000D7978" w:rsidP="00D1054E">
      <w:pPr>
        <w:bidi w:val="0"/>
        <w:spacing w:after="0" w:line="276" w:lineRule="auto"/>
        <w:ind w:left="2552" w:hanging="425"/>
        <w:rPr>
          <w:rFonts w:ascii="Times New Roman" w:hAnsi="Times New Roman" w:cs="Times New Roman"/>
          <w:b w:val="0"/>
          <w:bCs w:val="0"/>
          <w:sz w:val="24"/>
          <w:szCs w:val="24"/>
          <w:lang w:val="en"/>
        </w:rPr>
      </w:pPr>
      <w:r w:rsidRPr="00DA4F3E">
        <w:rPr>
          <w:rFonts w:ascii="Times New Roman" w:hAnsi="Times New Roman" w:cs="Times New Roman"/>
          <w:b w:val="0"/>
          <w:bCs w:val="0"/>
          <w:sz w:val="24"/>
          <w:szCs w:val="24"/>
        </w:rPr>
        <w:t xml:space="preserve">- </w:t>
      </w:r>
      <w:r w:rsidR="00D1054E" w:rsidRPr="00DA4F3E">
        <w:rPr>
          <w:rFonts w:ascii="Times New Roman" w:hAnsi="Times New Roman" w:cs="Times New Roman"/>
          <w:b w:val="0"/>
          <w:bCs w:val="0"/>
          <w:sz w:val="24"/>
          <w:szCs w:val="24"/>
        </w:rPr>
        <w:tab/>
      </w:r>
      <w:r w:rsidRPr="00DA4F3E">
        <w:rPr>
          <w:rFonts w:ascii="Times New Roman" w:hAnsi="Times New Roman" w:cs="Times New Roman"/>
          <w:b w:val="0"/>
          <w:bCs w:val="0"/>
          <w:sz w:val="24"/>
          <w:szCs w:val="24"/>
          <w:lang w:val="en"/>
        </w:rPr>
        <w:t xml:space="preserve">Gold deposits (deposit accounts whose currency is gold). </w:t>
      </w:r>
    </w:p>
    <w:p w:rsidR="000D7978" w:rsidRPr="00DA4F3E" w:rsidRDefault="000D7978" w:rsidP="009F50C5">
      <w:pPr>
        <w:bidi w:val="0"/>
        <w:spacing w:after="0" w:line="276" w:lineRule="auto"/>
        <w:ind w:left="2552" w:hanging="425"/>
        <w:rPr>
          <w:rFonts w:ascii="Times New Roman" w:hAnsi="Times New Roman" w:cs="Times New Roman"/>
          <w:b w:val="0"/>
          <w:bCs w:val="0"/>
          <w:sz w:val="24"/>
          <w:szCs w:val="24"/>
        </w:rPr>
      </w:pPr>
      <w:r w:rsidRPr="00DA4F3E">
        <w:rPr>
          <w:rFonts w:ascii="Times New Roman" w:hAnsi="Times New Roman" w:cs="Times New Roman"/>
          <w:b w:val="0"/>
          <w:bCs w:val="0"/>
          <w:sz w:val="24"/>
          <w:szCs w:val="24"/>
        </w:rPr>
        <w:t xml:space="preserve">- </w:t>
      </w:r>
      <w:r w:rsidR="00D1054E" w:rsidRPr="00DA4F3E">
        <w:rPr>
          <w:rFonts w:ascii="Times New Roman" w:hAnsi="Times New Roman" w:cs="Times New Roman"/>
          <w:b w:val="0"/>
          <w:bCs w:val="0"/>
          <w:sz w:val="24"/>
          <w:szCs w:val="24"/>
        </w:rPr>
        <w:tab/>
      </w:r>
      <w:r w:rsidR="00132176" w:rsidRPr="00DA4F3E">
        <w:rPr>
          <w:rFonts w:ascii="Times New Roman" w:hAnsi="Times New Roman" w:cs="Times New Roman"/>
          <w:b w:val="0"/>
          <w:bCs w:val="0"/>
          <w:sz w:val="24"/>
          <w:szCs w:val="24"/>
        </w:rPr>
        <w:t xml:space="preserve">Debt securities rated by a recognised external credit </w:t>
      </w:r>
      <w:r w:rsidR="009F50C5">
        <w:rPr>
          <w:rFonts w:ascii="Times New Roman" w:hAnsi="Times New Roman" w:cs="Times New Roman"/>
          <w:b w:val="0"/>
          <w:bCs w:val="0"/>
          <w:sz w:val="24"/>
          <w:szCs w:val="24"/>
        </w:rPr>
        <w:t>rating</w:t>
      </w:r>
      <w:r w:rsidR="00132176" w:rsidRPr="00DA4F3E">
        <w:rPr>
          <w:rFonts w:ascii="Times New Roman" w:hAnsi="Times New Roman" w:cs="Times New Roman"/>
          <w:b w:val="0"/>
          <w:bCs w:val="0"/>
          <w:sz w:val="24"/>
          <w:szCs w:val="24"/>
        </w:rPr>
        <w:t xml:space="preserve"> institution where these are either:</w:t>
      </w:r>
    </w:p>
    <w:p w:rsidR="00132176" w:rsidRPr="00DA4F3E" w:rsidRDefault="00D1054E" w:rsidP="00C1026F">
      <w:pPr>
        <w:pStyle w:val="ListParagraph"/>
        <w:numPr>
          <w:ilvl w:val="1"/>
          <w:numId w:val="18"/>
        </w:numPr>
        <w:bidi w:val="0"/>
        <w:spacing w:after="0" w:line="276" w:lineRule="auto"/>
        <w:ind w:left="2977" w:hanging="425"/>
        <w:rPr>
          <w:rFonts w:ascii="Times New Roman" w:hAnsi="Times New Roman" w:cs="Times New Roman"/>
          <w:b w:val="0"/>
          <w:bCs w:val="0"/>
          <w:sz w:val="24"/>
          <w:szCs w:val="24"/>
        </w:rPr>
      </w:pPr>
      <w:r w:rsidRPr="00DA4F3E">
        <w:rPr>
          <w:rFonts w:ascii="Times New Roman" w:hAnsi="Times New Roman" w:cs="Times New Roman"/>
          <w:b w:val="0"/>
          <w:bCs w:val="0"/>
          <w:sz w:val="24"/>
          <w:szCs w:val="24"/>
        </w:rPr>
        <w:t>A</w:t>
      </w:r>
      <w:r w:rsidR="00132176" w:rsidRPr="00DA4F3E">
        <w:rPr>
          <w:rFonts w:ascii="Times New Roman" w:hAnsi="Times New Roman" w:cs="Times New Roman"/>
          <w:b w:val="0"/>
          <w:bCs w:val="0"/>
          <w:sz w:val="24"/>
          <w:szCs w:val="24"/>
        </w:rPr>
        <w:t>t least BB- when issued by sovereigns or PSEs that are treated as sovereigns</w:t>
      </w:r>
      <w:r w:rsidR="00C1026F">
        <w:rPr>
          <w:rFonts w:ascii="Times New Roman" w:hAnsi="Times New Roman" w:cs="Times New Roman"/>
          <w:b w:val="0"/>
          <w:bCs w:val="0"/>
          <w:sz w:val="24"/>
          <w:szCs w:val="24"/>
        </w:rPr>
        <w:t>.</w:t>
      </w:r>
    </w:p>
    <w:p w:rsidR="00132176" w:rsidRPr="00DA4F3E" w:rsidRDefault="00D1054E" w:rsidP="00D1054E">
      <w:pPr>
        <w:pStyle w:val="ListParagraph"/>
        <w:numPr>
          <w:ilvl w:val="1"/>
          <w:numId w:val="18"/>
        </w:numPr>
        <w:bidi w:val="0"/>
        <w:spacing w:after="0" w:line="276" w:lineRule="auto"/>
        <w:ind w:left="2977" w:hanging="425"/>
        <w:rPr>
          <w:rFonts w:ascii="Times New Roman" w:hAnsi="Times New Roman" w:cs="Times New Roman"/>
          <w:b w:val="0"/>
          <w:bCs w:val="0"/>
          <w:sz w:val="24"/>
          <w:szCs w:val="24"/>
        </w:rPr>
      </w:pPr>
      <w:r w:rsidRPr="00DA4F3E">
        <w:rPr>
          <w:rFonts w:ascii="Times New Roman" w:hAnsi="Times New Roman" w:cs="Times New Roman"/>
          <w:b w:val="0"/>
          <w:bCs w:val="0"/>
          <w:sz w:val="24"/>
          <w:szCs w:val="24"/>
        </w:rPr>
        <w:t>A</w:t>
      </w:r>
      <w:r w:rsidR="00132176" w:rsidRPr="00DA4F3E">
        <w:rPr>
          <w:rFonts w:ascii="Times New Roman" w:hAnsi="Times New Roman" w:cs="Times New Roman"/>
          <w:b w:val="0"/>
          <w:bCs w:val="0"/>
          <w:sz w:val="24"/>
          <w:szCs w:val="24"/>
        </w:rPr>
        <w:t>t least BBB- when issued by other entities (including banks and securities firms);</w:t>
      </w:r>
      <w:r w:rsidR="00342B7B" w:rsidRPr="00DA4F3E">
        <w:rPr>
          <w:rFonts w:ascii="Times New Roman" w:hAnsi="Times New Roman" w:cs="Times New Roman"/>
          <w:b w:val="0"/>
          <w:bCs w:val="0"/>
          <w:sz w:val="24"/>
          <w:szCs w:val="24"/>
        </w:rPr>
        <w:t xml:space="preserve"> or </w:t>
      </w:r>
    </w:p>
    <w:p w:rsidR="00342B7B" w:rsidRPr="00DA4F3E" w:rsidRDefault="00D1054E" w:rsidP="00D1054E">
      <w:pPr>
        <w:pStyle w:val="ListParagraph"/>
        <w:numPr>
          <w:ilvl w:val="1"/>
          <w:numId w:val="18"/>
        </w:numPr>
        <w:bidi w:val="0"/>
        <w:spacing w:after="0" w:line="276" w:lineRule="auto"/>
        <w:ind w:left="2977" w:hanging="425"/>
        <w:rPr>
          <w:rFonts w:ascii="Times New Roman" w:hAnsi="Times New Roman" w:cs="Times New Roman"/>
          <w:b w:val="0"/>
          <w:bCs w:val="0"/>
          <w:sz w:val="24"/>
          <w:szCs w:val="24"/>
        </w:rPr>
      </w:pPr>
      <w:r w:rsidRPr="00DA4F3E">
        <w:rPr>
          <w:rFonts w:ascii="Times New Roman" w:hAnsi="Times New Roman" w:cs="Times New Roman"/>
          <w:b w:val="0"/>
          <w:bCs w:val="0"/>
          <w:sz w:val="24"/>
          <w:szCs w:val="24"/>
        </w:rPr>
        <w:t>A</w:t>
      </w:r>
      <w:r w:rsidR="00342B7B" w:rsidRPr="00DA4F3E">
        <w:rPr>
          <w:rFonts w:ascii="Times New Roman" w:hAnsi="Times New Roman" w:cs="Times New Roman"/>
          <w:b w:val="0"/>
          <w:bCs w:val="0"/>
          <w:sz w:val="24"/>
          <w:szCs w:val="24"/>
        </w:rPr>
        <w:t>t least A-3/P-3 for short-term debt instruments.</w:t>
      </w:r>
    </w:p>
    <w:p w:rsidR="00342B7B" w:rsidRPr="00DA4F3E" w:rsidRDefault="00342B7B" w:rsidP="009F50C5">
      <w:pPr>
        <w:bidi w:val="0"/>
        <w:spacing w:after="0" w:line="276" w:lineRule="auto"/>
        <w:ind w:left="2552" w:hanging="425"/>
        <w:rPr>
          <w:rFonts w:ascii="Times New Roman" w:hAnsi="Times New Roman" w:cs="Times New Roman"/>
          <w:b w:val="0"/>
          <w:bCs w:val="0"/>
          <w:sz w:val="24"/>
          <w:szCs w:val="24"/>
        </w:rPr>
      </w:pPr>
      <w:r w:rsidRPr="00DA4F3E">
        <w:rPr>
          <w:rFonts w:ascii="Times New Roman" w:hAnsi="Times New Roman" w:cs="Times New Roman"/>
          <w:b w:val="0"/>
          <w:bCs w:val="0"/>
          <w:sz w:val="24"/>
          <w:szCs w:val="24"/>
        </w:rPr>
        <w:t xml:space="preserve">- </w:t>
      </w:r>
      <w:r w:rsidR="00D1054E" w:rsidRPr="00DA4F3E">
        <w:rPr>
          <w:rFonts w:ascii="Times New Roman" w:hAnsi="Times New Roman" w:cs="Times New Roman"/>
          <w:b w:val="0"/>
          <w:bCs w:val="0"/>
          <w:sz w:val="24"/>
          <w:szCs w:val="24"/>
        </w:rPr>
        <w:tab/>
      </w:r>
      <w:r w:rsidRPr="00DA4F3E">
        <w:rPr>
          <w:rFonts w:ascii="Times New Roman" w:hAnsi="Times New Roman" w:cs="Times New Roman"/>
          <w:b w:val="0"/>
          <w:bCs w:val="0"/>
          <w:sz w:val="24"/>
          <w:szCs w:val="24"/>
        </w:rPr>
        <w:t xml:space="preserve">Debt securities not rated by a recognised external credit </w:t>
      </w:r>
      <w:r w:rsidR="009F50C5">
        <w:rPr>
          <w:rFonts w:ascii="Times New Roman" w:hAnsi="Times New Roman" w:cs="Times New Roman"/>
          <w:b w:val="0"/>
          <w:bCs w:val="0"/>
          <w:sz w:val="24"/>
          <w:szCs w:val="24"/>
        </w:rPr>
        <w:t>rating</w:t>
      </w:r>
      <w:r w:rsidRPr="00DA4F3E">
        <w:rPr>
          <w:rFonts w:ascii="Times New Roman" w:hAnsi="Times New Roman" w:cs="Times New Roman"/>
          <w:b w:val="0"/>
          <w:bCs w:val="0"/>
          <w:sz w:val="24"/>
          <w:szCs w:val="24"/>
        </w:rPr>
        <w:t xml:space="preserve"> institution where these are: </w:t>
      </w:r>
    </w:p>
    <w:p w:rsidR="00342B7B" w:rsidRPr="00DA4F3E" w:rsidRDefault="00342B7B" w:rsidP="00D1054E">
      <w:pPr>
        <w:bidi w:val="0"/>
        <w:spacing w:after="0" w:line="276" w:lineRule="auto"/>
        <w:ind w:left="2977" w:hanging="425"/>
        <w:rPr>
          <w:rFonts w:ascii="Times New Roman" w:hAnsi="Times New Roman" w:cs="Times New Roman"/>
          <w:b w:val="0"/>
          <w:bCs w:val="0"/>
          <w:sz w:val="24"/>
          <w:szCs w:val="24"/>
        </w:rPr>
      </w:pPr>
      <w:r w:rsidRPr="00DA4F3E">
        <w:rPr>
          <w:rFonts w:ascii="Times New Roman" w:hAnsi="Times New Roman" w:cs="Times New Roman"/>
          <w:b w:val="0"/>
          <w:bCs w:val="0"/>
          <w:sz w:val="24"/>
          <w:szCs w:val="24"/>
        </w:rPr>
        <w:sym w:font="Symbol" w:char="F0B7"/>
      </w:r>
      <w:r w:rsidR="00D1054E" w:rsidRPr="00DA4F3E">
        <w:rPr>
          <w:rFonts w:ascii="Times New Roman" w:hAnsi="Times New Roman" w:cs="Times New Roman"/>
          <w:b w:val="0"/>
          <w:bCs w:val="0"/>
          <w:sz w:val="24"/>
          <w:szCs w:val="24"/>
        </w:rPr>
        <w:tab/>
        <w:t>I</w:t>
      </w:r>
      <w:r w:rsidRPr="00DA4F3E">
        <w:rPr>
          <w:rFonts w:ascii="Times New Roman" w:hAnsi="Times New Roman" w:cs="Times New Roman"/>
          <w:b w:val="0"/>
          <w:bCs w:val="0"/>
          <w:sz w:val="24"/>
          <w:szCs w:val="24"/>
        </w:rPr>
        <w:t>ssued by a bank.</w:t>
      </w:r>
    </w:p>
    <w:p w:rsidR="00342B7B" w:rsidRPr="00DA4F3E" w:rsidRDefault="00342B7B" w:rsidP="00C1026F">
      <w:pPr>
        <w:bidi w:val="0"/>
        <w:spacing w:after="0" w:line="276" w:lineRule="auto"/>
        <w:ind w:left="2977" w:hanging="425"/>
        <w:rPr>
          <w:rFonts w:ascii="Times New Roman" w:hAnsi="Times New Roman" w:cs="Times New Roman"/>
          <w:b w:val="0"/>
          <w:bCs w:val="0"/>
          <w:sz w:val="24"/>
          <w:szCs w:val="24"/>
        </w:rPr>
      </w:pPr>
      <w:r w:rsidRPr="00DA4F3E">
        <w:rPr>
          <w:rFonts w:ascii="Times New Roman" w:hAnsi="Times New Roman" w:cs="Times New Roman"/>
          <w:b w:val="0"/>
          <w:bCs w:val="0"/>
          <w:sz w:val="24"/>
          <w:szCs w:val="24"/>
        </w:rPr>
        <w:sym w:font="Symbol" w:char="F0B7"/>
      </w:r>
      <w:r w:rsidRPr="00DA4F3E">
        <w:rPr>
          <w:rFonts w:ascii="Times New Roman" w:hAnsi="Times New Roman" w:cs="Times New Roman"/>
          <w:b w:val="0"/>
          <w:bCs w:val="0"/>
          <w:sz w:val="24"/>
          <w:szCs w:val="24"/>
        </w:rPr>
        <w:t xml:space="preserve"> </w:t>
      </w:r>
      <w:r w:rsidR="00D1054E" w:rsidRPr="00DA4F3E">
        <w:rPr>
          <w:rFonts w:ascii="Times New Roman" w:hAnsi="Times New Roman" w:cs="Times New Roman"/>
          <w:b w:val="0"/>
          <w:bCs w:val="0"/>
          <w:sz w:val="24"/>
          <w:szCs w:val="24"/>
        </w:rPr>
        <w:tab/>
        <w:t>L</w:t>
      </w:r>
      <w:r w:rsidRPr="00DA4F3E">
        <w:rPr>
          <w:rFonts w:ascii="Times New Roman" w:hAnsi="Times New Roman" w:cs="Times New Roman"/>
          <w:b w:val="0"/>
          <w:bCs w:val="0"/>
          <w:sz w:val="24"/>
          <w:szCs w:val="24"/>
        </w:rPr>
        <w:t xml:space="preserve">isted </w:t>
      </w:r>
      <w:r w:rsidR="00C1026F">
        <w:rPr>
          <w:rFonts w:ascii="Times New Roman" w:hAnsi="Times New Roman" w:cs="Times New Roman"/>
          <w:b w:val="0"/>
          <w:bCs w:val="0"/>
          <w:sz w:val="24"/>
          <w:szCs w:val="24"/>
        </w:rPr>
        <w:t>in</w:t>
      </w:r>
      <w:r w:rsidRPr="00DA4F3E">
        <w:rPr>
          <w:rFonts w:ascii="Times New Roman" w:hAnsi="Times New Roman" w:cs="Times New Roman"/>
          <w:b w:val="0"/>
          <w:bCs w:val="0"/>
          <w:sz w:val="24"/>
          <w:szCs w:val="24"/>
        </w:rPr>
        <w:t xml:space="preserve"> a recognised </w:t>
      </w:r>
      <w:r w:rsidR="00C1026F">
        <w:rPr>
          <w:rFonts w:ascii="Times New Roman" w:hAnsi="Times New Roman" w:cs="Times New Roman"/>
          <w:b w:val="0"/>
          <w:bCs w:val="0"/>
          <w:sz w:val="24"/>
          <w:szCs w:val="24"/>
        </w:rPr>
        <w:t>financial market</w:t>
      </w:r>
      <w:r w:rsidRPr="00DA4F3E">
        <w:rPr>
          <w:rFonts w:ascii="Times New Roman" w:hAnsi="Times New Roman" w:cs="Times New Roman"/>
          <w:b w:val="0"/>
          <w:bCs w:val="0"/>
          <w:sz w:val="24"/>
          <w:szCs w:val="24"/>
        </w:rPr>
        <w:t>.</w:t>
      </w:r>
    </w:p>
    <w:p w:rsidR="00342B7B" w:rsidRPr="00DA4F3E" w:rsidRDefault="00342B7B" w:rsidP="00D1054E">
      <w:pPr>
        <w:bidi w:val="0"/>
        <w:spacing w:after="0" w:line="276" w:lineRule="auto"/>
        <w:ind w:left="2977" w:hanging="425"/>
        <w:rPr>
          <w:rFonts w:ascii="Times New Roman" w:hAnsi="Times New Roman" w:cs="Times New Roman"/>
          <w:b w:val="0"/>
          <w:bCs w:val="0"/>
          <w:sz w:val="24"/>
          <w:szCs w:val="24"/>
        </w:rPr>
      </w:pPr>
      <w:r w:rsidRPr="00DA4F3E">
        <w:rPr>
          <w:rFonts w:ascii="Times New Roman" w:hAnsi="Times New Roman" w:cs="Times New Roman"/>
          <w:b w:val="0"/>
          <w:bCs w:val="0"/>
          <w:sz w:val="24"/>
          <w:szCs w:val="24"/>
        </w:rPr>
        <w:sym w:font="Symbol" w:char="F0B7"/>
      </w:r>
      <w:r w:rsidR="00D1054E" w:rsidRPr="00DA4F3E">
        <w:rPr>
          <w:rFonts w:ascii="Times New Roman" w:hAnsi="Times New Roman" w:cs="Times New Roman"/>
          <w:b w:val="0"/>
          <w:bCs w:val="0"/>
          <w:sz w:val="24"/>
          <w:szCs w:val="24"/>
        </w:rPr>
        <w:t xml:space="preserve"> </w:t>
      </w:r>
      <w:r w:rsidR="00D1054E" w:rsidRPr="00DA4F3E">
        <w:rPr>
          <w:rFonts w:ascii="Times New Roman" w:hAnsi="Times New Roman" w:cs="Times New Roman"/>
          <w:b w:val="0"/>
          <w:bCs w:val="0"/>
          <w:sz w:val="24"/>
          <w:szCs w:val="24"/>
        </w:rPr>
        <w:tab/>
        <w:t>C</w:t>
      </w:r>
      <w:r w:rsidRPr="00DA4F3E">
        <w:rPr>
          <w:rFonts w:ascii="Times New Roman" w:hAnsi="Times New Roman" w:cs="Times New Roman"/>
          <w:b w:val="0"/>
          <w:bCs w:val="0"/>
          <w:sz w:val="24"/>
          <w:szCs w:val="24"/>
        </w:rPr>
        <w:t>lassified as senior debt.</w:t>
      </w:r>
    </w:p>
    <w:p w:rsidR="00342B7B" w:rsidRPr="00DA4F3E" w:rsidRDefault="00342B7B" w:rsidP="009F50C5">
      <w:pPr>
        <w:bidi w:val="0"/>
        <w:spacing w:after="0" w:line="276" w:lineRule="auto"/>
        <w:ind w:left="2977" w:hanging="425"/>
        <w:rPr>
          <w:rFonts w:ascii="Times New Roman" w:hAnsi="Times New Roman" w:cs="Times New Roman"/>
          <w:b w:val="0"/>
          <w:bCs w:val="0"/>
          <w:sz w:val="24"/>
          <w:szCs w:val="24"/>
        </w:rPr>
      </w:pPr>
      <w:r w:rsidRPr="00DA4F3E">
        <w:rPr>
          <w:rFonts w:ascii="Times New Roman" w:hAnsi="Times New Roman" w:cs="Times New Roman"/>
          <w:b w:val="0"/>
          <w:bCs w:val="0"/>
          <w:sz w:val="24"/>
          <w:szCs w:val="24"/>
        </w:rPr>
        <w:sym w:font="Symbol" w:char="F0B7"/>
      </w:r>
      <w:r w:rsidRPr="00DA4F3E">
        <w:rPr>
          <w:rFonts w:ascii="Times New Roman" w:hAnsi="Times New Roman" w:cs="Times New Roman"/>
          <w:b w:val="0"/>
          <w:bCs w:val="0"/>
          <w:sz w:val="24"/>
          <w:szCs w:val="24"/>
        </w:rPr>
        <w:t xml:space="preserve"> </w:t>
      </w:r>
      <w:r w:rsidR="00D1054E" w:rsidRPr="00DA4F3E">
        <w:rPr>
          <w:rFonts w:ascii="Times New Roman" w:hAnsi="Times New Roman" w:cs="Times New Roman"/>
          <w:b w:val="0"/>
          <w:bCs w:val="0"/>
          <w:sz w:val="24"/>
          <w:szCs w:val="24"/>
        </w:rPr>
        <w:tab/>
        <w:t>A</w:t>
      </w:r>
      <w:r w:rsidRPr="00DA4F3E">
        <w:rPr>
          <w:rFonts w:ascii="Times New Roman" w:hAnsi="Times New Roman" w:cs="Times New Roman"/>
          <w:b w:val="0"/>
          <w:bCs w:val="0"/>
          <w:sz w:val="24"/>
          <w:szCs w:val="24"/>
        </w:rPr>
        <w:t xml:space="preserve">ll rated issues of the same seniority by the issuing bank that are rated at least BBB- or A-3/P-3 by a recognised external credit </w:t>
      </w:r>
      <w:r w:rsidR="009F50C5">
        <w:rPr>
          <w:rFonts w:ascii="Times New Roman" w:hAnsi="Times New Roman" w:cs="Times New Roman"/>
          <w:b w:val="0"/>
          <w:bCs w:val="0"/>
          <w:sz w:val="24"/>
          <w:szCs w:val="24"/>
        </w:rPr>
        <w:t>rating</w:t>
      </w:r>
      <w:r w:rsidRPr="00DA4F3E">
        <w:rPr>
          <w:rFonts w:ascii="Times New Roman" w:hAnsi="Times New Roman" w:cs="Times New Roman"/>
          <w:b w:val="0"/>
          <w:bCs w:val="0"/>
          <w:sz w:val="24"/>
          <w:szCs w:val="24"/>
        </w:rPr>
        <w:t xml:space="preserve"> institution.</w:t>
      </w:r>
    </w:p>
    <w:p w:rsidR="00342B7B" w:rsidRPr="00DA4F3E" w:rsidRDefault="00342B7B" w:rsidP="00D1054E">
      <w:pPr>
        <w:bidi w:val="0"/>
        <w:spacing w:after="0" w:line="276" w:lineRule="auto"/>
        <w:ind w:left="2977" w:hanging="425"/>
        <w:rPr>
          <w:rFonts w:ascii="Times New Roman" w:hAnsi="Times New Roman" w:cs="Times New Roman"/>
          <w:b w:val="0"/>
          <w:bCs w:val="0"/>
          <w:sz w:val="24"/>
          <w:szCs w:val="24"/>
        </w:rPr>
      </w:pPr>
      <w:r w:rsidRPr="00DA4F3E">
        <w:rPr>
          <w:rFonts w:ascii="Times New Roman" w:hAnsi="Times New Roman" w:cs="Times New Roman"/>
          <w:b w:val="0"/>
          <w:bCs w:val="0"/>
          <w:sz w:val="24"/>
          <w:szCs w:val="24"/>
        </w:rPr>
        <w:lastRenderedPageBreak/>
        <w:sym w:font="Symbol" w:char="F0B7"/>
      </w:r>
      <w:r w:rsidRPr="00DA4F3E">
        <w:rPr>
          <w:rFonts w:ascii="Times New Roman" w:hAnsi="Times New Roman" w:cs="Times New Roman"/>
          <w:b w:val="0"/>
          <w:bCs w:val="0"/>
          <w:sz w:val="24"/>
          <w:szCs w:val="24"/>
        </w:rPr>
        <w:t xml:space="preserve"> </w:t>
      </w:r>
      <w:r w:rsidR="00D1054E" w:rsidRPr="00DA4F3E">
        <w:rPr>
          <w:rFonts w:ascii="Times New Roman" w:hAnsi="Times New Roman" w:cs="Times New Roman"/>
          <w:b w:val="0"/>
          <w:bCs w:val="0"/>
          <w:sz w:val="24"/>
          <w:szCs w:val="24"/>
        </w:rPr>
        <w:tab/>
        <w:t>T</w:t>
      </w:r>
      <w:r w:rsidRPr="00DA4F3E">
        <w:rPr>
          <w:rFonts w:ascii="Times New Roman" w:hAnsi="Times New Roman" w:cs="Times New Roman"/>
          <w:b w:val="0"/>
          <w:bCs w:val="0"/>
          <w:sz w:val="24"/>
          <w:szCs w:val="24"/>
        </w:rPr>
        <w:t>he bank holding the securities as collateral has no information to suggest that the issue justifies a rating below BBB- or A-3/P-3.</w:t>
      </w:r>
    </w:p>
    <w:p w:rsidR="00342B7B" w:rsidRPr="00DA4F3E" w:rsidRDefault="00342B7B" w:rsidP="00D1054E">
      <w:pPr>
        <w:bidi w:val="0"/>
        <w:spacing w:after="0" w:line="276" w:lineRule="auto"/>
        <w:ind w:left="2977" w:hanging="425"/>
        <w:rPr>
          <w:rFonts w:ascii="Times New Roman" w:hAnsi="Times New Roman" w:cs="Times New Roman"/>
          <w:b w:val="0"/>
          <w:bCs w:val="0"/>
          <w:sz w:val="24"/>
          <w:szCs w:val="24"/>
        </w:rPr>
      </w:pPr>
      <w:r w:rsidRPr="00DA4F3E">
        <w:rPr>
          <w:rFonts w:ascii="Times New Roman" w:hAnsi="Times New Roman" w:cs="Times New Roman"/>
          <w:b w:val="0"/>
          <w:bCs w:val="0"/>
          <w:sz w:val="24"/>
          <w:szCs w:val="24"/>
        </w:rPr>
        <w:sym w:font="Symbol" w:char="F0B7"/>
      </w:r>
      <w:r w:rsidR="00D1054E" w:rsidRPr="00DA4F3E">
        <w:rPr>
          <w:rFonts w:ascii="Times New Roman" w:hAnsi="Times New Roman" w:cs="Times New Roman"/>
          <w:b w:val="0"/>
          <w:bCs w:val="0"/>
          <w:sz w:val="24"/>
          <w:szCs w:val="24"/>
        </w:rPr>
        <w:tab/>
        <w:t>T</w:t>
      </w:r>
      <w:r w:rsidRPr="00DA4F3E">
        <w:rPr>
          <w:rFonts w:ascii="Times New Roman" w:hAnsi="Times New Roman" w:cs="Times New Roman"/>
          <w:b w:val="0"/>
          <w:bCs w:val="0"/>
          <w:sz w:val="24"/>
          <w:szCs w:val="24"/>
        </w:rPr>
        <w:t>he Central Bank is sufficiently confident about the market liquidity of the security.</w:t>
      </w:r>
    </w:p>
    <w:p w:rsidR="00342B7B" w:rsidRPr="00DA4F3E" w:rsidRDefault="00342B7B" w:rsidP="00C1026F">
      <w:pPr>
        <w:bidi w:val="0"/>
        <w:spacing w:after="0" w:line="276" w:lineRule="auto"/>
        <w:ind w:left="2552" w:hanging="425"/>
        <w:rPr>
          <w:rFonts w:ascii="Times New Roman" w:hAnsi="Times New Roman" w:cs="Times New Roman"/>
          <w:b w:val="0"/>
          <w:bCs w:val="0"/>
          <w:sz w:val="24"/>
          <w:szCs w:val="24"/>
        </w:rPr>
      </w:pPr>
      <w:r w:rsidRPr="00DA4F3E">
        <w:rPr>
          <w:rFonts w:ascii="Times New Roman" w:hAnsi="Times New Roman" w:cs="Times New Roman"/>
          <w:b w:val="0"/>
          <w:bCs w:val="0"/>
          <w:sz w:val="24"/>
          <w:szCs w:val="24"/>
        </w:rPr>
        <w:t xml:space="preserve">- </w:t>
      </w:r>
      <w:r w:rsidR="00D1054E" w:rsidRPr="00DA4F3E">
        <w:rPr>
          <w:rFonts w:ascii="Times New Roman" w:hAnsi="Times New Roman" w:cs="Times New Roman"/>
          <w:b w:val="0"/>
          <w:bCs w:val="0"/>
          <w:sz w:val="24"/>
          <w:szCs w:val="24"/>
        </w:rPr>
        <w:tab/>
      </w:r>
      <w:r w:rsidR="00C1026F" w:rsidRPr="00A155CC">
        <w:rPr>
          <w:rFonts w:ascii="Times New Roman" w:hAnsi="Times New Roman" w:cs="Times New Roman"/>
          <w:b w:val="0"/>
          <w:bCs w:val="0"/>
          <w:sz w:val="24"/>
          <w:szCs w:val="24"/>
        </w:rPr>
        <w:t>Traded shares</w:t>
      </w:r>
      <w:r w:rsidRPr="00DA4F3E">
        <w:rPr>
          <w:rFonts w:ascii="Times New Roman" w:hAnsi="Times New Roman" w:cs="Times New Roman"/>
          <w:b w:val="0"/>
          <w:bCs w:val="0"/>
          <w:sz w:val="24"/>
          <w:szCs w:val="24"/>
        </w:rPr>
        <w:t xml:space="preserve"> (including convertible bonds) that are included in a main index.</w:t>
      </w:r>
    </w:p>
    <w:p w:rsidR="00342B7B" w:rsidRPr="00DA4F3E" w:rsidRDefault="00342B7B" w:rsidP="00D1054E">
      <w:pPr>
        <w:bidi w:val="0"/>
        <w:spacing w:after="0" w:line="276" w:lineRule="auto"/>
        <w:ind w:left="2552" w:hanging="425"/>
        <w:rPr>
          <w:rFonts w:ascii="Times New Roman" w:hAnsi="Times New Roman" w:cs="Times New Roman"/>
          <w:b w:val="0"/>
          <w:bCs w:val="0"/>
          <w:sz w:val="24"/>
          <w:szCs w:val="24"/>
          <w:lang w:val="en"/>
        </w:rPr>
      </w:pPr>
      <w:r w:rsidRPr="00DA4F3E">
        <w:rPr>
          <w:rFonts w:ascii="Times New Roman" w:hAnsi="Times New Roman" w:cs="Times New Roman"/>
          <w:b w:val="0"/>
          <w:bCs w:val="0"/>
          <w:sz w:val="24"/>
          <w:szCs w:val="24"/>
        </w:rPr>
        <w:t xml:space="preserve">- </w:t>
      </w:r>
      <w:r w:rsidR="00D1054E" w:rsidRPr="00DA4F3E">
        <w:rPr>
          <w:rFonts w:ascii="Times New Roman" w:hAnsi="Times New Roman" w:cs="Times New Roman"/>
          <w:b w:val="0"/>
          <w:bCs w:val="0"/>
          <w:sz w:val="24"/>
          <w:szCs w:val="24"/>
        </w:rPr>
        <w:tab/>
      </w:r>
      <w:r w:rsidRPr="00DA4F3E">
        <w:rPr>
          <w:rFonts w:ascii="Times New Roman" w:hAnsi="Times New Roman" w:cs="Times New Roman"/>
          <w:b w:val="0"/>
          <w:bCs w:val="0"/>
          <w:sz w:val="24"/>
          <w:szCs w:val="24"/>
          <w:lang w:val="en"/>
        </w:rPr>
        <w:t>Mutual investment funds and what they are based on, where:</w:t>
      </w:r>
    </w:p>
    <w:p w:rsidR="00342B7B" w:rsidRPr="00DA4F3E" w:rsidRDefault="00D1054E" w:rsidP="00D1054E">
      <w:pPr>
        <w:pStyle w:val="ListParagraph"/>
        <w:numPr>
          <w:ilvl w:val="0"/>
          <w:numId w:val="19"/>
        </w:numPr>
        <w:bidi w:val="0"/>
        <w:spacing w:after="0" w:line="276" w:lineRule="auto"/>
        <w:ind w:left="2977" w:hanging="425"/>
        <w:rPr>
          <w:rFonts w:ascii="Times New Roman" w:hAnsi="Times New Roman" w:cs="Times New Roman"/>
          <w:b w:val="0"/>
          <w:bCs w:val="0"/>
          <w:sz w:val="24"/>
          <w:szCs w:val="24"/>
        </w:rPr>
      </w:pPr>
      <w:r w:rsidRPr="00DA4F3E">
        <w:rPr>
          <w:rFonts w:ascii="Times New Roman" w:hAnsi="Times New Roman" w:cs="Times New Roman"/>
          <w:b w:val="0"/>
          <w:bCs w:val="0"/>
          <w:sz w:val="24"/>
          <w:szCs w:val="24"/>
        </w:rPr>
        <w:t>A</w:t>
      </w:r>
      <w:r w:rsidR="00342B7B" w:rsidRPr="00DA4F3E">
        <w:rPr>
          <w:rFonts w:ascii="Times New Roman" w:hAnsi="Times New Roman" w:cs="Times New Roman"/>
          <w:b w:val="0"/>
          <w:bCs w:val="0"/>
          <w:sz w:val="24"/>
          <w:szCs w:val="24"/>
        </w:rPr>
        <w:t xml:space="preserve"> price for the units is publicly quoted daily.</w:t>
      </w:r>
    </w:p>
    <w:p w:rsidR="00342B7B" w:rsidRPr="00DA4F3E" w:rsidRDefault="00342B7B" w:rsidP="00D1054E">
      <w:pPr>
        <w:pStyle w:val="ListParagraph"/>
        <w:numPr>
          <w:ilvl w:val="0"/>
          <w:numId w:val="19"/>
        </w:numPr>
        <w:bidi w:val="0"/>
        <w:spacing w:after="0" w:line="276" w:lineRule="auto"/>
        <w:ind w:left="2977" w:hanging="425"/>
        <w:rPr>
          <w:rFonts w:ascii="Times New Roman" w:hAnsi="Times New Roman" w:cs="Times New Roman"/>
          <w:b w:val="0"/>
          <w:bCs w:val="0"/>
          <w:sz w:val="24"/>
          <w:szCs w:val="24"/>
        </w:rPr>
      </w:pPr>
      <w:r w:rsidRPr="00DA4F3E">
        <w:rPr>
          <w:rFonts w:ascii="Times New Roman" w:hAnsi="Times New Roman" w:cs="Times New Roman"/>
          <w:b w:val="0"/>
          <w:bCs w:val="0"/>
          <w:sz w:val="24"/>
          <w:szCs w:val="24"/>
        </w:rPr>
        <w:t xml:space="preserve">The mutual fund is limited to investing in the instruments listed above. </w:t>
      </w:r>
    </w:p>
    <w:p w:rsidR="00431759" w:rsidRPr="00DA4F3E" w:rsidRDefault="00431759" w:rsidP="00C1026F">
      <w:pPr>
        <w:bidi w:val="0"/>
        <w:spacing w:after="0" w:line="276" w:lineRule="auto"/>
        <w:ind w:left="2127" w:hanging="851"/>
        <w:rPr>
          <w:rFonts w:ascii="Times New Roman" w:hAnsi="Times New Roman" w:cs="Times New Roman"/>
          <w:b w:val="0"/>
          <w:bCs w:val="0"/>
          <w:sz w:val="24"/>
          <w:szCs w:val="24"/>
        </w:rPr>
      </w:pPr>
      <w:r w:rsidRPr="00DA4F3E">
        <w:rPr>
          <w:rFonts w:ascii="Times New Roman" w:hAnsi="Times New Roman" w:cs="Times New Roman"/>
          <w:b w:val="0"/>
          <w:bCs w:val="0"/>
          <w:sz w:val="24"/>
          <w:szCs w:val="24"/>
        </w:rPr>
        <w:t xml:space="preserve">4.1.2 </w:t>
      </w:r>
      <w:r w:rsidR="00D1054E" w:rsidRPr="00DA4F3E">
        <w:rPr>
          <w:rFonts w:ascii="Times New Roman" w:hAnsi="Times New Roman" w:cs="Times New Roman"/>
          <w:b w:val="0"/>
          <w:bCs w:val="0"/>
          <w:sz w:val="24"/>
          <w:szCs w:val="24"/>
        </w:rPr>
        <w:tab/>
      </w:r>
      <w:r w:rsidRPr="00DA4F3E">
        <w:rPr>
          <w:rFonts w:ascii="Times New Roman" w:hAnsi="Times New Roman" w:cs="Times New Roman"/>
          <w:b w:val="0"/>
          <w:bCs w:val="0"/>
          <w:sz w:val="24"/>
          <w:szCs w:val="24"/>
        </w:rPr>
        <w:t>The following collateral</w:t>
      </w:r>
      <w:r w:rsidR="00C1026F">
        <w:rPr>
          <w:rFonts w:ascii="Times New Roman" w:hAnsi="Times New Roman" w:cs="Times New Roman"/>
          <w:b w:val="0"/>
          <w:bCs w:val="0"/>
          <w:sz w:val="24"/>
          <w:szCs w:val="24"/>
        </w:rPr>
        <w:t>s</w:t>
      </w:r>
      <w:r w:rsidRPr="00DA4F3E">
        <w:rPr>
          <w:rFonts w:ascii="Times New Roman" w:hAnsi="Times New Roman" w:cs="Times New Roman"/>
          <w:b w:val="0"/>
          <w:bCs w:val="0"/>
          <w:sz w:val="24"/>
          <w:szCs w:val="24"/>
        </w:rPr>
        <w:t xml:space="preserve"> are eligible for recognition in the comprehensive approach:</w:t>
      </w:r>
    </w:p>
    <w:p w:rsidR="00431759" w:rsidRPr="00DA4F3E" w:rsidRDefault="00431759" w:rsidP="00C1026F">
      <w:pPr>
        <w:bidi w:val="0"/>
        <w:spacing w:after="0" w:line="276" w:lineRule="auto"/>
        <w:ind w:left="2552" w:hanging="425"/>
        <w:rPr>
          <w:rFonts w:ascii="Times New Roman" w:hAnsi="Times New Roman" w:cs="Times New Roman"/>
          <w:b w:val="0"/>
          <w:bCs w:val="0"/>
          <w:sz w:val="24"/>
          <w:szCs w:val="24"/>
        </w:rPr>
      </w:pPr>
      <w:r w:rsidRPr="00DA4F3E">
        <w:rPr>
          <w:rFonts w:ascii="Times New Roman" w:hAnsi="Times New Roman" w:cs="Times New Roman"/>
          <w:b w:val="0"/>
          <w:bCs w:val="0"/>
          <w:sz w:val="24"/>
          <w:szCs w:val="24"/>
        </w:rPr>
        <w:t xml:space="preserve">- </w:t>
      </w:r>
      <w:r w:rsidR="00D1054E" w:rsidRPr="00DA4F3E">
        <w:rPr>
          <w:rFonts w:ascii="Times New Roman" w:hAnsi="Times New Roman" w:cs="Times New Roman"/>
          <w:b w:val="0"/>
          <w:bCs w:val="0"/>
          <w:sz w:val="24"/>
          <w:szCs w:val="24"/>
        </w:rPr>
        <w:tab/>
      </w:r>
      <w:r w:rsidRPr="00DA4F3E">
        <w:rPr>
          <w:rFonts w:ascii="Times New Roman" w:hAnsi="Times New Roman" w:cs="Times New Roman"/>
          <w:b w:val="0"/>
          <w:bCs w:val="0"/>
          <w:sz w:val="24"/>
          <w:szCs w:val="24"/>
        </w:rPr>
        <w:t xml:space="preserve">All of the </w:t>
      </w:r>
      <w:r w:rsidR="00C1026F" w:rsidRPr="00DA4F3E">
        <w:rPr>
          <w:rFonts w:ascii="Times New Roman" w:hAnsi="Times New Roman" w:cs="Times New Roman"/>
          <w:b w:val="0"/>
          <w:bCs w:val="0"/>
          <w:sz w:val="24"/>
          <w:szCs w:val="24"/>
        </w:rPr>
        <w:t>collateral</w:t>
      </w:r>
      <w:r w:rsidR="00C1026F">
        <w:rPr>
          <w:rFonts w:ascii="Times New Roman" w:hAnsi="Times New Roman" w:cs="Times New Roman"/>
          <w:b w:val="0"/>
          <w:bCs w:val="0"/>
          <w:sz w:val="24"/>
          <w:szCs w:val="24"/>
        </w:rPr>
        <w:t>s</w:t>
      </w:r>
      <w:r w:rsidR="00C1026F" w:rsidRPr="00DA4F3E">
        <w:rPr>
          <w:rFonts w:ascii="Times New Roman" w:hAnsi="Times New Roman" w:cs="Times New Roman"/>
          <w:b w:val="0"/>
          <w:bCs w:val="0"/>
          <w:sz w:val="24"/>
          <w:szCs w:val="24"/>
        </w:rPr>
        <w:t xml:space="preserve"> </w:t>
      </w:r>
      <w:r w:rsidRPr="00DA4F3E">
        <w:rPr>
          <w:rFonts w:ascii="Times New Roman" w:hAnsi="Times New Roman" w:cs="Times New Roman"/>
          <w:b w:val="0"/>
          <w:bCs w:val="0"/>
          <w:sz w:val="24"/>
          <w:szCs w:val="24"/>
        </w:rPr>
        <w:t>in simple approach.</w:t>
      </w:r>
    </w:p>
    <w:p w:rsidR="00431759" w:rsidRPr="00DA4F3E" w:rsidRDefault="00431759" w:rsidP="00A155CC">
      <w:pPr>
        <w:bidi w:val="0"/>
        <w:spacing w:after="0" w:line="276" w:lineRule="auto"/>
        <w:ind w:left="2552" w:hanging="425"/>
        <w:rPr>
          <w:rFonts w:ascii="Times New Roman" w:hAnsi="Times New Roman" w:cs="Times New Roman"/>
          <w:b w:val="0"/>
          <w:bCs w:val="0"/>
          <w:sz w:val="24"/>
          <w:szCs w:val="24"/>
        </w:rPr>
      </w:pPr>
      <w:r w:rsidRPr="00DA4F3E">
        <w:rPr>
          <w:rFonts w:ascii="Times New Roman" w:hAnsi="Times New Roman" w:cs="Times New Roman"/>
          <w:b w:val="0"/>
          <w:bCs w:val="0"/>
          <w:sz w:val="24"/>
          <w:szCs w:val="24"/>
        </w:rPr>
        <w:t xml:space="preserve">- </w:t>
      </w:r>
      <w:r w:rsidR="00D1054E" w:rsidRPr="00DA4F3E">
        <w:rPr>
          <w:rFonts w:ascii="Times New Roman" w:hAnsi="Times New Roman" w:cs="Times New Roman"/>
          <w:b w:val="0"/>
          <w:bCs w:val="0"/>
          <w:sz w:val="24"/>
          <w:szCs w:val="24"/>
        </w:rPr>
        <w:tab/>
      </w:r>
      <w:r w:rsidR="00A155CC" w:rsidRPr="00A155CC">
        <w:rPr>
          <w:rFonts w:ascii="Times New Roman" w:hAnsi="Times New Roman" w:cs="Times New Roman"/>
          <w:b w:val="0"/>
          <w:bCs w:val="0"/>
          <w:sz w:val="24"/>
          <w:szCs w:val="24"/>
        </w:rPr>
        <w:t>Traded shares</w:t>
      </w:r>
      <w:r w:rsidRPr="00A155CC">
        <w:rPr>
          <w:rFonts w:ascii="Times New Roman" w:hAnsi="Times New Roman" w:cs="Times New Roman"/>
          <w:b w:val="0"/>
          <w:bCs w:val="0"/>
          <w:sz w:val="24"/>
          <w:szCs w:val="24"/>
        </w:rPr>
        <w:t xml:space="preserve"> (including convertible bonds) which are not included in a main index but which are listed on a recognised </w:t>
      </w:r>
      <w:r w:rsidR="00A155CC" w:rsidRPr="00A155CC">
        <w:rPr>
          <w:rFonts w:ascii="Times New Roman" w:hAnsi="Times New Roman" w:cs="Times New Roman"/>
          <w:b w:val="0"/>
          <w:bCs w:val="0"/>
          <w:sz w:val="24"/>
          <w:szCs w:val="24"/>
        </w:rPr>
        <w:t>financial market</w:t>
      </w:r>
      <w:r w:rsidRPr="00A155CC">
        <w:rPr>
          <w:rFonts w:ascii="Times New Roman" w:hAnsi="Times New Roman" w:cs="Times New Roman"/>
          <w:b w:val="0"/>
          <w:bCs w:val="0"/>
          <w:sz w:val="24"/>
          <w:szCs w:val="24"/>
        </w:rPr>
        <w:t>.</w:t>
      </w:r>
    </w:p>
    <w:p w:rsidR="00431759" w:rsidRPr="00DA4F3E" w:rsidRDefault="00431759" w:rsidP="00D1054E">
      <w:pPr>
        <w:bidi w:val="0"/>
        <w:spacing w:after="0" w:line="276" w:lineRule="auto"/>
        <w:ind w:left="2552" w:hanging="425"/>
        <w:rPr>
          <w:rFonts w:ascii="Times New Roman" w:hAnsi="Times New Roman" w:cs="Times New Roman"/>
          <w:b w:val="0"/>
          <w:bCs w:val="0"/>
          <w:sz w:val="24"/>
          <w:szCs w:val="24"/>
        </w:rPr>
      </w:pPr>
      <w:r w:rsidRPr="00DA4F3E">
        <w:rPr>
          <w:rFonts w:ascii="Times New Roman" w:hAnsi="Times New Roman" w:cs="Times New Roman"/>
          <w:b w:val="0"/>
          <w:bCs w:val="0"/>
          <w:sz w:val="24"/>
          <w:szCs w:val="24"/>
        </w:rPr>
        <w:t xml:space="preserve">- </w:t>
      </w:r>
      <w:r w:rsidR="00D1054E" w:rsidRPr="00DA4F3E">
        <w:rPr>
          <w:rFonts w:ascii="Times New Roman" w:hAnsi="Times New Roman" w:cs="Times New Roman"/>
          <w:b w:val="0"/>
          <w:bCs w:val="0"/>
          <w:sz w:val="24"/>
          <w:szCs w:val="24"/>
        </w:rPr>
        <w:tab/>
        <w:t>M</w:t>
      </w:r>
      <w:r w:rsidRPr="00DA4F3E">
        <w:rPr>
          <w:rFonts w:ascii="Times New Roman" w:hAnsi="Times New Roman" w:cs="Times New Roman"/>
          <w:b w:val="0"/>
          <w:bCs w:val="0"/>
          <w:sz w:val="24"/>
          <w:szCs w:val="24"/>
        </w:rPr>
        <w:t>utual funds which include such equities.</w:t>
      </w:r>
    </w:p>
    <w:p w:rsidR="00431759" w:rsidRPr="00F1087B" w:rsidRDefault="00431759" w:rsidP="00D1054E">
      <w:pPr>
        <w:bidi w:val="0"/>
        <w:spacing w:after="0" w:line="276" w:lineRule="auto"/>
        <w:rPr>
          <w:rFonts w:ascii="Times New Roman" w:hAnsi="Times New Roman" w:cs="Times New Roman"/>
          <w:b w:val="0"/>
          <w:bCs w:val="0"/>
          <w:sz w:val="14"/>
          <w:szCs w:val="14"/>
        </w:rPr>
      </w:pPr>
    </w:p>
    <w:p w:rsidR="00431759" w:rsidRPr="00DA4F3E" w:rsidRDefault="00431759" w:rsidP="00D1054E">
      <w:pPr>
        <w:bidi w:val="0"/>
        <w:spacing w:after="0" w:line="276" w:lineRule="auto"/>
        <w:ind w:left="709" w:hanging="567"/>
        <w:rPr>
          <w:rFonts w:ascii="Times New Roman" w:hAnsi="Times New Roman" w:cs="Times New Roman"/>
          <w:sz w:val="24"/>
          <w:szCs w:val="24"/>
        </w:rPr>
      </w:pPr>
      <w:r w:rsidRPr="00DA4F3E">
        <w:rPr>
          <w:rFonts w:ascii="Times New Roman" w:hAnsi="Times New Roman" w:cs="Times New Roman"/>
          <w:sz w:val="24"/>
          <w:szCs w:val="24"/>
        </w:rPr>
        <w:t xml:space="preserve">5. </w:t>
      </w:r>
      <w:r w:rsidR="00D1054E" w:rsidRPr="00DA4F3E">
        <w:rPr>
          <w:rFonts w:ascii="Times New Roman" w:hAnsi="Times New Roman" w:cs="Times New Roman"/>
          <w:sz w:val="24"/>
          <w:szCs w:val="24"/>
        </w:rPr>
        <w:tab/>
      </w:r>
      <w:r w:rsidRPr="00DA4F3E">
        <w:rPr>
          <w:rFonts w:ascii="Times New Roman" w:hAnsi="Times New Roman" w:cs="Times New Roman"/>
          <w:sz w:val="24"/>
          <w:szCs w:val="24"/>
        </w:rPr>
        <w:t>Simple Approach</w:t>
      </w:r>
    </w:p>
    <w:p w:rsidR="00431759" w:rsidRPr="00DA4F3E" w:rsidRDefault="00803AF9" w:rsidP="00803AF9">
      <w:pPr>
        <w:bidi w:val="0"/>
        <w:spacing w:after="0" w:line="276" w:lineRule="auto"/>
        <w:ind w:left="709"/>
        <w:rPr>
          <w:rFonts w:ascii="Times New Roman" w:hAnsi="Times New Roman" w:cs="Times New Roman"/>
          <w:b w:val="0"/>
          <w:bCs w:val="0"/>
          <w:sz w:val="24"/>
          <w:szCs w:val="24"/>
        </w:rPr>
      </w:pPr>
      <w:r w:rsidRPr="00DA4F3E">
        <w:rPr>
          <w:rFonts w:ascii="Times New Roman" w:hAnsi="Times New Roman" w:cs="Times New Roman"/>
          <w:b w:val="0"/>
          <w:bCs w:val="0"/>
          <w:sz w:val="24"/>
          <w:szCs w:val="24"/>
        </w:rPr>
        <w:t>I</w:t>
      </w:r>
      <w:r w:rsidR="00431759" w:rsidRPr="00DA4F3E">
        <w:rPr>
          <w:rFonts w:ascii="Times New Roman" w:hAnsi="Times New Roman" w:cs="Times New Roman"/>
          <w:b w:val="0"/>
          <w:bCs w:val="0"/>
          <w:sz w:val="24"/>
          <w:szCs w:val="24"/>
        </w:rPr>
        <w:t xml:space="preserve">n the simple approach the risk weighting of the collateral instrument </w:t>
      </w:r>
      <w:r w:rsidR="00C44448" w:rsidRPr="00DA4F3E">
        <w:rPr>
          <w:rFonts w:ascii="Times New Roman" w:hAnsi="Times New Roman" w:cs="Times New Roman"/>
          <w:b w:val="0"/>
          <w:bCs w:val="0"/>
          <w:sz w:val="24"/>
          <w:szCs w:val="24"/>
        </w:rPr>
        <w:t>collateralizing</w:t>
      </w:r>
      <w:r w:rsidR="00431759" w:rsidRPr="00DA4F3E">
        <w:rPr>
          <w:rFonts w:ascii="Times New Roman" w:hAnsi="Times New Roman" w:cs="Times New Roman"/>
          <w:b w:val="0"/>
          <w:bCs w:val="0"/>
          <w:sz w:val="24"/>
          <w:szCs w:val="24"/>
        </w:rPr>
        <w:t xml:space="preserve"> or partially </w:t>
      </w:r>
      <w:r w:rsidR="00C44448" w:rsidRPr="00DA4F3E">
        <w:rPr>
          <w:rFonts w:ascii="Times New Roman" w:hAnsi="Times New Roman" w:cs="Times New Roman"/>
          <w:b w:val="0"/>
          <w:bCs w:val="0"/>
          <w:sz w:val="24"/>
          <w:szCs w:val="24"/>
        </w:rPr>
        <w:t>collateralizing</w:t>
      </w:r>
      <w:r w:rsidR="00431759" w:rsidRPr="00DA4F3E">
        <w:rPr>
          <w:rFonts w:ascii="Times New Roman" w:hAnsi="Times New Roman" w:cs="Times New Roman"/>
          <w:b w:val="0"/>
          <w:bCs w:val="0"/>
          <w:sz w:val="24"/>
          <w:szCs w:val="24"/>
        </w:rPr>
        <w:t xml:space="preserve"> the exposure is substituted for the risk</w:t>
      </w:r>
      <w:r w:rsidR="00805B46" w:rsidRPr="00DA4F3E">
        <w:rPr>
          <w:rFonts w:ascii="Times New Roman" w:hAnsi="Times New Roman" w:cs="Times New Roman"/>
          <w:b w:val="0"/>
          <w:bCs w:val="0"/>
          <w:sz w:val="24"/>
          <w:szCs w:val="24"/>
        </w:rPr>
        <w:t xml:space="preserve"> weighting of the counterparty.</w:t>
      </w:r>
    </w:p>
    <w:p w:rsidR="00805B46" w:rsidRPr="00F1087B" w:rsidRDefault="00805B46" w:rsidP="00D1054E">
      <w:pPr>
        <w:bidi w:val="0"/>
        <w:spacing w:after="0" w:line="276" w:lineRule="auto"/>
        <w:rPr>
          <w:rFonts w:ascii="Times New Roman" w:hAnsi="Times New Roman" w:cs="Times New Roman"/>
          <w:b w:val="0"/>
          <w:bCs w:val="0"/>
          <w:sz w:val="16"/>
          <w:szCs w:val="16"/>
        </w:rPr>
      </w:pPr>
    </w:p>
    <w:p w:rsidR="00805B46" w:rsidRPr="00DA4F3E" w:rsidRDefault="00C44448" w:rsidP="00527B04">
      <w:pPr>
        <w:pStyle w:val="ListParagraph"/>
        <w:numPr>
          <w:ilvl w:val="0"/>
          <w:numId w:val="7"/>
        </w:numPr>
        <w:bidi w:val="0"/>
        <w:spacing w:after="0" w:line="276" w:lineRule="auto"/>
        <w:ind w:hanging="578"/>
        <w:rPr>
          <w:rFonts w:ascii="Times New Roman" w:hAnsi="Times New Roman" w:cs="Times New Roman"/>
          <w:sz w:val="24"/>
          <w:szCs w:val="24"/>
        </w:rPr>
      </w:pPr>
      <w:r w:rsidRPr="00DA4F3E">
        <w:rPr>
          <w:rFonts w:ascii="Times New Roman" w:hAnsi="Times New Roman" w:cs="Times New Roman"/>
          <w:sz w:val="24"/>
          <w:szCs w:val="24"/>
        </w:rPr>
        <w:t>Minimum conditions</w:t>
      </w:r>
      <w:r w:rsidR="00053BC4">
        <w:rPr>
          <w:rFonts w:ascii="Times New Roman" w:hAnsi="Times New Roman" w:cs="Times New Roman" w:hint="cs"/>
          <w:sz w:val="24"/>
          <w:szCs w:val="24"/>
          <w:rtl/>
        </w:rPr>
        <w:t xml:space="preserve"> </w:t>
      </w:r>
      <w:r w:rsidR="00053BC4">
        <w:rPr>
          <w:rFonts w:ascii="Times New Roman" w:hAnsi="Times New Roman" w:cs="Times New Roman"/>
          <w:sz w:val="24"/>
          <w:szCs w:val="24"/>
        </w:rPr>
        <w:t xml:space="preserve">to be met in </w:t>
      </w:r>
      <w:r w:rsidR="00527B04">
        <w:rPr>
          <w:rFonts w:ascii="Times New Roman" w:hAnsi="Times New Roman" w:cs="Times New Roman"/>
          <w:sz w:val="24"/>
          <w:szCs w:val="24"/>
        </w:rPr>
        <w:t>collaterals</w:t>
      </w:r>
    </w:p>
    <w:p w:rsidR="00C44448" w:rsidRPr="00DA4F3E" w:rsidRDefault="00C44448" w:rsidP="00803AF9">
      <w:pPr>
        <w:pStyle w:val="ListParagraph"/>
        <w:numPr>
          <w:ilvl w:val="1"/>
          <w:numId w:val="7"/>
        </w:numPr>
        <w:bidi w:val="0"/>
        <w:spacing w:after="0" w:line="276" w:lineRule="auto"/>
        <w:ind w:left="1276" w:hanging="556"/>
        <w:rPr>
          <w:rFonts w:ascii="Times New Roman" w:hAnsi="Times New Roman" w:cs="Times New Roman"/>
          <w:b w:val="0"/>
          <w:bCs w:val="0"/>
          <w:sz w:val="24"/>
          <w:szCs w:val="24"/>
        </w:rPr>
      </w:pPr>
      <w:r w:rsidRPr="00DA4F3E">
        <w:rPr>
          <w:rFonts w:ascii="Times New Roman" w:hAnsi="Times New Roman" w:cs="Times New Roman"/>
          <w:b w:val="0"/>
          <w:bCs w:val="0"/>
          <w:sz w:val="24"/>
          <w:szCs w:val="24"/>
        </w:rPr>
        <w:t>The collateral must be pledged for at least the life of the exposure.</w:t>
      </w:r>
    </w:p>
    <w:p w:rsidR="00C44448" w:rsidRPr="00DA4F3E" w:rsidRDefault="00C44448" w:rsidP="00803AF9">
      <w:pPr>
        <w:pStyle w:val="ListParagraph"/>
        <w:numPr>
          <w:ilvl w:val="1"/>
          <w:numId w:val="7"/>
        </w:numPr>
        <w:bidi w:val="0"/>
        <w:spacing w:after="0" w:line="276" w:lineRule="auto"/>
        <w:ind w:left="1276" w:hanging="556"/>
        <w:rPr>
          <w:rFonts w:ascii="Times New Roman" w:hAnsi="Times New Roman" w:cs="Times New Roman"/>
          <w:b w:val="0"/>
          <w:bCs w:val="0"/>
          <w:sz w:val="24"/>
          <w:szCs w:val="24"/>
        </w:rPr>
      </w:pPr>
      <w:r w:rsidRPr="00DA4F3E">
        <w:rPr>
          <w:rFonts w:ascii="Times New Roman" w:hAnsi="Times New Roman" w:cs="Times New Roman"/>
          <w:b w:val="0"/>
          <w:bCs w:val="0"/>
          <w:sz w:val="24"/>
          <w:szCs w:val="24"/>
        </w:rPr>
        <w:t>It must be marked to market and revalued with a minimum frequency of six months.</w:t>
      </w:r>
    </w:p>
    <w:p w:rsidR="00C44448" w:rsidRPr="00DA4F3E" w:rsidRDefault="004B2161" w:rsidP="00803AF9">
      <w:pPr>
        <w:pStyle w:val="ListParagraph"/>
        <w:numPr>
          <w:ilvl w:val="1"/>
          <w:numId w:val="7"/>
        </w:numPr>
        <w:bidi w:val="0"/>
        <w:spacing w:after="0" w:line="276" w:lineRule="auto"/>
        <w:ind w:left="1276" w:hanging="556"/>
        <w:rPr>
          <w:rFonts w:ascii="Times New Roman" w:hAnsi="Times New Roman" w:cs="Times New Roman"/>
          <w:b w:val="0"/>
          <w:bCs w:val="0"/>
          <w:sz w:val="24"/>
          <w:szCs w:val="24"/>
        </w:rPr>
      </w:pPr>
      <w:r w:rsidRPr="00DA4F3E">
        <w:rPr>
          <w:rFonts w:ascii="Times New Roman" w:hAnsi="Times New Roman" w:cs="Times New Roman"/>
          <w:b w:val="0"/>
          <w:bCs w:val="0"/>
          <w:sz w:val="24"/>
          <w:szCs w:val="24"/>
          <w:lang w:val="en"/>
        </w:rPr>
        <w:t>In the event of partial coverage, the claim is divided into two parts, covered part which is given the risk weight of the guarantee, and not covered part is given the risk weight of the counterparty.</w:t>
      </w:r>
    </w:p>
    <w:p w:rsidR="00505A8B" w:rsidRPr="00DA4F3E" w:rsidRDefault="004B2161" w:rsidP="00803AF9">
      <w:pPr>
        <w:pStyle w:val="ListParagraph"/>
        <w:numPr>
          <w:ilvl w:val="1"/>
          <w:numId w:val="7"/>
        </w:numPr>
        <w:bidi w:val="0"/>
        <w:spacing w:after="0" w:line="276" w:lineRule="auto"/>
        <w:ind w:left="1276" w:hanging="556"/>
        <w:rPr>
          <w:rFonts w:ascii="Times New Roman" w:hAnsi="Times New Roman" w:cs="Times New Roman"/>
          <w:b w:val="0"/>
          <w:bCs w:val="0"/>
          <w:sz w:val="24"/>
          <w:szCs w:val="24"/>
        </w:rPr>
      </w:pPr>
      <w:r w:rsidRPr="00DA4F3E">
        <w:rPr>
          <w:rFonts w:ascii="Times New Roman" w:hAnsi="Times New Roman" w:cs="Times New Roman"/>
          <w:b w:val="0"/>
          <w:bCs w:val="0"/>
          <w:sz w:val="24"/>
          <w:szCs w:val="24"/>
          <w:lang w:val="en"/>
        </w:rPr>
        <w:t>The part covered by a</w:t>
      </w:r>
      <w:r w:rsidR="00C730FE" w:rsidRPr="00DA4F3E">
        <w:rPr>
          <w:rFonts w:ascii="Times New Roman" w:hAnsi="Times New Roman" w:cs="Times New Roman"/>
          <w:b w:val="0"/>
          <w:bCs w:val="0"/>
          <w:sz w:val="24"/>
          <w:szCs w:val="24"/>
          <w:lang w:val="en"/>
        </w:rPr>
        <w:t>n</w:t>
      </w:r>
      <w:r w:rsidRPr="00DA4F3E">
        <w:rPr>
          <w:rFonts w:ascii="Times New Roman" w:hAnsi="Times New Roman" w:cs="Times New Roman"/>
          <w:b w:val="0"/>
          <w:bCs w:val="0"/>
          <w:sz w:val="24"/>
          <w:szCs w:val="24"/>
          <w:lang w:val="en"/>
        </w:rPr>
        <w:t xml:space="preserve"> </w:t>
      </w:r>
      <w:r w:rsidR="00C730FE" w:rsidRPr="00DA4F3E">
        <w:rPr>
          <w:rFonts w:ascii="Times New Roman" w:hAnsi="Times New Roman" w:cs="Times New Roman"/>
          <w:b w:val="0"/>
          <w:bCs w:val="0"/>
          <w:sz w:val="24"/>
          <w:szCs w:val="24"/>
          <w:lang w:val="en"/>
        </w:rPr>
        <w:t>eligible</w:t>
      </w:r>
      <w:r w:rsidRPr="00DA4F3E">
        <w:rPr>
          <w:rFonts w:ascii="Times New Roman" w:hAnsi="Times New Roman" w:cs="Times New Roman"/>
          <w:b w:val="0"/>
          <w:bCs w:val="0"/>
          <w:sz w:val="24"/>
          <w:szCs w:val="24"/>
          <w:lang w:val="en"/>
        </w:rPr>
        <w:t xml:space="preserve"> guarantee is subject to a minimum risk weight (20%), taking into account the exceptions mentioned in clause (7) below</w:t>
      </w:r>
      <w:r w:rsidR="00527B04">
        <w:rPr>
          <w:rFonts w:ascii="Times New Roman" w:hAnsi="Times New Roman" w:cs="Times New Roman"/>
          <w:b w:val="0"/>
          <w:bCs w:val="0"/>
          <w:sz w:val="24"/>
          <w:szCs w:val="24"/>
          <w:lang w:val="en"/>
        </w:rPr>
        <w:t>.</w:t>
      </w:r>
    </w:p>
    <w:p w:rsidR="00DE7C7B" w:rsidRPr="00F1087B" w:rsidRDefault="00DE7C7B" w:rsidP="00D1054E">
      <w:pPr>
        <w:spacing w:after="0" w:line="276" w:lineRule="auto"/>
        <w:ind w:left="1275" w:hanging="709"/>
        <w:rPr>
          <w:rFonts w:ascii="Times New Roman" w:hAnsi="Times New Roman" w:cs="Times New Roman"/>
          <w:b w:val="0"/>
          <w:bCs w:val="0"/>
          <w:sz w:val="12"/>
          <w:szCs w:val="12"/>
        </w:rPr>
      </w:pPr>
    </w:p>
    <w:p w:rsidR="00DE7C7B" w:rsidRPr="00DA4F3E" w:rsidRDefault="00DE7C7B" w:rsidP="00803AF9">
      <w:pPr>
        <w:bidi w:val="0"/>
        <w:spacing w:after="0" w:line="276" w:lineRule="auto"/>
        <w:ind w:left="709" w:hanging="567"/>
        <w:rPr>
          <w:rFonts w:ascii="Times New Roman" w:hAnsi="Times New Roman" w:cs="Times New Roman"/>
          <w:sz w:val="24"/>
          <w:szCs w:val="24"/>
        </w:rPr>
      </w:pPr>
      <w:r w:rsidRPr="00DA4F3E">
        <w:rPr>
          <w:rFonts w:ascii="Times New Roman" w:hAnsi="Times New Roman" w:cs="Times New Roman"/>
          <w:sz w:val="24"/>
          <w:szCs w:val="24"/>
        </w:rPr>
        <w:t xml:space="preserve">7. </w:t>
      </w:r>
      <w:r w:rsidR="00803AF9" w:rsidRPr="00DA4F3E">
        <w:rPr>
          <w:rFonts w:ascii="Times New Roman" w:hAnsi="Times New Roman" w:cs="Times New Roman"/>
          <w:sz w:val="24"/>
          <w:szCs w:val="24"/>
        </w:rPr>
        <w:tab/>
      </w:r>
      <w:r w:rsidRPr="00DA4F3E">
        <w:rPr>
          <w:rFonts w:ascii="Times New Roman" w:hAnsi="Times New Roman" w:cs="Times New Roman"/>
          <w:sz w:val="24"/>
          <w:szCs w:val="24"/>
        </w:rPr>
        <w:t>Exceptions to the Risk Weight Floor:</w:t>
      </w:r>
    </w:p>
    <w:p w:rsidR="00922DAB" w:rsidRPr="00DA4F3E" w:rsidRDefault="00922DAB" w:rsidP="00803AF9">
      <w:pPr>
        <w:bidi w:val="0"/>
        <w:spacing w:after="0" w:line="276" w:lineRule="auto"/>
        <w:ind w:left="1275" w:hanging="566"/>
        <w:rPr>
          <w:rFonts w:ascii="Times New Roman" w:hAnsi="Times New Roman" w:cs="Times New Roman"/>
          <w:b w:val="0"/>
          <w:bCs w:val="0"/>
          <w:sz w:val="24"/>
          <w:szCs w:val="24"/>
        </w:rPr>
      </w:pPr>
      <w:r w:rsidRPr="00DA4F3E">
        <w:rPr>
          <w:rFonts w:ascii="Times New Roman" w:hAnsi="Times New Roman" w:cs="Times New Roman"/>
          <w:b w:val="0"/>
          <w:bCs w:val="0"/>
          <w:sz w:val="24"/>
          <w:szCs w:val="24"/>
        </w:rPr>
        <w:t>7.1</w:t>
      </w:r>
      <w:r w:rsidRPr="00DA4F3E">
        <w:rPr>
          <w:rFonts w:ascii="Times New Roman" w:hAnsi="Times New Roman" w:cs="Times New Roman"/>
          <w:b w:val="0"/>
          <w:bCs w:val="0"/>
          <w:sz w:val="24"/>
          <w:szCs w:val="24"/>
        </w:rPr>
        <w:tab/>
        <w:t xml:space="preserve">Transactions which fulfil the criteria outlined in the paragraph </w:t>
      </w:r>
      <w:r w:rsidRPr="00DA4F3E">
        <w:rPr>
          <w:rFonts w:ascii="Times New Roman" w:hAnsi="Times New Roman" w:cs="Times New Roman"/>
          <w:b w:val="0"/>
          <w:bCs w:val="0"/>
          <w:sz w:val="24"/>
          <w:szCs w:val="24"/>
          <w:lang w:val="en"/>
        </w:rPr>
        <w:t>related to the con</w:t>
      </w:r>
      <w:r w:rsidR="00D044AB" w:rsidRPr="00DA4F3E">
        <w:rPr>
          <w:rFonts w:ascii="Times New Roman" w:hAnsi="Times New Roman" w:cs="Times New Roman"/>
          <w:b w:val="0"/>
          <w:bCs w:val="0"/>
          <w:sz w:val="24"/>
          <w:szCs w:val="24"/>
          <w:lang w:val="en"/>
        </w:rPr>
        <w:t>ditions for (zero%) haircut and</w:t>
      </w:r>
      <w:r w:rsidRPr="00DA4F3E">
        <w:rPr>
          <w:rFonts w:ascii="Times New Roman" w:hAnsi="Times New Roman" w:cs="Times New Roman"/>
          <w:b w:val="0"/>
          <w:bCs w:val="0"/>
          <w:sz w:val="24"/>
          <w:szCs w:val="24"/>
        </w:rPr>
        <w:t xml:space="preserve"> are wi</w:t>
      </w:r>
      <w:r w:rsidR="00D044AB" w:rsidRPr="00DA4F3E">
        <w:rPr>
          <w:rFonts w:ascii="Times New Roman" w:hAnsi="Times New Roman" w:cs="Times New Roman"/>
          <w:b w:val="0"/>
          <w:bCs w:val="0"/>
          <w:sz w:val="24"/>
          <w:szCs w:val="24"/>
        </w:rPr>
        <w:t xml:space="preserve">th a core market participant, </w:t>
      </w:r>
      <w:r w:rsidRPr="00DA4F3E">
        <w:rPr>
          <w:rFonts w:ascii="Times New Roman" w:hAnsi="Times New Roman" w:cs="Times New Roman"/>
          <w:b w:val="0"/>
          <w:bCs w:val="0"/>
          <w:sz w:val="24"/>
          <w:szCs w:val="24"/>
        </w:rPr>
        <w:t>receive a risk weight of 0%.</w:t>
      </w:r>
    </w:p>
    <w:p w:rsidR="00D044AB" w:rsidRPr="00DA4F3E" w:rsidRDefault="00D044AB" w:rsidP="00803AF9">
      <w:pPr>
        <w:bidi w:val="0"/>
        <w:spacing w:after="0" w:line="276" w:lineRule="auto"/>
        <w:ind w:left="1275" w:hanging="566"/>
        <w:rPr>
          <w:rFonts w:ascii="Times New Roman" w:hAnsi="Times New Roman" w:cs="Times New Roman"/>
          <w:b w:val="0"/>
          <w:bCs w:val="0"/>
          <w:sz w:val="24"/>
          <w:szCs w:val="24"/>
        </w:rPr>
      </w:pPr>
      <w:r w:rsidRPr="00DA4F3E">
        <w:rPr>
          <w:rFonts w:ascii="Times New Roman" w:hAnsi="Times New Roman" w:cs="Times New Roman"/>
          <w:b w:val="0"/>
          <w:bCs w:val="0"/>
          <w:sz w:val="24"/>
          <w:szCs w:val="24"/>
        </w:rPr>
        <w:t>7.2</w:t>
      </w:r>
      <w:r w:rsidRPr="00DA4F3E">
        <w:rPr>
          <w:rFonts w:ascii="Times New Roman" w:hAnsi="Times New Roman" w:cs="Times New Roman"/>
          <w:b w:val="0"/>
          <w:bCs w:val="0"/>
          <w:sz w:val="24"/>
          <w:szCs w:val="24"/>
        </w:rPr>
        <w:tab/>
        <w:t xml:space="preserve">Transactions which fulfil the criteria outlined in the paragraph </w:t>
      </w:r>
      <w:r w:rsidRPr="00DA4F3E">
        <w:rPr>
          <w:rFonts w:ascii="Times New Roman" w:hAnsi="Times New Roman" w:cs="Times New Roman"/>
          <w:b w:val="0"/>
          <w:bCs w:val="0"/>
          <w:sz w:val="24"/>
          <w:szCs w:val="24"/>
          <w:lang w:val="en"/>
        </w:rPr>
        <w:t>related to the conditions for (zero%) haircut and</w:t>
      </w:r>
      <w:r w:rsidRPr="00DA4F3E">
        <w:rPr>
          <w:rFonts w:ascii="Times New Roman" w:hAnsi="Times New Roman" w:cs="Times New Roman"/>
          <w:b w:val="0"/>
          <w:bCs w:val="0"/>
          <w:sz w:val="24"/>
          <w:szCs w:val="24"/>
        </w:rPr>
        <w:t xml:space="preserve"> counterparty to the transactions is not a core market participant, receive a risk weight of 10%.</w:t>
      </w:r>
    </w:p>
    <w:p w:rsidR="00D044AB" w:rsidRPr="00DA4F3E" w:rsidRDefault="00D044AB" w:rsidP="00527B04">
      <w:pPr>
        <w:bidi w:val="0"/>
        <w:spacing w:after="0" w:line="276" w:lineRule="auto"/>
        <w:ind w:left="1275" w:hanging="566"/>
        <w:rPr>
          <w:rFonts w:ascii="Times New Roman" w:hAnsi="Times New Roman" w:cs="Times New Roman"/>
          <w:b w:val="0"/>
          <w:bCs w:val="0"/>
          <w:sz w:val="24"/>
          <w:szCs w:val="24"/>
        </w:rPr>
      </w:pPr>
      <w:r w:rsidRPr="00DA4F3E">
        <w:rPr>
          <w:rFonts w:ascii="Times New Roman" w:hAnsi="Times New Roman" w:cs="Times New Roman"/>
          <w:b w:val="0"/>
          <w:bCs w:val="0"/>
          <w:sz w:val="24"/>
          <w:szCs w:val="24"/>
        </w:rPr>
        <w:t>7.3</w:t>
      </w:r>
      <w:r w:rsidRPr="00DA4F3E">
        <w:rPr>
          <w:rFonts w:ascii="Times New Roman" w:hAnsi="Times New Roman" w:cs="Times New Roman"/>
          <w:b w:val="0"/>
          <w:bCs w:val="0"/>
          <w:sz w:val="24"/>
          <w:szCs w:val="24"/>
        </w:rPr>
        <w:tab/>
      </w:r>
      <w:r w:rsidR="00803AF9" w:rsidRPr="00DA4F3E">
        <w:rPr>
          <w:rFonts w:ascii="Times New Roman" w:hAnsi="Times New Roman" w:cs="Times New Roman"/>
          <w:b w:val="0"/>
          <w:bCs w:val="0"/>
          <w:sz w:val="24"/>
          <w:szCs w:val="24"/>
        </w:rPr>
        <w:t xml:space="preserve">A </w:t>
      </w:r>
      <w:r w:rsidRPr="00DA4F3E">
        <w:rPr>
          <w:rFonts w:ascii="Times New Roman" w:hAnsi="Times New Roman" w:cs="Times New Roman"/>
          <w:b w:val="0"/>
          <w:bCs w:val="0"/>
          <w:sz w:val="24"/>
          <w:szCs w:val="24"/>
        </w:rPr>
        <w:t>0% risk weight can be applied where the exposure and the collateral are denominated in the same currency, and:</w:t>
      </w:r>
    </w:p>
    <w:p w:rsidR="00D044AB" w:rsidRPr="00DA4F3E" w:rsidRDefault="00803AF9" w:rsidP="00803AF9">
      <w:pPr>
        <w:pStyle w:val="Default"/>
        <w:spacing w:line="276" w:lineRule="auto"/>
        <w:ind w:left="2127" w:hanging="851"/>
        <w:jc w:val="both"/>
        <w:rPr>
          <w:rFonts w:ascii="Times New Roman" w:hAnsi="Times New Roman" w:cs="Times New Roman"/>
          <w:color w:val="auto"/>
        </w:rPr>
      </w:pPr>
      <w:r w:rsidRPr="00DA4F3E">
        <w:rPr>
          <w:rFonts w:ascii="Times New Roman" w:hAnsi="Times New Roman" w:cs="Times New Roman"/>
          <w:color w:val="auto"/>
        </w:rPr>
        <w:t>7.3.1</w:t>
      </w:r>
      <w:r w:rsidRPr="00DA4F3E">
        <w:rPr>
          <w:rFonts w:ascii="Times New Roman" w:hAnsi="Times New Roman" w:cs="Times New Roman"/>
          <w:color w:val="auto"/>
        </w:rPr>
        <w:tab/>
        <w:t>T</w:t>
      </w:r>
      <w:r w:rsidR="00D044AB" w:rsidRPr="00DA4F3E">
        <w:rPr>
          <w:rFonts w:ascii="Times New Roman" w:hAnsi="Times New Roman" w:cs="Times New Roman"/>
          <w:color w:val="auto"/>
        </w:rPr>
        <w:t>he collateral is cash on deposit.</w:t>
      </w:r>
      <w:r w:rsidR="00D044AB" w:rsidRPr="00DA4F3E">
        <w:rPr>
          <w:rFonts w:ascii="Times New Roman" w:hAnsi="Times New Roman" w:cs="Times New Roman"/>
          <w:color w:val="auto"/>
        </w:rPr>
        <w:tab/>
      </w:r>
    </w:p>
    <w:p w:rsidR="00D044AB" w:rsidRPr="00DA4F3E" w:rsidRDefault="00D044AB" w:rsidP="00803AF9">
      <w:pPr>
        <w:pStyle w:val="Default"/>
        <w:spacing w:line="276" w:lineRule="auto"/>
        <w:ind w:left="2127" w:hanging="851"/>
        <w:jc w:val="both"/>
        <w:rPr>
          <w:rFonts w:ascii="Times New Roman" w:hAnsi="Times New Roman" w:cs="Times New Roman"/>
          <w:color w:val="auto"/>
        </w:rPr>
      </w:pPr>
      <w:r w:rsidRPr="00DA4F3E">
        <w:rPr>
          <w:rFonts w:ascii="Times New Roman" w:hAnsi="Times New Roman" w:cs="Times New Roman"/>
          <w:color w:val="auto"/>
        </w:rPr>
        <w:lastRenderedPageBreak/>
        <w:t>7.3.2</w:t>
      </w:r>
      <w:r w:rsidRPr="00DA4F3E">
        <w:rPr>
          <w:rFonts w:ascii="Times New Roman" w:hAnsi="Times New Roman" w:cs="Times New Roman"/>
          <w:color w:val="auto"/>
        </w:rPr>
        <w:tab/>
      </w:r>
      <w:r w:rsidR="00803AF9" w:rsidRPr="00DA4F3E">
        <w:rPr>
          <w:rFonts w:ascii="Times New Roman" w:hAnsi="Times New Roman" w:cs="Times New Roman"/>
          <w:color w:val="auto"/>
        </w:rPr>
        <w:t>T</w:t>
      </w:r>
      <w:r w:rsidRPr="00DA4F3E">
        <w:rPr>
          <w:rFonts w:ascii="Times New Roman" w:hAnsi="Times New Roman" w:cs="Times New Roman"/>
          <w:color w:val="auto"/>
        </w:rPr>
        <w:t xml:space="preserve">he collateral is in the form of sovereign/PSE securities eligible for a 0% risk weight, and its market value has been discounted by 20%. </w:t>
      </w:r>
    </w:p>
    <w:p w:rsidR="00D044AB" w:rsidRPr="00DA4F3E" w:rsidRDefault="00D044AB" w:rsidP="00803AF9">
      <w:pPr>
        <w:pStyle w:val="Default"/>
        <w:spacing w:line="276" w:lineRule="auto"/>
        <w:ind w:left="2127" w:hanging="851"/>
        <w:jc w:val="both"/>
        <w:rPr>
          <w:rFonts w:ascii="Times New Roman" w:hAnsi="Times New Roman" w:cs="Times New Roman"/>
          <w:color w:val="auto"/>
        </w:rPr>
      </w:pPr>
      <w:r w:rsidRPr="00DA4F3E">
        <w:rPr>
          <w:rFonts w:ascii="Times New Roman" w:hAnsi="Times New Roman" w:cs="Times New Roman"/>
          <w:color w:val="auto"/>
        </w:rPr>
        <w:t>7.3.3</w:t>
      </w:r>
      <w:r w:rsidRPr="00DA4F3E">
        <w:rPr>
          <w:rFonts w:ascii="Times New Roman" w:hAnsi="Times New Roman" w:cs="Times New Roman"/>
          <w:color w:val="auto"/>
        </w:rPr>
        <w:tab/>
      </w:r>
      <w:r w:rsidRPr="00DA4F3E">
        <w:rPr>
          <w:rFonts w:ascii="Times New Roman" w:hAnsi="Times New Roman" w:cs="Times New Roman"/>
          <w:color w:val="auto"/>
          <w:lang w:val="en"/>
        </w:rPr>
        <w:t xml:space="preserve">If the </w:t>
      </w:r>
      <w:r w:rsidRPr="00DA4F3E">
        <w:rPr>
          <w:rFonts w:ascii="Times New Roman" w:hAnsi="Times New Roman" w:cs="Times New Roman"/>
          <w:color w:val="auto"/>
        </w:rPr>
        <w:t xml:space="preserve">collateral </w:t>
      </w:r>
      <w:r w:rsidRPr="00DA4F3E">
        <w:rPr>
          <w:rFonts w:ascii="Times New Roman" w:hAnsi="Times New Roman" w:cs="Times New Roman"/>
          <w:color w:val="auto"/>
          <w:lang w:val="en"/>
        </w:rPr>
        <w:t xml:space="preserve">is a cash where </w:t>
      </w:r>
      <w:proofErr w:type="spellStart"/>
      <w:r w:rsidR="00567829" w:rsidRPr="00DA4F3E">
        <w:rPr>
          <w:rFonts w:ascii="Times New Roman" w:hAnsi="Times New Roman" w:cs="Times New Roman"/>
          <w:color w:val="auto"/>
          <w:lang w:val="en"/>
        </w:rPr>
        <w:t>t</w:t>
      </w:r>
      <w:r w:rsidR="00567829" w:rsidRPr="00DA4F3E">
        <w:rPr>
          <w:rFonts w:ascii="Times New Roman" w:hAnsi="Times New Roman" w:cs="Times New Roman"/>
          <w:color w:val="auto"/>
        </w:rPr>
        <w:t>he</w:t>
      </w:r>
      <w:proofErr w:type="spellEnd"/>
      <w:r w:rsidRPr="00DA4F3E">
        <w:rPr>
          <w:rFonts w:ascii="Times New Roman" w:hAnsi="Times New Roman" w:cs="Times New Roman"/>
          <w:color w:val="auto"/>
        </w:rPr>
        <w:t xml:space="preserve"> exposure and the collateral are denominated in different</w:t>
      </w:r>
      <w:r w:rsidR="00204AA4" w:rsidRPr="00DA4F3E">
        <w:rPr>
          <w:rFonts w:ascii="Times New Roman" w:hAnsi="Times New Roman" w:cs="Times New Roman"/>
          <w:color w:val="auto"/>
        </w:rPr>
        <w:t xml:space="preserve"> currency</w:t>
      </w:r>
      <w:r w:rsidRPr="00DA4F3E">
        <w:rPr>
          <w:rFonts w:ascii="Times New Roman" w:hAnsi="Times New Roman" w:cs="Times New Roman"/>
          <w:color w:val="auto"/>
          <w:lang w:val="en"/>
        </w:rPr>
        <w:t xml:space="preserve">, then the cash </w:t>
      </w:r>
      <w:r w:rsidR="00204AA4" w:rsidRPr="00DA4F3E">
        <w:rPr>
          <w:rFonts w:ascii="Times New Roman" w:hAnsi="Times New Roman" w:cs="Times New Roman"/>
          <w:color w:val="auto"/>
        </w:rPr>
        <w:t xml:space="preserve">collateral discounted by (8%). </w:t>
      </w:r>
    </w:p>
    <w:p w:rsidR="00D044AB" w:rsidRPr="00DA4F3E" w:rsidRDefault="00D044AB" w:rsidP="00803AF9">
      <w:pPr>
        <w:bidi w:val="0"/>
        <w:spacing w:after="0" w:line="276" w:lineRule="auto"/>
        <w:ind w:left="1276" w:hanging="567"/>
        <w:rPr>
          <w:rFonts w:ascii="Times New Roman" w:hAnsi="Times New Roman" w:cs="Times New Roman"/>
          <w:b w:val="0"/>
          <w:bCs w:val="0"/>
          <w:sz w:val="24"/>
          <w:szCs w:val="24"/>
        </w:rPr>
      </w:pPr>
      <w:r w:rsidRPr="00DA4F3E">
        <w:rPr>
          <w:rFonts w:ascii="Times New Roman" w:hAnsi="Times New Roman" w:cs="Times New Roman"/>
          <w:b w:val="0"/>
          <w:bCs w:val="0"/>
          <w:sz w:val="24"/>
          <w:szCs w:val="24"/>
        </w:rPr>
        <w:t>7.4</w:t>
      </w:r>
      <w:r w:rsidRPr="00DA4F3E">
        <w:rPr>
          <w:rFonts w:ascii="Times New Roman" w:hAnsi="Times New Roman" w:cs="Times New Roman"/>
          <w:b w:val="0"/>
          <w:bCs w:val="0"/>
          <w:sz w:val="24"/>
          <w:szCs w:val="24"/>
        </w:rPr>
        <w:tab/>
        <w:t>OTC derivative transactions subject to daily mark-to-market, collateralised by cash and where there is no currency mismatch should receive a 0% risk weight.</w:t>
      </w:r>
    </w:p>
    <w:p w:rsidR="00803AF9" w:rsidRPr="00F1087B" w:rsidRDefault="00803AF9" w:rsidP="00803AF9">
      <w:pPr>
        <w:bidi w:val="0"/>
        <w:spacing w:after="0" w:line="276" w:lineRule="auto"/>
        <w:ind w:left="1275" w:hanging="709"/>
        <w:rPr>
          <w:rFonts w:ascii="Times New Roman" w:hAnsi="Times New Roman" w:cs="Times New Roman"/>
          <w:b w:val="0"/>
          <w:bCs w:val="0"/>
          <w:sz w:val="12"/>
          <w:szCs w:val="12"/>
        </w:rPr>
      </w:pPr>
    </w:p>
    <w:p w:rsidR="00204AA4" w:rsidRPr="00DA4F3E" w:rsidRDefault="00204AA4" w:rsidP="00C36893">
      <w:pPr>
        <w:bidi w:val="0"/>
        <w:spacing w:after="0" w:line="276" w:lineRule="auto"/>
        <w:ind w:left="709" w:hanging="567"/>
        <w:rPr>
          <w:rFonts w:ascii="Times New Roman" w:hAnsi="Times New Roman" w:cs="Times New Roman"/>
          <w:sz w:val="24"/>
          <w:szCs w:val="24"/>
        </w:rPr>
      </w:pPr>
      <w:r w:rsidRPr="00DA4F3E">
        <w:rPr>
          <w:rFonts w:ascii="Times New Roman" w:hAnsi="Times New Roman" w:cs="Times New Roman"/>
          <w:sz w:val="24"/>
          <w:szCs w:val="24"/>
        </w:rPr>
        <w:t>8.</w:t>
      </w:r>
      <w:r w:rsidRPr="00DA4F3E">
        <w:rPr>
          <w:rFonts w:ascii="Times New Roman" w:hAnsi="Times New Roman" w:cs="Times New Roman"/>
          <w:sz w:val="24"/>
          <w:szCs w:val="24"/>
        </w:rPr>
        <w:tab/>
      </w:r>
      <w:r w:rsidR="00A45BB9" w:rsidRPr="00DA4F3E">
        <w:rPr>
          <w:rFonts w:ascii="Times New Roman" w:hAnsi="Times New Roman" w:cs="Times New Roman"/>
          <w:sz w:val="24"/>
          <w:szCs w:val="24"/>
        </w:rPr>
        <w:t>Collateralized OTC Derivatives Transactions:</w:t>
      </w:r>
    </w:p>
    <w:tbl>
      <w:tblPr>
        <w:tblStyle w:val="TableGrid"/>
        <w:tblpPr w:leftFromText="180" w:rightFromText="180" w:vertAnchor="text" w:horzAnchor="margin" w:tblpXSpec="center" w:tblpY="800"/>
        <w:bidiVisual/>
        <w:tblW w:w="0" w:type="auto"/>
        <w:tblLook w:val="04A0" w:firstRow="1" w:lastRow="0" w:firstColumn="1" w:lastColumn="0" w:noHBand="0" w:noVBand="1"/>
      </w:tblPr>
      <w:tblGrid>
        <w:gridCol w:w="6228"/>
      </w:tblGrid>
      <w:tr w:rsidR="00D1054E" w:rsidRPr="00D1054E" w:rsidTr="00A251F7">
        <w:tc>
          <w:tcPr>
            <w:tcW w:w="0" w:type="auto"/>
          </w:tcPr>
          <w:p w:rsidR="00A251F7" w:rsidRPr="00D1054E" w:rsidRDefault="00A251F7" w:rsidP="00D1054E">
            <w:pPr>
              <w:spacing w:after="0" w:line="276" w:lineRule="auto"/>
              <w:rPr>
                <w:rFonts w:ascii="Times New Roman" w:hAnsi="Times New Roman" w:cs="Times New Roman"/>
                <w:b w:val="0"/>
                <w:bCs w:val="0"/>
                <w:rtl/>
                <w:lang w:bidi="ar-JO"/>
              </w:rPr>
            </w:pPr>
            <w:bookmarkStart w:id="35" w:name="_Toc414888163"/>
            <w:bookmarkStart w:id="36" w:name="_Toc451176351"/>
            <w:bookmarkStart w:id="37" w:name="_Toc451180332"/>
            <w:r w:rsidRPr="00D1054E">
              <w:rPr>
                <w:rFonts w:ascii="Times New Roman" w:hAnsi="Times New Roman" w:cs="Times New Roman"/>
                <w:b w:val="0"/>
                <w:bCs w:val="0"/>
              </w:rPr>
              <w:t xml:space="preserve">Counter party charge = ((RC + add-on) - CA) * </w:t>
            </w:r>
            <w:proofErr w:type="spellStart"/>
            <w:r w:rsidRPr="00D1054E">
              <w:rPr>
                <w:rFonts w:ascii="Times New Roman" w:hAnsi="Times New Roman" w:cs="Times New Roman"/>
                <w:b w:val="0"/>
                <w:bCs w:val="0"/>
              </w:rPr>
              <w:t>rw</w:t>
            </w:r>
            <w:proofErr w:type="spellEnd"/>
            <w:r w:rsidRPr="00D1054E">
              <w:rPr>
                <w:rFonts w:ascii="Times New Roman" w:hAnsi="Times New Roman" w:cs="Times New Roman"/>
                <w:b w:val="0"/>
                <w:bCs w:val="0"/>
              </w:rPr>
              <w:t xml:space="preserve"> * 12%</w:t>
            </w:r>
            <w:bookmarkEnd w:id="35"/>
            <w:bookmarkEnd w:id="36"/>
            <w:bookmarkEnd w:id="37"/>
          </w:p>
        </w:tc>
      </w:tr>
    </w:tbl>
    <w:p w:rsidR="00A45BB9" w:rsidRPr="00D1054E" w:rsidRDefault="00A251F7" w:rsidP="00567829">
      <w:pPr>
        <w:bidi w:val="0"/>
        <w:spacing w:after="0" w:line="276" w:lineRule="auto"/>
        <w:ind w:left="1276" w:hanging="567"/>
        <w:rPr>
          <w:rFonts w:ascii="Times New Roman" w:hAnsi="Times New Roman" w:cs="Times New Roman"/>
          <w:b w:val="0"/>
          <w:bCs w:val="0"/>
        </w:rPr>
      </w:pPr>
      <w:r w:rsidRPr="00D1054E">
        <w:rPr>
          <w:rFonts w:ascii="Times New Roman" w:hAnsi="Times New Roman" w:cs="Times New Roman"/>
          <w:b w:val="0"/>
          <w:bCs w:val="0"/>
        </w:rPr>
        <w:t xml:space="preserve"> </w:t>
      </w:r>
      <w:r w:rsidR="008B320E">
        <w:rPr>
          <w:rFonts w:ascii="Times New Roman" w:hAnsi="Times New Roman" w:cs="Times New Roman"/>
          <w:b w:val="0"/>
          <w:bCs w:val="0"/>
        </w:rPr>
        <w:t>8.1</w:t>
      </w:r>
      <w:r w:rsidR="008B320E">
        <w:rPr>
          <w:rFonts w:ascii="Times New Roman" w:hAnsi="Times New Roman" w:cs="Times New Roman"/>
          <w:b w:val="0"/>
          <w:bCs w:val="0"/>
        </w:rPr>
        <w:tab/>
      </w:r>
      <w:r w:rsidR="00567829" w:rsidRPr="00567829">
        <w:rPr>
          <w:rFonts w:ascii="Times New Roman" w:hAnsi="Times New Roman" w:cs="Times New Roman"/>
          <w:b w:val="0"/>
          <w:bCs w:val="0"/>
        </w:rPr>
        <w:t xml:space="preserve">The following equation is used within the current exposure method to calculate </w:t>
      </w:r>
      <w:r w:rsidR="00567829">
        <w:rPr>
          <w:rFonts w:ascii="Times New Roman" w:hAnsi="Times New Roman" w:cs="Times New Roman"/>
          <w:b w:val="0"/>
          <w:bCs w:val="0"/>
        </w:rPr>
        <w:t xml:space="preserve">the </w:t>
      </w:r>
      <w:r w:rsidRPr="00D1054E">
        <w:rPr>
          <w:rFonts w:ascii="Times New Roman" w:hAnsi="Times New Roman" w:cs="Times New Roman"/>
          <w:b w:val="0"/>
          <w:bCs w:val="0"/>
        </w:rPr>
        <w:t xml:space="preserve">credit risk charge for </w:t>
      </w:r>
      <w:r w:rsidR="00567829">
        <w:rPr>
          <w:rFonts w:ascii="Times New Roman" w:hAnsi="Times New Roman" w:cs="Times New Roman"/>
          <w:b w:val="0"/>
          <w:bCs w:val="0"/>
        </w:rPr>
        <w:t xml:space="preserve">such contracts: </w:t>
      </w:r>
    </w:p>
    <w:p w:rsidR="00A251F7" w:rsidRPr="00D1054E" w:rsidRDefault="00A251F7" w:rsidP="00D1054E">
      <w:pPr>
        <w:bidi w:val="0"/>
        <w:spacing w:after="0" w:line="276" w:lineRule="auto"/>
        <w:ind w:left="810" w:hanging="810"/>
        <w:rPr>
          <w:rFonts w:ascii="Times New Roman" w:hAnsi="Times New Roman" w:cs="Times New Roman"/>
          <w:b w:val="0"/>
          <w:bCs w:val="0"/>
        </w:rPr>
      </w:pPr>
    </w:p>
    <w:p w:rsidR="00922DAB" w:rsidRDefault="00C36893" w:rsidP="00C36893">
      <w:pPr>
        <w:bidi w:val="0"/>
        <w:spacing w:after="0" w:line="276" w:lineRule="auto"/>
        <w:ind w:left="1275" w:firstLine="1"/>
        <w:rPr>
          <w:rFonts w:ascii="Times New Roman" w:hAnsi="Times New Roman" w:cs="Times New Roman"/>
          <w:b w:val="0"/>
          <w:bCs w:val="0"/>
        </w:rPr>
      </w:pPr>
      <w:r>
        <w:rPr>
          <w:rFonts w:ascii="Times New Roman" w:hAnsi="Times New Roman" w:cs="Times New Roman"/>
          <w:b w:val="0"/>
          <w:bCs w:val="0"/>
        </w:rPr>
        <w:t xml:space="preserve">        </w:t>
      </w:r>
      <w:r w:rsidR="00A251F7" w:rsidRPr="00DA4F3E">
        <w:rPr>
          <w:rFonts w:ascii="Times New Roman" w:hAnsi="Times New Roman" w:cs="Times New Roman"/>
          <w:b w:val="0"/>
          <w:bCs w:val="0"/>
          <w:sz w:val="24"/>
          <w:szCs w:val="24"/>
        </w:rPr>
        <w:t>where</w:t>
      </w:r>
      <w:r w:rsidR="00A251F7" w:rsidRPr="00D1054E">
        <w:rPr>
          <w:rFonts w:ascii="Times New Roman" w:hAnsi="Times New Roman" w:cs="Times New Roman"/>
          <w:b w:val="0"/>
          <w:bCs w:val="0"/>
        </w:rPr>
        <w:t>:</w:t>
      </w:r>
    </w:p>
    <w:tbl>
      <w:tblPr>
        <w:tblStyle w:val="TableGrid"/>
        <w:tblW w:w="0" w:type="auto"/>
        <w:tblInd w:w="1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289"/>
        <w:gridCol w:w="6381"/>
      </w:tblGrid>
      <w:tr w:rsidR="00E340C6" w:rsidTr="008B320E">
        <w:tc>
          <w:tcPr>
            <w:tcW w:w="988" w:type="dxa"/>
          </w:tcPr>
          <w:p w:rsidR="00E340C6" w:rsidRPr="008B320E" w:rsidRDefault="00E340C6" w:rsidP="00C36893">
            <w:pPr>
              <w:bidi w:val="0"/>
              <w:spacing w:after="0" w:line="276" w:lineRule="auto"/>
              <w:rPr>
                <w:rFonts w:ascii="Times New Roman" w:hAnsi="Times New Roman" w:cs="Times New Roman"/>
                <w:b w:val="0"/>
                <w:bCs w:val="0"/>
                <w:sz w:val="22"/>
                <w:szCs w:val="22"/>
              </w:rPr>
            </w:pPr>
            <w:r w:rsidRPr="008B320E">
              <w:rPr>
                <w:rFonts w:ascii="Times New Roman" w:hAnsi="Times New Roman" w:cs="Times New Roman"/>
                <w:b w:val="0"/>
                <w:bCs w:val="0"/>
                <w:sz w:val="22"/>
                <w:szCs w:val="22"/>
              </w:rPr>
              <w:t>RC</w:t>
            </w:r>
          </w:p>
        </w:tc>
        <w:tc>
          <w:tcPr>
            <w:tcW w:w="236" w:type="dxa"/>
          </w:tcPr>
          <w:p w:rsidR="00E340C6" w:rsidRPr="00D1054E" w:rsidRDefault="00E340C6" w:rsidP="00C36893">
            <w:pPr>
              <w:bidi w:val="0"/>
              <w:spacing w:after="0" w:line="276" w:lineRule="auto"/>
              <w:rPr>
                <w:rFonts w:ascii="Times New Roman" w:hAnsi="Times New Roman" w:cs="Times New Roman"/>
                <w:b w:val="0"/>
                <w:bCs w:val="0"/>
              </w:rPr>
            </w:pPr>
            <w:r>
              <w:rPr>
                <w:rFonts w:ascii="Times New Roman" w:hAnsi="Times New Roman" w:cs="Times New Roman"/>
                <w:b w:val="0"/>
                <w:bCs w:val="0"/>
              </w:rPr>
              <w:t>:</w:t>
            </w:r>
          </w:p>
        </w:tc>
        <w:tc>
          <w:tcPr>
            <w:tcW w:w="6421" w:type="dxa"/>
          </w:tcPr>
          <w:p w:rsidR="00E340C6" w:rsidRPr="008B320E" w:rsidRDefault="00E340C6" w:rsidP="00C36893">
            <w:pPr>
              <w:bidi w:val="0"/>
              <w:spacing w:after="0" w:line="276" w:lineRule="auto"/>
              <w:rPr>
                <w:rFonts w:ascii="Times New Roman" w:hAnsi="Times New Roman" w:cs="Times New Roman"/>
                <w:b w:val="0"/>
                <w:bCs w:val="0"/>
                <w:sz w:val="22"/>
                <w:szCs w:val="22"/>
              </w:rPr>
            </w:pPr>
            <w:r w:rsidRPr="008B320E">
              <w:rPr>
                <w:rFonts w:ascii="Times New Roman" w:hAnsi="Times New Roman" w:cs="Times New Roman"/>
                <w:b w:val="0"/>
                <w:bCs w:val="0"/>
                <w:sz w:val="22"/>
                <w:szCs w:val="22"/>
              </w:rPr>
              <w:t>the replacement cost</w:t>
            </w:r>
          </w:p>
        </w:tc>
      </w:tr>
      <w:tr w:rsidR="00E340C6" w:rsidTr="008B320E">
        <w:tc>
          <w:tcPr>
            <w:tcW w:w="988" w:type="dxa"/>
          </w:tcPr>
          <w:p w:rsidR="00E340C6" w:rsidRPr="008B320E" w:rsidRDefault="00E340C6" w:rsidP="00C36893">
            <w:pPr>
              <w:bidi w:val="0"/>
              <w:spacing w:after="0" w:line="276" w:lineRule="auto"/>
              <w:rPr>
                <w:rFonts w:ascii="Times New Roman" w:hAnsi="Times New Roman" w:cs="Times New Roman"/>
                <w:b w:val="0"/>
                <w:bCs w:val="0"/>
                <w:sz w:val="22"/>
                <w:szCs w:val="22"/>
              </w:rPr>
            </w:pPr>
            <w:r w:rsidRPr="008B320E">
              <w:rPr>
                <w:rFonts w:ascii="Times New Roman" w:hAnsi="Times New Roman" w:cs="Times New Roman"/>
                <w:b w:val="0"/>
                <w:bCs w:val="0"/>
                <w:sz w:val="22"/>
                <w:szCs w:val="22"/>
              </w:rPr>
              <w:t>add-on</w:t>
            </w:r>
          </w:p>
        </w:tc>
        <w:tc>
          <w:tcPr>
            <w:tcW w:w="236" w:type="dxa"/>
          </w:tcPr>
          <w:p w:rsidR="00E340C6" w:rsidRPr="00D1054E" w:rsidRDefault="00E340C6" w:rsidP="00C36893">
            <w:pPr>
              <w:bidi w:val="0"/>
              <w:spacing w:after="0" w:line="276" w:lineRule="auto"/>
              <w:rPr>
                <w:rFonts w:ascii="Times New Roman" w:hAnsi="Times New Roman" w:cs="Times New Roman"/>
                <w:b w:val="0"/>
                <w:bCs w:val="0"/>
              </w:rPr>
            </w:pPr>
            <w:r>
              <w:rPr>
                <w:rFonts w:ascii="Times New Roman" w:hAnsi="Times New Roman" w:cs="Times New Roman"/>
                <w:b w:val="0"/>
                <w:bCs w:val="0"/>
              </w:rPr>
              <w:t>:</w:t>
            </w:r>
          </w:p>
        </w:tc>
        <w:tc>
          <w:tcPr>
            <w:tcW w:w="6421" w:type="dxa"/>
          </w:tcPr>
          <w:p w:rsidR="00E340C6" w:rsidRPr="008B320E" w:rsidRDefault="00E340C6" w:rsidP="00C36893">
            <w:pPr>
              <w:bidi w:val="0"/>
              <w:spacing w:after="0" w:line="276" w:lineRule="auto"/>
              <w:rPr>
                <w:rFonts w:ascii="Times New Roman" w:hAnsi="Times New Roman" w:cs="Times New Roman"/>
                <w:b w:val="0"/>
                <w:bCs w:val="0"/>
                <w:sz w:val="22"/>
                <w:szCs w:val="22"/>
              </w:rPr>
            </w:pPr>
            <w:r w:rsidRPr="008B320E">
              <w:rPr>
                <w:rFonts w:ascii="Times New Roman" w:hAnsi="Times New Roman" w:cs="Times New Roman"/>
                <w:b w:val="0"/>
                <w:bCs w:val="0"/>
                <w:sz w:val="22"/>
                <w:szCs w:val="22"/>
              </w:rPr>
              <w:t>the amount for potential future</w:t>
            </w:r>
            <w:r w:rsidR="00C371D6">
              <w:rPr>
                <w:rFonts w:ascii="Times New Roman" w:hAnsi="Times New Roman" w:cs="Times New Roman"/>
                <w:b w:val="0"/>
                <w:bCs w:val="0"/>
                <w:sz w:val="22"/>
                <w:szCs w:val="22"/>
              </w:rPr>
              <w:t xml:space="preserve"> exposure </w:t>
            </w:r>
          </w:p>
        </w:tc>
      </w:tr>
      <w:tr w:rsidR="00E340C6" w:rsidTr="008B320E">
        <w:tc>
          <w:tcPr>
            <w:tcW w:w="988" w:type="dxa"/>
          </w:tcPr>
          <w:p w:rsidR="00E340C6" w:rsidRPr="008B320E" w:rsidRDefault="00E340C6" w:rsidP="00C36893">
            <w:pPr>
              <w:bidi w:val="0"/>
              <w:spacing w:after="0" w:line="276" w:lineRule="auto"/>
              <w:rPr>
                <w:rFonts w:ascii="Times New Roman" w:hAnsi="Times New Roman" w:cs="Times New Roman"/>
                <w:b w:val="0"/>
                <w:bCs w:val="0"/>
                <w:sz w:val="22"/>
                <w:szCs w:val="22"/>
              </w:rPr>
            </w:pPr>
            <w:r w:rsidRPr="008B320E">
              <w:rPr>
                <w:rFonts w:ascii="Times New Roman" w:hAnsi="Times New Roman" w:cs="Times New Roman"/>
                <w:b w:val="0"/>
                <w:bCs w:val="0"/>
                <w:sz w:val="22"/>
                <w:szCs w:val="22"/>
              </w:rPr>
              <w:t>CA</w:t>
            </w:r>
          </w:p>
        </w:tc>
        <w:tc>
          <w:tcPr>
            <w:tcW w:w="236" w:type="dxa"/>
          </w:tcPr>
          <w:p w:rsidR="00E340C6" w:rsidRPr="00D1054E" w:rsidRDefault="00E340C6" w:rsidP="00C36893">
            <w:pPr>
              <w:bidi w:val="0"/>
              <w:spacing w:after="0" w:line="276" w:lineRule="auto"/>
              <w:rPr>
                <w:rFonts w:ascii="Times New Roman" w:hAnsi="Times New Roman" w:cs="Times New Roman"/>
                <w:b w:val="0"/>
                <w:bCs w:val="0"/>
              </w:rPr>
            </w:pPr>
            <w:r>
              <w:rPr>
                <w:rFonts w:ascii="Times New Roman" w:hAnsi="Times New Roman" w:cs="Times New Roman"/>
                <w:b w:val="0"/>
                <w:bCs w:val="0"/>
              </w:rPr>
              <w:t>:</w:t>
            </w:r>
          </w:p>
        </w:tc>
        <w:tc>
          <w:tcPr>
            <w:tcW w:w="6421" w:type="dxa"/>
          </w:tcPr>
          <w:p w:rsidR="00E340C6" w:rsidRPr="008B320E" w:rsidRDefault="00E340C6" w:rsidP="00C36893">
            <w:pPr>
              <w:bidi w:val="0"/>
              <w:spacing w:after="0" w:line="276" w:lineRule="auto"/>
              <w:rPr>
                <w:rFonts w:ascii="Times New Roman" w:hAnsi="Times New Roman" w:cs="Times New Roman"/>
                <w:b w:val="0"/>
                <w:bCs w:val="0"/>
                <w:sz w:val="22"/>
                <w:szCs w:val="22"/>
              </w:rPr>
            </w:pPr>
            <w:r w:rsidRPr="008B320E">
              <w:rPr>
                <w:rFonts w:ascii="Times New Roman" w:hAnsi="Times New Roman" w:cs="Times New Roman"/>
                <w:b w:val="0"/>
                <w:bCs w:val="0"/>
                <w:sz w:val="22"/>
                <w:szCs w:val="22"/>
              </w:rPr>
              <w:t>the volatility adjusted collateral amount under the comprehensive approach</w:t>
            </w:r>
          </w:p>
        </w:tc>
      </w:tr>
      <w:tr w:rsidR="00E340C6" w:rsidTr="008B320E">
        <w:tc>
          <w:tcPr>
            <w:tcW w:w="988" w:type="dxa"/>
          </w:tcPr>
          <w:p w:rsidR="00E340C6" w:rsidRPr="008B320E" w:rsidRDefault="00E340C6" w:rsidP="00C36893">
            <w:pPr>
              <w:bidi w:val="0"/>
              <w:spacing w:after="0" w:line="276" w:lineRule="auto"/>
              <w:rPr>
                <w:rFonts w:ascii="Times New Roman" w:hAnsi="Times New Roman" w:cs="Times New Roman"/>
                <w:b w:val="0"/>
                <w:bCs w:val="0"/>
                <w:sz w:val="22"/>
                <w:szCs w:val="22"/>
              </w:rPr>
            </w:pPr>
            <w:proofErr w:type="spellStart"/>
            <w:r w:rsidRPr="008B320E">
              <w:rPr>
                <w:rFonts w:ascii="Times New Roman" w:hAnsi="Times New Roman" w:cs="Times New Roman"/>
                <w:b w:val="0"/>
                <w:bCs w:val="0"/>
                <w:sz w:val="22"/>
                <w:szCs w:val="22"/>
              </w:rPr>
              <w:t>rw</w:t>
            </w:r>
            <w:proofErr w:type="spellEnd"/>
          </w:p>
        </w:tc>
        <w:tc>
          <w:tcPr>
            <w:tcW w:w="236" w:type="dxa"/>
          </w:tcPr>
          <w:p w:rsidR="00E340C6" w:rsidRPr="00D1054E" w:rsidRDefault="00E340C6" w:rsidP="00C36893">
            <w:pPr>
              <w:bidi w:val="0"/>
              <w:spacing w:after="0" w:line="276" w:lineRule="auto"/>
              <w:rPr>
                <w:rFonts w:ascii="Times New Roman" w:hAnsi="Times New Roman" w:cs="Times New Roman"/>
                <w:b w:val="0"/>
                <w:bCs w:val="0"/>
              </w:rPr>
            </w:pPr>
            <w:r>
              <w:rPr>
                <w:rFonts w:ascii="Times New Roman" w:hAnsi="Times New Roman" w:cs="Times New Roman"/>
                <w:b w:val="0"/>
                <w:bCs w:val="0"/>
              </w:rPr>
              <w:t>:</w:t>
            </w:r>
          </w:p>
        </w:tc>
        <w:tc>
          <w:tcPr>
            <w:tcW w:w="6421" w:type="dxa"/>
          </w:tcPr>
          <w:p w:rsidR="00E340C6" w:rsidRPr="008B320E" w:rsidRDefault="00E340C6" w:rsidP="00C36893">
            <w:pPr>
              <w:bidi w:val="0"/>
              <w:spacing w:after="0" w:line="276" w:lineRule="auto"/>
              <w:rPr>
                <w:rFonts w:ascii="Times New Roman" w:hAnsi="Times New Roman" w:cs="Times New Roman"/>
                <w:b w:val="0"/>
                <w:bCs w:val="0"/>
                <w:sz w:val="22"/>
                <w:szCs w:val="22"/>
              </w:rPr>
            </w:pPr>
            <w:r w:rsidRPr="008B320E">
              <w:rPr>
                <w:rFonts w:ascii="Times New Roman" w:hAnsi="Times New Roman" w:cs="Times New Roman"/>
                <w:b w:val="0"/>
                <w:bCs w:val="0"/>
                <w:sz w:val="22"/>
                <w:szCs w:val="22"/>
              </w:rPr>
              <w:t>the risk weight of the counterparty</w:t>
            </w:r>
          </w:p>
        </w:tc>
      </w:tr>
    </w:tbl>
    <w:p w:rsidR="00C36893" w:rsidRDefault="00C36893" w:rsidP="00C36893">
      <w:pPr>
        <w:bidi w:val="0"/>
        <w:spacing w:after="0" w:line="276" w:lineRule="auto"/>
        <w:ind w:left="1275" w:firstLine="1"/>
        <w:rPr>
          <w:rFonts w:ascii="Times New Roman" w:hAnsi="Times New Roman" w:cs="Times New Roman"/>
          <w:b w:val="0"/>
          <w:bCs w:val="0"/>
        </w:rPr>
      </w:pPr>
    </w:p>
    <w:p w:rsidR="00A251F7" w:rsidRPr="00DA4F3E" w:rsidRDefault="00A251F7" w:rsidP="00A155CC">
      <w:pPr>
        <w:bidi w:val="0"/>
        <w:spacing w:after="0" w:line="276" w:lineRule="auto"/>
        <w:ind w:left="1276" w:hanging="567"/>
        <w:rPr>
          <w:rFonts w:ascii="Times New Roman" w:hAnsi="Times New Roman" w:cs="Times New Roman"/>
          <w:b w:val="0"/>
          <w:bCs w:val="0"/>
          <w:sz w:val="24"/>
          <w:szCs w:val="24"/>
          <w:lang w:val="en"/>
        </w:rPr>
      </w:pPr>
      <w:r w:rsidRPr="00DA4F3E">
        <w:rPr>
          <w:rFonts w:ascii="Times New Roman" w:hAnsi="Times New Roman" w:cs="Times New Roman"/>
          <w:b w:val="0"/>
          <w:bCs w:val="0"/>
          <w:sz w:val="24"/>
          <w:szCs w:val="24"/>
        </w:rPr>
        <w:t>8.2</w:t>
      </w:r>
      <w:r w:rsidRPr="00DA4F3E">
        <w:rPr>
          <w:rFonts w:ascii="Times New Roman" w:hAnsi="Times New Roman" w:cs="Times New Roman"/>
          <w:b w:val="0"/>
          <w:bCs w:val="0"/>
          <w:sz w:val="24"/>
          <w:szCs w:val="24"/>
        </w:rPr>
        <w:tab/>
      </w:r>
      <w:r w:rsidR="009F5597" w:rsidRPr="00DA4F3E">
        <w:rPr>
          <w:rFonts w:ascii="Times New Roman" w:hAnsi="Times New Roman" w:cs="Times New Roman"/>
          <w:b w:val="0"/>
          <w:bCs w:val="0"/>
          <w:sz w:val="24"/>
          <w:szCs w:val="24"/>
        </w:rPr>
        <w:t xml:space="preserve">When effective bilateral netting contracts are in place, RC will be the net replacement cost and the add-on will be </w:t>
      </w:r>
      <w:r w:rsidR="00C371D6">
        <w:rPr>
          <w:rFonts w:ascii="Times New Roman" w:hAnsi="Times New Roman" w:cs="Times New Roman"/>
          <w:b w:val="0"/>
          <w:bCs w:val="0"/>
          <w:sz w:val="24"/>
          <w:szCs w:val="24"/>
        </w:rPr>
        <w:t>the net add-on.</w:t>
      </w:r>
      <w:r w:rsidR="009F5597" w:rsidRPr="00DA4F3E">
        <w:rPr>
          <w:rFonts w:ascii="Times New Roman" w:hAnsi="Times New Roman" w:cs="Times New Roman"/>
          <w:b w:val="0"/>
          <w:bCs w:val="0"/>
          <w:sz w:val="24"/>
          <w:szCs w:val="24"/>
        </w:rPr>
        <w:t xml:space="preserve"> </w:t>
      </w:r>
      <w:r w:rsidR="009F5597" w:rsidRPr="00DA4F3E">
        <w:rPr>
          <w:rFonts w:ascii="Times New Roman" w:hAnsi="Times New Roman" w:cs="Times New Roman"/>
          <w:b w:val="0"/>
          <w:bCs w:val="0"/>
          <w:sz w:val="24"/>
          <w:szCs w:val="24"/>
          <w:lang w:val="en"/>
        </w:rPr>
        <w:t xml:space="preserve">In the event that the currency is different, the </w:t>
      </w:r>
      <w:r w:rsidR="009F5597" w:rsidRPr="00A155CC">
        <w:rPr>
          <w:rFonts w:ascii="Times New Roman" w:hAnsi="Times New Roman" w:cs="Times New Roman"/>
          <w:b w:val="0"/>
          <w:bCs w:val="0"/>
          <w:sz w:val="24"/>
          <w:szCs w:val="24"/>
          <w:lang w:val="en"/>
        </w:rPr>
        <w:t>currency difference</w:t>
      </w:r>
      <w:r w:rsidR="00A155CC" w:rsidRPr="00A155CC">
        <w:rPr>
          <w:rFonts w:ascii="Times New Roman" w:hAnsi="Times New Roman" w:cs="Times New Roman"/>
          <w:b w:val="0"/>
          <w:bCs w:val="0"/>
          <w:sz w:val="24"/>
          <w:szCs w:val="24"/>
          <w:lang w:val="en"/>
        </w:rPr>
        <w:t>s</w:t>
      </w:r>
      <w:r w:rsidR="009F5597" w:rsidRPr="00A155CC">
        <w:rPr>
          <w:rFonts w:ascii="Times New Roman" w:hAnsi="Times New Roman" w:cs="Times New Roman"/>
          <w:b w:val="0"/>
          <w:bCs w:val="0"/>
          <w:sz w:val="24"/>
          <w:szCs w:val="24"/>
          <w:lang w:val="en"/>
        </w:rPr>
        <w:t xml:space="preserve"> </w:t>
      </w:r>
      <w:r w:rsidR="00A155CC" w:rsidRPr="00A155CC">
        <w:rPr>
          <w:rFonts w:ascii="Times New Roman" w:hAnsi="Times New Roman" w:cs="Times New Roman"/>
          <w:b w:val="0"/>
          <w:bCs w:val="0"/>
          <w:sz w:val="24"/>
          <w:szCs w:val="24"/>
          <w:lang w:val="en"/>
        </w:rPr>
        <w:t xml:space="preserve">rate </w:t>
      </w:r>
      <w:r w:rsidR="009F5597" w:rsidRPr="00A155CC">
        <w:rPr>
          <w:rFonts w:ascii="Times New Roman" w:hAnsi="Times New Roman" w:cs="Times New Roman"/>
          <w:b w:val="0"/>
          <w:bCs w:val="0"/>
          <w:sz w:val="24"/>
          <w:szCs w:val="24"/>
          <w:lang w:val="en"/>
        </w:rPr>
        <w:t>deduction must be used.</w:t>
      </w:r>
      <w:r w:rsidR="009F5597" w:rsidRPr="00DA4F3E">
        <w:rPr>
          <w:rFonts w:ascii="Times New Roman" w:hAnsi="Times New Roman" w:cs="Times New Roman"/>
          <w:b w:val="0"/>
          <w:bCs w:val="0"/>
          <w:sz w:val="24"/>
          <w:szCs w:val="24"/>
          <w:lang w:val="en"/>
        </w:rPr>
        <w:t xml:space="preserve"> </w:t>
      </w:r>
    </w:p>
    <w:p w:rsidR="009F5597" w:rsidRPr="00F1087B" w:rsidRDefault="009F5597" w:rsidP="00D1054E">
      <w:pPr>
        <w:bidi w:val="0"/>
        <w:spacing w:after="0" w:line="276" w:lineRule="auto"/>
        <w:ind w:left="810" w:hanging="540"/>
        <w:rPr>
          <w:rFonts w:ascii="Times New Roman" w:hAnsi="Times New Roman" w:cs="Times New Roman"/>
          <w:b w:val="0"/>
          <w:bCs w:val="0"/>
          <w:sz w:val="12"/>
          <w:szCs w:val="12"/>
          <w:rtl/>
        </w:rPr>
      </w:pPr>
    </w:p>
    <w:p w:rsidR="009F5597" w:rsidRPr="00DA4F3E" w:rsidRDefault="009F5597" w:rsidP="008B320E">
      <w:pPr>
        <w:bidi w:val="0"/>
        <w:spacing w:after="0" w:line="276" w:lineRule="auto"/>
        <w:ind w:left="709" w:hanging="567"/>
        <w:rPr>
          <w:rFonts w:ascii="Times New Roman" w:hAnsi="Times New Roman" w:cs="Times New Roman"/>
          <w:sz w:val="24"/>
          <w:szCs w:val="24"/>
        </w:rPr>
      </w:pPr>
      <w:r w:rsidRPr="00DA4F3E">
        <w:rPr>
          <w:rFonts w:ascii="Times New Roman" w:hAnsi="Times New Roman" w:cs="Times New Roman"/>
          <w:sz w:val="24"/>
          <w:szCs w:val="24"/>
        </w:rPr>
        <w:t>9.</w:t>
      </w:r>
      <w:r w:rsidRPr="00DA4F3E">
        <w:rPr>
          <w:rFonts w:ascii="Times New Roman" w:hAnsi="Times New Roman" w:cs="Times New Roman"/>
          <w:sz w:val="24"/>
          <w:szCs w:val="24"/>
        </w:rPr>
        <w:tab/>
      </w:r>
      <w:r w:rsidR="001D4763" w:rsidRPr="00DA4F3E">
        <w:rPr>
          <w:rFonts w:ascii="Times New Roman" w:hAnsi="Times New Roman" w:cs="Times New Roman"/>
          <w:sz w:val="24"/>
          <w:szCs w:val="24"/>
        </w:rPr>
        <w:t>Comprehensive Approach</w:t>
      </w:r>
    </w:p>
    <w:p w:rsidR="00537775" w:rsidRPr="00DA4F3E" w:rsidRDefault="00867E48" w:rsidP="00AB058C">
      <w:pPr>
        <w:bidi w:val="0"/>
        <w:spacing w:after="0" w:line="276" w:lineRule="auto"/>
        <w:ind w:left="1276" w:hanging="567"/>
        <w:rPr>
          <w:rFonts w:ascii="Times New Roman" w:hAnsi="Times New Roman" w:cs="Times New Roman"/>
          <w:b w:val="0"/>
          <w:bCs w:val="0"/>
          <w:sz w:val="24"/>
          <w:szCs w:val="24"/>
        </w:rPr>
      </w:pPr>
      <w:r w:rsidRPr="00DA4F3E">
        <w:rPr>
          <w:rFonts w:ascii="Times New Roman" w:hAnsi="Times New Roman" w:cs="Times New Roman"/>
          <w:b w:val="0"/>
          <w:bCs w:val="0"/>
          <w:sz w:val="24"/>
          <w:szCs w:val="24"/>
        </w:rPr>
        <w:t>9.1</w:t>
      </w:r>
      <w:r w:rsidRPr="00DA4F3E">
        <w:rPr>
          <w:rFonts w:ascii="Times New Roman" w:hAnsi="Times New Roman" w:cs="Times New Roman"/>
          <w:b w:val="0"/>
          <w:bCs w:val="0"/>
          <w:sz w:val="24"/>
          <w:szCs w:val="24"/>
        </w:rPr>
        <w:tab/>
      </w:r>
      <w:r w:rsidR="00537775" w:rsidRPr="00DA4F3E">
        <w:rPr>
          <w:rFonts w:ascii="Times New Roman" w:hAnsi="Times New Roman" w:cs="Times New Roman"/>
          <w:b w:val="0"/>
          <w:bCs w:val="0"/>
          <w:sz w:val="24"/>
          <w:szCs w:val="24"/>
          <w:lang w:val="en"/>
        </w:rPr>
        <w:t>In</w:t>
      </w:r>
      <w:r w:rsidRPr="00DA4F3E">
        <w:rPr>
          <w:rFonts w:ascii="Times New Roman" w:hAnsi="Times New Roman" w:cs="Times New Roman"/>
          <w:b w:val="0"/>
          <w:bCs w:val="0"/>
          <w:sz w:val="24"/>
          <w:szCs w:val="24"/>
          <w:lang w:val="en"/>
        </w:rPr>
        <w:t xml:space="preserve"> the comprehensive </w:t>
      </w:r>
      <w:r w:rsidR="000A4682" w:rsidRPr="00DA4F3E">
        <w:rPr>
          <w:rFonts w:ascii="Times New Roman" w:hAnsi="Times New Roman" w:cs="Times New Roman"/>
          <w:b w:val="0"/>
          <w:bCs w:val="0"/>
          <w:sz w:val="24"/>
          <w:szCs w:val="24"/>
        </w:rPr>
        <w:t xml:space="preserve">approach, when taking collateral, banks will need to calculate their adjusted exposure to a counterparty </w:t>
      </w:r>
      <w:r w:rsidRPr="00DA4F3E">
        <w:rPr>
          <w:rFonts w:ascii="Times New Roman" w:hAnsi="Times New Roman" w:cs="Times New Roman"/>
          <w:b w:val="0"/>
          <w:bCs w:val="0"/>
          <w:sz w:val="24"/>
          <w:szCs w:val="24"/>
          <w:lang w:val="en"/>
        </w:rPr>
        <w:t>using haircuts</w:t>
      </w:r>
      <w:r w:rsidR="000A4682" w:rsidRPr="00DA4F3E">
        <w:rPr>
          <w:rFonts w:ascii="Times New Roman" w:hAnsi="Times New Roman" w:cs="Times New Roman"/>
          <w:b w:val="0"/>
          <w:bCs w:val="0"/>
          <w:sz w:val="24"/>
          <w:szCs w:val="24"/>
          <w:lang w:val="en"/>
        </w:rPr>
        <w:t xml:space="preserve">, </w:t>
      </w:r>
      <w:r w:rsidR="00AB058C" w:rsidRPr="00DA4F3E">
        <w:rPr>
          <w:rFonts w:ascii="Times New Roman" w:hAnsi="Times New Roman" w:cs="Times New Roman"/>
          <w:b w:val="0"/>
          <w:bCs w:val="0"/>
          <w:sz w:val="24"/>
          <w:szCs w:val="24"/>
          <w:lang w:val="en"/>
        </w:rPr>
        <w:t>so</w:t>
      </w:r>
      <w:r w:rsidR="00537775" w:rsidRPr="00DA4F3E">
        <w:rPr>
          <w:rFonts w:ascii="Times New Roman" w:hAnsi="Times New Roman" w:cs="Times New Roman"/>
          <w:b w:val="0"/>
          <w:bCs w:val="0"/>
          <w:sz w:val="24"/>
          <w:szCs w:val="24"/>
        </w:rPr>
        <w:t xml:space="preserve"> banks are required to adjust the amount of the exposure to the counterparty</w:t>
      </w:r>
      <w:r w:rsidR="00537775" w:rsidRPr="00DA4F3E">
        <w:rPr>
          <w:rFonts w:ascii="Times New Roman" w:hAnsi="Times New Roman" w:cs="Times New Roman"/>
          <w:b w:val="0"/>
          <w:bCs w:val="0"/>
          <w:sz w:val="24"/>
          <w:szCs w:val="24"/>
          <w:lang w:val="en"/>
        </w:rPr>
        <w:t xml:space="preserve"> upwards</w:t>
      </w:r>
      <w:r w:rsidR="00537775" w:rsidRPr="00DA4F3E">
        <w:rPr>
          <w:rFonts w:ascii="Times New Roman" w:hAnsi="Times New Roman" w:cs="Times New Roman"/>
          <w:b w:val="0"/>
          <w:bCs w:val="0"/>
          <w:sz w:val="24"/>
          <w:szCs w:val="24"/>
        </w:rPr>
        <w:t xml:space="preserve"> and the value of </w:t>
      </w:r>
      <w:r w:rsidR="00AB058C">
        <w:rPr>
          <w:rFonts w:ascii="Times New Roman" w:hAnsi="Times New Roman" w:cs="Times New Roman"/>
          <w:b w:val="0"/>
          <w:bCs w:val="0"/>
          <w:sz w:val="24"/>
          <w:szCs w:val="24"/>
        </w:rPr>
        <w:t>the</w:t>
      </w:r>
      <w:r w:rsidR="00537775" w:rsidRPr="00DA4F3E">
        <w:rPr>
          <w:rFonts w:ascii="Times New Roman" w:hAnsi="Times New Roman" w:cs="Times New Roman"/>
          <w:b w:val="0"/>
          <w:bCs w:val="0"/>
          <w:sz w:val="24"/>
          <w:szCs w:val="24"/>
        </w:rPr>
        <w:t xml:space="preserve"> collateral downwards to take account of possible future fluctuations in the value of either.</w:t>
      </w:r>
    </w:p>
    <w:p w:rsidR="00537775" w:rsidRPr="00DA4F3E" w:rsidRDefault="008B320E" w:rsidP="008B320E">
      <w:pPr>
        <w:bidi w:val="0"/>
        <w:spacing w:after="0" w:line="276" w:lineRule="auto"/>
        <w:ind w:left="1276" w:hanging="567"/>
        <w:rPr>
          <w:rFonts w:ascii="Times New Roman" w:hAnsi="Times New Roman" w:cs="Times New Roman"/>
          <w:b w:val="0"/>
          <w:bCs w:val="0"/>
          <w:sz w:val="24"/>
          <w:szCs w:val="24"/>
        </w:rPr>
      </w:pPr>
      <w:r w:rsidRPr="00DA4F3E">
        <w:rPr>
          <w:rFonts w:ascii="Times New Roman" w:hAnsi="Times New Roman" w:cs="Times New Roman"/>
          <w:b w:val="0"/>
          <w:bCs w:val="0"/>
          <w:sz w:val="24"/>
          <w:szCs w:val="24"/>
        </w:rPr>
        <w:t>9.2</w:t>
      </w:r>
      <w:r w:rsidRPr="00DA4F3E">
        <w:rPr>
          <w:rFonts w:ascii="Times New Roman" w:hAnsi="Times New Roman" w:cs="Times New Roman"/>
          <w:b w:val="0"/>
          <w:bCs w:val="0"/>
          <w:sz w:val="24"/>
          <w:szCs w:val="24"/>
        </w:rPr>
        <w:tab/>
        <w:t>W</w:t>
      </w:r>
      <w:r w:rsidR="00537775" w:rsidRPr="00DA4F3E">
        <w:rPr>
          <w:rFonts w:ascii="Times New Roman" w:hAnsi="Times New Roman" w:cs="Times New Roman"/>
          <w:b w:val="0"/>
          <w:bCs w:val="0"/>
          <w:sz w:val="24"/>
          <w:szCs w:val="24"/>
        </w:rPr>
        <w:t xml:space="preserve">here the exposure and collateral are held in different currencies an additional downwards adjustment must be made to the volatility adjusted collateral amount to take account of possible future fluctuations in exchange rates. </w:t>
      </w:r>
    </w:p>
    <w:p w:rsidR="00537775" w:rsidRPr="00DA4F3E" w:rsidRDefault="00537775" w:rsidP="008B320E">
      <w:pPr>
        <w:bidi w:val="0"/>
        <w:spacing w:after="0" w:line="276" w:lineRule="auto"/>
        <w:ind w:left="1276" w:hanging="567"/>
        <w:rPr>
          <w:rFonts w:ascii="Times New Roman" w:hAnsi="Times New Roman" w:cs="Times New Roman"/>
          <w:b w:val="0"/>
          <w:bCs w:val="0"/>
          <w:sz w:val="24"/>
          <w:szCs w:val="24"/>
          <w:lang w:val="en"/>
        </w:rPr>
      </w:pPr>
      <w:r w:rsidRPr="00DA4F3E">
        <w:rPr>
          <w:rFonts w:ascii="Times New Roman" w:hAnsi="Times New Roman" w:cs="Times New Roman"/>
          <w:b w:val="0"/>
          <w:bCs w:val="0"/>
          <w:sz w:val="24"/>
          <w:szCs w:val="24"/>
        </w:rPr>
        <w:t>9.3</w:t>
      </w:r>
      <w:r w:rsidRPr="00DA4F3E">
        <w:rPr>
          <w:rFonts w:ascii="Times New Roman" w:hAnsi="Times New Roman" w:cs="Times New Roman"/>
          <w:b w:val="0"/>
          <w:bCs w:val="0"/>
          <w:sz w:val="24"/>
          <w:szCs w:val="24"/>
        </w:rPr>
        <w:tab/>
        <w:t xml:space="preserve">Where the volatility-adjusted exposure amount is greater than the volatility-adjusted collateral amount (including any further adjustment for foreign exchange risk), banks shall calculate their risk-weighted assets as the difference between the two multiplied by the risk weight of the counterparty </w:t>
      </w:r>
      <w:r w:rsidR="00AB058C">
        <w:rPr>
          <w:rFonts w:ascii="Times New Roman" w:hAnsi="Times New Roman" w:cs="Times New Roman"/>
          <w:b w:val="0"/>
          <w:bCs w:val="0"/>
          <w:sz w:val="24"/>
          <w:szCs w:val="24"/>
          <w:lang w:val="en"/>
        </w:rPr>
        <w:t>(a</w:t>
      </w:r>
      <w:r w:rsidRPr="00DA4F3E">
        <w:rPr>
          <w:rFonts w:ascii="Times New Roman" w:hAnsi="Times New Roman" w:cs="Times New Roman"/>
          <w:b w:val="0"/>
          <w:bCs w:val="0"/>
          <w:sz w:val="24"/>
          <w:szCs w:val="24"/>
          <w:lang w:val="en"/>
        </w:rPr>
        <w:t>ccording to what is shown within the methodology for calculating capital requirements within the comprehensive approach).</w:t>
      </w:r>
    </w:p>
    <w:p w:rsidR="00537775" w:rsidRPr="00DA4F3E" w:rsidRDefault="00537775" w:rsidP="008B320E">
      <w:pPr>
        <w:bidi w:val="0"/>
        <w:spacing w:after="0" w:line="276" w:lineRule="auto"/>
        <w:ind w:left="1276" w:hanging="567"/>
        <w:rPr>
          <w:rFonts w:ascii="Times New Roman" w:hAnsi="Times New Roman" w:cs="Times New Roman"/>
          <w:b w:val="0"/>
          <w:bCs w:val="0"/>
          <w:sz w:val="24"/>
          <w:szCs w:val="24"/>
          <w:lang w:val="en"/>
        </w:rPr>
      </w:pPr>
      <w:r w:rsidRPr="00DA4F3E">
        <w:rPr>
          <w:rFonts w:ascii="Times New Roman" w:hAnsi="Times New Roman" w:cs="Times New Roman"/>
          <w:b w:val="0"/>
          <w:bCs w:val="0"/>
          <w:sz w:val="24"/>
          <w:szCs w:val="24"/>
        </w:rPr>
        <w:t>9.4</w:t>
      </w:r>
      <w:r w:rsidRPr="00DA4F3E">
        <w:rPr>
          <w:rFonts w:ascii="Times New Roman" w:hAnsi="Times New Roman" w:cs="Times New Roman"/>
          <w:b w:val="0"/>
          <w:bCs w:val="0"/>
          <w:sz w:val="24"/>
          <w:szCs w:val="24"/>
        </w:rPr>
        <w:tab/>
      </w:r>
      <w:r w:rsidR="00891368" w:rsidRPr="00DA4F3E">
        <w:rPr>
          <w:rFonts w:ascii="Times New Roman" w:hAnsi="Times New Roman" w:cs="Times New Roman"/>
          <w:b w:val="0"/>
          <w:bCs w:val="0"/>
          <w:sz w:val="24"/>
          <w:szCs w:val="24"/>
          <w:lang w:val="en"/>
        </w:rPr>
        <w:t xml:space="preserve">The bank shall use the </w:t>
      </w:r>
      <w:r w:rsidR="00891368" w:rsidRPr="00DA4F3E">
        <w:rPr>
          <w:rFonts w:ascii="Times New Roman" w:hAnsi="Times New Roman" w:cs="Times New Roman"/>
          <w:b w:val="0"/>
          <w:bCs w:val="0"/>
          <w:sz w:val="24"/>
          <w:szCs w:val="24"/>
        </w:rPr>
        <w:t xml:space="preserve">standard supervisory haircuts </w:t>
      </w:r>
      <w:r w:rsidR="00891368" w:rsidRPr="00DA4F3E">
        <w:rPr>
          <w:rFonts w:ascii="Times New Roman" w:hAnsi="Times New Roman" w:cs="Times New Roman"/>
          <w:b w:val="0"/>
          <w:bCs w:val="0"/>
          <w:sz w:val="24"/>
          <w:szCs w:val="24"/>
          <w:lang w:val="en"/>
        </w:rPr>
        <w:t>shown in the table of deduction rates listed below</w:t>
      </w:r>
    </w:p>
    <w:p w:rsidR="00F339A9" w:rsidRPr="00DA4F3E" w:rsidRDefault="00F339A9" w:rsidP="008B320E">
      <w:pPr>
        <w:bidi w:val="0"/>
        <w:spacing w:after="0" w:line="276" w:lineRule="auto"/>
        <w:ind w:left="1276" w:hanging="567"/>
        <w:rPr>
          <w:rFonts w:ascii="Times New Roman" w:hAnsi="Times New Roman" w:cs="Times New Roman"/>
          <w:b w:val="0"/>
          <w:bCs w:val="0"/>
          <w:sz w:val="24"/>
          <w:szCs w:val="24"/>
        </w:rPr>
      </w:pPr>
      <w:r w:rsidRPr="00DA4F3E">
        <w:rPr>
          <w:rFonts w:ascii="Times New Roman" w:hAnsi="Times New Roman" w:cs="Times New Roman"/>
          <w:b w:val="0"/>
          <w:bCs w:val="0"/>
          <w:sz w:val="24"/>
          <w:szCs w:val="24"/>
          <w:lang w:val="en"/>
        </w:rPr>
        <w:t>9.5</w:t>
      </w:r>
      <w:r w:rsidRPr="00DA4F3E">
        <w:rPr>
          <w:rFonts w:ascii="Times New Roman" w:hAnsi="Times New Roman" w:cs="Times New Roman"/>
          <w:b w:val="0"/>
          <w:bCs w:val="0"/>
          <w:sz w:val="24"/>
          <w:szCs w:val="24"/>
          <w:lang w:val="en"/>
        </w:rPr>
        <w:tab/>
      </w:r>
      <w:r w:rsidRPr="00DA4F3E">
        <w:rPr>
          <w:rFonts w:ascii="Times New Roman" w:hAnsi="Times New Roman" w:cs="Times New Roman"/>
          <w:b w:val="0"/>
          <w:bCs w:val="0"/>
          <w:sz w:val="24"/>
          <w:szCs w:val="24"/>
        </w:rPr>
        <w:t>The size of the individual haircuts will depend on:</w:t>
      </w:r>
    </w:p>
    <w:p w:rsidR="00F339A9" w:rsidRPr="00DA4F3E" w:rsidRDefault="00F339A9" w:rsidP="008B320E">
      <w:pPr>
        <w:bidi w:val="0"/>
        <w:spacing w:after="0" w:line="276" w:lineRule="auto"/>
        <w:ind w:left="2127" w:hanging="851"/>
        <w:rPr>
          <w:rFonts w:ascii="Times New Roman" w:hAnsi="Times New Roman" w:cs="Times New Roman"/>
          <w:b w:val="0"/>
          <w:bCs w:val="0"/>
          <w:sz w:val="24"/>
          <w:szCs w:val="24"/>
          <w:lang w:val="en"/>
        </w:rPr>
      </w:pPr>
      <w:r w:rsidRPr="00DA4F3E">
        <w:rPr>
          <w:rFonts w:ascii="Times New Roman" w:hAnsi="Times New Roman" w:cs="Times New Roman"/>
          <w:b w:val="0"/>
          <w:bCs w:val="0"/>
          <w:sz w:val="24"/>
          <w:szCs w:val="24"/>
          <w:lang w:val="en"/>
        </w:rPr>
        <w:t>9.5.1</w:t>
      </w:r>
      <w:r w:rsidR="008B320E" w:rsidRPr="00DA4F3E">
        <w:rPr>
          <w:rFonts w:ascii="Times New Roman" w:hAnsi="Times New Roman" w:cs="Times New Roman"/>
          <w:b w:val="0"/>
          <w:bCs w:val="0"/>
          <w:sz w:val="24"/>
          <w:szCs w:val="24"/>
          <w:lang w:val="en"/>
        </w:rPr>
        <w:tab/>
        <w:t>T</w:t>
      </w:r>
      <w:r w:rsidR="00891368" w:rsidRPr="00DA4F3E">
        <w:rPr>
          <w:rFonts w:ascii="Times New Roman" w:hAnsi="Times New Roman" w:cs="Times New Roman"/>
          <w:b w:val="0"/>
          <w:bCs w:val="0"/>
          <w:sz w:val="24"/>
          <w:szCs w:val="24"/>
          <w:lang w:val="en"/>
        </w:rPr>
        <w:t xml:space="preserve">he </w:t>
      </w:r>
      <w:r w:rsidRPr="00DA4F3E">
        <w:rPr>
          <w:rFonts w:ascii="Times New Roman" w:hAnsi="Times New Roman" w:cs="Times New Roman"/>
          <w:b w:val="0"/>
          <w:bCs w:val="0"/>
          <w:sz w:val="24"/>
          <w:szCs w:val="24"/>
        </w:rPr>
        <w:t>type of instrument</w:t>
      </w:r>
      <w:r w:rsidR="008B320E" w:rsidRPr="00DA4F3E">
        <w:rPr>
          <w:rFonts w:ascii="Times New Roman" w:hAnsi="Times New Roman" w:cs="Times New Roman"/>
          <w:b w:val="0"/>
          <w:bCs w:val="0"/>
          <w:sz w:val="24"/>
          <w:szCs w:val="24"/>
        </w:rPr>
        <w:t>.</w:t>
      </w:r>
      <w:r w:rsidRPr="00DA4F3E">
        <w:rPr>
          <w:rFonts w:ascii="Times New Roman" w:hAnsi="Times New Roman" w:cs="Times New Roman"/>
          <w:b w:val="0"/>
          <w:bCs w:val="0"/>
          <w:sz w:val="24"/>
          <w:szCs w:val="24"/>
          <w:lang w:val="en"/>
        </w:rPr>
        <w:tab/>
      </w:r>
    </w:p>
    <w:p w:rsidR="00F339A9" w:rsidRPr="00DA4F3E" w:rsidRDefault="00F339A9" w:rsidP="008B320E">
      <w:pPr>
        <w:bidi w:val="0"/>
        <w:spacing w:after="0" w:line="276" w:lineRule="auto"/>
        <w:ind w:left="2127" w:hanging="851"/>
        <w:rPr>
          <w:rFonts w:ascii="Times New Roman" w:hAnsi="Times New Roman" w:cs="Times New Roman"/>
          <w:b w:val="0"/>
          <w:bCs w:val="0"/>
          <w:sz w:val="24"/>
          <w:szCs w:val="24"/>
        </w:rPr>
      </w:pPr>
      <w:r w:rsidRPr="00DA4F3E">
        <w:rPr>
          <w:rFonts w:ascii="Times New Roman" w:hAnsi="Times New Roman" w:cs="Times New Roman"/>
          <w:b w:val="0"/>
          <w:bCs w:val="0"/>
          <w:sz w:val="24"/>
          <w:szCs w:val="24"/>
          <w:lang w:val="en"/>
        </w:rPr>
        <w:t>9.5.2</w:t>
      </w:r>
      <w:r w:rsidRPr="00DA4F3E">
        <w:rPr>
          <w:rFonts w:ascii="Times New Roman" w:hAnsi="Times New Roman" w:cs="Times New Roman"/>
          <w:b w:val="0"/>
          <w:bCs w:val="0"/>
          <w:sz w:val="24"/>
          <w:szCs w:val="24"/>
          <w:lang w:val="en"/>
        </w:rPr>
        <w:tab/>
      </w:r>
      <w:r w:rsidR="008B320E" w:rsidRPr="00DA4F3E">
        <w:rPr>
          <w:rFonts w:ascii="Times New Roman" w:hAnsi="Times New Roman" w:cs="Times New Roman"/>
          <w:b w:val="0"/>
          <w:bCs w:val="0"/>
          <w:sz w:val="24"/>
          <w:szCs w:val="24"/>
          <w:lang w:val="en"/>
        </w:rPr>
        <w:t>T</w:t>
      </w:r>
      <w:r w:rsidR="00891368" w:rsidRPr="00DA4F3E">
        <w:rPr>
          <w:rFonts w:ascii="Times New Roman" w:hAnsi="Times New Roman" w:cs="Times New Roman"/>
          <w:b w:val="0"/>
          <w:bCs w:val="0"/>
          <w:sz w:val="24"/>
          <w:szCs w:val="24"/>
          <w:lang w:val="en"/>
        </w:rPr>
        <w:t xml:space="preserve">he </w:t>
      </w:r>
      <w:r w:rsidRPr="00DA4F3E">
        <w:rPr>
          <w:rFonts w:ascii="Times New Roman" w:hAnsi="Times New Roman" w:cs="Times New Roman"/>
          <w:b w:val="0"/>
          <w:bCs w:val="0"/>
          <w:sz w:val="24"/>
          <w:szCs w:val="24"/>
        </w:rPr>
        <w:t>type of currency</w:t>
      </w:r>
      <w:r w:rsidR="008B320E" w:rsidRPr="00DA4F3E">
        <w:rPr>
          <w:rFonts w:ascii="Times New Roman" w:hAnsi="Times New Roman" w:cs="Times New Roman"/>
          <w:b w:val="0"/>
          <w:bCs w:val="0"/>
          <w:sz w:val="24"/>
          <w:szCs w:val="24"/>
        </w:rPr>
        <w:t>.</w:t>
      </w:r>
    </w:p>
    <w:p w:rsidR="00F339A9" w:rsidRPr="00DA4F3E" w:rsidRDefault="00F339A9" w:rsidP="008B320E">
      <w:pPr>
        <w:bidi w:val="0"/>
        <w:spacing w:after="0" w:line="276" w:lineRule="auto"/>
        <w:ind w:left="2127" w:hanging="851"/>
        <w:rPr>
          <w:rFonts w:ascii="Times New Roman" w:hAnsi="Times New Roman" w:cs="Times New Roman"/>
          <w:b w:val="0"/>
          <w:bCs w:val="0"/>
          <w:sz w:val="24"/>
          <w:szCs w:val="24"/>
          <w:lang w:val="en"/>
        </w:rPr>
      </w:pPr>
      <w:r w:rsidRPr="00DA4F3E">
        <w:rPr>
          <w:rFonts w:ascii="Times New Roman" w:hAnsi="Times New Roman" w:cs="Times New Roman"/>
          <w:b w:val="0"/>
          <w:bCs w:val="0"/>
          <w:sz w:val="24"/>
          <w:szCs w:val="24"/>
          <w:lang w:val="en"/>
        </w:rPr>
        <w:lastRenderedPageBreak/>
        <w:t>9.5.3</w:t>
      </w:r>
      <w:r w:rsidRPr="00DA4F3E">
        <w:rPr>
          <w:rFonts w:ascii="Times New Roman" w:hAnsi="Times New Roman" w:cs="Times New Roman"/>
          <w:b w:val="0"/>
          <w:bCs w:val="0"/>
          <w:sz w:val="24"/>
          <w:szCs w:val="24"/>
          <w:lang w:val="en"/>
        </w:rPr>
        <w:tab/>
        <w:t>Periodic re-evaluation</w:t>
      </w:r>
      <w:r w:rsidR="008B320E" w:rsidRPr="00DA4F3E">
        <w:rPr>
          <w:rFonts w:ascii="Times New Roman" w:hAnsi="Times New Roman" w:cs="Times New Roman"/>
          <w:b w:val="0"/>
          <w:bCs w:val="0"/>
          <w:sz w:val="24"/>
          <w:szCs w:val="24"/>
          <w:lang w:val="en"/>
        </w:rPr>
        <w:t>.</w:t>
      </w:r>
    </w:p>
    <w:p w:rsidR="00891368" w:rsidRPr="00DA4F3E" w:rsidRDefault="00891368" w:rsidP="008B320E">
      <w:pPr>
        <w:bidi w:val="0"/>
        <w:spacing w:after="0" w:line="276" w:lineRule="auto"/>
        <w:ind w:left="2127" w:hanging="851"/>
        <w:rPr>
          <w:rFonts w:ascii="Times New Roman" w:hAnsi="Times New Roman" w:cs="Times New Roman"/>
          <w:b w:val="0"/>
          <w:bCs w:val="0"/>
          <w:sz w:val="24"/>
          <w:szCs w:val="24"/>
        </w:rPr>
      </w:pPr>
      <w:r w:rsidRPr="00DA4F3E">
        <w:rPr>
          <w:rFonts w:ascii="Times New Roman" w:hAnsi="Times New Roman" w:cs="Times New Roman"/>
          <w:b w:val="0"/>
          <w:bCs w:val="0"/>
          <w:sz w:val="24"/>
          <w:szCs w:val="24"/>
          <w:lang w:val="en"/>
        </w:rPr>
        <w:t>9.5.4</w:t>
      </w:r>
      <w:r w:rsidRPr="00DA4F3E">
        <w:rPr>
          <w:rFonts w:ascii="Times New Roman" w:hAnsi="Times New Roman" w:cs="Times New Roman"/>
          <w:b w:val="0"/>
          <w:bCs w:val="0"/>
          <w:sz w:val="24"/>
          <w:szCs w:val="24"/>
          <w:lang w:val="en"/>
        </w:rPr>
        <w:tab/>
      </w:r>
      <w:r w:rsidR="008B320E" w:rsidRPr="00DA4F3E">
        <w:rPr>
          <w:rFonts w:ascii="Times New Roman" w:hAnsi="Times New Roman" w:cs="Times New Roman"/>
          <w:b w:val="0"/>
          <w:bCs w:val="0"/>
          <w:sz w:val="24"/>
          <w:szCs w:val="24"/>
        </w:rPr>
        <w:t>R</w:t>
      </w:r>
      <w:r w:rsidRPr="00DA4F3E">
        <w:rPr>
          <w:rFonts w:ascii="Times New Roman" w:hAnsi="Times New Roman" w:cs="Times New Roman"/>
          <w:b w:val="0"/>
          <w:bCs w:val="0"/>
          <w:sz w:val="24"/>
          <w:szCs w:val="24"/>
        </w:rPr>
        <w:t>emargining.</w:t>
      </w:r>
    </w:p>
    <w:p w:rsidR="00891368" w:rsidRPr="00AB058C" w:rsidRDefault="00891368" w:rsidP="00AB058C">
      <w:pPr>
        <w:bidi w:val="0"/>
        <w:spacing w:after="0" w:line="276" w:lineRule="auto"/>
        <w:ind w:left="1276" w:hanging="567"/>
        <w:rPr>
          <w:rFonts w:ascii="Times New Roman" w:hAnsi="Times New Roman" w:cs="Times New Roman"/>
          <w:b w:val="0"/>
          <w:bCs w:val="0"/>
          <w:sz w:val="24"/>
          <w:szCs w:val="24"/>
          <w:lang w:bidi="ar-JO"/>
        </w:rPr>
      </w:pPr>
      <w:r w:rsidRPr="00DA4F3E">
        <w:rPr>
          <w:rFonts w:ascii="Times New Roman" w:hAnsi="Times New Roman" w:cs="Times New Roman"/>
          <w:b w:val="0"/>
          <w:bCs w:val="0"/>
          <w:sz w:val="24"/>
          <w:szCs w:val="24"/>
          <w:lang w:val="en"/>
        </w:rPr>
        <w:t>9.6</w:t>
      </w:r>
      <w:r w:rsidRPr="00DA4F3E">
        <w:rPr>
          <w:rFonts w:ascii="Times New Roman" w:hAnsi="Times New Roman" w:cs="Times New Roman"/>
          <w:b w:val="0"/>
          <w:bCs w:val="0"/>
          <w:sz w:val="24"/>
          <w:szCs w:val="24"/>
          <w:lang w:val="en"/>
        </w:rPr>
        <w:tab/>
      </w:r>
      <w:r w:rsidRPr="00DA4F3E">
        <w:rPr>
          <w:rFonts w:ascii="Times New Roman" w:hAnsi="Times New Roman" w:cs="Times New Roman"/>
          <w:b w:val="0"/>
          <w:bCs w:val="0"/>
          <w:sz w:val="24"/>
          <w:szCs w:val="24"/>
        </w:rPr>
        <w:t xml:space="preserve">For certain types of repo-style transactions (broadly speaking government bond repos) </w:t>
      </w:r>
      <w:r w:rsidR="00AB058C">
        <w:rPr>
          <w:rFonts w:ascii="Times New Roman" w:hAnsi="Times New Roman" w:cs="Times New Roman"/>
          <w:b w:val="0"/>
          <w:bCs w:val="0"/>
          <w:sz w:val="24"/>
          <w:szCs w:val="24"/>
        </w:rPr>
        <w:t>the</w:t>
      </w:r>
      <w:r w:rsidRPr="00DA4F3E">
        <w:rPr>
          <w:rFonts w:ascii="Times New Roman" w:hAnsi="Times New Roman" w:cs="Times New Roman"/>
          <w:b w:val="0"/>
          <w:bCs w:val="0"/>
          <w:sz w:val="24"/>
          <w:szCs w:val="24"/>
          <w:lang w:val="en"/>
        </w:rPr>
        <w:t xml:space="preserve"> bank has the right to use (zero%)</w:t>
      </w:r>
      <w:r w:rsidR="00AB058C">
        <w:rPr>
          <w:rFonts w:ascii="Times New Roman" w:hAnsi="Times New Roman" w:cs="Times New Roman"/>
          <w:b w:val="0"/>
          <w:bCs w:val="0"/>
          <w:sz w:val="24"/>
          <w:szCs w:val="24"/>
          <w:lang w:val="en"/>
        </w:rPr>
        <w:t xml:space="preserve"> haircut (</w:t>
      </w:r>
      <w:r w:rsidR="00AB058C" w:rsidRPr="00AB058C">
        <w:rPr>
          <w:rFonts w:ascii="Times New Roman" w:hAnsi="Times New Roman" w:cs="Times New Roman"/>
          <w:b w:val="0"/>
          <w:bCs w:val="0"/>
          <w:sz w:val="24"/>
          <w:szCs w:val="24"/>
          <w:lang w:val="en"/>
        </w:rPr>
        <w:t>in line with the terms of calculating the (</w:t>
      </w:r>
      <w:r w:rsidR="00AB058C" w:rsidRPr="00DA4F3E">
        <w:rPr>
          <w:rFonts w:ascii="Times New Roman" w:hAnsi="Times New Roman" w:cs="Times New Roman"/>
          <w:b w:val="0"/>
          <w:bCs w:val="0"/>
          <w:sz w:val="24"/>
          <w:szCs w:val="24"/>
          <w:lang w:val="en"/>
        </w:rPr>
        <w:t>zero%)</w:t>
      </w:r>
      <w:r w:rsidR="00AB058C">
        <w:rPr>
          <w:rFonts w:ascii="Times New Roman" w:hAnsi="Times New Roman" w:cs="Times New Roman"/>
          <w:b w:val="0"/>
          <w:bCs w:val="0"/>
          <w:sz w:val="24"/>
          <w:szCs w:val="24"/>
          <w:lang w:val="en"/>
        </w:rPr>
        <w:t xml:space="preserve"> haircut </w:t>
      </w:r>
      <w:r w:rsidR="00AB058C" w:rsidRPr="00AB058C">
        <w:rPr>
          <w:rFonts w:ascii="Times New Roman" w:hAnsi="Times New Roman" w:cs="Times New Roman"/>
          <w:b w:val="0"/>
          <w:bCs w:val="0"/>
          <w:sz w:val="24"/>
          <w:szCs w:val="24"/>
          <w:lang w:val="en"/>
        </w:rPr>
        <w:t>set forth later).</w:t>
      </w:r>
    </w:p>
    <w:p w:rsidR="00CE1BB0" w:rsidRPr="00DA4F3E" w:rsidRDefault="00CE1BB0" w:rsidP="008B320E">
      <w:pPr>
        <w:bidi w:val="0"/>
        <w:spacing w:after="0" w:line="276" w:lineRule="auto"/>
        <w:ind w:left="1276" w:hanging="567"/>
        <w:rPr>
          <w:rFonts w:ascii="Times New Roman" w:hAnsi="Times New Roman" w:cs="Times New Roman"/>
          <w:b w:val="0"/>
          <w:bCs w:val="0"/>
          <w:sz w:val="24"/>
          <w:szCs w:val="24"/>
        </w:rPr>
      </w:pPr>
      <w:r w:rsidRPr="00DA4F3E">
        <w:rPr>
          <w:rFonts w:ascii="Times New Roman" w:hAnsi="Times New Roman" w:cs="Times New Roman"/>
          <w:b w:val="0"/>
          <w:bCs w:val="0"/>
          <w:sz w:val="24"/>
          <w:szCs w:val="24"/>
          <w:lang w:val="en"/>
        </w:rPr>
        <w:t>9.7</w:t>
      </w:r>
      <w:r w:rsidRPr="00DA4F3E">
        <w:rPr>
          <w:rFonts w:ascii="Times New Roman" w:hAnsi="Times New Roman" w:cs="Times New Roman"/>
          <w:b w:val="0"/>
          <w:bCs w:val="0"/>
          <w:sz w:val="24"/>
          <w:szCs w:val="24"/>
          <w:lang w:val="en"/>
        </w:rPr>
        <w:tab/>
      </w:r>
      <w:r w:rsidRPr="00DA4F3E">
        <w:rPr>
          <w:rFonts w:ascii="Times New Roman" w:hAnsi="Times New Roman" w:cs="Times New Roman"/>
          <w:b w:val="0"/>
          <w:bCs w:val="0"/>
          <w:sz w:val="24"/>
          <w:szCs w:val="24"/>
        </w:rPr>
        <w:t>The effect of master netting agreements covering repo-style transactions can be recognised for the calculation of capital requirements subject to the conditions in paragraph (13).</w:t>
      </w:r>
    </w:p>
    <w:p w:rsidR="00CE1BB0" w:rsidRPr="00F1087B" w:rsidRDefault="00CE1BB0" w:rsidP="00CE1BB0">
      <w:pPr>
        <w:bidi w:val="0"/>
        <w:ind w:left="810" w:hanging="540"/>
        <w:rPr>
          <w:color w:val="202124"/>
          <w:sz w:val="2"/>
          <w:szCs w:val="2"/>
          <w:lang w:val="en"/>
        </w:rPr>
      </w:pPr>
    </w:p>
    <w:p w:rsidR="00CE1BB0" w:rsidRPr="00DA4F3E" w:rsidRDefault="00CE1BB0" w:rsidP="008B320E">
      <w:pPr>
        <w:bidi w:val="0"/>
        <w:spacing w:after="0" w:line="276" w:lineRule="auto"/>
        <w:ind w:left="709" w:hanging="567"/>
        <w:rPr>
          <w:rFonts w:ascii="Times New Roman" w:hAnsi="Times New Roman" w:cs="Times New Roman"/>
          <w:sz w:val="24"/>
          <w:szCs w:val="24"/>
        </w:rPr>
      </w:pPr>
      <w:r w:rsidRPr="00DA4F3E">
        <w:rPr>
          <w:rFonts w:ascii="Times New Roman" w:hAnsi="Times New Roman" w:cs="Times New Roman"/>
          <w:sz w:val="24"/>
          <w:szCs w:val="24"/>
          <w:lang w:val="en"/>
        </w:rPr>
        <w:t>10.</w:t>
      </w:r>
      <w:r w:rsidRPr="00DA4F3E">
        <w:rPr>
          <w:rFonts w:ascii="Times New Roman" w:hAnsi="Times New Roman" w:cs="Times New Roman"/>
          <w:sz w:val="24"/>
          <w:szCs w:val="24"/>
          <w:lang w:val="en"/>
        </w:rPr>
        <w:tab/>
      </w:r>
      <w:r w:rsidRPr="00DA4F3E">
        <w:rPr>
          <w:rFonts w:ascii="Times New Roman" w:hAnsi="Times New Roman" w:cs="Times New Roman"/>
          <w:sz w:val="24"/>
          <w:szCs w:val="24"/>
        </w:rPr>
        <w:t>Calculation of capital requirements</w:t>
      </w:r>
      <w:r w:rsidR="001A1E1F" w:rsidRPr="00DA4F3E">
        <w:rPr>
          <w:rFonts w:ascii="Times New Roman" w:hAnsi="Times New Roman" w:cs="Times New Roman"/>
          <w:sz w:val="24"/>
          <w:szCs w:val="24"/>
        </w:rPr>
        <w:t>:</w:t>
      </w:r>
    </w:p>
    <w:p w:rsidR="001A1E1F" w:rsidRPr="008B320E" w:rsidRDefault="001A1E1F" w:rsidP="008B320E">
      <w:pPr>
        <w:bidi w:val="0"/>
        <w:spacing w:after="0" w:line="276" w:lineRule="auto"/>
        <w:ind w:left="1276" w:hanging="567"/>
        <w:rPr>
          <w:rFonts w:ascii="Times New Roman" w:hAnsi="Times New Roman" w:cs="Times New Roman"/>
          <w:b w:val="0"/>
          <w:bCs w:val="0"/>
          <w:lang w:val="en"/>
        </w:rPr>
      </w:pPr>
      <w:r w:rsidRPr="00DA4F3E">
        <w:rPr>
          <w:rFonts w:ascii="Times New Roman" w:hAnsi="Times New Roman" w:cs="Times New Roman"/>
          <w:b w:val="0"/>
          <w:bCs w:val="0"/>
          <w:sz w:val="24"/>
          <w:szCs w:val="24"/>
          <w:lang w:val="en"/>
        </w:rPr>
        <w:t>10.1</w:t>
      </w:r>
      <w:r w:rsidRPr="00DA4F3E">
        <w:rPr>
          <w:rFonts w:ascii="Times New Roman" w:hAnsi="Times New Roman" w:cs="Times New Roman"/>
          <w:b w:val="0"/>
          <w:bCs w:val="0"/>
          <w:sz w:val="24"/>
          <w:szCs w:val="24"/>
          <w:lang w:val="en"/>
        </w:rPr>
        <w:tab/>
      </w:r>
      <w:r w:rsidRPr="00DA4F3E">
        <w:rPr>
          <w:rFonts w:ascii="Times New Roman" w:hAnsi="Times New Roman" w:cs="Times New Roman"/>
          <w:b w:val="0"/>
          <w:bCs w:val="0"/>
          <w:sz w:val="24"/>
          <w:szCs w:val="24"/>
        </w:rPr>
        <w:t>For a collateralised transaction</w:t>
      </w:r>
      <w:r w:rsidRPr="008B320E">
        <w:rPr>
          <w:rFonts w:ascii="Times New Roman" w:hAnsi="Times New Roman" w:cs="Times New Roman"/>
          <w:b w:val="0"/>
          <w:bCs w:val="0"/>
        </w:rPr>
        <w:t>, the exposure amount after risk mitigation is calculated as follows:</w:t>
      </w:r>
    </w:p>
    <w:tbl>
      <w:tblPr>
        <w:tblStyle w:val="TableGrid"/>
        <w:tblpPr w:leftFromText="180" w:rightFromText="180" w:vertAnchor="text" w:horzAnchor="page" w:tblpX="2749" w:tblpY="5"/>
        <w:bidiVisual/>
        <w:tblW w:w="0" w:type="auto"/>
        <w:tblLook w:val="04A0" w:firstRow="1" w:lastRow="0" w:firstColumn="1" w:lastColumn="0" w:noHBand="0" w:noVBand="1"/>
      </w:tblPr>
      <w:tblGrid>
        <w:gridCol w:w="5186"/>
      </w:tblGrid>
      <w:tr w:rsidR="001A1E1F" w:rsidRPr="00C77C11" w:rsidTr="001A1E1F">
        <w:tc>
          <w:tcPr>
            <w:tcW w:w="0" w:type="auto"/>
          </w:tcPr>
          <w:p w:rsidR="001A1E1F" w:rsidRPr="00C77C11" w:rsidRDefault="001A1E1F" w:rsidP="001A1E1F">
            <w:pPr>
              <w:rPr>
                <w:b w:val="0"/>
                <w:bCs w:val="0"/>
                <w:rtl/>
                <w:lang w:bidi="ar-JO"/>
              </w:rPr>
            </w:pPr>
            <w:bookmarkStart w:id="38" w:name="_Toc414888184"/>
            <w:bookmarkStart w:id="39" w:name="_Toc451176372"/>
            <w:bookmarkStart w:id="40" w:name="_Toc451180353"/>
            <w:r w:rsidRPr="00C77C11">
              <w:rPr>
                <w:b w:val="0"/>
                <w:bCs w:val="0"/>
              </w:rPr>
              <w:t>E</w:t>
            </w:r>
            <w:r w:rsidRPr="00C77C11">
              <w:rPr>
                <w:b w:val="0"/>
                <w:bCs w:val="0"/>
                <w:vertAlign w:val="superscript"/>
              </w:rPr>
              <w:t>*</w:t>
            </w:r>
            <w:r w:rsidRPr="00C77C11">
              <w:rPr>
                <w:b w:val="0"/>
                <w:bCs w:val="0"/>
              </w:rPr>
              <w:t xml:space="preserve">=max {0, [E*(1 + He) – C * (1 – </w:t>
            </w:r>
            <w:proofErr w:type="spellStart"/>
            <w:r w:rsidRPr="00C77C11">
              <w:rPr>
                <w:b w:val="0"/>
                <w:bCs w:val="0"/>
              </w:rPr>
              <w:t>Hc</w:t>
            </w:r>
            <w:proofErr w:type="spellEnd"/>
            <w:r w:rsidRPr="00C77C11">
              <w:rPr>
                <w:b w:val="0"/>
                <w:bCs w:val="0"/>
              </w:rPr>
              <w:t xml:space="preserve"> – </w:t>
            </w:r>
            <w:proofErr w:type="spellStart"/>
            <w:r w:rsidRPr="00C77C11">
              <w:rPr>
                <w:b w:val="0"/>
                <w:bCs w:val="0"/>
              </w:rPr>
              <w:t>Hfx</w:t>
            </w:r>
            <w:proofErr w:type="spellEnd"/>
            <w:r w:rsidRPr="00C77C11">
              <w:rPr>
                <w:b w:val="0"/>
                <w:bCs w:val="0"/>
              </w:rPr>
              <w:t>)]}</w:t>
            </w:r>
            <w:bookmarkEnd w:id="38"/>
            <w:bookmarkEnd w:id="39"/>
            <w:bookmarkEnd w:id="40"/>
          </w:p>
        </w:tc>
      </w:tr>
    </w:tbl>
    <w:p w:rsidR="00537775" w:rsidRPr="00F339A9" w:rsidRDefault="00537775" w:rsidP="00537775">
      <w:pPr>
        <w:bidi w:val="0"/>
        <w:ind w:left="810" w:hanging="540"/>
        <w:rPr>
          <w:sz w:val="22"/>
          <w:szCs w:val="22"/>
          <w:lang w:val="en"/>
        </w:rPr>
      </w:pPr>
    </w:p>
    <w:p w:rsidR="001A1E1F" w:rsidRPr="008B320E" w:rsidRDefault="001A1E1F" w:rsidP="001A1E1F">
      <w:pPr>
        <w:pStyle w:val="Default"/>
        <w:spacing w:after="240"/>
        <w:ind w:firstLine="1260"/>
        <w:jc w:val="both"/>
        <w:rPr>
          <w:sz w:val="2"/>
          <w:szCs w:val="2"/>
        </w:rPr>
      </w:pPr>
    </w:p>
    <w:p w:rsidR="001A1E1F" w:rsidRPr="00DA4F3E" w:rsidRDefault="001A1E1F" w:rsidP="008B320E">
      <w:pPr>
        <w:pStyle w:val="Default"/>
        <w:ind w:firstLine="1260"/>
        <w:jc w:val="both"/>
        <w:rPr>
          <w:rFonts w:ascii="Times New Roman" w:hAnsi="Times New Roman" w:cs="Times New Roman"/>
        </w:rPr>
      </w:pPr>
      <w:r w:rsidRPr="00DA4F3E">
        <w:rPr>
          <w:rFonts w:ascii="Times New Roman" w:hAnsi="Times New Roman" w:cs="Times New Roman"/>
        </w:rPr>
        <w:t xml:space="preserve">where: </w:t>
      </w:r>
    </w:p>
    <w:tbl>
      <w:tblPr>
        <w:tblStyle w:val="TableGrid"/>
        <w:tblW w:w="0" w:type="auto"/>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89"/>
        <w:gridCol w:w="4677"/>
      </w:tblGrid>
      <w:tr w:rsidR="008B320E" w:rsidTr="008B320E">
        <w:tc>
          <w:tcPr>
            <w:tcW w:w="567" w:type="dxa"/>
          </w:tcPr>
          <w:p w:rsidR="008B320E" w:rsidRPr="008B320E" w:rsidRDefault="008B320E" w:rsidP="008B320E">
            <w:pPr>
              <w:pStyle w:val="Default"/>
              <w:jc w:val="both"/>
              <w:rPr>
                <w:rFonts w:ascii="Times New Roman" w:hAnsi="Times New Roman" w:cs="Times New Roman"/>
                <w:sz w:val="26"/>
                <w:szCs w:val="26"/>
              </w:rPr>
            </w:pPr>
            <w:r w:rsidRPr="008B320E">
              <w:rPr>
                <w:rFonts w:ascii="Times New Roman" w:hAnsi="Times New Roman" w:cs="Times New Roman"/>
                <w:sz w:val="22"/>
                <w:szCs w:val="22"/>
              </w:rPr>
              <w:t>E*</w:t>
            </w:r>
          </w:p>
        </w:tc>
        <w:tc>
          <w:tcPr>
            <w:tcW w:w="284" w:type="dxa"/>
          </w:tcPr>
          <w:p w:rsidR="008B320E" w:rsidRPr="008B320E" w:rsidRDefault="008B320E" w:rsidP="008B320E">
            <w:pPr>
              <w:pStyle w:val="Default"/>
              <w:jc w:val="both"/>
              <w:rPr>
                <w:rFonts w:ascii="Times New Roman" w:hAnsi="Times New Roman" w:cs="Times New Roman"/>
                <w:sz w:val="26"/>
                <w:szCs w:val="26"/>
              </w:rPr>
            </w:pPr>
            <w:r>
              <w:rPr>
                <w:rFonts w:ascii="Times New Roman" w:hAnsi="Times New Roman" w:cs="Times New Roman"/>
                <w:sz w:val="26"/>
                <w:szCs w:val="26"/>
              </w:rPr>
              <w:t>:</w:t>
            </w:r>
          </w:p>
        </w:tc>
        <w:tc>
          <w:tcPr>
            <w:tcW w:w="4677" w:type="dxa"/>
          </w:tcPr>
          <w:p w:rsidR="008B320E" w:rsidRPr="008B320E" w:rsidRDefault="008B320E" w:rsidP="008B320E">
            <w:pPr>
              <w:pStyle w:val="Default"/>
              <w:jc w:val="both"/>
              <w:rPr>
                <w:rFonts w:ascii="Times New Roman" w:hAnsi="Times New Roman" w:cs="Times New Roman"/>
                <w:sz w:val="26"/>
                <w:szCs w:val="26"/>
              </w:rPr>
            </w:pPr>
            <w:r w:rsidRPr="008B320E">
              <w:rPr>
                <w:rFonts w:ascii="Times New Roman" w:hAnsi="Times New Roman" w:cs="Times New Roman"/>
                <w:sz w:val="22"/>
                <w:szCs w:val="22"/>
              </w:rPr>
              <w:t>the exposure value after risk mitigation</w:t>
            </w:r>
          </w:p>
        </w:tc>
      </w:tr>
      <w:tr w:rsidR="008B320E" w:rsidTr="008B320E">
        <w:tc>
          <w:tcPr>
            <w:tcW w:w="567" w:type="dxa"/>
          </w:tcPr>
          <w:p w:rsidR="008B320E" w:rsidRPr="008B320E" w:rsidRDefault="008B320E" w:rsidP="008B320E">
            <w:pPr>
              <w:pStyle w:val="Default"/>
              <w:jc w:val="both"/>
              <w:rPr>
                <w:rFonts w:ascii="Times New Roman" w:hAnsi="Times New Roman" w:cs="Times New Roman"/>
                <w:sz w:val="26"/>
                <w:szCs w:val="26"/>
              </w:rPr>
            </w:pPr>
            <w:r w:rsidRPr="008B320E">
              <w:rPr>
                <w:rFonts w:ascii="Times New Roman" w:hAnsi="Times New Roman" w:cs="Times New Roman"/>
                <w:sz w:val="22"/>
                <w:szCs w:val="22"/>
              </w:rPr>
              <w:t>E</w:t>
            </w:r>
          </w:p>
        </w:tc>
        <w:tc>
          <w:tcPr>
            <w:tcW w:w="284" w:type="dxa"/>
          </w:tcPr>
          <w:p w:rsidR="008B320E" w:rsidRPr="008B320E" w:rsidRDefault="008B320E" w:rsidP="008B320E">
            <w:pPr>
              <w:pStyle w:val="Default"/>
              <w:jc w:val="both"/>
              <w:rPr>
                <w:rFonts w:ascii="Times New Roman" w:hAnsi="Times New Roman" w:cs="Times New Roman"/>
                <w:sz w:val="26"/>
                <w:szCs w:val="26"/>
              </w:rPr>
            </w:pPr>
            <w:r>
              <w:rPr>
                <w:rFonts w:ascii="Times New Roman" w:hAnsi="Times New Roman" w:cs="Times New Roman"/>
                <w:sz w:val="26"/>
                <w:szCs w:val="26"/>
              </w:rPr>
              <w:t>:</w:t>
            </w:r>
          </w:p>
        </w:tc>
        <w:tc>
          <w:tcPr>
            <w:tcW w:w="4677" w:type="dxa"/>
          </w:tcPr>
          <w:p w:rsidR="008B320E" w:rsidRPr="008B320E" w:rsidRDefault="00AB058C" w:rsidP="00AB058C">
            <w:pPr>
              <w:pStyle w:val="Default"/>
              <w:jc w:val="both"/>
              <w:rPr>
                <w:rFonts w:ascii="Times New Roman" w:hAnsi="Times New Roman" w:cs="Times New Roman"/>
                <w:sz w:val="26"/>
                <w:szCs w:val="26"/>
              </w:rPr>
            </w:pPr>
            <w:r w:rsidRPr="008B320E">
              <w:rPr>
                <w:rFonts w:ascii="Times New Roman" w:hAnsi="Times New Roman" w:cs="Times New Roman"/>
                <w:sz w:val="22"/>
                <w:szCs w:val="22"/>
              </w:rPr>
              <w:t xml:space="preserve">the exposure value </w:t>
            </w:r>
            <w:r>
              <w:rPr>
                <w:rFonts w:ascii="Times New Roman" w:hAnsi="Times New Roman" w:cs="Times New Roman"/>
                <w:sz w:val="22"/>
                <w:szCs w:val="22"/>
              </w:rPr>
              <w:t>before</w:t>
            </w:r>
            <w:r w:rsidRPr="008B320E">
              <w:rPr>
                <w:rFonts w:ascii="Times New Roman" w:hAnsi="Times New Roman" w:cs="Times New Roman"/>
                <w:sz w:val="22"/>
                <w:szCs w:val="22"/>
              </w:rPr>
              <w:t xml:space="preserve"> risk mitigation</w:t>
            </w:r>
          </w:p>
        </w:tc>
      </w:tr>
      <w:tr w:rsidR="008B320E" w:rsidTr="008B320E">
        <w:tc>
          <w:tcPr>
            <w:tcW w:w="567" w:type="dxa"/>
          </w:tcPr>
          <w:p w:rsidR="008B320E" w:rsidRPr="008B320E" w:rsidRDefault="008B320E" w:rsidP="008B320E">
            <w:pPr>
              <w:pStyle w:val="Default"/>
              <w:jc w:val="both"/>
              <w:rPr>
                <w:rFonts w:ascii="Times New Roman" w:hAnsi="Times New Roman" w:cs="Times New Roman"/>
                <w:sz w:val="26"/>
                <w:szCs w:val="26"/>
              </w:rPr>
            </w:pPr>
            <w:r w:rsidRPr="008B320E">
              <w:rPr>
                <w:rFonts w:ascii="Times New Roman" w:hAnsi="Times New Roman" w:cs="Times New Roman"/>
                <w:sz w:val="22"/>
                <w:szCs w:val="22"/>
              </w:rPr>
              <w:t>He</w:t>
            </w:r>
          </w:p>
        </w:tc>
        <w:tc>
          <w:tcPr>
            <w:tcW w:w="284" w:type="dxa"/>
          </w:tcPr>
          <w:p w:rsidR="008B320E" w:rsidRPr="008B320E" w:rsidRDefault="008B320E" w:rsidP="008B320E">
            <w:pPr>
              <w:pStyle w:val="Default"/>
              <w:jc w:val="both"/>
              <w:rPr>
                <w:rFonts w:ascii="Times New Roman" w:hAnsi="Times New Roman" w:cs="Times New Roman"/>
                <w:sz w:val="26"/>
                <w:szCs w:val="26"/>
              </w:rPr>
            </w:pPr>
            <w:r>
              <w:rPr>
                <w:rFonts w:ascii="Times New Roman" w:hAnsi="Times New Roman" w:cs="Times New Roman"/>
                <w:sz w:val="26"/>
                <w:szCs w:val="26"/>
              </w:rPr>
              <w:t>:</w:t>
            </w:r>
          </w:p>
        </w:tc>
        <w:tc>
          <w:tcPr>
            <w:tcW w:w="4677" w:type="dxa"/>
          </w:tcPr>
          <w:p w:rsidR="008B320E" w:rsidRPr="008B320E" w:rsidRDefault="008B320E" w:rsidP="008B320E">
            <w:pPr>
              <w:pStyle w:val="Default"/>
              <w:jc w:val="both"/>
              <w:rPr>
                <w:rFonts w:ascii="Times New Roman" w:hAnsi="Times New Roman" w:cs="Times New Roman"/>
                <w:sz w:val="26"/>
                <w:szCs w:val="26"/>
              </w:rPr>
            </w:pPr>
            <w:r w:rsidRPr="008B320E">
              <w:rPr>
                <w:rFonts w:ascii="Times New Roman" w:hAnsi="Times New Roman" w:cs="Times New Roman"/>
                <w:sz w:val="22"/>
                <w:szCs w:val="22"/>
              </w:rPr>
              <w:t>haircut appropriate to the exposure</w:t>
            </w:r>
          </w:p>
        </w:tc>
      </w:tr>
      <w:tr w:rsidR="008B320E" w:rsidTr="008B320E">
        <w:tc>
          <w:tcPr>
            <w:tcW w:w="567" w:type="dxa"/>
          </w:tcPr>
          <w:p w:rsidR="008B320E" w:rsidRPr="008B320E" w:rsidRDefault="008B320E" w:rsidP="008B320E">
            <w:pPr>
              <w:pStyle w:val="Default"/>
              <w:jc w:val="both"/>
              <w:rPr>
                <w:rFonts w:ascii="Times New Roman" w:hAnsi="Times New Roman" w:cs="Times New Roman"/>
                <w:sz w:val="22"/>
                <w:szCs w:val="22"/>
              </w:rPr>
            </w:pPr>
            <w:r w:rsidRPr="008B320E">
              <w:rPr>
                <w:rFonts w:ascii="Times New Roman" w:hAnsi="Times New Roman" w:cs="Times New Roman"/>
                <w:sz w:val="22"/>
                <w:szCs w:val="22"/>
              </w:rPr>
              <w:t>C</w:t>
            </w:r>
          </w:p>
        </w:tc>
        <w:tc>
          <w:tcPr>
            <w:tcW w:w="284" w:type="dxa"/>
          </w:tcPr>
          <w:p w:rsidR="008B320E" w:rsidRPr="008B320E" w:rsidRDefault="008B320E" w:rsidP="008B320E">
            <w:pPr>
              <w:pStyle w:val="Default"/>
              <w:jc w:val="both"/>
              <w:rPr>
                <w:rFonts w:ascii="Times New Roman" w:hAnsi="Times New Roman" w:cs="Times New Roman"/>
                <w:sz w:val="26"/>
                <w:szCs w:val="26"/>
              </w:rPr>
            </w:pPr>
            <w:r>
              <w:rPr>
                <w:rFonts w:ascii="Times New Roman" w:hAnsi="Times New Roman" w:cs="Times New Roman"/>
                <w:sz w:val="26"/>
                <w:szCs w:val="26"/>
              </w:rPr>
              <w:t>:</w:t>
            </w:r>
          </w:p>
        </w:tc>
        <w:tc>
          <w:tcPr>
            <w:tcW w:w="4677" w:type="dxa"/>
          </w:tcPr>
          <w:p w:rsidR="008B320E" w:rsidRPr="008B320E" w:rsidRDefault="008B320E" w:rsidP="008B320E">
            <w:pPr>
              <w:pStyle w:val="Default"/>
              <w:jc w:val="both"/>
              <w:rPr>
                <w:rFonts w:ascii="Times New Roman" w:hAnsi="Times New Roman" w:cs="Times New Roman"/>
                <w:sz w:val="22"/>
                <w:szCs w:val="22"/>
              </w:rPr>
            </w:pPr>
            <w:r w:rsidRPr="008B320E">
              <w:rPr>
                <w:rFonts w:ascii="Times New Roman" w:hAnsi="Times New Roman" w:cs="Times New Roman"/>
                <w:sz w:val="22"/>
                <w:szCs w:val="22"/>
              </w:rPr>
              <w:t>the current value of the collateral received</w:t>
            </w:r>
          </w:p>
        </w:tc>
      </w:tr>
      <w:tr w:rsidR="008B320E" w:rsidTr="008B320E">
        <w:tc>
          <w:tcPr>
            <w:tcW w:w="567" w:type="dxa"/>
          </w:tcPr>
          <w:p w:rsidR="008B320E" w:rsidRPr="008B320E" w:rsidRDefault="008B320E" w:rsidP="008B320E">
            <w:pPr>
              <w:pStyle w:val="Default"/>
              <w:jc w:val="both"/>
              <w:rPr>
                <w:rFonts w:ascii="Times New Roman" w:hAnsi="Times New Roman" w:cs="Times New Roman"/>
                <w:sz w:val="22"/>
                <w:szCs w:val="22"/>
              </w:rPr>
            </w:pPr>
            <w:proofErr w:type="spellStart"/>
            <w:r w:rsidRPr="008B320E">
              <w:rPr>
                <w:rFonts w:ascii="Times New Roman" w:hAnsi="Times New Roman" w:cs="Times New Roman"/>
                <w:sz w:val="22"/>
                <w:szCs w:val="22"/>
              </w:rPr>
              <w:t>Hc</w:t>
            </w:r>
            <w:proofErr w:type="spellEnd"/>
          </w:p>
        </w:tc>
        <w:tc>
          <w:tcPr>
            <w:tcW w:w="284" w:type="dxa"/>
          </w:tcPr>
          <w:p w:rsidR="008B320E" w:rsidRPr="008B320E" w:rsidRDefault="008B320E" w:rsidP="008B320E">
            <w:pPr>
              <w:pStyle w:val="Default"/>
              <w:jc w:val="both"/>
              <w:rPr>
                <w:rFonts w:ascii="Times New Roman" w:hAnsi="Times New Roman" w:cs="Times New Roman"/>
                <w:sz w:val="26"/>
                <w:szCs w:val="26"/>
              </w:rPr>
            </w:pPr>
            <w:r>
              <w:rPr>
                <w:rFonts w:ascii="Times New Roman" w:hAnsi="Times New Roman" w:cs="Times New Roman"/>
                <w:sz w:val="26"/>
                <w:szCs w:val="26"/>
              </w:rPr>
              <w:t>:</w:t>
            </w:r>
          </w:p>
        </w:tc>
        <w:tc>
          <w:tcPr>
            <w:tcW w:w="4677" w:type="dxa"/>
          </w:tcPr>
          <w:p w:rsidR="008B320E" w:rsidRPr="008B320E" w:rsidRDefault="008B320E" w:rsidP="008B320E">
            <w:pPr>
              <w:pStyle w:val="Default"/>
              <w:jc w:val="both"/>
              <w:rPr>
                <w:rFonts w:ascii="Times New Roman" w:hAnsi="Times New Roman" w:cs="Times New Roman"/>
                <w:sz w:val="22"/>
                <w:szCs w:val="22"/>
              </w:rPr>
            </w:pPr>
            <w:r w:rsidRPr="008B320E">
              <w:rPr>
                <w:rFonts w:ascii="Times New Roman" w:hAnsi="Times New Roman" w:cs="Times New Roman"/>
                <w:sz w:val="22"/>
                <w:szCs w:val="22"/>
              </w:rPr>
              <w:t>haircut appropriate to the collateral</w:t>
            </w:r>
          </w:p>
        </w:tc>
      </w:tr>
      <w:tr w:rsidR="008B320E" w:rsidTr="008B320E">
        <w:tc>
          <w:tcPr>
            <w:tcW w:w="567" w:type="dxa"/>
          </w:tcPr>
          <w:p w:rsidR="008B320E" w:rsidRPr="008B320E" w:rsidRDefault="008B320E" w:rsidP="008B320E">
            <w:pPr>
              <w:pStyle w:val="Default"/>
              <w:jc w:val="both"/>
              <w:rPr>
                <w:rFonts w:ascii="Times New Roman" w:hAnsi="Times New Roman" w:cs="Times New Roman"/>
                <w:sz w:val="22"/>
                <w:szCs w:val="22"/>
              </w:rPr>
            </w:pPr>
            <w:proofErr w:type="spellStart"/>
            <w:r w:rsidRPr="008B320E">
              <w:rPr>
                <w:rFonts w:ascii="Times New Roman" w:hAnsi="Times New Roman" w:cs="Times New Roman"/>
                <w:sz w:val="22"/>
                <w:szCs w:val="22"/>
              </w:rPr>
              <w:t>Hfx</w:t>
            </w:r>
            <w:proofErr w:type="spellEnd"/>
          </w:p>
        </w:tc>
        <w:tc>
          <w:tcPr>
            <w:tcW w:w="284" w:type="dxa"/>
          </w:tcPr>
          <w:p w:rsidR="008B320E" w:rsidRPr="008B320E" w:rsidRDefault="008B320E" w:rsidP="008B320E">
            <w:pPr>
              <w:pStyle w:val="Default"/>
              <w:jc w:val="both"/>
              <w:rPr>
                <w:rFonts w:ascii="Times New Roman" w:hAnsi="Times New Roman" w:cs="Times New Roman"/>
                <w:sz w:val="26"/>
                <w:szCs w:val="26"/>
              </w:rPr>
            </w:pPr>
            <w:r>
              <w:rPr>
                <w:rFonts w:ascii="Times New Roman" w:hAnsi="Times New Roman" w:cs="Times New Roman"/>
                <w:sz w:val="26"/>
                <w:szCs w:val="26"/>
              </w:rPr>
              <w:t>:</w:t>
            </w:r>
          </w:p>
        </w:tc>
        <w:tc>
          <w:tcPr>
            <w:tcW w:w="4677" w:type="dxa"/>
          </w:tcPr>
          <w:p w:rsidR="008B320E" w:rsidRPr="008B320E" w:rsidRDefault="008B320E" w:rsidP="008B320E">
            <w:pPr>
              <w:pStyle w:val="Default"/>
              <w:jc w:val="both"/>
              <w:rPr>
                <w:rFonts w:ascii="Times New Roman" w:hAnsi="Times New Roman" w:cs="Times New Roman"/>
                <w:sz w:val="22"/>
                <w:szCs w:val="22"/>
              </w:rPr>
            </w:pPr>
            <w:r w:rsidRPr="008B320E">
              <w:rPr>
                <w:rFonts w:ascii="Times New Roman" w:hAnsi="Times New Roman" w:cs="Times New Roman"/>
                <w:sz w:val="22"/>
                <w:szCs w:val="22"/>
              </w:rPr>
              <w:t>haircut appropriate for currency mismatch between the collateral and exposure</w:t>
            </w:r>
          </w:p>
        </w:tc>
      </w:tr>
    </w:tbl>
    <w:p w:rsidR="001A1E1F" w:rsidRPr="00F1087B" w:rsidRDefault="001A1E1F" w:rsidP="008B320E">
      <w:pPr>
        <w:bidi w:val="0"/>
        <w:spacing w:before="240"/>
        <w:rPr>
          <w:color w:val="000000"/>
          <w:sz w:val="2"/>
          <w:szCs w:val="2"/>
        </w:rPr>
      </w:pPr>
    </w:p>
    <w:p w:rsidR="001A1E1F" w:rsidRPr="00DA4F3E" w:rsidRDefault="001A1E1F" w:rsidP="00C44081">
      <w:pPr>
        <w:bidi w:val="0"/>
        <w:spacing w:after="0" w:line="276" w:lineRule="auto"/>
        <w:ind w:left="1276" w:hanging="567"/>
        <w:rPr>
          <w:rFonts w:ascii="Times New Roman" w:hAnsi="Times New Roman" w:cs="Times New Roman"/>
          <w:b w:val="0"/>
          <w:bCs w:val="0"/>
          <w:sz w:val="24"/>
          <w:szCs w:val="24"/>
        </w:rPr>
      </w:pPr>
      <w:r w:rsidRPr="00DA4F3E">
        <w:rPr>
          <w:rFonts w:ascii="Times New Roman" w:hAnsi="Times New Roman" w:cs="Times New Roman"/>
          <w:b w:val="0"/>
          <w:bCs w:val="0"/>
          <w:sz w:val="24"/>
          <w:szCs w:val="24"/>
        </w:rPr>
        <w:t>10.2</w:t>
      </w:r>
      <w:r w:rsidRPr="00DA4F3E">
        <w:rPr>
          <w:rFonts w:ascii="Times New Roman" w:hAnsi="Times New Roman" w:cs="Times New Roman"/>
          <w:b w:val="0"/>
          <w:bCs w:val="0"/>
          <w:sz w:val="24"/>
          <w:szCs w:val="24"/>
        </w:rPr>
        <w:tab/>
        <w:t>The exposure amount after risk mitigation will be multiplied by the risk weight of the counterparty to obtain the risk-weighted asset amount for the collateralised transaction.</w:t>
      </w:r>
    </w:p>
    <w:tbl>
      <w:tblPr>
        <w:tblStyle w:val="TableGrid"/>
        <w:tblpPr w:leftFromText="180" w:rightFromText="180" w:vertAnchor="text" w:horzAnchor="page" w:tblpX="2696" w:tblpY="113"/>
        <w:bidiVisual/>
        <w:tblW w:w="0" w:type="auto"/>
        <w:tblLook w:val="04A0" w:firstRow="1" w:lastRow="0" w:firstColumn="1" w:lastColumn="0" w:noHBand="0" w:noVBand="1"/>
      </w:tblPr>
      <w:tblGrid>
        <w:gridCol w:w="3600"/>
      </w:tblGrid>
      <w:tr w:rsidR="00C44081" w:rsidTr="00C44081">
        <w:trPr>
          <w:trHeight w:val="270"/>
        </w:trPr>
        <w:tc>
          <w:tcPr>
            <w:tcW w:w="3600" w:type="dxa"/>
            <w:vAlign w:val="center"/>
          </w:tcPr>
          <w:p w:rsidR="00C44081" w:rsidRPr="008F60C0" w:rsidRDefault="00C44081" w:rsidP="00C44081">
            <w:pPr>
              <w:jc w:val="center"/>
              <w:rPr>
                <w:b w:val="0"/>
                <w:bCs w:val="0"/>
                <w:rtl/>
                <w:lang w:bidi="ar-JO"/>
              </w:rPr>
            </w:pPr>
            <w:bookmarkStart w:id="41" w:name="_Toc414888199"/>
            <w:bookmarkStart w:id="42" w:name="_Toc451176387"/>
            <w:bookmarkStart w:id="43" w:name="_Toc451180368"/>
            <w:r w:rsidRPr="008F60C0">
              <w:rPr>
                <w:b w:val="0"/>
                <w:bCs w:val="0"/>
                <w:lang w:val="es-ES" w:eastAsia="es-ES"/>
              </w:rPr>
              <w:t>RWA = E</w:t>
            </w:r>
            <w:r w:rsidRPr="008F60C0">
              <w:rPr>
                <w:b w:val="0"/>
                <w:bCs w:val="0"/>
                <w:vertAlign w:val="superscript"/>
                <w:lang w:val="es-ES" w:eastAsia="es-ES"/>
              </w:rPr>
              <w:t>*</w:t>
            </w:r>
            <w:r w:rsidRPr="008F60C0">
              <w:rPr>
                <w:b w:val="0"/>
                <w:bCs w:val="0"/>
                <w:lang w:val="es-ES" w:eastAsia="es-ES"/>
              </w:rPr>
              <w:t xml:space="preserve"> * RW</w:t>
            </w:r>
            <w:bookmarkEnd w:id="41"/>
            <w:bookmarkEnd w:id="42"/>
            <w:bookmarkEnd w:id="43"/>
          </w:p>
        </w:tc>
      </w:tr>
    </w:tbl>
    <w:p w:rsidR="00C44081" w:rsidRPr="00C44081" w:rsidRDefault="00C44081" w:rsidP="00C44081">
      <w:pPr>
        <w:bidi w:val="0"/>
        <w:spacing w:after="0" w:line="276" w:lineRule="auto"/>
        <w:ind w:left="1276" w:hanging="567"/>
        <w:rPr>
          <w:rFonts w:ascii="Times New Roman" w:hAnsi="Times New Roman" w:cs="Times New Roman"/>
          <w:b w:val="0"/>
          <w:bCs w:val="0"/>
          <w:rtl/>
        </w:rPr>
      </w:pPr>
    </w:p>
    <w:p w:rsidR="00505A8B" w:rsidRPr="00C77C11" w:rsidRDefault="00505A8B" w:rsidP="009F5597">
      <w:pPr>
        <w:spacing w:after="0"/>
        <w:ind w:left="708" w:hanging="425"/>
        <w:rPr>
          <w:b w:val="0"/>
          <w:bCs w:val="0"/>
        </w:rPr>
      </w:pPr>
    </w:p>
    <w:p w:rsidR="00505A8B" w:rsidRPr="00DA4F3E" w:rsidRDefault="001A1E1F" w:rsidP="00C44081">
      <w:pPr>
        <w:pStyle w:val="ListParagraph"/>
        <w:numPr>
          <w:ilvl w:val="1"/>
          <w:numId w:val="13"/>
        </w:numPr>
        <w:bidi w:val="0"/>
        <w:spacing w:after="0" w:line="276" w:lineRule="auto"/>
        <w:ind w:left="1276" w:hanging="567"/>
        <w:rPr>
          <w:rFonts w:ascii="Times New Roman" w:hAnsi="Times New Roman" w:cs="Times New Roman"/>
          <w:b w:val="0"/>
          <w:bCs w:val="0"/>
          <w:sz w:val="24"/>
          <w:szCs w:val="24"/>
        </w:rPr>
      </w:pPr>
      <w:r w:rsidRPr="00DA4F3E">
        <w:rPr>
          <w:rFonts w:ascii="Times New Roman" w:hAnsi="Times New Roman" w:cs="Times New Roman"/>
          <w:b w:val="0"/>
          <w:bCs w:val="0"/>
          <w:sz w:val="24"/>
          <w:szCs w:val="24"/>
        </w:rPr>
        <w:t xml:space="preserve">The treatment for transactions where there is a mismatch between the maturity of the counterparty exposure and the collateral is given in paragraph </w:t>
      </w:r>
      <w:r w:rsidRPr="00DA4F3E">
        <w:rPr>
          <w:rFonts w:ascii="Times New Roman" w:hAnsi="Times New Roman" w:cs="Times New Roman"/>
          <w:b w:val="0"/>
          <w:bCs w:val="0"/>
          <w:color w:val="202124"/>
          <w:sz w:val="24"/>
          <w:szCs w:val="24"/>
          <w:lang w:val="en"/>
        </w:rPr>
        <w:t>of the</w:t>
      </w:r>
      <w:r w:rsidRPr="00DA4F3E">
        <w:rPr>
          <w:rFonts w:ascii="Times New Roman" w:hAnsi="Times New Roman" w:cs="Times New Roman"/>
          <w:b w:val="0"/>
          <w:bCs w:val="0"/>
          <w:sz w:val="24"/>
          <w:szCs w:val="24"/>
        </w:rPr>
        <w:t xml:space="preserve"> maturity</w:t>
      </w:r>
      <w:r w:rsidRPr="00DA4F3E">
        <w:rPr>
          <w:rFonts w:ascii="Times New Roman" w:hAnsi="Times New Roman" w:cs="Times New Roman"/>
          <w:b w:val="0"/>
          <w:bCs w:val="0"/>
          <w:color w:val="202124"/>
          <w:sz w:val="24"/>
          <w:szCs w:val="24"/>
          <w:lang w:val="en"/>
        </w:rPr>
        <w:t xml:space="preserve"> </w:t>
      </w:r>
      <w:r w:rsidRPr="00DA4F3E">
        <w:rPr>
          <w:rFonts w:ascii="Times New Roman" w:hAnsi="Times New Roman" w:cs="Times New Roman"/>
          <w:b w:val="0"/>
          <w:bCs w:val="0"/>
          <w:sz w:val="24"/>
          <w:szCs w:val="24"/>
        </w:rPr>
        <w:t xml:space="preserve">mismatch </w:t>
      </w:r>
      <w:r w:rsidRPr="00DA4F3E">
        <w:rPr>
          <w:rFonts w:ascii="Times New Roman" w:hAnsi="Times New Roman" w:cs="Times New Roman"/>
          <w:b w:val="0"/>
          <w:bCs w:val="0"/>
          <w:color w:val="202124"/>
          <w:sz w:val="24"/>
          <w:szCs w:val="24"/>
          <w:lang w:val="en"/>
        </w:rPr>
        <w:t>below</w:t>
      </w:r>
      <w:r w:rsidRPr="00DA4F3E">
        <w:rPr>
          <w:rFonts w:ascii="Times New Roman" w:hAnsi="Times New Roman" w:cs="Times New Roman"/>
          <w:b w:val="0"/>
          <w:bCs w:val="0"/>
          <w:sz w:val="24"/>
          <w:szCs w:val="24"/>
        </w:rPr>
        <w:t>.</w:t>
      </w:r>
    </w:p>
    <w:p w:rsidR="001A1E1F" w:rsidRPr="00F1087B" w:rsidRDefault="00890D9D" w:rsidP="00EA0AB9">
      <w:pPr>
        <w:pStyle w:val="ListParagraph"/>
        <w:numPr>
          <w:ilvl w:val="1"/>
          <w:numId w:val="13"/>
        </w:numPr>
        <w:bidi w:val="0"/>
        <w:spacing w:after="0" w:line="276" w:lineRule="auto"/>
        <w:ind w:left="1276" w:hanging="567"/>
        <w:rPr>
          <w:b w:val="0"/>
          <w:bCs w:val="0"/>
          <w:sz w:val="24"/>
          <w:szCs w:val="24"/>
        </w:rPr>
      </w:pPr>
      <w:r w:rsidRPr="00DA4F3E">
        <w:rPr>
          <w:rFonts w:ascii="Times New Roman" w:hAnsi="Times New Roman" w:cs="Times New Roman"/>
          <w:b w:val="0"/>
          <w:bCs w:val="0"/>
          <w:sz w:val="24"/>
          <w:szCs w:val="24"/>
        </w:rPr>
        <w:t>Where the collateral is a basket of assets, the haircut on the basket will be</w:t>
      </w:r>
      <w:r w:rsidR="00EA0AB9">
        <w:rPr>
          <w:rFonts w:ascii="Times New Roman" w:hAnsi="Times New Roman" w:cs="Times New Roman"/>
          <w:b w:val="0"/>
          <w:bCs w:val="0"/>
          <w:sz w:val="24"/>
          <w:szCs w:val="24"/>
        </w:rPr>
        <w:br/>
      </w:r>
      <m:oMath>
        <m:r>
          <m:rPr>
            <m:sty m:val="bi"/>
          </m:rPr>
          <w:rPr>
            <w:rFonts w:ascii="Cambria Math" w:eastAsia="Cambria Math" w:hAnsi="Cambria Math" w:cs="Cambria Math"/>
          </w:rPr>
          <m:t>H=</m:t>
        </m:r>
        <m:nary>
          <m:naryPr>
            <m:chr m:val="∑"/>
            <m:grow m:val="1"/>
            <m:ctrlPr>
              <w:rPr>
                <w:rFonts w:ascii="Cambria Math" w:hAnsi="Cambria Math"/>
                <w:bCs w:val="0"/>
              </w:rPr>
            </m:ctrlPr>
          </m:naryPr>
          <m:sub>
            <m:r>
              <m:rPr>
                <m:sty m:val="bi"/>
              </m:rPr>
              <w:rPr>
                <w:rFonts w:ascii="Cambria Math" w:hAnsi="Cambria Math"/>
              </w:rPr>
              <m:t>i</m:t>
            </m:r>
          </m:sub>
          <m:sup/>
          <m:e>
            <m:r>
              <m:rPr>
                <m:sty m:val="bi"/>
              </m:rPr>
              <w:rPr>
                <w:rFonts w:ascii="Cambria Math" w:hAnsi="Cambria Math"/>
              </w:rPr>
              <m:t>a Hi</m:t>
            </m:r>
          </m:e>
        </m:nary>
      </m:oMath>
      <w:r>
        <w:rPr>
          <w:bCs w:val="0"/>
        </w:rPr>
        <w:t xml:space="preserve"> </w:t>
      </w:r>
      <w:r w:rsidRPr="00C44081">
        <w:rPr>
          <w:rFonts w:ascii="Times New Roman" w:hAnsi="Times New Roman" w:cs="Times New Roman"/>
          <w:b w:val="0"/>
        </w:rPr>
        <w:t xml:space="preserve">, </w:t>
      </w:r>
      <w:r w:rsidRPr="00DA4F3E">
        <w:rPr>
          <w:rFonts w:ascii="Times New Roman" w:hAnsi="Times New Roman" w:cs="Times New Roman"/>
          <w:b w:val="0"/>
          <w:sz w:val="24"/>
          <w:szCs w:val="24"/>
        </w:rPr>
        <w:t>where</w:t>
      </w:r>
      <w:r w:rsidR="00045CC8" w:rsidRPr="00C44081">
        <w:rPr>
          <w:rFonts w:ascii="Times New Roman" w:hAnsi="Times New Roman" w:cs="Times New Roman"/>
          <w:b w:val="0"/>
        </w:rPr>
        <w:t>:</w:t>
      </w:r>
      <w:r>
        <w:rPr>
          <w:sz w:val="22"/>
          <w:szCs w:val="22"/>
        </w:rPr>
        <w:t xml:space="preserve"> </w:t>
      </w:r>
      <w:proofErr w:type="spellStart"/>
      <w:r>
        <w:rPr>
          <w:sz w:val="22"/>
          <w:szCs w:val="22"/>
        </w:rPr>
        <w:t>a</w:t>
      </w:r>
      <w:r>
        <w:rPr>
          <w:sz w:val="14"/>
          <w:szCs w:val="14"/>
        </w:rPr>
        <w:t>i</w:t>
      </w:r>
      <w:proofErr w:type="spellEnd"/>
      <w:r>
        <w:rPr>
          <w:sz w:val="14"/>
          <w:szCs w:val="14"/>
        </w:rPr>
        <w:t xml:space="preserve"> </w:t>
      </w:r>
      <w:r w:rsidRPr="00DA4F3E">
        <w:rPr>
          <w:rFonts w:ascii="Times New Roman" w:hAnsi="Times New Roman" w:cs="Times New Roman"/>
          <w:b w:val="0"/>
          <w:bCs w:val="0"/>
          <w:sz w:val="24"/>
          <w:szCs w:val="24"/>
        </w:rPr>
        <w:t>is the weight of the asset in the basket</w:t>
      </w:r>
      <w:r>
        <w:rPr>
          <w:sz w:val="22"/>
          <w:szCs w:val="22"/>
        </w:rPr>
        <w:t xml:space="preserve"> </w:t>
      </w:r>
      <w:r w:rsidR="00045CC8">
        <w:rPr>
          <w:sz w:val="22"/>
          <w:szCs w:val="22"/>
        </w:rPr>
        <w:t xml:space="preserve">, </w:t>
      </w:r>
      <w:r>
        <w:rPr>
          <w:sz w:val="22"/>
          <w:szCs w:val="22"/>
        </w:rPr>
        <w:t>H</w:t>
      </w:r>
      <w:r>
        <w:rPr>
          <w:sz w:val="14"/>
          <w:szCs w:val="14"/>
        </w:rPr>
        <w:t xml:space="preserve">i </w:t>
      </w:r>
      <w:r w:rsidRPr="00DA4F3E">
        <w:rPr>
          <w:rFonts w:ascii="Times New Roman" w:hAnsi="Times New Roman" w:cs="Times New Roman"/>
          <w:b w:val="0"/>
          <w:bCs w:val="0"/>
          <w:sz w:val="24"/>
          <w:szCs w:val="24"/>
        </w:rPr>
        <w:t>the h</w:t>
      </w:r>
      <w:r w:rsidR="00045CC8" w:rsidRPr="00DA4F3E">
        <w:rPr>
          <w:rFonts w:ascii="Times New Roman" w:hAnsi="Times New Roman" w:cs="Times New Roman"/>
          <w:b w:val="0"/>
          <w:bCs w:val="0"/>
          <w:sz w:val="24"/>
          <w:szCs w:val="24"/>
        </w:rPr>
        <w:t>aircut applicable to that asset and</w:t>
      </w:r>
      <w:r w:rsidR="00045CC8" w:rsidRPr="00DA4F3E">
        <w:rPr>
          <w:sz w:val="24"/>
          <w:szCs w:val="24"/>
        </w:rPr>
        <w:t xml:space="preserve"> H </w:t>
      </w:r>
      <w:r w:rsidR="00045CC8" w:rsidRPr="00DA4F3E">
        <w:rPr>
          <w:rFonts w:ascii="Times New Roman" w:hAnsi="Times New Roman" w:cs="Times New Roman"/>
          <w:b w:val="0"/>
          <w:bCs w:val="0"/>
          <w:sz w:val="24"/>
          <w:szCs w:val="24"/>
        </w:rPr>
        <w:t xml:space="preserve">the </w:t>
      </w:r>
      <w:r w:rsidR="00C44081" w:rsidRPr="00DA4F3E">
        <w:rPr>
          <w:rFonts w:ascii="Times New Roman" w:hAnsi="Times New Roman" w:cs="Times New Roman"/>
          <w:b w:val="0"/>
          <w:bCs w:val="0"/>
          <w:color w:val="202124"/>
          <w:sz w:val="24"/>
          <w:szCs w:val="24"/>
          <w:lang w:val="en"/>
        </w:rPr>
        <w:t>s</w:t>
      </w:r>
      <w:r w:rsidR="00045CC8" w:rsidRPr="00DA4F3E">
        <w:rPr>
          <w:rFonts w:ascii="Times New Roman" w:hAnsi="Times New Roman" w:cs="Times New Roman"/>
          <w:b w:val="0"/>
          <w:bCs w:val="0"/>
          <w:color w:val="202124"/>
          <w:sz w:val="24"/>
          <w:szCs w:val="24"/>
          <w:lang w:val="en"/>
        </w:rPr>
        <w:t xml:space="preserve">tandardized </w:t>
      </w:r>
      <w:r w:rsidR="00045CC8" w:rsidRPr="00DA4F3E">
        <w:rPr>
          <w:rFonts w:ascii="Times New Roman" w:hAnsi="Times New Roman" w:cs="Times New Roman"/>
          <w:b w:val="0"/>
          <w:bCs w:val="0"/>
          <w:sz w:val="24"/>
          <w:szCs w:val="24"/>
        </w:rPr>
        <w:t>haircut</w:t>
      </w:r>
      <w:r w:rsidR="00045CC8" w:rsidRPr="00DA4F3E">
        <w:rPr>
          <w:sz w:val="24"/>
          <w:szCs w:val="24"/>
        </w:rPr>
        <w:t>.</w:t>
      </w:r>
    </w:p>
    <w:p w:rsidR="00F1087B" w:rsidRDefault="00F1087B" w:rsidP="00F1087B">
      <w:pPr>
        <w:pStyle w:val="ListParagraph"/>
        <w:bidi w:val="0"/>
        <w:spacing w:after="0" w:line="276" w:lineRule="auto"/>
        <w:ind w:left="1276"/>
        <w:rPr>
          <w:sz w:val="24"/>
          <w:szCs w:val="24"/>
        </w:rPr>
      </w:pPr>
    </w:p>
    <w:p w:rsidR="00F1087B" w:rsidRDefault="00F1087B" w:rsidP="00F1087B">
      <w:pPr>
        <w:pStyle w:val="ListParagraph"/>
        <w:bidi w:val="0"/>
        <w:spacing w:after="0" w:line="276" w:lineRule="auto"/>
        <w:ind w:left="1276"/>
        <w:rPr>
          <w:sz w:val="24"/>
          <w:szCs w:val="24"/>
        </w:rPr>
      </w:pPr>
    </w:p>
    <w:p w:rsidR="00F1087B" w:rsidRDefault="00F1087B" w:rsidP="00F1087B">
      <w:pPr>
        <w:pStyle w:val="ListParagraph"/>
        <w:bidi w:val="0"/>
        <w:spacing w:after="0" w:line="276" w:lineRule="auto"/>
        <w:ind w:left="1276"/>
        <w:rPr>
          <w:sz w:val="24"/>
          <w:szCs w:val="24"/>
        </w:rPr>
      </w:pPr>
    </w:p>
    <w:p w:rsidR="00F1087B" w:rsidRDefault="00F1087B" w:rsidP="00F1087B">
      <w:pPr>
        <w:pStyle w:val="ListParagraph"/>
        <w:bidi w:val="0"/>
        <w:spacing w:after="0" w:line="276" w:lineRule="auto"/>
        <w:ind w:left="1276"/>
        <w:rPr>
          <w:sz w:val="24"/>
          <w:szCs w:val="24"/>
        </w:rPr>
      </w:pPr>
    </w:p>
    <w:p w:rsidR="00F1087B" w:rsidRDefault="00F1087B" w:rsidP="00F1087B">
      <w:pPr>
        <w:pStyle w:val="ListParagraph"/>
        <w:bidi w:val="0"/>
        <w:spacing w:after="0" w:line="276" w:lineRule="auto"/>
        <w:ind w:left="1276"/>
        <w:rPr>
          <w:sz w:val="24"/>
          <w:szCs w:val="24"/>
        </w:rPr>
      </w:pPr>
    </w:p>
    <w:p w:rsidR="00F1087B" w:rsidRPr="00DA4F3E" w:rsidRDefault="00F1087B" w:rsidP="00F1087B">
      <w:pPr>
        <w:pStyle w:val="ListParagraph"/>
        <w:bidi w:val="0"/>
        <w:spacing w:after="0" w:line="276" w:lineRule="auto"/>
        <w:ind w:left="1276"/>
        <w:rPr>
          <w:b w:val="0"/>
          <w:bCs w:val="0"/>
          <w:sz w:val="24"/>
          <w:szCs w:val="24"/>
        </w:rPr>
      </w:pPr>
    </w:p>
    <w:p w:rsidR="00045CC8" w:rsidRPr="00DA4F3E" w:rsidRDefault="00045CC8" w:rsidP="00C44081">
      <w:pPr>
        <w:pStyle w:val="ListParagraph"/>
        <w:numPr>
          <w:ilvl w:val="0"/>
          <w:numId w:val="13"/>
        </w:numPr>
        <w:bidi w:val="0"/>
        <w:spacing w:after="0" w:line="276" w:lineRule="auto"/>
        <w:ind w:left="709" w:hanging="567"/>
        <w:rPr>
          <w:rFonts w:ascii="Times New Roman" w:hAnsi="Times New Roman" w:cs="Times New Roman"/>
          <w:sz w:val="24"/>
          <w:szCs w:val="24"/>
        </w:rPr>
      </w:pPr>
      <w:r w:rsidRPr="00DA4F3E">
        <w:rPr>
          <w:rFonts w:ascii="Times New Roman" w:hAnsi="Times New Roman" w:cs="Times New Roman"/>
          <w:sz w:val="24"/>
          <w:szCs w:val="24"/>
        </w:rPr>
        <w:lastRenderedPageBreak/>
        <w:t>Standard Supervisory Haircuts:</w:t>
      </w:r>
    </w:p>
    <w:p w:rsidR="00045CC8" w:rsidRPr="00DA4F3E" w:rsidRDefault="00045CC8" w:rsidP="00C44081">
      <w:pPr>
        <w:pStyle w:val="ListParagraph"/>
        <w:numPr>
          <w:ilvl w:val="1"/>
          <w:numId w:val="11"/>
        </w:numPr>
        <w:bidi w:val="0"/>
        <w:spacing w:after="0" w:line="276" w:lineRule="auto"/>
        <w:ind w:left="1276" w:hanging="567"/>
        <w:rPr>
          <w:rFonts w:ascii="Times New Roman" w:hAnsi="Times New Roman" w:cs="Times New Roman"/>
          <w:b w:val="0"/>
          <w:bCs w:val="0"/>
          <w:color w:val="202124"/>
          <w:sz w:val="24"/>
          <w:szCs w:val="24"/>
          <w:lang w:val="en"/>
        </w:rPr>
      </w:pPr>
      <w:r w:rsidRPr="00DA4F3E">
        <w:rPr>
          <w:rFonts w:ascii="Times New Roman" w:hAnsi="Times New Roman" w:cs="Times New Roman"/>
          <w:b w:val="0"/>
          <w:bCs w:val="0"/>
          <w:sz w:val="24"/>
          <w:szCs w:val="24"/>
        </w:rPr>
        <w:t>These are the standard supervisory haircuts</w:t>
      </w:r>
      <w:r w:rsidRPr="00DA4F3E">
        <w:rPr>
          <w:rFonts w:ascii="Times New Roman" w:hAnsi="Times New Roman" w:cs="Times New Roman"/>
          <w:b w:val="0"/>
          <w:bCs w:val="0"/>
          <w:color w:val="202124"/>
          <w:sz w:val="24"/>
          <w:szCs w:val="24"/>
          <w:lang w:val="en"/>
        </w:rPr>
        <w:t xml:space="preserve"> approved by the Central Bank of Jordan and are subject to amendment as the Central Bank deems appropriate:</w:t>
      </w:r>
    </w:p>
    <w:p w:rsidR="00C44081" w:rsidRDefault="00C44081" w:rsidP="00C44081">
      <w:pPr>
        <w:pStyle w:val="ListParagraph"/>
        <w:bidi w:val="0"/>
        <w:spacing w:after="0" w:line="276" w:lineRule="auto"/>
        <w:ind w:left="1276"/>
        <w:rPr>
          <w:rFonts w:ascii="Times New Roman" w:hAnsi="Times New Roman" w:cs="Times New Roman"/>
          <w:b w:val="0"/>
          <w:bCs w:val="0"/>
        </w:rPr>
      </w:pPr>
    </w:p>
    <w:tbl>
      <w:tblPr>
        <w:tblStyle w:val="TableGrid"/>
        <w:tblW w:w="0" w:type="auto"/>
        <w:tblInd w:w="805" w:type="dxa"/>
        <w:tblLook w:val="04A0" w:firstRow="1" w:lastRow="0" w:firstColumn="1" w:lastColumn="0" w:noHBand="0" w:noVBand="1"/>
      </w:tblPr>
      <w:tblGrid>
        <w:gridCol w:w="2592"/>
        <w:gridCol w:w="2798"/>
        <w:gridCol w:w="1455"/>
        <w:gridCol w:w="1270"/>
      </w:tblGrid>
      <w:tr w:rsidR="00045CC8" w:rsidRPr="00DA4F3E" w:rsidTr="0039291D">
        <w:tc>
          <w:tcPr>
            <w:tcW w:w="2592" w:type="dxa"/>
            <w:shd w:val="clear" w:color="auto" w:fill="E7E6E6" w:themeFill="background2"/>
            <w:vAlign w:val="center"/>
          </w:tcPr>
          <w:p w:rsidR="00045CC8" w:rsidRPr="00DA4F3E" w:rsidRDefault="00045CC8" w:rsidP="00E232D0">
            <w:pPr>
              <w:pStyle w:val="Paragraph1"/>
              <w:spacing w:after="60"/>
              <w:jc w:val="center"/>
              <w:rPr>
                <w:rFonts w:ascii="Times New Roman" w:hAnsi="Times New Roman" w:cs="Times New Roman"/>
                <w:b/>
                <w:bCs/>
                <w:color w:val="000000"/>
                <w:sz w:val="22"/>
                <w:szCs w:val="22"/>
              </w:rPr>
            </w:pPr>
            <w:r w:rsidRPr="00DA4F3E">
              <w:rPr>
                <w:rFonts w:ascii="Times New Roman" w:hAnsi="Times New Roman" w:cs="Times New Roman"/>
                <w:b/>
                <w:bCs/>
                <w:color w:val="000000"/>
                <w:sz w:val="22"/>
                <w:szCs w:val="22"/>
              </w:rPr>
              <w:t>Issue rating for debt securities</w:t>
            </w:r>
          </w:p>
        </w:tc>
        <w:tc>
          <w:tcPr>
            <w:tcW w:w="2798" w:type="dxa"/>
            <w:shd w:val="clear" w:color="auto" w:fill="E7E6E6" w:themeFill="background2"/>
            <w:vAlign w:val="center"/>
          </w:tcPr>
          <w:p w:rsidR="00045CC8" w:rsidRPr="00DA4F3E" w:rsidRDefault="00045CC8" w:rsidP="00E232D0">
            <w:pPr>
              <w:pStyle w:val="Default"/>
              <w:spacing w:after="60"/>
              <w:jc w:val="center"/>
              <w:rPr>
                <w:rFonts w:ascii="Times New Roman" w:hAnsi="Times New Roman" w:cs="Times New Roman"/>
                <w:b/>
                <w:bCs/>
                <w:sz w:val="22"/>
                <w:szCs w:val="22"/>
              </w:rPr>
            </w:pPr>
            <w:r w:rsidRPr="00DA4F3E">
              <w:rPr>
                <w:rFonts w:ascii="Times New Roman" w:hAnsi="Times New Roman" w:cs="Times New Roman"/>
                <w:b/>
                <w:bCs/>
                <w:sz w:val="22"/>
                <w:szCs w:val="22"/>
              </w:rPr>
              <w:t>Residual Maturity</w:t>
            </w:r>
          </w:p>
        </w:tc>
        <w:tc>
          <w:tcPr>
            <w:tcW w:w="1455" w:type="dxa"/>
            <w:shd w:val="clear" w:color="auto" w:fill="E7E6E6" w:themeFill="background2"/>
            <w:vAlign w:val="center"/>
          </w:tcPr>
          <w:p w:rsidR="00045CC8" w:rsidRPr="00DA4F3E" w:rsidRDefault="00045CC8" w:rsidP="00E232D0">
            <w:pPr>
              <w:pStyle w:val="Paragraph1"/>
              <w:spacing w:after="60"/>
              <w:jc w:val="center"/>
              <w:rPr>
                <w:rFonts w:ascii="Times New Roman" w:hAnsi="Times New Roman" w:cs="Times New Roman"/>
                <w:b/>
                <w:bCs/>
                <w:color w:val="000000"/>
                <w:sz w:val="22"/>
                <w:szCs w:val="22"/>
              </w:rPr>
            </w:pPr>
            <w:r w:rsidRPr="00DA4F3E">
              <w:rPr>
                <w:rFonts w:ascii="Times New Roman" w:hAnsi="Times New Roman" w:cs="Times New Roman"/>
                <w:b/>
                <w:bCs/>
                <w:color w:val="000000"/>
                <w:sz w:val="22"/>
                <w:szCs w:val="22"/>
              </w:rPr>
              <w:t>Sovereigns</w:t>
            </w:r>
            <w:r w:rsidR="00870A8C" w:rsidRPr="00DA4F3E">
              <w:rPr>
                <w:rFonts w:ascii="Times New Roman" w:hAnsi="Times New Roman" w:cs="Times New Roman"/>
                <w:b/>
                <w:bCs/>
                <w:sz w:val="22"/>
                <w:szCs w:val="22"/>
              </w:rPr>
              <w:t>*</w:t>
            </w:r>
          </w:p>
        </w:tc>
        <w:tc>
          <w:tcPr>
            <w:tcW w:w="1270" w:type="dxa"/>
            <w:shd w:val="clear" w:color="auto" w:fill="E7E6E6" w:themeFill="background2"/>
            <w:vAlign w:val="center"/>
          </w:tcPr>
          <w:p w:rsidR="00045CC8" w:rsidRPr="00DA4F3E" w:rsidRDefault="00045CC8" w:rsidP="00E232D0">
            <w:pPr>
              <w:pStyle w:val="Default"/>
              <w:spacing w:after="60"/>
              <w:jc w:val="center"/>
              <w:rPr>
                <w:rFonts w:ascii="Times New Roman" w:hAnsi="Times New Roman" w:cs="Times New Roman"/>
                <w:b/>
                <w:bCs/>
                <w:sz w:val="22"/>
                <w:szCs w:val="22"/>
              </w:rPr>
            </w:pPr>
            <w:r w:rsidRPr="00DA4F3E">
              <w:rPr>
                <w:rFonts w:ascii="Times New Roman" w:hAnsi="Times New Roman" w:cs="Times New Roman"/>
                <w:b/>
                <w:bCs/>
                <w:sz w:val="22"/>
                <w:szCs w:val="22"/>
              </w:rPr>
              <w:t>Other issuers</w:t>
            </w:r>
          </w:p>
        </w:tc>
      </w:tr>
      <w:tr w:rsidR="00791F4E" w:rsidRPr="00DA4F3E" w:rsidTr="005D35B6">
        <w:trPr>
          <w:trHeight w:val="323"/>
        </w:trPr>
        <w:tc>
          <w:tcPr>
            <w:tcW w:w="2592" w:type="dxa"/>
            <w:vMerge w:val="restart"/>
            <w:vAlign w:val="center"/>
          </w:tcPr>
          <w:p w:rsidR="00791F4E" w:rsidRPr="00DA4F3E" w:rsidRDefault="00791F4E" w:rsidP="005D35B6">
            <w:pPr>
              <w:pStyle w:val="Default"/>
              <w:jc w:val="center"/>
              <w:rPr>
                <w:rFonts w:ascii="Times New Roman" w:hAnsi="Times New Roman" w:cs="Times New Roman"/>
                <w:sz w:val="22"/>
                <w:szCs w:val="22"/>
              </w:rPr>
            </w:pPr>
            <w:r w:rsidRPr="00DA4F3E">
              <w:rPr>
                <w:rFonts w:ascii="Times New Roman" w:hAnsi="Times New Roman" w:cs="Times New Roman"/>
                <w:sz w:val="22"/>
                <w:szCs w:val="22"/>
              </w:rPr>
              <w:t>AAA to AA-/A-1</w:t>
            </w:r>
          </w:p>
        </w:tc>
        <w:tc>
          <w:tcPr>
            <w:tcW w:w="2798" w:type="dxa"/>
          </w:tcPr>
          <w:p w:rsidR="00791F4E" w:rsidRPr="00DA4F3E" w:rsidRDefault="00791F4E" w:rsidP="00E232D0">
            <w:pPr>
              <w:pStyle w:val="Default"/>
              <w:jc w:val="both"/>
              <w:rPr>
                <w:rFonts w:ascii="Times New Roman" w:hAnsi="Times New Roman" w:cs="Times New Roman"/>
                <w:sz w:val="22"/>
                <w:szCs w:val="22"/>
              </w:rPr>
            </w:pPr>
            <w:r w:rsidRPr="00DA4F3E">
              <w:rPr>
                <w:rFonts w:ascii="Times New Roman" w:hAnsi="Times New Roman" w:cs="Times New Roman"/>
                <w:color w:val="202124"/>
                <w:sz w:val="22"/>
                <w:szCs w:val="22"/>
                <w:lang w:val="en"/>
              </w:rPr>
              <w:t>Less than or equal to a</w:t>
            </w:r>
            <w:r w:rsidRPr="00DA4F3E">
              <w:rPr>
                <w:rFonts w:ascii="Times New Roman" w:hAnsi="Times New Roman" w:cs="Times New Roman"/>
                <w:sz w:val="22"/>
                <w:szCs w:val="22"/>
              </w:rPr>
              <w:t xml:space="preserve"> year </w:t>
            </w:r>
          </w:p>
        </w:tc>
        <w:tc>
          <w:tcPr>
            <w:tcW w:w="1455" w:type="dxa"/>
          </w:tcPr>
          <w:p w:rsidR="00791F4E" w:rsidRPr="00DA4F3E" w:rsidRDefault="00791F4E" w:rsidP="00E232D0">
            <w:pPr>
              <w:pStyle w:val="Default"/>
              <w:jc w:val="center"/>
              <w:rPr>
                <w:rFonts w:ascii="Times New Roman" w:hAnsi="Times New Roman" w:cs="Times New Roman"/>
                <w:sz w:val="22"/>
                <w:szCs w:val="22"/>
              </w:rPr>
            </w:pPr>
            <w:r w:rsidRPr="00DA4F3E">
              <w:rPr>
                <w:rFonts w:ascii="Times New Roman" w:hAnsi="Times New Roman" w:cs="Times New Roman"/>
                <w:sz w:val="22"/>
                <w:szCs w:val="22"/>
              </w:rPr>
              <w:t>0.5 %</w:t>
            </w:r>
          </w:p>
        </w:tc>
        <w:tc>
          <w:tcPr>
            <w:tcW w:w="1270" w:type="dxa"/>
          </w:tcPr>
          <w:p w:rsidR="00791F4E" w:rsidRPr="00DA4F3E" w:rsidRDefault="00791F4E" w:rsidP="00E232D0">
            <w:pPr>
              <w:pStyle w:val="Default"/>
              <w:jc w:val="center"/>
              <w:rPr>
                <w:rFonts w:ascii="Times New Roman" w:hAnsi="Times New Roman" w:cs="Times New Roman"/>
                <w:sz w:val="22"/>
                <w:szCs w:val="22"/>
              </w:rPr>
            </w:pPr>
            <w:r w:rsidRPr="00DA4F3E">
              <w:rPr>
                <w:rFonts w:ascii="Times New Roman" w:hAnsi="Times New Roman" w:cs="Times New Roman"/>
                <w:sz w:val="22"/>
                <w:szCs w:val="22"/>
              </w:rPr>
              <w:t>1 %</w:t>
            </w:r>
          </w:p>
        </w:tc>
      </w:tr>
      <w:tr w:rsidR="00791F4E" w:rsidRPr="00DA4F3E" w:rsidTr="00E232D0">
        <w:tc>
          <w:tcPr>
            <w:tcW w:w="2592" w:type="dxa"/>
            <w:vMerge/>
          </w:tcPr>
          <w:p w:rsidR="00791F4E" w:rsidRPr="00DA4F3E" w:rsidRDefault="00791F4E" w:rsidP="00E232D0">
            <w:pPr>
              <w:pStyle w:val="ListParagraph"/>
              <w:bidi w:val="0"/>
              <w:spacing w:before="240" w:after="0" w:line="276" w:lineRule="auto"/>
              <w:ind w:left="0"/>
              <w:rPr>
                <w:rFonts w:ascii="Times New Roman" w:hAnsi="Times New Roman" w:cs="Times New Roman"/>
                <w:b w:val="0"/>
                <w:bCs w:val="0"/>
                <w:color w:val="202124"/>
                <w:sz w:val="22"/>
                <w:szCs w:val="22"/>
                <w:lang w:val="en"/>
              </w:rPr>
            </w:pPr>
          </w:p>
        </w:tc>
        <w:tc>
          <w:tcPr>
            <w:tcW w:w="2798" w:type="dxa"/>
          </w:tcPr>
          <w:p w:rsidR="00791F4E" w:rsidRPr="00DA4F3E" w:rsidRDefault="00791F4E" w:rsidP="00E232D0">
            <w:pPr>
              <w:pStyle w:val="ListParagraph"/>
              <w:bidi w:val="0"/>
              <w:spacing w:before="240" w:after="0" w:line="276" w:lineRule="auto"/>
              <w:ind w:left="0"/>
              <w:rPr>
                <w:rFonts w:ascii="Times New Roman" w:eastAsia="Calibri" w:hAnsi="Times New Roman" w:cs="Times New Roman"/>
                <w:b w:val="0"/>
                <w:bCs w:val="0"/>
                <w:color w:val="202124"/>
                <w:sz w:val="22"/>
                <w:szCs w:val="22"/>
                <w:lang w:val="en"/>
              </w:rPr>
            </w:pPr>
            <w:r w:rsidRPr="00DA4F3E">
              <w:rPr>
                <w:rFonts w:ascii="Times New Roman" w:eastAsia="Calibri" w:hAnsi="Times New Roman" w:cs="Times New Roman"/>
                <w:b w:val="0"/>
                <w:bCs w:val="0"/>
                <w:color w:val="202124"/>
                <w:sz w:val="22"/>
                <w:szCs w:val="22"/>
                <w:lang w:val="en"/>
              </w:rPr>
              <w:t>More than a year and less than or equal to 5 years</w:t>
            </w:r>
          </w:p>
        </w:tc>
        <w:tc>
          <w:tcPr>
            <w:tcW w:w="1455" w:type="dxa"/>
          </w:tcPr>
          <w:p w:rsidR="00791F4E" w:rsidRPr="00DA4F3E" w:rsidRDefault="00791F4E" w:rsidP="00E232D0">
            <w:pPr>
              <w:pStyle w:val="ListParagraph"/>
              <w:bidi w:val="0"/>
              <w:spacing w:before="240" w:after="0" w:line="276" w:lineRule="auto"/>
              <w:ind w:left="0"/>
              <w:jc w:val="center"/>
              <w:rPr>
                <w:rFonts w:ascii="Times New Roman" w:hAnsi="Times New Roman" w:cs="Times New Roman"/>
                <w:b w:val="0"/>
                <w:bCs w:val="0"/>
                <w:color w:val="202124"/>
                <w:sz w:val="22"/>
                <w:szCs w:val="22"/>
                <w:lang w:val="en"/>
              </w:rPr>
            </w:pPr>
            <w:r w:rsidRPr="00DA4F3E">
              <w:rPr>
                <w:rFonts w:ascii="Times New Roman" w:hAnsi="Times New Roman" w:cs="Times New Roman"/>
                <w:b w:val="0"/>
                <w:bCs w:val="0"/>
                <w:color w:val="202124"/>
                <w:sz w:val="22"/>
                <w:szCs w:val="22"/>
                <w:lang w:val="en"/>
              </w:rPr>
              <w:t>2%</w:t>
            </w:r>
          </w:p>
        </w:tc>
        <w:tc>
          <w:tcPr>
            <w:tcW w:w="1270" w:type="dxa"/>
          </w:tcPr>
          <w:p w:rsidR="00791F4E" w:rsidRPr="00DA4F3E" w:rsidRDefault="00791F4E" w:rsidP="00E232D0">
            <w:pPr>
              <w:pStyle w:val="ListParagraph"/>
              <w:bidi w:val="0"/>
              <w:spacing w:before="240" w:after="0" w:line="276" w:lineRule="auto"/>
              <w:ind w:left="0"/>
              <w:jc w:val="center"/>
              <w:rPr>
                <w:rFonts w:ascii="Times New Roman" w:hAnsi="Times New Roman" w:cs="Times New Roman"/>
                <w:b w:val="0"/>
                <w:bCs w:val="0"/>
                <w:color w:val="202124"/>
                <w:sz w:val="22"/>
                <w:szCs w:val="22"/>
                <w:lang w:val="en"/>
              </w:rPr>
            </w:pPr>
            <w:r w:rsidRPr="00DA4F3E">
              <w:rPr>
                <w:rFonts w:ascii="Times New Roman" w:hAnsi="Times New Roman" w:cs="Times New Roman"/>
                <w:b w:val="0"/>
                <w:bCs w:val="0"/>
                <w:color w:val="202124"/>
                <w:sz w:val="22"/>
                <w:szCs w:val="22"/>
                <w:lang w:val="en"/>
              </w:rPr>
              <w:t>4%</w:t>
            </w:r>
          </w:p>
        </w:tc>
      </w:tr>
      <w:tr w:rsidR="00791F4E" w:rsidRPr="00DA4F3E" w:rsidTr="00E232D0">
        <w:tc>
          <w:tcPr>
            <w:tcW w:w="2592" w:type="dxa"/>
            <w:vMerge/>
          </w:tcPr>
          <w:p w:rsidR="00791F4E" w:rsidRPr="00DA4F3E" w:rsidRDefault="00791F4E" w:rsidP="00E232D0">
            <w:pPr>
              <w:pStyle w:val="ListParagraph"/>
              <w:bidi w:val="0"/>
              <w:spacing w:before="240" w:after="0" w:line="276" w:lineRule="auto"/>
              <w:ind w:left="0"/>
              <w:rPr>
                <w:rFonts w:ascii="Times New Roman" w:hAnsi="Times New Roman" w:cs="Times New Roman"/>
                <w:b w:val="0"/>
                <w:bCs w:val="0"/>
                <w:color w:val="202124"/>
                <w:sz w:val="22"/>
                <w:szCs w:val="22"/>
                <w:lang w:val="en"/>
              </w:rPr>
            </w:pPr>
          </w:p>
        </w:tc>
        <w:tc>
          <w:tcPr>
            <w:tcW w:w="2798" w:type="dxa"/>
          </w:tcPr>
          <w:p w:rsidR="00791F4E" w:rsidRPr="00DA4F3E" w:rsidRDefault="00791F4E" w:rsidP="00E232D0">
            <w:pPr>
              <w:pStyle w:val="ListParagraph"/>
              <w:bidi w:val="0"/>
              <w:spacing w:before="240" w:after="0" w:line="276" w:lineRule="auto"/>
              <w:ind w:left="0"/>
              <w:rPr>
                <w:rFonts w:ascii="Times New Roman" w:hAnsi="Times New Roman" w:cs="Times New Roman"/>
                <w:b w:val="0"/>
                <w:bCs w:val="0"/>
                <w:color w:val="202124"/>
                <w:sz w:val="22"/>
                <w:szCs w:val="22"/>
                <w:lang w:val="en"/>
              </w:rPr>
            </w:pPr>
            <w:r w:rsidRPr="00DA4F3E">
              <w:rPr>
                <w:rFonts w:ascii="Times New Roman" w:eastAsia="Calibri" w:hAnsi="Times New Roman" w:cs="Times New Roman"/>
                <w:b w:val="0"/>
                <w:bCs w:val="0"/>
                <w:color w:val="202124"/>
                <w:sz w:val="22"/>
                <w:szCs w:val="22"/>
                <w:lang w:val="en"/>
              </w:rPr>
              <w:t>More than 5 years</w:t>
            </w:r>
          </w:p>
        </w:tc>
        <w:tc>
          <w:tcPr>
            <w:tcW w:w="1455" w:type="dxa"/>
          </w:tcPr>
          <w:p w:rsidR="00791F4E" w:rsidRPr="00DA4F3E" w:rsidRDefault="00791F4E" w:rsidP="00E232D0">
            <w:pPr>
              <w:pStyle w:val="ListParagraph"/>
              <w:bidi w:val="0"/>
              <w:spacing w:before="240" w:after="0" w:line="276" w:lineRule="auto"/>
              <w:ind w:left="0"/>
              <w:jc w:val="center"/>
              <w:rPr>
                <w:rFonts w:ascii="Times New Roman" w:hAnsi="Times New Roman" w:cs="Times New Roman"/>
                <w:b w:val="0"/>
                <w:bCs w:val="0"/>
                <w:color w:val="202124"/>
                <w:sz w:val="22"/>
                <w:szCs w:val="22"/>
                <w:lang w:val="en"/>
              </w:rPr>
            </w:pPr>
            <w:r w:rsidRPr="00DA4F3E">
              <w:rPr>
                <w:rFonts w:ascii="Times New Roman" w:hAnsi="Times New Roman" w:cs="Times New Roman"/>
                <w:b w:val="0"/>
                <w:bCs w:val="0"/>
                <w:color w:val="202124"/>
                <w:sz w:val="22"/>
                <w:szCs w:val="22"/>
                <w:lang w:val="en"/>
              </w:rPr>
              <w:t>4%</w:t>
            </w:r>
          </w:p>
        </w:tc>
        <w:tc>
          <w:tcPr>
            <w:tcW w:w="1270" w:type="dxa"/>
          </w:tcPr>
          <w:p w:rsidR="00791F4E" w:rsidRPr="00DA4F3E" w:rsidRDefault="00791F4E" w:rsidP="00E232D0">
            <w:pPr>
              <w:pStyle w:val="ListParagraph"/>
              <w:bidi w:val="0"/>
              <w:spacing w:before="240" w:after="0" w:line="276" w:lineRule="auto"/>
              <w:ind w:left="0"/>
              <w:jc w:val="center"/>
              <w:rPr>
                <w:rFonts w:ascii="Times New Roman" w:hAnsi="Times New Roman" w:cs="Times New Roman"/>
                <w:b w:val="0"/>
                <w:bCs w:val="0"/>
                <w:color w:val="202124"/>
                <w:sz w:val="22"/>
                <w:szCs w:val="22"/>
                <w:lang w:val="en"/>
              </w:rPr>
            </w:pPr>
            <w:r w:rsidRPr="00DA4F3E">
              <w:rPr>
                <w:rFonts w:ascii="Times New Roman" w:hAnsi="Times New Roman" w:cs="Times New Roman"/>
                <w:b w:val="0"/>
                <w:bCs w:val="0"/>
                <w:color w:val="202124"/>
                <w:sz w:val="22"/>
                <w:szCs w:val="22"/>
                <w:lang w:val="en"/>
              </w:rPr>
              <w:t>8%</w:t>
            </w:r>
          </w:p>
        </w:tc>
      </w:tr>
      <w:tr w:rsidR="00791F4E" w:rsidRPr="00DA4F3E" w:rsidTr="00E232D0">
        <w:trPr>
          <w:trHeight w:val="361"/>
        </w:trPr>
        <w:tc>
          <w:tcPr>
            <w:tcW w:w="2592" w:type="dxa"/>
            <w:vMerge w:val="restart"/>
          </w:tcPr>
          <w:p w:rsidR="00791F4E" w:rsidRPr="00DA4F3E" w:rsidRDefault="00791F4E" w:rsidP="00E232D0">
            <w:pPr>
              <w:pStyle w:val="ListParagraph"/>
              <w:numPr>
                <w:ilvl w:val="0"/>
                <w:numId w:val="20"/>
              </w:numPr>
              <w:bidi w:val="0"/>
              <w:spacing w:after="0" w:line="276" w:lineRule="auto"/>
              <w:ind w:left="245" w:hanging="270"/>
              <w:rPr>
                <w:rFonts w:ascii="Times New Roman" w:hAnsi="Times New Roman" w:cs="Times New Roman"/>
                <w:b w:val="0"/>
                <w:bCs w:val="0"/>
                <w:color w:val="202124"/>
                <w:sz w:val="22"/>
                <w:szCs w:val="22"/>
                <w:lang w:val="en"/>
              </w:rPr>
            </w:pPr>
            <w:r w:rsidRPr="00DA4F3E">
              <w:rPr>
                <w:rFonts w:ascii="Times New Roman" w:hAnsi="Times New Roman" w:cs="Times New Roman"/>
                <w:b w:val="0"/>
                <w:bCs w:val="0"/>
                <w:color w:val="202124"/>
                <w:sz w:val="22"/>
                <w:szCs w:val="22"/>
                <w:lang w:val="en"/>
              </w:rPr>
              <w:t>A+ to BBB-/A-2/A-3/P-3</w:t>
            </w:r>
          </w:p>
          <w:p w:rsidR="00791F4E" w:rsidRPr="00DA4F3E" w:rsidRDefault="00791F4E" w:rsidP="005D35B6">
            <w:pPr>
              <w:pStyle w:val="ListParagraph"/>
              <w:numPr>
                <w:ilvl w:val="0"/>
                <w:numId w:val="20"/>
              </w:numPr>
              <w:bidi w:val="0"/>
              <w:spacing w:before="240" w:after="0" w:line="276" w:lineRule="auto"/>
              <w:ind w:left="245" w:hanging="270"/>
              <w:rPr>
                <w:rFonts w:ascii="Times New Roman" w:hAnsi="Times New Roman" w:cs="Times New Roman"/>
                <w:b w:val="0"/>
                <w:bCs w:val="0"/>
                <w:color w:val="202124"/>
                <w:sz w:val="22"/>
                <w:szCs w:val="22"/>
                <w:lang w:val="en"/>
              </w:rPr>
            </w:pPr>
            <w:r w:rsidRPr="00DA4F3E">
              <w:rPr>
                <w:rFonts w:ascii="Times New Roman" w:hAnsi="Times New Roman" w:cs="Times New Roman"/>
                <w:b w:val="0"/>
                <w:bCs w:val="0"/>
                <w:color w:val="202124"/>
                <w:sz w:val="22"/>
                <w:szCs w:val="22"/>
                <w:lang w:val="en"/>
              </w:rPr>
              <w:t xml:space="preserve">Unrated and issued by qualified banks whose </w:t>
            </w:r>
            <w:r w:rsidR="005D35B6">
              <w:rPr>
                <w:rFonts w:ascii="Times New Roman" w:hAnsi="Times New Roman" w:cs="Times New Roman"/>
                <w:b w:val="0"/>
                <w:bCs w:val="0"/>
                <w:color w:val="202124"/>
                <w:sz w:val="22"/>
                <w:szCs w:val="22"/>
                <w:lang w:val="en"/>
              </w:rPr>
              <w:t>rate</w:t>
            </w:r>
            <w:r w:rsidRPr="00DA4F3E">
              <w:rPr>
                <w:rFonts w:ascii="Times New Roman" w:hAnsi="Times New Roman" w:cs="Times New Roman"/>
                <w:b w:val="0"/>
                <w:bCs w:val="0"/>
                <w:color w:val="202124"/>
                <w:sz w:val="22"/>
                <w:szCs w:val="22"/>
                <w:lang w:val="en"/>
              </w:rPr>
              <w:t xml:space="preserve"> is no less than BBB-</w:t>
            </w:r>
          </w:p>
        </w:tc>
        <w:tc>
          <w:tcPr>
            <w:tcW w:w="2798" w:type="dxa"/>
          </w:tcPr>
          <w:p w:rsidR="00791F4E" w:rsidRPr="00DA4F3E" w:rsidRDefault="00791F4E" w:rsidP="00E232D0">
            <w:pPr>
              <w:pStyle w:val="ListParagraph"/>
              <w:bidi w:val="0"/>
              <w:spacing w:before="240" w:after="0" w:line="276" w:lineRule="auto"/>
              <w:ind w:left="0"/>
              <w:rPr>
                <w:rFonts w:ascii="Times New Roman" w:eastAsia="Calibri" w:hAnsi="Times New Roman" w:cs="Times New Roman"/>
                <w:b w:val="0"/>
                <w:bCs w:val="0"/>
                <w:color w:val="202124"/>
                <w:sz w:val="22"/>
                <w:szCs w:val="22"/>
                <w:lang w:val="en"/>
              </w:rPr>
            </w:pPr>
            <w:r w:rsidRPr="00DA4F3E">
              <w:rPr>
                <w:rFonts w:ascii="Times New Roman" w:hAnsi="Times New Roman" w:cs="Times New Roman"/>
                <w:b w:val="0"/>
                <w:bCs w:val="0"/>
                <w:color w:val="202124"/>
                <w:sz w:val="22"/>
                <w:szCs w:val="22"/>
                <w:lang w:val="en"/>
              </w:rPr>
              <w:t>Less than or equal to a</w:t>
            </w:r>
            <w:r w:rsidRPr="00DA4F3E">
              <w:rPr>
                <w:rFonts w:ascii="Times New Roman" w:hAnsi="Times New Roman" w:cs="Times New Roman"/>
                <w:b w:val="0"/>
                <w:bCs w:val="0"/>
                <w:sz w:val="22"/>
                <w:szCs w:val="22"/>
              </w:rPr>
              <w:t xml:space="preserve"> year</w:t>
            </w:r>
          </w:p>
        </w:tc>
        <w:tc>
          <w:tcPr>
            <w:tcW w:w="1455" w:type="dxa"/>
          </w:tcPr>
          <w:p w:rsidR="00791F4E" w:rsidRPr="00DA4F3E" w:rsidRDefault="00791F4E" w:rsidP="00E232D0">
            <w:pPr>
              <w:pStyle w:val="ListParagraph"/>
              <w:bidi w:val="0"/>
              <w:spacing w:before="240" w:after="0" w:line="276" w:lineRule="auto"/>
              <w:ind w:left="0"/>
              <w:jc w:val="center"/>
              <w:rPr>
                <w:rFonts w:ascii="Times New Roman" w:hAnsi="Times New Roman" w:cs="Times New Roman"/>
                <w:b w:val="0"/>
                <w:bCs w:val="0"/>
                <w:color w:val="202124"/>
                <w:sz w:val="22"/>
                <w:szCs w:val="22"/>
                <w:lang w:val="en"/>
              </w:rPr>
            </w:pPr>
            <w:r w:rsidRPr="00DA4F3E">
              <w:rPr>
                <w:rFonts w:ascii="Times New Roman" w:hAnsi="Times New Roman" w:cs="Times New Roman"/>
                <w:b w:val="0"/>
                <w:bCs w:val="0"/>
                <w:color w:val="202124"/>
                <w:sz w:val="22"/>
                <w:szCs w:val="22"/>
                <w:lang w:val="en"/>
              </w:rPr>
              <w:t>1%</w:t>
            </w:r>
          </w:p>
        </w:tc>
        <w:tc>
          <w:tcPr>
            <w:tcW w:w="1270" w:type="dxa"/>
          </w:tcPr>
          <w:p w:rsidR="00791F4E" w:rsidRPr="00DA4F3E" w:rsidRDefault="00791F4E" w:rsidP="00E232D0">
            <w:pPr>
              <w:pStyle w:val="ListParagraph"/>
              <w:bidi w:val="0"/>
              <w:spacing w:before="240" w:after="0" w:line="276" w:lineRule="auto"/>
              <w:ind w:left="0"/>
              <w:jc w:val="center"/>
              <w:rPr>
                <w:rFonts w:ascii="Times New Roman" w:hAnsi="Times New Roman" w:cs="Times New Roman"/>
                <w:b w:val="0"/>
                <w:bCs w:val="0"/>
                <w:color w:val="202124"/>
                <w:sz w:val="22"/>
                <w:szCs w:val="22"/>
                <w:lang w:val="en"/>
              </w:rPr>
            </w:pPr>
            <w:r w:rsidRPr="00DA4F3E">
              <w:rPr>
                <w:rFonts w:ascii="Times New Roman" w:hAnsi="Times New Roman" w:cs="Times New Roman"/>
                <w:b w:val="0"/>
                <w:bCs w:val="0"/>
                <w:color w:val="202124"/>
                <w:sz w:val="22"/>
                <w:szCs w:val="22"/>
                <w:lang w:val="en"/>
              </w:rPr>
              <w:t>2%</w:t>
            </w:r>
          </w:p>
        </w:tc>
      </w:tr>
      <w:tr w:rsidR="00791F4E" w:rsidRPr="00DA4F3E" w:rsidTr="00E232D0">
        <w:tc>
          <w:tcPr>
            <w:tcW w:w="2592" w:type="dxa"/>
            <w:vMerge/>
          </w:tcPr>
          <w:p w:rsidR="00791F4E" w:rsidRPr="00DA4F3E" w:rsidRDefault="00791F4E" w:rsidP="00E232D0">
            <w:pPr>
              <w:pStyle w:val="ListParagraph"/>
              <w:bidi w:val="0"/>
              <w:spacing w:before="240" w:after="0" w:line="276" w:lineRule="auto"/>
              <w:ind w:left="0"/>
              <w:rPr>
                <w:color w:val="202124"/>
                <w:sz w:val="22"/>
                <w:szCs w:val="22"/>
                <w:lang w:val="en"/>
              </w:rPr>
            </w:pPr>
          </w:p>
        </w:tc>
        <w:tc>
          <w:tcPr>
            <w:tcW w:w="2798" w:type="dxa"/>
          </w:tcPr>
          <w:p w:rsidR="00791F4E" w:rsidRPr="00DA4F3E" w:rsidRDefault="00791F4E" w:rsidP="00E232D0">
            <w:pPr>
              <w:pStyle w:val="ListParagraph"/>
              <w:bidi w:val="0"/>
              <w:spacing w:before="240" w:after="0" w:line="276" w:lineRule="auto"/>
              <w:ind w:left="0"/>
              <w:rPr>
                <w:rFonts w:ascii="Times New Roman" w:eastAsia="Calibri" w:hAnsi="Times New Roman" w:cs="Times New Roman"/>
                <w:b w:val="0"/>
                <w:bCs w:val="0"/>
                <w:color w:val="202124"/>
                <w:sz w:val="22"/>
                <w:szCs w:val="22"/>
                <w:lang w:val="en"/>
              </w:rPr>
            </w:pPr>
            <w:r w:rsidRPr="00DA4F3E">
              <w:rPr>
                <w:rFonts w:ascii="Times New Roman" w:eastAsia="Calibri" w:hAnsi="Times New Roman" w:cs="Times New Roman"/>
                <w:b w:val="0"/>
                <w:bCs w:val="0"/>
                <w:color w:val="202124"/>
                <w:sz w:val="22"/>
                <w:szCs w:val="22"/>
                <w:lang w:val="en"/>
              </w:rPr>
              <w:t>More than a year and less than or equal to 5 years</w:t>
            </w:r>
          </w:p>
        </w:tc>
        <w:tc>
          <w:tcPr>
            <w:tcW w:w="1455" w:type="dxa"/>
          </w:tcPr>
          <w:p w:rsidR="00791F4E" w:rsidRPr="00DA4F3E" w:rsidRDefault="00791F4E" w:rsidP="00E232D0">
            <w:pPr>
              <w:pStyle w:val="ListParagraph"/>
              <w:bidi w:val="0"/>
              <w:spacing w:before="240" w:after="0" w:line="276" w:lineRule="auto"/>
              <w:ind w:left="0"/>
              <w:jc w:val="center"/>
              <w:rPr>
                <w:rFonts w:ascii="Times New Roman" w:hAnsi="Times New Roman" w:cs="Times New Roman"/>
                <w:b w:val="0"/>
                <w:bCs w:val="0"/>
                <w:color w:val="202124"/>
                <w:sz w:val="22"/>
                <w:szCs w:val="22"/>
                <w:lang w:val="en"/>
              </w:rPr>
            </w:pPr>
            <w:r w:rsidRPr="00DA4F3E">
              <w:rPr>
                <w:rFonts w:ascii="Times New Roman" w:hAnsi="Times New Roman" w:cs="Times New Roman"/>
                <w:b w:val="0"/>
                <w:bCs w:val="0"/>
                <w:color w:val="202124"/>
                <w:sz w:val="22"/>
                <w:szCs w:val="22"/>
                <w:lang w:val="en"/>
              </w:rPr>
              <w:t>3%</w:t>
            </w:r>
          </w:p>
        </w:tc>
        <w:tc>
          <w:tcPr>
            <w:tcW w:w="1270" w:type="dxa"/>
          </w:tcPr>
          <w:p w:rsidR="00791F4E" w:rsidRPr="00DA4F3E" w:rsidRDefault="00791F4E" w:rsidP="00E232D0">
            <w:pPr>
              <w:pStyle w:val="ListParagraph"/>
              <w:bidi w:val="0"/>
              <w:spacing w:before="240" w:after="0" w:line="276" w:lineRule="auto"/>
              <w:ind w:left="0"/>
              <w:jc w:val="center"/>
              <w:rPr>
                <w:rFonts w:ascii="Times New Roman" w:hAnsi="Times New Roman" w:cs="Times New Roman"/>
                <w:b w:val="0"/>
                <w:bCs w:val="0"/>
                <w:color w:val="202124"/>
                <w:sz w:val="22"/>
                <w:szCs w:val="22"/>
                <w:lang w:val="en"/>
              </w:rPr>
            </w:pPr>
            <w:r w:rsidRPr="00DA4F3E">
              <w:rPr>
                <w:rFonts w:ascii="Times New Roman" w:hAnsi="Times New Roman" w:cs="Times New Roman"/>
                <w:b w:val="0"/>
                <w:bCs w:val="0"/>
                <w:color w:val="202124"/>
                <w:sz w:val="22"/>
                <w:szCs w:val="22"/>
                <w:lang w:val="en"/>
              </w:rPr>
              <w:t>6%</w:t>
            </w:r>
          </w:p>
        </w:tc>
      </w:tr>
      <w:tr w:rsidR="00791F4E" w:rsidRPr="00DA4F3E" w:rsidTr="00E232D0">
        <w:tc>
          <w:tcPr>
            <w:tcW w:w="2592" w:type="dxa"/>
            <w:vMerge/>
          </w:tcPr>
          <w:p w:rsidR="00791F4E" w:rsidRPr="00DA4F3E" w:rsidRDefault="00791F4E" w:rsidP="00E232D0">
            <w:pPr>
              <w:pStyle w:val="ListParagraph"/>
              <w:bidi w:val="0"/>
              <w:spacing w:before="240" w:after="0" w:line="276" w:lineRule="auto"/>
              <w:ind w:left="0"/>
              <w:rPr>
                <w:color w:val="202124"/>
                <w:sz w:val="22"/>
                <w:szCs w:val="22"/>
                <w:lang w:val="en"/>
              </w:rPr>
            </w:pPr>
          </w:p>
        </w:tc>
        <w:tc>
          <w:tcPr>
            <w:tcW w:w="2798" w:type="dxa"/>
          </w:tcPr>
          <w:p w:rsidR="00791F4E" w:rsidRPr="00DA4F3E" w:rsidRDefault="00791F4E" w:rsidP="00E232D0">
            <w:pPr>
              <w:pStyle w:val="ListParagraph"/>
              <w:bidi w:val="0"/>
              <w:spacing w:before="240" w:after="0" w:line="276" w:lineRule="auto"/>
              <w:ind w:left="0"/>
              <w:rPr>
                <w:rFonts w:ascii="Times New Roman" w:hAnsi="Times New Roman" w:cs="Times New Roman"/>
                <w:b w:val="0"/>
                <w:bCs w:val="0"/>
                <w:color w:val="202124"/>
                <w:sz w:val="22"/>
                <w:szCs w:val="22"/>
                <w:lang w:val="en"/>
              </w:rPr>
            </w:pPr>
            <w:r w:rsidRPr="00DA4F3E">
              <w:rPr>
                <w:rFonts w:ascii="Times New Roman" w:eastAsia="Calibri" w:hAnsi="Times New Roman" w:cs="Times New Roman"/>
                <w:b w:val="0"/>
                <w:bCs w:val="0"/>
                <w:color w:val="202124"/>
                <w:sz w:val="22"/>
                <w:szCs w:val="22"/>
                <w:lang w:val="en"/>
              </w:rPr>
              <w:t>More than 5 years</w:t>
            </w:r>
          </w:p>
        </w:tc>
        <w:tc>
          <w:tcPr>
            <w:tcW w:w="1455" w:type="dxa"/>
          </w:tcPr>
          <w:p w:rsidR="00791F4E" w:rsidRPr="00DA4F3E" w:rsidRDefault="00791F4E" w:rsidP="00E232D0">
            <w:pPr>
              <w:pStyle w:val="ListParagraph"/>
              <w:bidi w:val="0"/>
              <w:spacing w:before="240" w:after="0" w:line="276" w:lineRule="auto"/>
              <w:ind w:left="0"/>
              <w:jc w:val="center"/>
              <w:rPr>
                <w:rFonts w:ascii="Times New Roman" w:hAnsi="Times New Roman" w:cs="Times New Roman"/>
                <w:b w:val="0"/>
                <w:bCs w:val="0"/>
                <w:color w:val="202124"/>
                <w:sz w:val="22"/>
                <w:szCs w:val="22"/>
                <w:lang w:val="en"/>
              </w:rPr>
            </w:pPr>
            <w:r w:rsidRPr="00DA4F3E">
              <w:rPr>
                <w:rFonts w:ascii="Times New Roman" w:hAnsi="Times New Roman" w:cs="Times New Roman"/>
                <w:b w:val="0"/>
                <w:bCs w:val="0"/>
                <w:color w:val="202124"/>
                <w:sz w:val="22"/>
                <w:szCs w:val="22"/>
                <w:lang w:val="en"/>
              </w:rPr>
              <w:t>6%</w:t>
            </w:r>
          </w:p>
        </w:tc>
        <w:tc>
          <w:tcPr>
            <w:tcW w:w="1270" w:type="dxa"/>
          </w:tcPr>
          <w:p w:rsidR="00791F4E" w:rsidRPr="00DA4F3E" w:rsidRDefault="00791F4E" w:rsidP="00E232D0">
            <w:pPr>
              <w:pStyle w:val="ListParagraph"/>
              <w:bidi w:val="0"/>
              <w:spacing w:before="240" w:after="0" w:line="276" w:lineRule="auto"/>
              <w:ind w:left="0"/>
              <w:jc w:val="center"/>
              <w:rPr>
                <w:rFonts w:ascii="Times New Roman" w:hAnsi="Times New Roman" w:cs="Times New Roman"/>
                <w:b w:val="0"/>
                <w:bCs w:val="0"/>
                <w:color w:val="202124"/>
                <w:sz w:val="22"/>
                <w:szCs w:val="22"/>
                <w:lang w:val="en"/>
              </w:rPr>
            </w:pPr>
            <w:r w:rsidRPr="00DA4F3E">
              <w:rPr>
                <w:rFonts w:ascii="Times New Roman" w:hAnsi="Times New Roman" w:cs="Times New Roman"/>
                <w:b w:val="0"/>
                <w:bCs w:val="0"/>
                <w:color w:val="202124"/>
                <w:sz w:val="22"/>
                <w:szCs w:val="22"/>
                <w:lang w:val="en"/>
              </w:rPr>
              <w:t>12%</w:t>
            </w:r>
          </w:p>
        </w:tc>
      </w:tr>
      <w:tr w:rsidR="00791F4E" w:rsidRPr="00DA4F3E" w:rsidTr="005D35B6">
        <w:trPr>
          <w:trHeight w:val="476"/>
        </w:trPr>
        <w:tc>
          <w:tcPr>
            <w:tcW w:w="2592" w:type="dxa"/>
            <w:vAlign w:val="center"/>
          </w:tcPr>
          <w:p w:rsidR="00791F4E" w:rsidRPr="00DA4F3E" w:rsidRDefault="00791F4E" w:rsidP="005D35B6">
            <w:pPr>
              <w:pStyle w:val="Default"/>
              <w:spacing w:after="60"/>
              <w:jc w:val="center"/>
              <w:rPr>
                <w:rFonts w:ascii="Times New Roman" w:hAnsi="Times New Roman" w:cs="Times New Roman"/>
                <w:sz w:val="22"/>
                <w:szCs w:val="22"/>
              </w:rPr>
            </w:pPr>
            <w:r w:rsidRPr="00DA4F3E">
              <w:rPr>
                <w:rFonts w:ascii="Times New Roman" w:hAnsi="Times New Roman" w:cs="Times New Roman"/>
                <w:sz w:val="22"/>
                <w:szCs w:val="22"/>
              </w:rPr>
              <w:t>BB+ to BB-</w:t>
            </w:r>
          </w:p>
        </w:tc>
        <w:tc>
          <w:tcPr>
            <w:tcW w:w="2798" w:type="dxa"/>
          </w:tcPr>
          <w:p w:rsidR="00791F4E" w:rsidRPr="00DA4F3E" w:rsidRDefault="00791F4E" w:rsidP="00791F4E">
            <w:pPr>
              <w:pStyle w:val="Default"/>
              <w:spacing w:after="60"/>
              <w:jc w:val="both"/>
              <w:rPr>
                <w:rFonts w:ascii="Times New Roman" w:hAnsi="Times New Roman" w:cs="Times New Roman"/>
                <w:sz w:val="22"/>
                <w:szCs w:val="22"/>
              </w:rPr>
            </w:pPr>
            <w:r w:rsidRPr="00DA4F3E">
              <w:rPr>
                <w:rFonts w:ascii="Times New Roman" w:hAnsi="Times New Roman" w:cs="Times New Roman"/>
                <w:sz w:val="22"/>
                <w:szCs w:val="22"/>
              </w:rPr>
              <w:t xml:space="preserve">All </w:t>
            </w:r>
          </w:p>
        </w:tc>
        <w:tc>
          <w:tcPr>
            <w:tcW w:w="1455" w:type="dxa"/>
            <w:shd w:val="clear" w:color="auto" w:fill="D0CECE" w:themeFill="background2" w:themeFillShade="E6"/>
          </w:tcPr>
          <w:p w:rsidR="00791F4E" w:rsidRPr="00DA4F3E" w:rsidRDefault="00791F4E" w:rsidP="00E232D0">
            <w:pPr>
              <w:pStyle w:val="Default"/>
              <w:spacing w:after="60"/>
              <w:jc w:val="center"/>
              <w:rPr>
                <w:rFonts w:ascii="Times New Roman" w:hAnsi="Times New Roman" w:cs="Times New Roman"/>
                <w:sz w:val="22"/>
                <w:szCs w:val="22"/>
              </w:rPr>
            </w:pPr>
            <w:r w:rsidRPr="00DA4F3E">
              <w:rPr>
                <w:rFonts w:ascii="Times New Roman" w:hAnsi="Times New Roman" w:cs="Times New Roman"/>
                <w:sz w:val="22"/>
                <w:szCs w:val="22"/>
              </w:rPr>
              <w:t>15%</w:t>
            </w:r>
          </w:p>
        </w:tc>
        <w:tc>
          <w:tcPr>
            <w:tcW w:w="1270" w:type="dxa"/>
            <w:shd w:val="clear" w:color="auto" w:fill="000000" w:themeFill="text1"/>
          </w:tcPr>
          <w:p w:rsidR="00791F4E" w:rsidRPr="00DA4F3E" w:rsidRDefault="00791F4E" w:rsidP="00791F4E">
            <w:pPr>
              <w:pStyle w:val="Default"/>
              <w:spacing w:after="60"/>
              <w:jc w:val="both"/>
              <w:rPr>
                <w:rFonts w:ascii="Times New Roman" w:hAnsi="Times New Roman" w:cs="Times New Roman"/>
                <w:sz w:val="22"/>
                <w:szCs w:val="22"/>
              </w:rPr>
            </w:pPr>
          </w:p>
        </w:tc>
      </w:tr>
      <w:tr w:rsidR="00846077" w:rsidRPr="00DA4F3E" w:rsidTr="00E232D0">
        <w:tc>
          <w:tcPr>
            <w:tcW w:w="5390" w:type="dxa"/>
            <w:gridSpan w:val="2"/>
          </w:tcPr>
          <w:p w:rsidR="00846077" w:rsidRPr="00DA4F3E" w:rsidRDefault="00846077" w:rsidP="00E232D0">
            <w:pPr>
              <w:pStyle w:val="Default"/>
              <w:numPr>
                <w:ilvl w:val="0"/>
                <w:numId w:val="3"/>
              </w:numPr>
              <w:ind w:left="249" w:hanging="270"/>
              <w:jc w:val="both"/>
              <w:rPr>
                <w:rFonts w:ascii="Times New Roman" w:hAnsi="Times New Roman" w:cs="Times New Roman"/>
                <w:sz w:val="22"/>
                <w:szCs w:val="22"/>
              </w:rPr>
            </w:pPr>
            <w:r w:rsidRPr="00DA4F3E">
              <w:rPr>
                <w:rFonts w:ascii="Times New Roman" w:hAnsi="Times New Roman" w:cs="Times New Roman"/>
                <w:sz w:val="22"/>
                <w:szCs w:val="22"/>
              </w:rPr>
              <w:t>Main index equities (including convertible bonds)</w:t>
            </w:r>
            <w:r w:rsidRPr="00DA4F3E">
              <w:rPr>
                <w:rFonts w:ascii="Times New Roman" w:hAnsi="Times New Roman" w:cs="Times New Roman"/>
                <w:color w:val="202124"/>
                <w:sz w:val="22"/>
                <w:szCs w:val="22"/>
                <w:lang w:val="en"/>
              </w:rPr>
              <w:t xml:space="preserve"> included in the main market index</w:t>
            </w:r>
            <w:r w:rsidRPr="00DA4F3E">
              <w:rPr>
                <w:rFonts w:ascii="Times New Roman" w:hAnsi="Times New Roman" w:cs="Times New Roman"/>
                <w:sz w:val="22"/>
                <w:szCs w:val="22"/>
              </w:rPr>
              <w:t>.</w:t>
            </w:r>
          </w:p>
          <w:p w:rsidR="00846077" w:rsidRPr="00DA4F3E" w:rsidRDefault="00846077" w:rsidP="00E232D0">
            <w:pPr>
              <w:pStyle w:val="Default"/>
              <w:numPr>
                <w:ilvl w:val="0"/>
                <w:numId w:val="3"/>
              </w:numPr>
              <w:ind w:left="249" w:hanging="270"/>
              <w:jc w:val="both"/>
              <w:rPr>
                <w:rFonts w:ascii="Times New Roman" w:hAnsi="Times New Roman" w:cs="Times New Roman"/>
                <w:sz w:val="22"/>
                <w:szCs w:val="22"/>
              </w:rPr>
            </w:pPr>
            <w:r w:rsidRPr="00DA4F3E">
              <w:rPr>
                <w:rFonts w:ascii="Times New Roman" w:hAnsi="Times New Roman" w:cs="Times New Roman"/>
                <w:sz w:val="22"/>
                <w:szCs w:val="22"/>
              </w:rPr>
              <w:t xml:space="preserve">Gold </w:t>
            </w:r>
          </w:p>
        </w:tc>
        <w:tc>
          <w:tcPr>
            <w:tcW w:w="2725" w:type="dxa"/>
            <w:gridSpan w:val="2"/>
            <w:shd w:val="clear" w:color="auto" w:fill="D0CECE" w:themeFill="background2" w:themeFillShade="E6"/>
          </w:tcPr>
          <w:p w:rsidR="00846077" w:rsidRPr="00DA4F3E" w:rsidRDefault="00846077" w:rsidP="00E232D0">
            <w:pPr>
              <w:pStyle w:val="ListParagraph"/>
              <w:bidi w:val="0"/>
              <w:spacing w:before="240" w:after="0" w:line="276" w:lineRule="auto"/>
              <w:ind w:left="0"/>
              <w:jc w:val="center"/>
              <w:rPr>
                <w:rFonts w:ascii="Times New Roman" w:hAnsi="Times New Roman" w:cs="Times New Roman"/>
                <w:b w:val="0"/>
                <w:bCs w:val="0"/>
                <w:color w:val="202124"/>
                <w:sz w:val="22"/>
                <w:szCs w:val="22"/>
                <w:lang w:val="en"/>
              </w:rPr>
            </w:pPr>
            <w:r w:rsidRPr="00DA4F3E">
              <w:rPr>
                <w:rFonts w:ascii="Times New Roman" w:hAnsi="Times New Roman" w:cs="Times New Roman"/>
                <w:b w:val="0"/>
                <w:bCs w:val="0"/>
                <w:color w:val="202124"/>
                <w:sz w:val="22"/>
                <w:szCs w:val="22"/>
                <w:lang w:val="en"/>
              </w:rPr>
              <w:t>15%</w:t>
            </w:r>
          </w:p>
        </w:tc>
      </w:tr>
      <w:tr w:rsidR="00846077" w:rsidRPr="00DA4F3E" w:rsidTr="00E232D0">
        <w:tc>
          <w:tcPr>
            <w:tcW w:w="5390" w:type="dxa"/>
            <w:gridSpan w:val="2"/>
          </w:tcPr>
          <w:p w:rsidR="00846077" w:rsidRPr="00A155CC" w:rsidRDefault="00846077" w:rsidP="00E232D0">
            <w:pPr>
              <w:pStyle w:val="Default"/>
              <w:jc w:val="both"/>
              <w:rPr>
                <w:rFonts w:ascii="Times New Roman" w:hAnsi="Times New Roman" w:cs="Times New Roman"/>
                <w:color w:val="202124"/>
                <w:sz w:val="22"/>
                <w:szCs w:val="22"/>
                <w:lang w:val="en"/>
              </w:rPr>
            </w:pPr>
            <w:r w:rsidRPr="00A155CC">
              <w:rPr>
                <w:rFonts w:ascii="Times New Roman" w:hAnsi="Times New Roman" w:cs="Times New Roman"/>
                <w:color w:val="202124"/>
                <w:sz w:val="22"/>
                <w:szCs w:val="22"/>
                <w:lang w:val="en"/>
              </w:rPr>
              <w:t>Main index equities (including convertible bonds)</w:t>
            </w:r>
            <w:r w:rsidRPr="00DA4F3E">
              <w:rPr>
                <w:rFonts w:ascii="Times New Roman" w:hAnsi="Times New Roman" w:cs="Times New Roman"/>
                <w:color w:val="202124"/>
                <w:sz w:val="22"/>
                <w:szCs w:val="22"/>
                <w:lang w:val="en"/>
              </w:rPr>
              <w:t xml:space="preserve"> not included in the main market index</w:t>
            </w:r>
            <w:r w:rsidRPr="00A155CC">
              <w:rPr>
                <w:rFonts w:ascii="Times New Roman" w:hAnsi="Times New Roman" w:cs="Times New Roman"/>
                <w:color w:val="202124"/>
                <w:sz w:val="22"/>
                <w:szCs w:val="22"/>
                <w:lang w:val="en"/>
              </w:rPr>
              <w:t xml:space="preserve">, but listed on a recognised </w:t>
            </w:r>
            <w:r w:rsidR="00A155CC" w:rsidRPr="00A155CC">
              <w:rPr>
                <w:rFonts w:ascii="Times New Roman" w:hAnsi="Times New Roman" w:cs="Times New Roman"/>
                <w:color w:val="202124"/>
                <w:sz w:val="22"/>
                <w:szCs w:val="22"/>
                <w:lang w:val="en"/>
              </w:rPr>
              <w:t>financial market</w:t>
            </w:r>
          </w:p>
        </w:tc>
        <w:tc>
          <w:tcPr>
            <w:tcW w:w="2725" w:type="dxa"/>
            <w:gridSpan w:val="2"/>
            <w:shd w:val="clear" w:color="auto" w:fill="D0CECE" w:themeFill="background2" w:themeFillShade="E6"/>
          </w:tcPr>
          <w:p w:rsidR="00846077" w:rsidRPr="00DA4F3E" w:rsidRDefault="00846077" w:rsidP="00E232D0">
            <w:pPr>
              <w:pStyle w:val="ListParagraph"/>
              <w:bidi w:val="0"/>
              <w:spacing w:before="240" w:after="0" w:line="276" w:lineRule="auto"/>
              <w:ind w:left="0"/>
              <w:jc w:val="center"/>
              <w:rPr>
                <w:rFonts w:ascii="Times New Roman" w:hAnsi="Times New Roman" w:cs="Times New Roman"/>
                <w:b w:val="0"/>
                <w:bCs w:val="0"/>
                <w:color w:val="202124"/>
                <w:sz w:val="22"/>
                <w:szCs w:val="22"/>
                <w:lang w:val="en"/>
              </w:rPr>
            </w:pPr>
            <w:r w:rsidRPr="00DA4F3E">
              <w:rPr>
                <w:rFonts w:ascii="Times New Roman" w:hAnsi="Times New Roman" w:cs="Times New Roman"/>
                <w:b w:val="0"/>
                <w:bCs w:val="0"/>
                <w:color w:val="202124"/>
                <w:sz w:val="22"/>
                <w:szCs w:val="22"/>
                <w:lang w:val="en"/>
              </w:rPr>
              <w:t>25%</w:t>
            </w:r>
          </w:p>
        </w:tc>
      </w:tr>
      <w:tr w:rsidR="00846077" w:rsidRPr="00DA4F3E" w:rsidTr="00E232D0">
        <w:tc>
          <w:tcPr>
            <w:tcW w:w="5390" w:type="dxa"/>
            <w:gridSpan w:val="2"/>
          </w:tcPr>
          <w:p w:rsidR="00846077" w:rsidRPr="00DA4F3E" w:rsidRDefault="00E232D0" w:rsidP="00E232D0">
            <w:pPr>
              <w:pStyle w:val="Default"/>
              <w:jc w:val="both"/>
              <w:rPr>
                <w:rFonts w:ascii="Times New Roman" w:hAnsi="Times New Roman" w:cs="Times New Roman"/>
                <w:sz w:val="22"/>
                <w:szCs w:val="22"/>
              </w:rPr>
            </w:pPr>
            <w:r w:rsidRPr="00DA4F3E">
              <w:rPr>
                <w:rFonts w:ascii="Times New Roman" w:hAnsi="Times New Roman" w:cs="Times New Roman"/>
                <w:sz w:val="22"/>
                <w:szCs w:val="22"/>
              </w:rPr>
              <w:t>T</w:t>
            </w:r>
            <w:r w:rsidR="00846077" w:rsidRPr="00DA4F3E">
              <w:rPr>
                <w:rFonts w:ascii="Times New Roman" w:hAnsi="Times New Roman" w:cs="Times New Roman"/>
                <w:sz w:val="22"/>
                <w:szCs w:val="22"/>
              </w:rPr>
              <w:t>ransactions in which the bank lends non-eligible instruments (non-investment grade corporate debt securities)</w:t>
            </w:r>
          </w:p>
        </w:tc>
        <w:tc>
          <w:tcPr>
            <w:tcW w:w="2725" w:type="dxa"/>
            <w:gridSpan w:val="2"/>
            <w:shd w:val="clear" w:color="auto" w:fill="D0CECE" w:themeFill="background2" w:themeFillShade="E6"/>
          </w:tcPr>
          <w:p w:rsidR="00846077" w:rsidRPr="00DA4F3E" w:rsidRDefault="00846077" w:rsidP="00E232D0">
            <w:pPr>
              <w:pStyle w:val="ListParagraph"/>
              <w:bidi w:val="0"/>
              <w:spacing w:before="240" w:after="0" w:line="276" w:lineRule="auto"/>
              <w:ind w:left="0"/>
              <w:jc w:val="center"/>
              <w:rPr>
                <w:rFonts w:ascii="Times New Roman" w:hAnsi="Times New Roman" w:cs="Times New Roman"/>
                <w:b w:val="0"/>
                <w:bCs w:val="0"/>
                <w:color w:val="202124"/>
                <w:sz w:val="22"/>
                <w:szCs w:val="22"/>
                <w:lang w:val="en"/>
              </w:rPr>
            </w:pPr>
            <w:r w:rsidRPr="00DA4F3E">
              <w:rPr>
                <w:rFonts w:ascii="Times New Roman" w:hAnsi="Times New Roman" w:cs="Times New Roman"/>
                <w:b w:val="0"/>
                <w:bCs w:val="0"/>
                <w:color w:val="202124"/>
                <w:sz w:val="22"/>
                <w:szCs w:val="22"/>
                <w:lang w:val="en"/>
              </w:rPr>
              <w:t>25%</w:t>
            </w:r>
          </w:p>
        </w:tc>
      </w:tr>
      <w:tr w:rsidR="00846077" w:rsidRPr="00DA4F3E" w:rsidTr="00E232D0">
        <w:tc>
          <w:tcPr>
            <w:tcW w:w="5390" w:type="dxa"/>
            <w:gridSpan w:val="2"/>
          </w:tcPr>
          <w:p w:rsidR="00846077" w:rsidRPr="00DA4F3E" w:rsidRDefault="00846077" w:rsidP="00846077">
            <w:pPr>
              <w:pStyle w:val="Default"/>
              <w:spacing w:after="60"/>
              <w:jc w:val="both"/>
              <w:rPr>
                <w:rFonts w:ascii="Times New Roman" w:hAnsi="Times New Roman" w:cs="Times New Roman"/>
                <w:sz w:val="22"/>
                <w:szCs w:val="22"/>
              </w:rPr>
            </w:pPr>
            <w:r w:rsidRPr="00DA4F3E">
              <w:rPr>
                <w:rFonts w:ascii="Times New Roman" w:hAnsi="Times New Roman" w:cs="Times New Roman"/>
                <w:sz w:val="22"/>
                <w:szCs w:val="22"/>
              </w:rPr>
              <w:t>Mutual funds</w:t>
            </w:r>
          </w:p>
        </w:tc>
        <w:tc>
          <w:tcPr>
            <w:tcW w:w="2725" w:type="dxa"/>
            <w:gridSpan w:val="2"/>
            <w:shd w:val="clear" w:color="auto" w:fill="D0CECE" w:themeFill="background2" w:themeFillShade="E6"/>
          </w:tcPr>
          <w:p w:rsidR="00846077" w:rsidRPr="00DA4F3E" w:rsidRDefault="00846077" w:rsidP="00E232D0">
            <w:pPr>
              <w:pStyle w:val="Default"/>
              <w:spacing w:after="60"/>
              <w:jc w:val="both"/>
              <w:rPr>
                <w:rFonts w:ascii="Times New Roman" w:hAnsi="Times New Roman" w:cs="Times New Roman"/>
                <w:sz w:val="22"/>
                <w:szCs w:val="22"/>
              </w:rPr>
            </w:pPr>
            <w:r w:rsidRPr="00DA4F3E">
              <w:rPr>
                <w:rFonts w:ascii="Times New Roman" w:hAnsi="Times New Roman" w:cs="Times New Roman"/>
                <w:sz w:val="22"/>
                <w:szCs w:val="22"/>
              </w:rPr>
              <w:t>Highest haircut applicable to any security in which the fund can invest</w:t>
            </w:r>
          </w:p>
        </w:tc>
      </w:tr>
      <w:tr w:rsidR="00846077" w:rsidRPr="00DA4F3E" w:rsidTr="00E232D0">
        <w:tc>
          <w:tcPr>
            <w:tcW w:w="5390" w:type="dxa"/>
            <w:gridSpan w:val="2"/>
          </w:tcPr>
          <w:p w:rsidR="00846077" w:rsidRPr="00DA4F3E" w:rsidRDefault="00870A8C" w:rsidP="00870A8C">
            <w:pPr>
              <w:pStyle w:val="Default"/>
              <w:spacing w:after="60"/>
              <w:jc w:val="both"/>
              <w:rPr>
                <w:rFonts w:ascii="Times New Roman" w:hAnsi="Times New Roman" w:cs="Times New Roman"/>
                <w:sz w:val="22"/>
                <w:szCs w:val="22"/>
              </w:rPr>
            </w:pPr>
            <w:r w:rsidRPr="00DA4F3E">
              <w:rPr>
                <w:rFonts w:ascii="Times New Roman" w:hAnsi="Times New Roman" w:cs="Times New Roman"/>
                <w:sz w:val="22"/>
                <w:szCs w:val="22"/>
              </w:rPr>
              <w:t xml:space="preserve">Eligible cash collateral  in the same currency </w:t>
            </w:r>
          </w:p>
        </w:tc>
        <w:tc>
          <w:tcPr>
            <w:tcW w:w="2725" w:type="dxa"/>
            <w:gridSpan w:val="2"/>
            <w:shd w:val="clear" w:color="auto" w:fill="D0CECE" w:themeFill="background2" w:themeFillShade="E6"/>
            <w:vAlign w:val="center"/>
          </w:tcPr>
          <w:p w:rsidR="00846077" w:rsidRPr="00DA4F3E" w:rsidRDefault="00870A8C" w:rsidP="00E232D0">
            <w:pPr>
              <w:pStyle w:val="Default"/>
              <w:spacing w:after="60"/>
              <w:jc w:val="center"/>
              <w:rPr>
                <w:rFonts w:ascii="Times New Roman" w:hAnsi="Times New Roman" w:cs="Times New Roman"/>
                <w:sz w:val="22"/>
                <w:szCs w:val="22"/>
              </w:rPr>
            </w:pPr>
            <w:r w:rsidRPr="00DA4F3E">
              <w:rPr>
                <w:rFonts w:ascii="Times New Roman" w:hAnsi="Times New Roman" w:cs="Times New Roman"/>
                <w:sz w:val="22"/>
                <w:szCs w:val="22"/>
              </w:rPr>
              <w:t>0%</w:t>
            </w:r>
          </w:p>
        </w:tc>
      </w:tr>
      <w:tr w:rsidR="00870A8C" w:rsidRPr="00DA4F3E" w:rsidTr="00E232D0">
        <w:tc>
          <w:tcPr>
            <w:tcW w:w="5390" w:type="dxa"/>
            <w:gridSpan w:val="2"/>
          </w:tcPr>
          <w:p w:rsidR="00870A8C" w:rsidRPr="00DA4F3E" w:rsidRDefault="00E232D0" w:rsidP="00870A8C">
            <w:pPr>
              <w:pStyle w:val="Default"/>
              <w:spacing w:after="60"/>
              <w:jc w:val="both"/>
              <w:rPr>
                <w:rFonts w:ascii="Times New Roman" w:hAnsi="Times New Roman" w:cs="Times New Roman"/>
                <w:sz w:val="22"/>
                <w:szCs w:val="22"/>
              </w:rPr>
            </w:pPr>
            <w:r w:rsidRPr="00DA4F3E">
              <w:rPr>
                <w:rFonts w:ascii="Times New Roman" w:hAnsi="Times New Roman" w:cs="Times New Roman"/>
                <w:sz w:val="22"/>
                <w:szCs w:val="22"/>
              </w:rPr>
              <w:t>C</w:t>
            </w:r>
            <w:r w:rsidR="00870A8C" w:rsidRPr="00DA4F3E">
              <w:rPr>
                <w:rFonts w:ascii="Times New Roman" w:hAnsi="Times New Roman" w:cs="Times New Roman"/>
                <w:sz w:val="22"/>
                <w:szCs w:val="22"/>
              </w:rPr>
              <w:t>urrency risk where exposure and collateral are denominated in different currencies</w:t>
            </w:r>
          </w:p>
        </w:tc>
        <w:tc>
          <w:tcPr>
            <w:tcW w:w="2725" w:type="dxa"/>
            <w:gridSpan w:val="2"/>
            <w:shd w:val="clear" w:color="auto" w:fill="D0CECE" w:themeFill="background2" w:themeFillShade="E6"/>
            <w:vAlign w:val="center"/>
          </w:tcPr>
          <w:p w:rsidR="00870A8C" w:rsidRPr="00DA4F3E" w:rsidRDefault="00870A8C" w:rsidP="00E232D0">
            <w:pPr>
              <w:pStyle w:val="Default"/>
              <w:spacing w:after="60"/>
              <w:jc w:val="center"/>
              <w:rPr>
                <w:rFonts w:ascii="Times New Roman" w:hAnsi="Times New Roman" w:cs="Times New Roman"/>
                <w:sz w:val="22"/>
                <w:szCs w:val="22"/>
              </w:rPr>
            </w:pPr>
            <w:r w:rsidRPr="00DA4F3E">
              <w:rPr>
                <w:rFonts w:ascii="Times New Roman" w:hAnsi="Times New Roman" w:cs="Times New Roman"/>
                <w:sz w:val="22"/>
                <w:szCs w:val="22"/>
              </w:rPr>
              <w:t>8%</w:t>
            </w:r>
          </w:p>
        </w:tc>
      </w:tr>
      <w:tr w:rsidR="00870A8C" w:rsidRPr="00DA4F3E" w:rsidTr="00E232D0">
        <w:tc>
          <w:tcPr>
            <w:tcW w:w="5390" w:type="dxa"/>
            <w:gridSpan w:val="2"/>
          </w:tcPr>
          <w:p w:rsidR="00870A8C" w:rsidRPr="00DA4F3E" w:rsidRDefault="00870A8C" w:rsidP="00870A8C">
            <w:pPr>
              <w:pStyle w:val="Default"/>
              <w:spacing w:after="60"/>
              <w:jc w:val="both"/>
              <w:rPr>
                <w:rFonts w:ascii="Times New Roman" w:hAnsi="Times New Roman" w:cs="Times New Roman"/>
                <w:sz w:val="22"/>
                <w:szCs w:val="22"/>
              </w:rPr>
            </w:pPr>
            <w:r w:rsidRPr="00DA4F3E">
              <w:rPr>
                <w:rFonts w:ascii="Times New Roman" w:hAnsi="Times New Roman" w:cs="Times New Roman"/>
                <w:color w:val="202124"/>
                <w:sz w:val="22"/>
                <w:szCs w:val="22"/>
                <w:lang w:val="en"/>
              </w:rPr>
              <w:t>Jordanian dinar</w:t>
            </w:r>
            <w:r w:rsidR="004101A4">
              <w:rPr>
                <w:rFonts w:ascii="Times New Roman" w:hAnsi="Times New Roman" w:cs="Times New Roman"/>
                <w:color w:val="202124"/>
                <w:sz w:val="22"/>
                <w:szCs w:val="22"/>
                <w:lang w:val="en"/>
              </w:rPr>
              <w:t>s</w:t>
            </w:r>
            <w:r w:rsidRPr="00DA4F3E">
              <w:rPr>
                <w:rFonts w:ascii="Times New Roman" w:hAnsi="Times New Roman" w:cs="Times New Roman"/>
                <w:color w:val="202124"/>
                <w:sz w:val="22"/>
                <w:szCs w:val="22"/>
                <w:lang w:val="en"/>
              </w:rPr>
              <w:t xml:space="preserve"> securities issued by the Jordanian government, the Central Bank of Jordan, and PSEs which </w:t>
            </w:r>
            <w:r w:rsidRPr="00DA4F3E">
              <w:rPr>
                <w:rFonts w:ascii="Times New Roman" w:hAnsi="Times New Roman" w:cs="Times New Roman"/>
                <w:sz w:val="22"/>
                <w:szCs w:val="22"/>
              </w:rPr>
              <w:t xml:space="preserve">are treated as sovereigns  </w:t>
            </w:r>
          </w:p>
        </w:tc>
        <w:tc>
          <w:tcPr>
            <w:tcW w:w="2725" w:type="dxa"/>
            <w:gridSpan w:val="2"/>
            <w:shd w:val="clear" w:color="auto" w:fill="D0CECE" w:themeFill="background2" w:themeFillShade="E6"/>
            <w:vAlign w:val="center"/>
          </w:tcPr>
          <w:p w:rsidR="00870A8C" w:rsidRPr="00DA4F3E" w:rsidRDefault="00870A8C" w:rsidP="00E232D0">
            <w:pPr>
              <w:pStyle w:val="Default"/>
              <w:spacing w:after="60"/>
              <w:jc w:val="center"/>
              <w:rPr>
                <w:rFonts w:ascii="Times New Roman" w:hAnsi="Times New Roman" w:cs="Times New Roman"/>
                <w:sz w:val="22"/>
                <w:szCs w:val="22"/>
              </w:rPr>
            </w:pPr>
            <w:r w:rsidRPr="00DA4F3E">
              <w:rPr>
                <w:rFonts w:ascii="Times New Roman" w:hAnsi="Times New Roman" w:cs="Times New Roman"/>
                <w:sz w:val="22"/>
                <w:szCs w:val="22"/>
              </w:rPr>
              <w:t>0%</w:t>
            </w:r>
          </w:p>
        </w:tc>
      </w:tr>
    </w:tbl>
    <w:p w:rsidR="00045CC8" w:rsidRDefault="00870A8C" w:rsidP="00E232D0">
      <w:pPr>
        <w:pStyle w:val="ListParagraph"/>
        <w:bidi w:val="0"/>
        <w:spacing w:after="0" w:line="276" w:lineRule="auto"/>
        <w:ind w:left="1276" w:hanging="283"/>
        <w:rPr>
          <w:rFonts w:ascii="Times New Roman" w:hAnsi="Times New Roman" w:cs="Times New Roman"/>
          <w:b w:val="0"/>
          <w:bCs w:val="0"/>
          <w:sz w:val="22"/>
          <w:szCs w:val="22"/>
        </w:rPr>
      </w:pPr>
      <w:r w:rsidRPr="00E232D0">
        <w:rPr>
          <w:rFonts w:ascii="Times New Roman" w:hAnsi="Times New Roman" w:cs="Times New Roman"/>
          <w:b w:val="0"/>
          <w:bCs w:val="0"/>
          <w:color w:val="202124"/>
          <w:sz w:val="22"/>
          <w:szCs w:val="22"/>
          <w:lang w:val="en"/>
        </w:rPr>
        <w:t xml:space="preserve">* </w:t>
      </w:r>
      <w:r w:rsidRPr="00F1087B">
        <w:rPr>
          <w:rFonts w:ascii="Times New Roman" w:hAnsi="Times New Roman" w:cs="Times New Roman"/>
          <w:b w:val="0"/>
          <w:bCs w:val="0"/>
          <w:sz w:val="20"/>
          <w:szCs w:val="20"/>
        </w:rPr>
        <w:t>Includes PSEs which are treated as sovereigns. Also, Multilateral development banks receiving a 0% risk weight will be treated as sovereigns</w:t>
      </w:r>
      <w:r w:rsidR="00E232D0" w:rsidRPr="00F1087B">
        <w:rPr>
          <w:rFonts w:ascii="Times New Roman" w:hAnsi="Times New Roman" w:cs="Times New Roman"/>
          <w:b w:val="0"/>
          <w:bCs w:val="0"/>
          <w:sz w:val="20"/>
          <w:szCs w:val="20"/>
        </w:rPr>
        <w:t>.</w:t>
      </w:r>
    </w:p>
    <w:p w:rsidR="00E232D0" w:rsidRPr="00F1087B" w:rsidRDefault="00E232D0" w:rsidP="00CB0E9A">
      <w:pPr>
        <w:pStyle w:val="ListParagraph"/>
        <w:bidi w:val="0"/>
        <w:spacing w:after="0" w:line="276" w:lineRule="auto"/>
        <w:ind w:left="1276" w:hanging="283"/>
        <w:rPr>
          <w:rFonts w:ascii="Times New Roman" w:hAnsi="Times New Roman" w:cs="Times New Roman"/>
          <w:b w:val="0"/>
          <w:bCs w:val="0"/>
          <w:sz w:val="12"/>
          <w:szCs w:val="12"/>
          <w:lang w:val="en"/>
        </w:rPr>
      </w:pPr>
    </w:p>
    <w:p w:rsidR="00045CC8" w:rsidRPr="00DA4F3E" w:rsidRDefault="00725653" w:rsidP="00CB0E9A">
      <w:pPr>
        <w:pStyle w:val="ListParagraph"/>
        <w:numPr>
          <w:ilvl w:val="1"/>
          <w:numId w:val="11"/>
        </w:numPr>
        <w:bidi w:val="0"/>
        <w:spacing w:before="240" w:after="240" w:line="276" w:lineRule="auto"/>
        <w:ind w:left="1276" w:hanging="567"/>
        <w:rPr>
          <w:rFonts w:ascii="Times New Roman" w:hAnsi="Times New Roman" w:cs="Times New Roman"/>
          <w:b w:val="0"/>
          <w:bCs w:val="0"/>
          <w:sz w:val="24"/>
          <w:szCs w:val="24"/>
        </w:rPr>
      </w:pPr>
      <w:r w:rsidRPr="00DA4F3E">
        <w:rPr>
          <w:rFonts w:ascii="Times New Roman" w:hAnsi="Times New Roman" w:cs="Times New Roman"/>
          <w:b w:val="0"/>
          <w:bCs w:val="0"/>
          <w:sz w:val="24"/>
          <w:szCs w:val="24"/>
          <w:lang w:val="en"/>
        </w:rPr>
        <w:t xml:space="preserve">The above percentages are </w:t>
      </w:r>
      <w:r w:rsidRPr="00DA4F3E">
        <w:rPr>
          <w:rFonts w:ascii="Times New Roman" w:hAnsi="Times New Roman" w:cs="Times New Roman"/>
          <w:b w:val="0"/>
          <w:bCs w:val="0"/>
          <w:sz w:val="24"/>
          <w:szCs w:val="24"/>
        </w:rPr>
        <w:t>based on a 10-business day holding period and daily mark-to-market.</w:t>
      </w:r>
    </w:p>
    <w:p w:rsidR="00725653" w:rsidRPr="00DA4F3E" w:rsidRDefault="00F9791A" w:rsidP="00CB0E9A">
      <w:pPr>
        <w:pStyle w:val="ListParagraph"/>
        <w:numPr>
          <w:ilvl w:val="0"/>
          <w:numId w:val="11"/>
        </w:numPr>
        <w:bidi w:val="0"/>
        <w:spacing w:before="240" w:after="240" w:line="276" w:lineRule="auto"/>
        <w:ind w:left="709" w:hanging="567"/>
        <w:rPr>
          <w:rFonts w:ascii="Times New Roman" w:hAnsi="Times New Roman" w:cs="Times New Roman"/>
          <w:b w:val="0"/>
          <w:bCs w:val="0"/>
          <w:sz w:val="24"/>
          <w:szCs w:val="24"/>
        </w:rPr>
      </w:pPr>
      <w:r w:rsidRPr="00DA4F3E">
        <w:rPr>
          <w:rFonts w:ascii="Times New Roman" w:hAnsi="Times New Roman" w:cs="Times New Roman"/>
          <w:b w:val="0"/>
          <w:bCs w:val="0"/>
          <w:sz w:val="24"/>
          <w:szCs w:val="24"/>
        </w:rPr>
        <w:t>Conditions for Zero Haircuts</w:t>
      </w:r>
      <w:r w:rsidR="005D35B6">
        <w:rPr>
          <w:rFonts w:ascii="Times New Roman" w:hAnsi="Times New Roman" w:cs="Times New Roman"/>
          <w:b w:val="0"/>
          <w:bCs w:val="0"/>
          <w:sz w:val="24"/>
          <w:szCs w:val="24"/>
        </w:rPr>
        <w:t>:</w:t>
      </w:r>
    </w:p>
    <w:p w:rsidR="00F9791A" w:rsidRPr="00DA4F3E" w:rsidRDefault="00F9791A" w:rsidP="00F1087B">
      <w:pPr>
        <w:pStyle w:val="ListParagraph"/>
        <w:numPr>
          <w:ilvl w:val="1"/>
          <w:numId w:val="11"/>
        </w:numPr>
        <w:bidi w:val="0"/>
        <w:spacing w:before="240" w:after="0" w:line="276" w:lineRule="auto"/>
        <w:ind w:left="1276" w:hanging="567"/>
        <w:rPr>
          <w:rFonts w:ascii="Times New Roman" w:hAnsi="Times New Roman" w:cs="Times New Roman"/>
          <w:b w:val="0"/>
          <w:bCs w:val="0"/>
          <w:sz w:val="24"/>
          <w:szCs w:val="24"/>
        </w:rPr>
      </w:pPr>
      <w:r w:rsidRPr="00DA4F3E">
        <w:rPr>
          <w:rFonts w:ascii="Times New Roman" w:hAnsi="Times New Roman" w:cs="Times New Roman"/>
          <w:b w:val="0"/>
          <w:bCs w:val="0"/>
          <w:sz w:val="24"/>
          <w:szCs w:val="24"/>
        </w:rPr>
        <w:t xml:space="preserve">For repo-style transactions where the following conditions are satisfied, and the counterparty is a core market participant, a haircut of zero is applied </w:t>
      </w:r>
      <w:r w:rsidR="00E469B4" w:rsidRPr="00DA4F3E">
        <w:rPr>
          <w:rFonts w:ascii="Times New Roman" w:hAnsi="Times New Roman" w:cs="Times New Roman"/>
          <w:b w:val="0"/>
          <w:bCs w:val="0"/>
          <w:sz w:val="24"/>
          <w:szCs w:val="24"/>
        </w:rPr>
        <w:t>instead</w:t>
      </w:r>
      <w:r w:rsidRPr="00DA4F3E">
        <w:rPr>
          <w:rFonts w:ascii="Times New Roman" w:hAnsi="Times New Roman" w:cs="Times New Roman"/>
          <w:b w:val="0"/>
          <w:bCs w:val="0"/>
          <w:sz w:val="24"/>
          <w:szCs w:val="24"/>
        </w:rPr>
        <w:t xml:space="preserve"> </w:t>
      </w:r>
      <w:r w:rsidR="00E469B4" w:rsidRPr="00DA4F3E">
        <w:rPr>
          <w:rFonts w:ascii="Times New Roman" w:hAnsi="Times New Roman" w:cs="Times New Roman"/>
          <w:b w:val="0"/>
          <w:bCs w:val="0"/>
          <w:sz w:val="24"/>
          <w:szCs w:val="24"/>
        </w:rPr>
        <w:t>of</w:t>
      </w:r>
      <w:r w:rsidRPr="00DA4F3E">
        <w:rPr>
          <w:rFonts w:ascii="Times New Roman" w:hAnsi="Times New Roman" w:cs="Times New Roman"/>
          <w:b w:val="0"/>
          <w:bCs w:val="0"/>
          <w:sz w:val="24"/>
          <w:szCs w:val="24"/>
        </w:rPr>
        <w:t xml:space="preserve"> the haircuts specifie</w:t>
      </w:r>
      <w:r w:rsidR="00965A4A" w:rsidRPr="00DA4F3E">
        <w:rPr>
          <w:rFonts w:ascii="Times New Roman" w:hAnsi="Times New Roman" w:cs="Times New Roman"/>
          <w:b w:val="0"/>
          <w:bCs w:val="0"/>
          <w:sz w:val="24"/>
          <w:szCs w:val="24"/>
        </w:rPr>
        <w:t>d in the comprehensive approach:</w:t>
      </w:r>
    </w:p>
    <w:p w:rsidR="00965A4A" w:rsidRPr="00DA4F3E" w:rsidRDefault="00965A4A" w:rsidP="00CB0E9A">
      <w:pPr>
        <w:pStyle w:val="Default"/>
        <w:numPr>
          <w:ilvl w:val="2"/>
          <w:numId w:val="11"/>
        </w:numPr>
        <w:spacing w:line="276" w:lineRule="auto"/>
        <w:ind w:left="2127" w:hanging="851"/>
        <w:jc w:val="both"/>
        <w:rPr>
          <w:rFonts w:ascii="Times New Roman" w:hAnsi="Times New Roman" w:cs="Times New Roman"/>
          <w:color w:val="auto"/>
        </w:rPr>
      </w:pPr>
      <w:r w:rsidRPr="00DA4F3E">
        <w:rPr>
          <w:rFonts w:ascii="Times New Roman" w:hAnsi="Times New Roman" w:cs="Times New Roman"/>
          <w:color w:val="auto"/>
        </w:rPr>
        <w:t>Both the exposure and the collateral are cash or a sovereign security or PSE security qualifying for a 0% risk weight in the standardised approach.</w:t>
      </w:r>
    </w:p>
    <w:p w:rsidR="00965A4A" w:rsidRPr="00DA4F3E" w:rsidRDefault="00965A4A" w:rsidP="00CB0E9A">
      <w:pPr>
        <w:pStyle w:val="Default"/>
        <w:numPr>
          <w:ilvl w:val="2"/>
          <w:numId w:val="11"/>
        </w:numPr>
        <w:spacing w:line="276" w:lineRule="auto"/>
        <w:ind w:left="2127" w:hanging="851"/>
        <w:jc w:val="both"/>
        <w:rPr>
          <w:rFonts w:ascii="Times New Roman" w:hAnsi="Times New Roman" w:cs="Times New Roman"/>
          <w:color w:val="auto"/>
        </w:rPr>
      </w:pPr>
      <w:r w:rsidRPr="00DA4F3E">
        <w:rPr>
          <w:rFonts w:ascii="Times New Roman" w:hAnsi="Times New Roman" w:cs="Times New Roman"/>
          <w:color w:val="auto"/>
        </w:rPr>
        <w:lastRenderedPageBreak/>
        <w:t>Both the exposure and the collateral are denominated in the same currency.</w:t>
      </w:r>
    </w:p>
    <w:p w:rsidR="00965A4A" w:rsidRPr="00DA4F3E" w:rsidRDefault="00965A4A" w:rsidP="00CB0E9A">
      <w:pPr>
        <w:pStyle w:val="Default"/>
        <w:numPr>
          <w:ilvl w:val="2"/>
          <w:numId w:val="11"/>
        </w:numPr>
        <w:spacing w:line="276" w:lineRule="auto"/>
        <w:ind w:left="2127" w:hanging="851"/>
        <w:jc w:val="both"/>
        <w:rPr>
          <w:rFonts w:ascii="Times New Roman" w:hAnsi="Times New Roman" w:cs="Times New Roman"/>
          <w:color w:val="auto"/>
        </w:rPr>
      </w:pPr>
      <w:r w:rsidRPr="00DA4F3E">
        <w:rPr>
          <w:rFonts w:ascii="Times New Roman" w:hAnsi="Times New Roman" w:cs="Times New Roman"/>
          <w:color w:val="auto"/>
        </w:rPr>
        <w:t>Either the transaction is overnight or both the exposure and the collateral are marked-to-market daily and are subject to daily remargining.</w:t>
      </w:r>
    </w:p>
    <w:p w:rsidR="00965A4A" w:rsidRPr="00DA4F3E" w:rsidRDefault="00965A4A" w:rsidP="005D35B6">
      <w:pPr>
        <w:pStyle w:val="Default"/>
        <w:numPr>
          <w:ilvl w:val="2"/>
          <w:numId w:val="11"/>
        </w:numPr>
        <w:spacing w:line="276" w:lineRule="auto"/>
        <w:ind w:left="2127" w:hanging="851"/>
        <w:jc w:val="both"/>
        <w:rPr>
          <w:rFonts w:ascii="Times New Roman" w:hAnsi="Times New Roman" w:cs="Times New Roman"/>
          <w:color w:val="auto"/>
        </w:rPr>
      </w:pPr>
      <w:r w:rsidRPr="00DA4F3E">
        <w:rPr>
          <w:rFonts w:ascii="Times New Roman" w:hAnsi="Times New Roman" w:cs="Times New Roman"/>
          <w:color w:val="auto"/>
        </w:rPr>
        <w:t>Following a counterparty’s failure to remargin, the time that is required between the last mark-to-market before the failure to remargin and the liquidation</w:t>
      </w:r>
      <w:r w:rsidR="005D35B6">
        <w:rPr>
          <w:rFonts w:ascii="Times New Roman" w:hAnsi="Times New Roman" w:cs="Times New Roman"/>
          <w:color w:val="auto"/>
        </w:rPr>
        <w:t xml:space="preserve"> </w:t>
      </w:r>
      <w:r w:rsidRPr="00DA4F3E">
        <w:rPr>
          <w:rFonts w:ascii="Times New Roman" w:hAnsi="Times New Roman" w:cs="Times New Roman"/>
          <w:color w:val="auto"/>
        </w:rPr>
        <w:t>of the collateral is considered to be no more than four business days.</w:t>
      </w:r>
    </w:p>
    <w:p w:rsidR="00965A4A" w:rsidRPr="00DA4F3E" w:rsidRDefault="00965A4A" w:rsidP="00CB0E9A">
      <w:pPr>
        <w:pStyle w:val="Default"/>
        <w:numPr>
          <w:ilvl w:val="2"/>
          <w:numId w:val="11"/>
        </w:numPr>
        <w:spacing w:line="276" w:lineRule="auto"/>
        <w:ind w:left="2127" w:hanging="851"/>
        <w:jc w:val="both"/>
        <w:rPr>
          <w:rFonts w:ascii="Times New Roman" w:hAnsi="Times New Roman" w:cs="Times New Roman"/>
          <w:color w:val="auto"/>
        </w:rPr>
      </w:pPr>
      <w:r w:rsidRPr="00DA4F3E">
        <w:rPr>
          <w:rFonts w:ascii="Times New Roman" w:hAnsi="Times New Roman" w:cs="Times New Roman"/>
          <w:color w:val="auto"/>
        </w:rPr>
        <w:t>The transaction is settled across a settlement system proven for that type of transaction.</w:t>
      </w:r>
    </w:p>
    <w:p w:rsidR="00965A4A" w:rsidRPr="00DA4F3E" w:rsidRDefault="00965A4A" w:rsidP="00CB0E9A">
      <w:pPr>
        <w:pStyle w:val="Default"/>
        <w:numPr>
          <w:ilvl w:val="2"/>
          <w:numId w:val="11"/>
        </w:numPr>
        <w:spacing w:line="276" w:lineRule="auto"/>
        <w:ind w:left="2127" w:hanging="851"/>
        <w:jc w:val="both"/>
        <w:rPr>
          <w:rFonts w:ascii="Times New Roman" w:hAnsi="Times New Roman" w:cs="Times New Roman"/>
          <w:color w:val="auto"/>
        </w:rPr>
      </w:pPr>
      <w:r w:rsidRPr="00DA4F3E">
        <w:rPr>
          <w:rFonts w:ascii="Times New Roman" w:hAnsi="Times New Roman" w:cs="Times New Roman"/>
          <w:color w:val="auto"/>
        </w:rPr>
        <w:t>The documentation covering the agreement is standard market documentation for repo-style transactions in the securities concerned.</w:t>
      </w:r>
    </w:p>
    <w:p w:rsidR="00965A4A" w:rsidRPr="00DA4F3E" w:rsidRDefault="00965A4A" w:rsidP="00CB0E9A">
      <w:pPr>
        <w:pStyle w:val="Default"/>
        <w:numPr>
          <w:ilvl w:val="2"/>
          <w:numId w:val="11"/>
        </w:numPr>
        <w:spacing w:line="276" w:lineRule="auto"/>
        <w:ind w:left="2127" w:hanging="851"/>
        <w:jc w:val="both"/>
        <w:rPr>
          <w:rFonts w:ascii="Times New Roman" w:hAnsi="Times New Roman" w:cs="Times New Roman"/>
          <w:color w:val="auto"/>
        </w:rPr>
      </w:pPr>
      <w:r w:rsidRPr="00DA4F3E">
        <w:rPr>
          <w:rFonts w:ascii="Times New Roman" w:hAnsi="Times New Roman" w:cs="Times New Roman"/>
          <w:color w:val="auto"/>
        </w:rPr>
        <w:t xml:space="preserve"> The transaction is governed by documentation specifying that if the counterparty fails to satisfy an obligation to deliver cash or securities or to deliver margin or otherwise defaults, then the transaction is immediately terminable.</w:t>
      </w:r>
    </w:p>
    <w:p w:rsidR="00F0728C" w:rsidRPr="00DA4F3E" w:rsidRDefault="00F0728C" w:rsidP="00CB0E9A">
      <w:pPr>
        <w:pStyle w:val="Default"/>
        <w:numPr>
          <w:ilvl w:val="2"/>
          <w:numId w:val="11"/>
        </w:numPr>
        <w:spacing w:line="276" w:lineRule="auto"/>
        <w:ind w:left="2127" w:hanging="851"/>
        <w:jc w:val="both"/>
        <w:rPr>
          <w:rFonts w:ascii="Times New Roman" w:hAnsi="Times New Roman" w:cs="Times New Roman"/>
          <w:color w:val="auto"/>
          <w:rtl/>
        </w:rPr>
      </w:pPr>
      <w:r w:rsidRPr="00DA4F3E">
        <w:rPr>
          <w:rFonts w:ascii="Times New Roman" w:hAnsi="Times New Roman" w:cs="Times New Roman"/>
          <w:color w:val="auto"/>
        </w:rPr>
        <w:t>Upon any default event, regardless of whether the counterparty is insolvent or bankrupt, the bank has the unfettered, legally enforceable right to immediately seize and liquidate the collateral for its benefit.</w:t>
      </w:r>
    </w:p>
    <w:p w:rsidR="00F0728C" w:rsidRPr="00DA4F3E" w:rsidRDefault="00F0728C" w:rsidP="00CB0E9A">
      <w:pPr>
        <w:pStyle w:val="ListParagraph"/>
        <w:numPr>
          <w:ilvl w:val="1"/>
          <w:numId w:val="11"/>
        </w:numPr>
        <w:bidi w:val="0"/>
        <w:spacing w:before="240" w:after="240" w:line="276" w:lineRule="auto"/>
        <w:ind w:left="1276" w:hanging="567"/>
        <w:rPr>
          <w:rFonts w:ascii="Times New Roman" w:hAnsi="Times New Roman" w:cs="Times New Roman"/>
          <w:b w:val="0"/>
          <w:bCs w:val="0"/>
          <w:sz w:val="24"/>
          <w:szCs w:val="24"/>
        </w:rPr>
      </w:pPr>
      <w:r w:rsidRPr="00DA4F3E">
        <w:rPr>
          <w:rFonts w:ascii="Times New Roman" w:hAnsi="Times New Roman" w:cs="Times New Roman"/>
          <w:b w:val="0"/>
          <w:bCs w:val="0"/>
          <w:sz w:val="24"/>
          <w:szCs w:val="24"/>
        </w:rPr>
        <w:t xml:space="preserve">Core </w:t>
      </w:r>
      <w:r w:rsidRPr="00DA4F3E">
        <w:rPr>
          <w:rFonts w:ascii="Times New Roman" w:eastAsiaTheme="minorHAnsi" w:hAnsi="Times New Roman" w:cs="Times New Roman"/>
          <w:b w:val="0"/>
          <w:bCs w:val="0"/>
          <w:sz w:val="24"/>
          <w:szCs w:val="24"/>
        </w:rPr>
        <w:t>ma</w:t>
      </w:r>
      <w:r w:rsidR="005D35B6">
        <w:rPr>
          <w:rFonts w:ascii="Times New Roman" w:eastAsiaTheme="minorHAnsi" w:hAnsi="Times New Roman" w:cs="Times New Roman"/>
          <w:b w:val="0"/>
          <w:bCs w:val="0"/>
          <w:sz w:val="24"/>
          <w:szCs w:val="24"/>
        </w:rPr>
        <w:t>rket participants may include (t</w:t>
      </w:r>
      <w:r w:rsidRPr="00DA4F3E">
        <w:rPr>
          <w:rFonts w:ascii="Times New Roman" w:eastAsiaTheme="minorHAnsi" w:hAnsi="Times New Roman" w:cs="Times New Roman"/>
          <w:b w:val="0"/>
          <w:bCs w:val="0"/>
          <w:sz w:val="24"/>
          <w:szCs w:val="24"/>
        </w:rPr>
        <w:t>he country in which the bank or branch operates), the following entities:</w:t>
      </w:r>
    </w:p>
    <w:p w:rsidR="00F0728C" w:rsidRPr="00DA4F3E" w:rsidRDefault="00F0728C" w:rsidP="00CB0E9A">
      <w:pPr>
        <w:pStyle w:val="ListParagraph"/>
        <w:numPr>
          <w:ilvl w:val="2"/>
          <w:numId w:val="11"/>
        </w:numPr>
        <w:bidi w:val="0"/>
        <w:spacing w:before="240" w:after="240" w:line="276" w:lineRule="auto"/>
        <w:ind w:left="2127" w:hanging="851"/>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Sovereigns, central banks and PSEs.</w:t>
      </w:r>
    </w:p>
    <w:p w:rsidR="00965A4A" w:rsidRPr="00DA4F3E" w:rsidRDefault="00DA3E84" w:rsidP="00CB0E9A">
      <w:pPr>
        <w:pStyle w:val="ListParagraph"/>
        <w:numPr>
          <w:ilvl w:val="2"/>
          <w:numId w:val="11"/>
        </w:numPr>
        <w:bidi w:val="0"/>
        <w:spacing w:before="240" w:after="240" w:line="276" w:lineRule="auto"/>
        <w:ind w:left="2127" w:hanging="851"/>
        <w:rPr>
          <w:rFonts w:ascii="Times New Roman" w:hAnsi="Times New Roman" w:cs="Times New Roman"/>
          <w:b w:val="0"/>
          <w:bCs w:val="0"/>
          <w:sz w:val="24"/>
          <w:szCs w:val="24"/>
        </w:rPr>
      </w:pPr>
      <w:r w:rsidRPr="00DA4F3E">
        <w:rPr>
          <w:rFonts w:ascii="Times New Roman" w:eastAsiaTheme="minorHAnsi" w:hAnsi="Times New Roman" w:cs="Times New Roman"/>
          <w:b w:val="0"/>
          <w:bCs w:val="0"/>
          <w:sz w:val="24"/>
          <w:szCs w:val="24"/>
        </w:rPr>
        <w:t>Banks and securities firms;</w:t>
      </w:r>
    </w:p>
    <w:p w:rsidR="00DA3E84" w:rsidRPr="00DA4F3E" w:rsidRDefault="00DA3E84" w:rsidP="00CB0E9A">
      <w:pPr>
        <w:pStyle w:val="ListParagraph"/>
        <w:numPr>
          <w:ilvl w:val="2"/>
          <w:numId w:val="11"/>
        </w:numPr>
        <w:bidi w:val="0"/>
        <w:spacing w:before="240" w:after="240" w:line="276" w:lineRule="auto"/>
        <w:ind w:left="2127" w:hanging="851"/>
        <w:rPr>
          <w:rFonts w:ascii="Times New Roman" w:hAnsi="Times New Roman" w:cs="Times New Roman"/>
          <w:b w:val="0"/>
          <w:bCs w:val="0"/>
          <w:sz w:val="24"/>
          <w:szCs w:val="24"/>
        </w:rPr>
      </w:pPr>
      <w:r w:rsidRPr="00DA4F3E">
        <w:rPr>
          <w:rFonts w:ascii="Times New Roman" w:hAnsi="Times New Roman" w:cs="Times New Roman"/>
          <w:b w:val="0"/>
          <w:bCs w:val="0"/>
          <w:sz w:val="24"/>
          <w:szCs w:val="24"/>
        </w:rPr>
        <w:t xml:space="preserve">Other </w:t>
      </w:r>
      <w:r w:rsidR="00CB640D" w:rsidRPr="00DA4F3E">
        <w:rPr>
          <w:rFonts w:ascii="Times New Roman" w:eastAsiaTheme="minorHAnsi" w:hAnsi="Times New Roman" w:cs="Times New Roman"/>
          <w:b w:val="0"/>
          <w:bCs w:val="0"/>
          <w:sz w:val="24"/>
          <w:szCs w:val="24"/>
        </w:rPr>
        <w:t>financial companies (including insurance companies) eligible for a 20% risk weight in the standardised approach.</w:t>
      </w:r>
    </w:p>
    <w:p w:rsidR="00CB640D" w:rsidRPr="00DA4F3E" w:rsidRDefault="00CB640D" w:rsidP="00CB0E9A">
      <w:pPr>
        <w:pStyle w:val="ListParagraph"/>
        <w:numPr>
          <w:ilvl w:val="2"/>
          <w:numId w:val="11"/>
        </w:numPr>
        <w:bidi w:val="0"/>
        <w:spacing w:before="240" w:after="240" w:line="276" w:lineRule="auto"/>
        <w:ind w:left="2127" w:hanging="851"/>
        <w:rPr>
          <w:rFonts w:ascii="Times New Roman" w:hAnsi="Times New Roman" w:cs="Times New Roman"/>
          <w:b w:val="0"/>
          <w:bCs w:val="0"/>
          <w:sz w:val="24"/>
          <w:szCs w:val="24"/>
        </w:rPr>
      </w:pPr>
      <w:r w:rsidRPr="00DA4F3E">
        <w:rPr>
          <w:rFonts w:ascii="Times New Roman" w:eastAsiaTheme="minorHAnsi" w:hAnsi="Times New Roman" w:cs="Times New Roman"/>
          <w:b w:val="0"/>
          <w:bCs w:val="0"/>
          <w:sz w:val="24"/>
          <w:szCs w:val="24"/>
        </w:rPr>
        <w:t>Regulated mutual funds that are subject to capital or leverage requirements.</w:t>
      </w:r>
    </w:p>
    <w:p w:rsidR="00CB640D" w:rsidRPr="00DA4F3E" w:rsidRDefault="00CB640D" w:rsidP="00CB0E9A">
      <w:pPr>
        <w:pStyle w:val="ListParagraph"/>
        <w:numPr>
          <w:ilvl w:val="2"/>
          <w:numId w:val="11"/>
        </w:numPr>
        <w:bidi w:val="0"/>
        <w:spacing w:before="240" w:after="240" w:line="276" w:lineRule="auto"/>
        <w:ind w:left="2127" w:hanging="851"/>
        <w:rPr>
          <w:rFonts w:ascii="Times New Roman" w:hAnsi="Times New Roman" w:cs="Times New Roman"/>
          <w:b w:val="0"/>
          <w:bCs w:val="0"/>
          <w:sz w:val="24"/>
          <w:szCs w:val="24"/>
        </w:rPr>
      </w:pPr>
      <w:r w:rsidRPr="00DA4F3E">
        <w:rPr>
          <w:rFonts w:ascii="Times New Roman" w:eastAsiaTheme="minorHAnsi" w:hAnsi="Times New Roman" w:cs="Times New Roman"/>
          <w:b w:val="0"/>
          <w:bCs w:val="0"/>
          <w:sz w:val="24"/>
          <w:szCs w:val="24"/>
        </w:rPr>
        <w:t>Regulated pension funds.</w:t>
      </w:r>
    </w:p>
    <w:p w:rsidR="00CB640D" w:rsidRPr="00DA4F3E" w:rsidRDefault="00CB640D" w:rsidP="00CB0E9A">
      <w:pPr>
        <w:pStyle w:val="ListParagraph"/>
        <w:numPr>
          <w:ilvl w:val="2"/>
          <w:numId w:val="11"/>
        </w:numPr>
        <w:bidi w:val="0"/>
        <w:spacing w:before="240" w:after="240" w:line="276" w:lineRule="auto"/>
        <w:ind w:left="2127" w:hanging="851"/>
        <w:rPr>
          <w:rFonts w:ascii="Times New Roman" w:hAnsi="Times New Roman" w:cs="Times New Roman"/>
          <w:b w:val="0"/>
          <w:bCs w:val="0"/>
          <w:sz w:val="24"/>
          <w:szCs w:val="24"/>
        </w:rPr>
      </w:pPr>
      <w:r w:rsidRPr="00DA4F3E">
        <w:rPr>
          <w:rFonts w:ascii="Times New Roman" w:eastAsiaTheme="minorHAnsi" w:hAnsi="Times New Roman" w:cs="Times New Roman"/>
          <w:b w:val="0"/>
          <w:bCs w:val="0"/>
          <w:sz w:val="24"/>
          <w:szCs w:val="24"/>
        </w:rPr>
        <w:t>Recognised clearing organizations.</w:t>
      </w:r>
    </w:p>
    <w:p w:rsidR="00CB640D" w:rsidRPr="00DA4F3E" w:rsidRDefault="00CB640D" w:rsidP="00CB0E9A">
      <w:pPr>
        <w:pStyle w:val="ListParagraph"/>
        <w:bidi w:val="0"/>
        <w:spacing w:before="240" w:after="240" w:line="276" w:lineRule="auto"/>
        <w:ind w:left="1855"/>
        <w:rPr>
          <w:rFonts w:ascii="Times New Roman" w:hAnsi="Times New Roman" w:cs="Times New Roman"/>
          <w:b w:val="0"/>
          <w:bCs w:val="0"/>
          <w:sz w:val="24"/>
          <w:szCs w:val="24"/>
        </w:rPr>
      </w:pPr>
      <w:r w:rsidRPr="00DA4F3E">
        <w:rPr>
          <w:rFonts w:ascii="Times New Roman" w:eastAsiaTheme="minorHAnsi" w:hAnsi="Times New Roman" w:cs="Times New Roman"/>
          <w:b w:val="0"/>
          <w:bCs w:val="0"/>
          <w:sz w:val="24"/>
          <w:szCs w:val="24"/>
        </w:rPr>
        <w:t xml:space="preserve"> </w:t>
      </w:r>
    </w:p>
    <w:p w:rsidR="00F9791A" w:rsidRPr="00DA4F3E" w:rsidRDefault="00CB640D" w:rsidP="00CB0E9A">
      <w:pPr>
        <w:pStyle w:val="ListParagraph"/>
        <w:numPr>
          <w:ilvl w:val="0"/>
          <w:numId w:val="11"/>
        </w:numPr>
        <w:bidi w:val="0"/>
        <w:spacing w:before="240" w:after="240" w:line="276" w:lineRule="auto"/>
        <w:ind w:left="709" w:hanging="567"/>
        <w:rPr>
          <w:rFonts w:ascii="Times New Roman" w:hAnsi="Times New Roman" w:cs="Times New Roman"/>
          <w:b w:val="0"/>
          <w:bCs w:val="0"/>
          <w:sz w:val="24"/>
          <w:szCs w:val="24"/>
        </w:rPr>
      </w:pPr>
      <w:r w:rsidRPr="00DA4F3E">
        <w:rPr>
          <w:rFonts w:ascii="Times New Roman" w:hAnsi="Times New Roman" w:cs="Times New Roman"/>
          <w:b w:val="0"/>
          <w:bCs w:val="0"/>
          <w:sz w:val="24"/>
          <w:szCs w:val="24"/>
        </w:rPr>
        <w:t>Treatment of repo-style transactions covered under master netting agreements</w:t>
      </w:r>
    </w:p>
    <w:p w:rsidR="00CB640D" w:rsidRPr="00DA4F3E" w:rsidRDefault="00E232B5" w:rsidP="00CB0E9A">
      <w:pPr>
        <w:pStyle w:val="ListParagraph"/>
        <w:numPr>
          <w:ilvl w:val="1"/>
          <w:numId w:val="11"/>
        </w:numPr>
        <w:autoSpaceDE w:val="0"/>
        <w:autoSpaceDN w:val="0"/>
        <w:bidi w:val="0"/>
        <w:adjustRightInd w:val="0"/>
        <w:spacing w:after="0" w:line="276" w:lineRule="auto"/>
        <w:ind w:left="1276" w:hanging="567"/>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The effects of bilateral netting agreements covering repo-style transactions will be recognised on a counterparty-by-counterparty basis if the agreements are legally enforceable in each relevant jurisdiction upon the occurrence of an event of default and regardless of whether the counterparty is insolvent or bankrupt. In addition, netting agreements must:</w:t>
      </w:r>
    </w:p>
    <w:p w:rsidR="00785D98" w:rsidRPr="00DA4F3E" w:rsidRDefault="00CB0E9A" w:rsidP="00CB0E9A">
      <w:pPr>
        <w:pStyle w:val="ListParagraph"/>
        <w:numPr>
          <w:ilvl w:val="2"/>
          <w:numId w:val="11"/>
        </w:numPr>
        <w:autoSpaceDE w:val="0"/>
        <w:autoSpaceDN w:val="0"/>
        <w:bidi w:val="0"/>
        <w:adjustRightInd w:val="0"/>
        <w:spacing w:after="0" w:line="276" w:lineRule="auto"/>
        <w:ind w:left="2127" w:hanging="851"/>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P</w:t>
      </w:r>
      <w:r w:rsidR="00785D98" w:rsidRPr="00DA4F3E">
        <w:rPr>
          <w:rFonts w:ascii="Times New Roman" w:eastAsiaTheme="minorHAnsi" w:hAnsi="Times New Roman" w:cs="Times New Roman"/>
          <w:b w:val="0"/>
          <w:bCs w:val="0"/>
          <w:sz w:val="24"/>
          <w:szCs w:val="24"/>
        </w:rPr>
        <w:t>rovide the non-defaulting party the right to terminate and</w:t>
      </w:r>
      <w:r w:rsidR="005D35B6">
        <w:rPr>
          <w:rFonts w:ascii="Times New Roman" w:eastAsiaTheme="minorHAnsi" w:hAnsi="Times New Roman" w:cs="Times New Roman"/>
          <w:b w:val="0"/>
          <w:bCs w:val="0"/>
          <w:sz w:val="24"/>
          <w:szCs w:val="24"/>
        </w:rPr>
        <w:t>/or</w:t>
      </w:r>
      <w:r w:rsidR="00785D98" w:rsidRPr="00DA4F3E">
        <w:rPr>
          <w:rFonts w:ascii="Times New Roman" w:eastAsiaTheme="minorHAnsi" w:hAnsi="Times New Roman" w:cs="Times New Roman"/>
          <w:b w:val="0"/>
          <w:bCs w:val="0"/>
          <w:sz w:val="24"/>
          <w:szCs w:val="24"/>
        </w:rPr>
        <w:t xml:space="preserve"> close-out in a timely manner all transactions under the agreement upon an event of default, including in the event of insolvency or bankruptcy of the counterparty.</w:t>
      </w:r>
    </w:p>
    <w:p w:rsidR="00785D98" w:rsidRPr="00DA4F3E" w:rsidRDefault="00CB0E9A" w:rsidP="00CB0E9A">
      <w:pPr>
        <w:pStyle w:val="ListParagraph"/>
        <w:numPr>
          <w:ilvl w:val="2"/>
          <w:numId w:val="11"/>
        </w:numPr>
        <w:autoSpaceDE w:val="0"/>
        <w:autoSpaceDN w:val="0"/>
        <w:bidi w:val="0"/>
        <w:adjustRightInd w:val="0"/>
        <w:spacing w:after="0" w:line="276" w:lineRule="auto"/>
        <w:ind w:left="2127" w:hanging="851"/>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lastRenderedPageBreak/>
        <w:t>P</w:t>
      </w:r>
      <w:r w:rsidR="00785D98" w:rsidRPr="00DA4F3E">
        <w:rPr>
          <w:rFonts w:ascii="Times New Roman" w:eastAsiaTheme="minorHAnsi" w:hAnsi="Times New Roman" w:cs="Times New Roman"/>
          <w:b w:val="0"/>
          <w:bCs w:val="0"/>
          <w:sz w:val="24"/>
          <w:szCs w:val="24"/>
        </w:rPr>
        <w:t>rovide for the netting of gains and losses on transactions (including the value of any collateral) terminated and closed out under it</w:t>
      </w:r>
      <w:r w:rsidR="005D35B6">
        <w:rPr>
          <w:rFonts w:ascii="Times New Roman" w:eastAsiaTheme="minorHAnsi" w:hAnsi="Times New Roman" w:cs="Times New Roman"/>
          <w:b w:val="0"/>
          <w:bCs w:val="0"/>
          <w:sz w:val="24"/>
          <w:szCs w:val="24"/>
        </w:rPr>
        <w:t>,</w:t>
      </w:r>
      <w:r w:rsidR="00785D98" w:rsidRPr="00DA4F3E">
        <w:rPr>
          <w:rFonts w:ascii="Times New Roman" w:eastAsiaTheme="minorHAnsi" w:hAnsi="Times New Roman" w:cs="Times New Roman"/>
          <w:b w:val="0"/>
          <w:bCs w:val="0"/>
          <w:sz w:val="24"/>
          <w:szCs w:val="24"/>
        </w:rPr>
        <w:t xml:space="preserve"> so that a single net amount is owed by one party to the other.</w:t>
      </w:r>
    </w:p>
    <w:p w:rsidR="00785D98" w:rsidRPr="00DA4F3E" w:rsidRDefault="00CB0E9A" w:rsidP="0084644E">
      <w:pPr>
        <w:pStyle w:val="ListParagraph"/>
        <w:numPr>
          <w:ilvl w:val="2"/>
          <w:numId w:val="11"/>
        </w:numPr>
        <w:autoSpaceDE w:val="0"/>
        <w:autoSpaceDN w:val="0"/>
        <w:bidi w:val="0"/>
        <w:adjustRightInd w:val="0"/>
        <w:spacing w:after="0" w:line="276" w:lineRule="auto"/>
        <w:ind w:left="2127" w:hanging="851"/>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A</w:t>
      </w:r>
      <w:r w:rsidR="00785D98" w:rsidRPr="00DA4F3E">
        <w:rPr>
          <w:rFonts w:ascii="Times New Roman" w:eastAsiaTheme="minorHAnsi" w:hAnsi="Times New Roman" w:cs="Times New Roman"/>
          <w:b w:val="0"/>
          <w:bCs w:val="0"/>
          <w:sz w:val="24"/>
          <w:szCs w:val="24"/>
        </w:rPr>
        <w:t xml:space="preserve">llow for the prompt liquidation </w:t>
      </w:r>
      <w:r w:rsidR="0084644E">
        <w:rPr>
          <w:rFonts w:ascii="Times New Roman" w:eastAsiaTheme="minorHAnsi" w:hAnsi="Times New Roman" w:cs="Times New Roman"/>
          <w:b w:val="0"/>
          <w:bCs w:val="0"/>
          <w:sz w:val="24"/>
          <w:szCs w:val="24"/>
        </w:rPr>
        <w:t>and/</w:t>
      </w:r>
      <w:r w:rsidR="00785D98" w:rsidRPr="00DA4F3E">
        <w:rPr>
          <w:rFonts w:ascii="Times New Roman" w:eastAsiaTheme="minorHAnsi" w:hAnsi="Times New Roman" w:cs="Times New Roman"/>
          <w:b w:val="0"/>
          <w:bCs w:val="0"/>
          <w:sz w:val="24"/>
          <w:szCs w:val="24"/>
        </w:rPr>
        <w:t xml:space="preserve">or </w:t>
      </w:r>
      <w:r w:rsidR="0084644E">
        <w:rPr>
          <w:rFonts w:ascii="Times New Roman" w:eastAsiaTheme="minorHAnsi" w:hAnsi="Times New Roman" w:cs="Times New Roman"/>
          <w:b w:val="0"/>
          <w:bCs w:val="0"/>
          <w:sz w:val="24"/>
          <w:szCs w:val="24"/>
        </w:rPr>
        <w:t>ownership</w:t>
      </w:r>
      <w:r w:rsidR="00785D98" w:rsidRPr="00DA4F3E">
        <w:rPr>
          <w:rFonts w:ascii="Times New Roman" w:eastAsiaTheme="minorHAnsi" w:hAnsi="Times New Roman" w:cs="Times New Roman"/>
          <w:b w:val="0"/>
          <w:bCs w:val="0"/>
          <w:sz w:val="24"/>
          <w:szCs w:val="24"/>
        </w:rPr>
        <w:t xml:space="preserve"> of collateral upon the event of default.</w:t>
      </w:r>
    </w:p>
    <w:p w:rsidR="00785D98" w:rsidRPr="00DA4F3E" w:rsidRDefault="00785D98" w:rsidP="00CB0E9A">
      <w:pPr>
        <w:pStyle w:val="ListParagraph"/>
        <w:numPr>
          <w:ilvl w:val="1"/>
          <w:numId w:val="11"/>
        </w:numPr>
        <w:autoSpaceDE w:val="0"/>
        <w:autoSpaceDN w:val="0"/>
        <w:bidi w:val="0"/>
        <w:adjustRightInd w:val="0"/>
        <w:spacing w:after="0" w:line="276" w:lineRule="auto"/>
        <w:ind w:left="1276" w:hanging="567"/>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Netting across positions in the banking and trading book will only be recognised when the netted transactions fulfil the following conditions:</w:t>
      </w:r>
    </w:p>
    <w:p w:rsidR="00785D98" w:rsidRPr="00DA4F3E" w:rsidRDefault="00785D98" w:rsidP="00CB0E9A">
      <w:pPr>
        <w:pStyle w:val="ListParagraph"/>
        <w:numPr>
          <w:ilvl w:val="2"/>
          <w:numId w:val="11"/>
        </w:numPr>
        <w:autoSpaceDE w:val="0"/>
        <w:autoSpaceDN w:val="0"/>
        <w:bidi w:val="0"/>
        <w:adjustRightInd w:val="0"/>
        <w:spacing w:after="0" w:line="276" w:lineRule="auto"/>
        <w:ind w:left="2127" w:hanging="851"/>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All transactions are marked to market daily.</w:t>
      </w:r>
    </w:p>
    <w:p w:rsidR="00785D98" w:rsidRPr="00DA4F3E" w:rsidRDefault="00785D98" w:rsidP="00CB0E9A">
      <w:pPr>
        <w:pStyle w:val="ListParagraph"/>
        <w:numPr>
          <w:ilvl w:val="2"/>
          <w:numId w:val="11"/>
        </w:numPr>
        <w:autoSpaceDE w:val="0"/>
        <w:autoSpaceDN w:val="0"/>
        <w:bidi w:val="0"/>
        <w:adjustRightInd w:val="0"/>
        <w:spacing w:after="0" w:line="276" w:lineRule="auto"/>
        <w:ind w:left="2127" w:hanging="851"/>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The collateral instruments used in the transactions are recognised as eligible financial collateral in the banking book.</w:t>
      </w:r>
    </w:p>
    <w:p w:rsidR="00785D98" w:rsidRPr="00DA4F3E" w:rsidRDefault="00785D98" w:rsidP="00CB0E9A">
      <w:pPr>
        <w:pStyle w:val="ListParagraph"/>
        <w:numPr>
          <w:ilvl w:val="1"/>
          <w:numId w:val="11"/>
        </w:numPr>
        <w:autoSpaceDE w:val="0"/>
        <w:autoSpaceDN w:val="0"/>
        <w:bidi w:val="0"/>
        <w:adjustRightInd w:val="0"/>
        <w:spacing w:after="0" w:line="276" w:lineRule="auto"/>
        <w:ind w:left="1276" w:hanging="567"/>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 xml:space="preserve">The formula in paragraph </w:t>
      </w:r>
      <w:r w:rsidR="004846B0">
        <w:rPr>
          <w:rFonts w:ascii="Times New Roman" w:eastAsiaTheme="minorHAnsi" w:hAnsi="Times New Roman" w:cs="Times New Roman"/>
          <w:b w:val="0"/>
          <w:bCs w:val="0"/>
          <w:sz w:val="24"/>
          <w:szCs w:val="24"/>
        </w:rPr>
        <w:t>(</w:t>
      </w:r>
      <w:r w:rsidRPr="00DA4F3E">
        <w:rPr>
          <w:rFonts w:ascii="Times New Roman" w:eastAsiaTheme="minorHAnsi" w:hAnsi="Times New Roman" w:cs="Times New Roman"/>
          <w:b w:val="0"/>
          <w:bCs w:val="0"/>
          <w:sz w:val="24"/>
          <w:szCs w:val="24"/>
        </w:rPr>
        <w:t>10</w:t>
      </w:r>
      <w:r w:rsidR="004846B0">
        <w:rPr>
          <w:rFonts w:ascii="Times New Roman" w:eastAsiaTheme="minorHAnsi" w:hAnsi="Times New Roman" w:cs="Times New Roman"/>
          <w:b w:val="0"/>
          <w:bCs w:val="0"/>
          <w:sz w:val="24"/>
          <w:szCs w:val="24"/>
        </w:rPr>
        <w:t>)</w:t>
      </w:r>
      <w:r w:rsidRPr="00DA4F3E">
        <w:rPr>
          <w:rFonts w:ascii="Times New Roman" w:eastAsiaTheme="minorHAnsi" w:hAnsi="Times New Roman" w:cs="Times New Roman"/>
          <w:b w:val="0"/>
          <w:bCs w:val="0"/>
          <w:sz w:val="24"/>
          <w:szCs w:val="24"/>
        </w:rPr>
        <w:t xml:space="preserve"> will be adapted to calculate the capital requirements for transactions with netting agreements.</w:t>
      </w:r>
    </w:p>
    <w:p w:rsidR="00785D98" w:rsidRPr="00DA4F3E" w:rsidRDefault="00785D98" w:rsidP="00CB0E9A">
      <w:pPr>
        <w:pStyle w:val="ListParagraph"/>
        <w:numPr>
          <w:ilvl w:val="1"/>
          <w:numId w:val="11"/>
        </w:numPr>
        <w:autoSpaceDE w:val="0"/>
        <w:autoSpaceDN w:val="0"/>
        <w:bidi w:val="0"/>
        <w:adjustRightInd w:val="0"/>
        <w:spacing w:after="0" w:line="276" w:lineRule="auto"/>
        <w:ind w:left="1276" w:hanging="567"/>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The framework below will apply to take into account the impact of master netting agreements:</w:t>
      </w:r>
    </w:p>
    <w:tbl>
      <w:tblPr>
        <w:tblStyle w:val="TableGrid"/>
        <w:tblpPr w:leftFromText="180" w:rightFromText="180" w:vertAnchor="text" w:horzAnchor="page" w:tblpX="3220" w:tblpY="121"/>
        <w:bidiVisual/>
        <w:tblW w:w="0" w:type="auto"/>
        <w:tblLook w:val="04A0" w:firstRow="1" w:lastRow="0" w:firstColumn="1" w:lastColumn="0" w:noHBand="0" w:noVBand="1"/>
      </w:tblPr>
      <w:tblGrid>
        <w:gridCol w:w="6299"/>
      </w:tblGrid>
      <w:tr w:rsidR="00CB0E9A" w:rsidRPr="00CB0E9A" w:rsidTr="00785D98">
        <w:tc>
          <w:tcPr>
            <w:tcW w:w="0" w:type="auto"/>
          </w:tcPr>
          <w:p w:rsidR="00785D98" w:rsidRPr="00CB0E9A" w:rsidRDefault="00785D98" w:rsidP="00CB0E9A">
            <w:pPr>
              <w:spacing w:line="276" w:lineRule="auto"/>
              <w:rPr>
                <w:rFonts w:ascii="Times New Roman" w:hAnsi="Times New Roman" w:cs="Times New Roman"/>
                <w:b w:val="0"/>
                <w:bCs w:val="0"/>
                <w:rtl/>
                <w:lang w:bidi="ar-JO"/>
              </w:rPr>
            </w:pPr>
            <w:bookmarkStart w:id="44" w:name="_Toc414888285"/>
            <w:bookmarkStart w:id="45" w:name="_Toc451176473"/>
            <w:bookmarkStart w:id="46" w:name="_Toc451180454"/>
            <w:r w:rsidRPr="00CB0E9A">
              <w:rPr>
                <w:rFonts w:ascii="Times New Roman" w:hAnsi="Times New Roman" w:cs="Times New Roman"/>
                <w:b w:val="0"/>
                <w:bCs w:val="0"/>
                <w:lang w:val="pt-BR"/>
              </w:rPr>
              <w:t>E</w:t>
            </w:r>
            <w:r w:rsidRPr="00CB0E9A">
              <w:rPr>
                <w:rFonts w:ascii="Times New Roman" w:hAnsi="Times New Roman" w:cs="Times New Roman"/>
                <w:b w:val="0"/>
                <w:bCs w:val="0"/>
                <w:vertAlign w:val="superscript"/>
                <w:lang w:val="pt-BR"/>
              </w:rPr>
              <w:t>*</w:t>
            </w:r>
            <w:r w:rsidRPr="00CB0E9A">
              <w:rPr>
                <w:rFonts w:ascii="Times New Roman" w:hAnsi="Times New Roman" w:cs="Times New Roman"/>
                <w:b w:val="0"/>
                <w:bCs w:val="0"/>
                <w:lang w:val="pt-BR"/>
              </w:rPr>
              <w:t>=</w:t>
            </w:r>
            <w:proofErr w:type="spellStart"/>
            <w:r w:rsidRPr="00CB0E9A">
              <w:rPr>
                <w:rFonts w:ascii="Times New Roman" w:hAnsi="Times New Roman" w:cs="Times New Roman"/>
                <w:b w:val="0"/>
                <w:bCs w:val="0"/>
                <w:lang w:val="pt-BR"/>
              </w:rPr>
              <w:t>max</w:t>
            </w:r>
            <w:proofErr w:type="spellEnd"/>
            <w:r w:rsidRPr="00CB0E9A">
              <w:rPr>
                <w:rFonts w:ascii="Times New Roman" w:hAnsi="Times New Roman" w:cs="Times New Roman"/>
                <w:b w:val="0"/>
                <w:bCs w:val="0"/>
                <w:lang w:val="pt-BR"/>
              </w:rPr>
              <w:t xml:space="preserve"> {0, [(</w:t>
            </w:r>
            <w:r w:rsidRPr="00CB0E9A">
              <w:rPr>
                <w:rFonts w:ascii="Times New Roman" w:hAnsi="Times New Roman" w:cs="Times New Roman"/>
                <w:b w:val="0"/>
                <w:bCs w:val="0"/>
              </w:rPr>
              <w:sym w:font="Symbol" w:char="F053"/>
            </w:r>
            <w:r w:rsidRPr="00CB0E9A">
              <w:rPr>
                <w:rFonts w:ascii="Times New Roman" w:hAnsi="Times New Roman" w:cs="Times New Roman"/>
                <w:b w:val="0"/>
                <w:bCs w:val="0"/>
                <w:lang w:val="pt-BR"/>
              </w:rPr>
              <w:t xml:space="preserve">(E) - </w:t>
            </w:r>
            <w:r w:rsidRPr="00CB0E9A">
              <w:rPr>
                <w:rFonts w:ascii="Times New Roman" w:hAnsi="Times New Roman" w:cs="Times New Roman"/>
                <w:b w:val="0"/>
                <w:bCs w:val="0"/>
              </w:rPr>
              <w:sym w:font="Symbol" w:char="F053"/>
            </w:r>
            <w:r w:rsidRPr="00CB0E9A">
              <w:rPr>
                <w:rFonts w:ascii="Times New Roman" w:hAnsi="Times New Roman" w:cs="Times New Roman"/>
                <w:b w:val="0"/>
                <w:bCs w:val="0"/>
                <w:lang w:val="pt-BR"/>
              </w:rPr>
              <w:t xml:space="preserve"> (C)) + </w:t>
            </w:r>
            <w:r w:rsidRPr="00CB0E9A">
              <w:rPr>
                <w:rFonts w:ascii="Times New Roman" w:hAnsi="Times New Roman" w:cs="Times New Roman"/>
                <w:b w:val="0"/>
                <w:bCs w:val="0"/>
              </w:rPr>
              <w:sym w:font="Symbol" w:char="F053"/>
            </w:r>
            <w:r w:rsidRPr="00CB0E9A">
              <w:rPr>
                <w:rFonts w:ascii="Times New Roman" w:hAnsi="Times New Roman" w:cs="Times New Roman"/>
                <w:b w:val="0"/>
                <w:bCs w:val="0"/>
                <w:lang w:val="pt-BR"/>
              </w:rPr>
              <w:t xml:space="preserve">(Es * </w:t>
            </w:r>
            <w:proofErr w:type="spellStart"/>
            <w:r w:rsidRPr="00CB0E9A">
              <w:rPr>
                <w:rFonts w:ascii="Times New Roman" w:hAnsi="Times New Roman" w:cs="Times New Roman"/>
                <w:b w:val="0"/>
                <w:bCs w:val="0"/>
                <w:lang w:val="pt-BR"/>
              </w:rPr>
              <w:t>Hs</w:t>
            </w:r>
            <w:proofErr w:type="spellEnd"/>
            <w:r w:rsidRPr="00CB0E9A">
              <w:rPr>
                <w:rFonts w:ascii="Times New Roman" w:hAnsi="Times New Roman" w:cs="Times New Roman"/>
                <w:b w:val="0"/>
                <w:bCs w:val="0"/>
                <w:lang w:val="pt-BR"/>
              </w:rPr>
              <w:t xml:space="preserve">) + </w:t>
            </w:r>
            <w:r w:rsidRPr="00CB0E9A">
              <w:rPr>
                <w:rFonts w:ascii="Times New Roman" w:hAnsi="Times New Roman" w:cs="Times New Roman"/>
                <w:b w:val="0"/>
                <w:bCs w:val="0"/>
              </w:rPr>
              <w:sym w:font="Symbol" w:char="F053"/>
            </w:r>
            <w:r w:rsidRPr="00CB0E9A">
              <w:rPr>
                <w:rFonts w:ascii="Times New Roman" w:hAnsi="Times New Roman" w:cs="Times New Roman"/>
                <w:b w:val="0"/>
                <w:bCs w:val="0"/>
                <w:lang w:val="pt-BR"/>
              </w:rPr>
              <w:t>(</w:t>
            </w:r>
            <w:proofErr w:type="spellStart"/>
            <w:r w:rsidRPr="00CB0E9A">
              <w:rPr>
                <w:rFonts w:ascii="Times New Roman" w:hAnsi="Times New Roman" w:cs="Times New Roman"/>
                <w:b w:val="0"/>
                <w:bCs w:val="0"/>
                <w:lang w:val="pt-BR"/>
              </w:rPr>
              <w:t>Efx</w:t>
            </w:r>
            <w:proofErr w:type="spellEnd"/>
            <w:r w:rsidRPr="00CB0E9A">
              <w:rPr>
                <w:rFonts w:ascii="Times New Roman" w:hAnsi="Times New Roman" w:cs="Times New Roman"/>
                <w:b w:val="0"/>
                <w:bCs w:val="0"/>
                <w:lang w:val="pt-BR"/>
              </w:rPr>
              <w:t xml:space="preserve"> * </w:t>
            </w:r>
            <w:proofErr w:type="spellStart"/>
            <w:r w:rsidRPr="00CB0E9A">
              <w:rPr>
                <w:rFonts w:ascii="Times New Roman" w:hAnsi="Times New Roman" w:cs="Times New Roman"/>
                <w:b w:val="0"/>
                <w:bCs w:val="0"/>
                <w:lang w:val="pt-BR"/>
              </w:rPr>
              <w:t>Hfx</w:t>
            </w:r>
            <w:proofErr w:type="spellEnd"/>
            <w:r w:rsidRPr="00CB0E9A">
              <w:rPr>
                <w:rFonts w:ascii="Times New Roman" w:hAnsi="Times New Roman" w:cs="Times New Roman"/>
                <w:b w:val="0"/>
                <w:bCs w:val="0"/>
                <w:lang w:val="pt-BR"/>
              </w:rPr>
              <w:t>)]}</w:t>
            </w:r>
            <w:bookmarkEnd w:id="44"/>
            <w:bookmarkEnd w:id="45"/>
            <w:bookmarkEnd w:id="46"/>
          </w:p>
        </w:tc>
      </w:tr>
    </w:tbl>
    <w:p w:rsidR="00785D98" w:rsidRPr="00CB0E9A" w:rsidRDefault="00785D98" w:rsidP="00CB0E9A">
      <w:pPr>
        <w:pStyle w:val="ListParagraph"/>
        <w:autoSpaceDE w:val="0"/>
        <w:autoSpaceDN w:val="0"/>
        <w:bidi w:val="0"/>
        <w:adjustRightInd w:val="0"/>
        <w:spacing w:after="0" w:line="276" w:lineRule="auto"/>
        <w:ind w:left="1440"/>
        <w:rPr>
          <w:rFonts w:ascii="Times New Roman" w:eastAsiaTheme="minorHAnsi" w:hAnsi="Times New Roman" w:cs="Times New Roman"/>
          <w:b w:val="0"/>
          <w:bCs w:val="0"/>
        </w:rPr>
      </w:pPr>
    </w:p>
    <w:p w:rsidR="00785D98" w:rsidRPr="00CB0E9A" w:rsidRDefault="00785D98" w:rsidP="00CB0E9A">
      <w:pPr>
        <w:pStyle w:val="ListParagraph"/>
        <w:autoSpaceDE w:val="0"/>
        <w:autoSpaceDN w:val="0"/>
        <w:bidi w:val="0"/>
        <w:adjustRightInd w:val="0"/>
        <w:spacing w:after="0" w:line="276" w:lineRule="auto"/>
        <w:ind w:left="1440"/>
        <w:rPr>
          <w:rFonts w:ascii="Times New Roman" w:eastAsiaTheme="minorHAnsi" w:hAnsi="Times New Roman" w:cs="Times New Roman"/>
          <w:b w:val="0"/>
          <w:bCs w:val="0"/>
        </w:rPr>
      </w:pPr>
    </w:p>
    <w:p w:rsidR="00785D98" w:rsidRPr="00092425" w:rsidRDefault="00785D98" w:rsidP="00CB0E9A">
      <w:pPr>
        <w:pStyle w:val="ListParagraph"/>
        <w:autoSpaceDE w:val="0"/>
        <w:autoSpaceDN w:val="0"/>
        <w:bidi w:val="0"/>
        <w:adjustRightInd w:val="0"/>
        <w:spacing w:after="0" w:line="276" w:lineRule="auto"/>
        <w:ind w:left="1440"/>
        <w:rPr>
          <w:rFonts w:ascii="Times New Roman" w:eastAsiaTheme="minorHAnsi" w:hAnsi="Times New Roman" w:cs="Times New Roman"/>
          <w:b w:val="0"/>
          <w:bCs w:val="0"/>
          <w:sz w:val="2"/>
          <w:szCs w:val="2"/>
        </w:rPr>
      </w:pPr>
    </w:p>
    <w:p w:rsidR="00785D98" w:rsidRDefault="00785D98" w:rsidP="00CB0E9A">
      <w:pPr>
        <w:autoSpaceDE w:val="0"/>
        <w:autoSpaceDN w:val="0"/>
        <w:bidi w:val="0"/>
        <w:adjustRightInd w:val="0"/>
        <w:spacing w:after="0" w:line="276" w:lineRule="auto"/>
        <w:ind w:left="2250" w:hanging="540"/>
        <w:rPr>
          <w:rFonts w:ascii="Times New Roman" w:eastAsiaTheme="minorHAnsi" w:hAnsi="Times New Roman" w:cs="Times New Roman"/>
          <w:b w:val="0"/>
          <w:bCs w:val="0"/>
        </w:rPr>
      </w:pPr>
      <w:r w:rsidRPr="00CB0E9A">
        <w:rPr>
          <w:rFonts w:ascii="Times New Roman" w:eastAsiaTheme="minorHAnsi" w:hAnsi="Times New Roman" w:cs="Times New Roman"/>
          <w:b w:val="0"/>
          <w:bCs w:val="0"/>
        </w:rPr>
        <w:t>where:</w:t>
      </w:r>
    </w:p>
    <w:tbl>
      <w:tblPr>
        <w:tblStyle w:val="TableGrid"/>
        <w:tblW w:w="0" w:type="auto"/>
        <w:tblInd w:w="1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89"/>
        <w:gridCol w:w="5386"/>
      </w:tblGrid>
      <w:tr w:rsidR="00CB0E9A" w:rsidTr="00092425">
        <w:tc>
          <w:tcPr>
            <w:tcW w:w="709" w:type="dxa"/>
          </w:tcPr>
          <w:p w:rsidR="00CB0E9A" w:rsidRPr="00092425" w:rsidRDefault="00092425" w:rsidP="00CB0E9A">
            <w:pPr>
              <w:autoSpaceDE w:val="0"/>
              <w:autoSpaceDN w:val="0"/>
              <w:bidi w:val="0"/>
              <w:adjustRightInd w:val="0"/>
              <w:spacing w:after="0" w:line="276" w:lineRule="auto"/>
              <w:rPr>
                <w:rFonts w:ascii="Times New Roman" w:eastAsiaTheme="minorHAnsi" w:hAnsi="Times New Roman" w:cs="Times New Roman"/>
                <w:b w:val="0"/>
                <w:bCs w:val="0"/>
                <w:sz w:val="24"/>
                <w:szCs w:val="24"/>
              </w:rPr>
            </w:pPr>
            <w:r w:rsidRPr="00092425">
              <w:rPr>
                <w:rFonts w:ascii="Times New Roman" w:eastAsiaTheme="minorHAnsi" w:hAnsi="Times New Roman" w:cs="Times New Roman"/>
                <w:b w:val="0"/>
                <w:bCs w:val="0"/>
                <w:sz w:val="24"/>
                <w:szCs w:val="24"/>
              </w:rPr>
              <w:t>E*</w:t>
            </w:r>
          </w:p>
        </w:tc>
        <w:tc>
          <w:tcPr>
            <w:tcW w:w="284" w:type="dxa"/>
          </w:tcPr>
          <w:p w:rsidR="00CB0E9A" w:rsidRDefault="00092425" w:rsidP="00CB0E9A">
            <w:pPr>
              <w:autoSpaceDE w:val="0"/>
              <w:autoSpaceDN w:val="0"/>
              <w:bidi w:val="0"/>
              <w:adjustRightInd w:val="0"/>
              <w:spacing w:after="0" w:line="276" w:lineRule="auto"/>
              <w:rPr>
                <w:rFonts w:ascii="Times New Roman" w:eastAsiaTheme="minorHAnsi" w:hAnsi="Times New Roman" w:cs="Times New Roman"/>
                <w:b w:val="0"/>
                <w:bCs w:val="0"/>
              </w:rPr>
            </w:pPr>
            <w:r>
              <w:rPr>
                <w:rFonts w:ascii="Times New Roman" w:eastAsiaTheme="minorHAnsi" w:hAnsi="Times New Roman" w:cs="Times New Roman"/>
                <w:b w:val="0"/>
                <w:bCs w:val="0"/>
              </w:rPr>
              <w:t>:</w:t>
            </w:r>
          </w:p>
        </w:tc>
        <w:tc>
          <w:tcPr>
            <w:tcW w:w="5386" w:type="dxa"/>
          </w:tcPr>
          <w:p w:rsidR="00CB0E9A" w:rsidRPr="00092425" w:rsidRDefault="00092425" w:rsidP="00CB0E9A">
            <w:pPr>
              <w:autoSpaceDE w:val="0"/>
              <w:autoSpaceDN w:val="0"/>
              <w:bidi w:val="0"/>
              <w:adjustRightInd w:val="0"/>
              <w:spacing w:after="0" w:line="276" w:lineRule="auto"/>
              <w:rPr>
                <w:rFonts w:ascii="Times New Roman" w:eastAsiaTheme="minorHAnsi" w:hAnsi="Times New Roman" w:cs="Times New Roman"/>
                <w:b w:val="0"/>
                <w:bCs w:val="0"/>
                <w:sz w:val="22"/>
                <w:szCs w:val="22"/>
              </w:rPr>
            </w:pPr>
            <w:r w:rsidRPr="00092425">
              <w:rPr>
                <w:rFonts w:ascii="Times New Roman" w:eastAsiaTheme="minorHAnsi" w:hAnsi="Times New Roman" w:cs="Times New Roman"/>
                <w:b w:val="0"/>
                <w:bCs w:val="0"/>
                <w:sz w:val="22"/>
                <w:szCs w:val="22"/>
              </w:rPr>
              <w:t>the exposure value after risk mitigation</w:t>
            </w:r>
          </w:p>
        </w:tc>
      </w:tr>
      <w:tr w:rsidR="00CB0E9A" w:rsidTr="00092425">
        <w:tc>
          <w:tcPr>
            <w:tcW w:w="709" w:type="dxa"/>
          </w:tcPr>
          <w:p w:rsidR="00CB0E9A" w:rsidRPr="00092425" w:rsidRDefault="00092425" w:rsidP="00CB0E9A">
            <w:pPr>
              <w:autoSpaceDE w:val="0"/>
              <w:autoSpaceDN w:val="0"/>
              <w:bidi w:val="0"/>
              <w:adjustRightInd w:val="0"/>
              <w:spacing w:after="0" w:line="276" w:lineRule="auto"/>
              <w:rPr>
                <w:rFonts w:ascii="Times New Roman" w:eastAsiaTheme="minorHAnsi" w:hAnsi="Times New Roman" w:cs="Times New Roman"/>
                <w:b w:val="0"/>
                <w:bCs w:val="0"/>
                <w:sz w:val="24"/>
                <w:szCs w:val="24"/>
              </w:rPr>
            </w:pPr>
            <w:r w:rsidRPr="00092425">
              <w:rPr>
                <w:rFonts w:ascii="Times New Roman" w:eastAsiaTheme="minorHAnsi" w:hAnsi="Times New Roman" w:cs="Times New Roman"/>
                <w:b w:val="0"/>
                <w:bCs w:val="0"/>
                <w:sz w:val="24"/>
                <w:szCs w:val="24"/>
              </w:rPr>
              <w:t>E</w:t>
            </w:r>
          </w:p>
        </w:tc>
        <w:tc>
          <w:tcPr>
            <w:tcW w:w="284" w:type="dxa"/>
          </w:tcPr>
          <w:p w:rsidR="00CB0E9A" w:rsidRDefault="00092425" w:rsidP="00CB0E9A">
            <w:pPr>
              <w:autoSpaceDE w:val="0"/>
              <w:autoSpaceDN w:val="0"/>
              <w:bidi w:val="0"/>
              <w:adjustRightInd w:val="0"/>
              <w:spacing w:after="0" w:line="276" w:lineRule="auto"/>
              <w:rPr>
                <w:rFonts w:ascii="Times New Roman" w:eastAsiaTheme="minorHAnsi" w:hAnsi="Times New Roman" w:cs="Times New Roman"/>
                <w:b w:val="0"/>
                <w:bCs w:val="0"/>
              </w:rPr>
            </w:pPr>
            <w:r>
              <w:rPr>
                <w:rFonts w:ascii="Times New Roman" w:eastAsiaTheme="minorHAnsi" w:hAnsi="Times New Roman" w:cs="Times New Roman"/>
                <w:b w:val="0"/>
                <w:bCs w:val="0"/>
              </w:rPr>
              <w:t>:</w:t>
            </w:r>
          </w:p>
        </w:tc>
        <w:tc>
          <w:tcPr>
            <w:tcW w:w="5386" w:type="dxa"/>
          </w:tcPr>
          <w:p w:rsidR="00CB0E9A" w:rsidRPr="00092425" w:rsidRDefault="004846B0" w:rsidP="004846B0">
            <w:pPr>
              <w:autoSpaceDE w:val="0"/>
              <w:autoSpaceDN w:val="0"/>
              <w:bidi w:val="0"/>
              <w:adjustRightInd w:val="0"/>
              <w:spacing w:after="0" w:line="276" w:lineRule="auto"/>
              <w:rPr>
                <w:rFonts w:ascii="Times New Roman" w:eastAsiaTheme="minorHAnsi" w:hAnsi="Times New Roman" w:cs="Times New Roman"/>
                <w:b w:val="0"/>
                <w:bCs w:val="0"/>
                <w:sz w:val="22"/>
                <w:szCs w:val="22"/>
              </w:rPr>
            </w:pPr>
            <w:r w:rsidRPr="00092425">
              <w:rPr>
                <w:rFonts w:ascii="Times New Roman" w:eastAsiaTheme="minorHAnsi" w:hAnsi="Times New Roman" w:cs="Times New Roman"/>
                <w:b w:val="0"/>
                <w:bCs w:val="0"/>
                <w:sz w:val="22"/>
                <w:szCs w:val="22"/>
              </w:rPr>
              <w:t xml:space="preserve">the exposure value </w:t>
            </w:r>
            <w:proofErr w:type="spellStart"/>
            <w:r>
              <w:rPr>
                <w:rFonts w:ascii="Times New Roman" w:eastAsiaTheme="minorHAnsi" w:hAnsi="Times New Roman" w:cs="Times New Roman"/>
                <w:b w:val="0"/>
                <w:bCs w:val="0"/>
                <w:sz w:val="22"/>
                <w:szCs w:val="22"/>
              </w:rPr>
              <w:t>befor</w:t>
            </w:r>
            <w:proofErr w:type="spellEnd"/>
            <w:r w:rsidRPr="00092425">
              <w:rPr>
                <w:rFonts w:ascii="Times New Roman" w:eastAsiaTheme="minorHAnsi" w:hAnsi="Times New Roman" w:cs="Times New Roman"/>
                <w:b w:val="0"/>
                <w:bCs w:val="0"/>
                <w:sz w:val="22"/>
                <w:szCs w:val="22"/>
              </w:rPr>
              <w:t xml:space="preserve"> risk mitigation</w:t>
            </w:r>
          </w:p>
        </w:tc>
      </w:tr>
      <w:tr w:rsidR="00CB0E9A" w:rsidTr="00092425">
        <w:tc>
          <w:tcPr>
            <w:tcW w:w="709" w:type="dxa"/>
          </w:tcPr>
          <w:p w:rsidR="00CB0E9A" w:rsidRPr="00092425" w:rsidRDefault="00092425" w:rsidP="00CB0E9A">
            <w:pPr>
              <w:autoSpaceDE w:val="0"/>
              <w:autoSpaceDN w:val="0"/>
              <w:bidi w:val="0"/>
              <w:adjustRightInd w:val="0"/>
              <w:spacing w:after="0" w:line="276" w:lineRule="auto"/>
              <w:rPr>
                <w:rFonts w:ascii="Times New Roman" w:eastAsiaTheme="minorHAnsi" w:hAnsi="Times New Roman" w:cs="Times New Roman"/>
                <w:b w:val="0"/>
                <w:bCs w:val="0"/>
                <w:sz w:val="24"/>
                <w:szCs w:val="24"/>
              </w:rPr>
            </w:pPr>
            <w:r w:rsidRPr="00092425">
              <w:rPr>
                <w:rFonts w:ascii="Times New Roman" w:eastAsiaTheme="minorHAnsi" w:hAnsi="Times New Roman" w:cs="Times New Roman"/>
                <w:b w:val="0"/>
                <w:bCs w:val="0"/>
                <w:sz w:val="24"/>
                <w:szCs w:val="24"/>
              </w:rPr>
              <w:t>C</w:t>
            </w:r>
          </w:p>
        </w:tc>
        <w:tc>
          <w:tcPr>
            <w:tcW w:w="284" w:type="dxa"/>
          </w:tcPr>
          <w:p w:rsidR="00CB0E9A" w:rsidRDefault="00092425" w:rsidP="00CB0E9A">
            <w:pPr>
              <w:autoSpaceDE w:val="0"/>
              <w:autoSpaceDN w:val="0"/>
              <w:bidi w:val="0"/>
              <w:adjustRightInd w:val="0"/>
              <w:spacing w:after="0" w:line="276" w:lineRule="auto"/>
              <w:rPr>
                <w:rFonts w:ascii="Times New Roman" w:eastAsiaTheme="minorHAnsi" w:hAnsi="Times New Roman" w:cs="Times New Roman"/>
                <w:b w:val="0"/>
                <w:bCs w:val="0"/>
              </w:rPr>
            </w:pPr>
            <w:r>
              <w:rPr>
                <w:rFonts w:ascii="Times New Roman" w:eastAsiaTheme="minorHAnsi" w:hAnsi="Times New Roman" w:cs="Times New Roman"/>
                <w:b w:val="0"/>
                <w:bCs w:val="0"/>
              </w:rPr>
              <w:t>:</w:t>
            </w:r>
          </w:p>
        </w:tc>
        <w:tc>
          <w:tcPr>
            <w:tcW w:w="5386" w:type="dxa"/>
          </w:tcPr>
          <w:p w:rsidR="00CB0E9A" w:rsidRPr="00092425" w:rsidRDefault="00092425" w:rsidP="00CB0E9A">
            <w:pPr>
              <w:autoSpaceDE w:val="0"/>
              <w:autoSpaceDN w:val="0"/>
              <w:bidi w:val="0"/>
              <w:adjustRightInd w:val="0"/>
              <w:spacing w:after="0" w:line="276" w:lineRule="auto"/>
              <w:rPr>
                <w:rFonts w:ascii="Times New Roman" w:eastAsiaTheme="minorHAnsi" w:hAnsi="Times New Roman" w:cs="Times New Roman"/>
                <w:b w:val="0"/>
                <w:bCs w:val="0"/>
                <w:sz w:val="22"/>
                <w:szCs w:val="22"/>
              </w:rPr>
            </w:pPr>
            <w:r w:rsidRPr="00092425">
              <w:rPr>
                <w:rFonts w:ascii="Times New Roman" w:eastAsiaTheme="minorHAnsi" w:hAnsi="Times New Roman" w:cs="Times New Roman"/>
                <w:b w:val="0"/>
                <w:bCs w:val="0"/>
                <w:sz w:val="22"/>
                <w:szCs w:val="22"/>
              </w:rPr>
              <w:t>the value of the collateral received</w:t>
            </w:r>
          </w:p>
        </w:tc>
      </w:tr>
      <w:tr w:rsidR="00CB0E9A" w:rsidTr="00092425">
        <w:tc>
          <w:tcPr>
            <w:tcW w:w="709" w:type="dxa"/>
          </w:tcPr>
          <w:p w:rsidR="00CB0E9A" w:rsidRPr="00092425" w:rsidRDefault="00092425" w:rsidP="00CB0E9A">
            <w:pPr>
              <w:autoSpaceDE w:val="0"/>
              <w:autoSpaceDN w:val="0"/>
              <w:bidi w:val="0"/>
              <w:adjustRightInd w:val="0"/>
              <w:spacing w:after="0" w:line="276" w:lineRule="auto"/>
              <w:rPr>
                <w:rFonts w:ascii="Times New Roman" w:eastAsiaTheme="minorHAnsi" w:hAnsi="Times New Roman" w:cs="Times New Roman"/>
                <w:b w:val="0"/>
                <w:bCs w:val="0"/>
                <w:sz w:val="24"/>
                <w:szCs w:val="24"/>
              </w:rPr>
            </w:pPr>
            <w:proofErr w:type="spellStart"/>
            <w:r w:rsidRPr="00092425">
              <w:rPr>
                <w:rFonts w:ascii="Times New Roman" w:eastAsiaTheme="minorHAnsi" w:hAnsi="Times New Roman" w:cs="Times New Roman"/>
                <w:b w:val="0"/>
                <w:bCs w:val="0"/>
                <w:sz w:val="24"/>
                <w:szCs w:val="24"/>
              </w:rPr>
              <w:t>Es</w:t>
            </w:r>
            <w:proofErr w:type="spellEnd"/>
          </w:p>
        </w:tc>
        <w:tc>
          <w:tcPr>
            <w:tcW w:w="284" w:type="dxa"/>
          </w:tcPr>
          <w:p w:rsidR="00CB0E9A" w:rsidRDefault="00092425" w:rsidP="00CB0E9A">
            <w:pPr>
              <w:autoSpaceDE w:val="0"/>
              <w:autoSpaceDN w:val="0"/>
              <w:bidi w:val="0"/>
              <w:adjustRightInd w:val="0"/>
              <w:spacing w:after="0" w:line="276" w:lineRule="auto"/>
              <w:rPr>
                <w:rFonts w:ascii="Times New Roman" w:eastAsiaTheme="minorHAnsi" w:hAnsi="Times New Roman" w:cs="Times New Roman"/>
                <w:b w:val="0"/>
                <w:bCs w:val="0"/>
              </w:rPr>
            </w:pPr>
            <w:r>
              <w:rPr>
                <w:rFonts w:ascii="Times New Roman" w:eastAsiaTheme="minorHAnsi" w:hAnsi="Times New Roman" w:cs="Times New Roman"/>
                <w:b w:val="0"/>
                <w:bCs w:val="0"/>
              </w:rPr>
              <w:t>:</w:t>
            </w:r>
          </w:p>
        </w:tc>
        <w:tc>
          <w:tcPr>
            <w:tcW w:w="5386" w:type="dxa"/>
          </w:tcPr>
          <w:p w:rsidR="00CB0E9A" w:rsidRPr="00092425" w:rsidRDefault="00092425" w:rsidP="00CB0E9A">
            <w:pPr>
              <w:autoSpaceDE w:val="0"/>
              <w:autoSpaceDN w:val="0"/>
              <w:bidi w:val="0"/>
              <w:adjustRightInd w:val="0"/>
              <w:spacing w:after="0" w:line="276" w:lineRule="auto"/>
              <w:rPr>
                <w:rFonts w:ascii="Times New Roman" w:eastAsiaTheme="minorHAnsi" w:hAnsi="Times New Roman" w:cs="Times New Roman"/>
                <w:b w:val="0"/>
                <w:bCs w:val="0"/>
                <w:sz w:val="22"/>
                <w:szCs w:val="22"/>
              </w:rPr>
            </w:pPr>
            <w:r w:rsidRPr="00092425">
              <w:rPr>
                <w:rFonts w:ascii="Times New Roman" w:eastAsiaTheme="minorHAnsi" w:hAnsi="Times New Roman" w:cs="Times New Roman"/>
                <w:b w:val="0"/>
                <w:bCs w:val="0"/>
                <w:sz w:val="22"/>
                <w:szCs w:val="22"/>
              </w:rPr>
              <w:t>absolute value of the net position in a given security</w:t>
            </w:r>
          </w:p>
        </w:tc>
      </w:tr>
      <w:tr w:rsidR="00092425" w:rsidTr="00092425">
        <w:tc>
          <w:tcPr>
            <w:tcW w:w="709" w:type="dxa"/>
          </w:tcPr>
          <w:p w:rsidR="00092425" w:rsidRPr="00092425" w:rsidRDefault="00092425" w:rsidP="00CB0E9A">
            <w:pPr>
              <w:autoSpaceDE w:val="0"/>
              <w:autoSpaceDN w:val="0"/>
              <w:bidi w:val="0"/>
              <w:adjustRightInd w:val="0"/>
              <w:spacing w:after="0" w:line="276" w:lineRule="auto"/>
              <w:rPr>
                <w:rFonts w:ascii="Times New Roman" w:eastAsiaTheme="minorHAnsi" w:hAnsi="Times New Roman" w:cs="Times New Roman"/>
                <w:b w:val="0"/>
                <w:bCs w:val="0"/>
                <w:sz w:val="24"/>
                <w:szCs w:val="24"/>
              </w:rPr>
            </w:pPr>
            <w:r w:rsidRPr="00092425">
              <w:rPr>
                <w:rFonts w:ascii="Times New Roman" w:eastAsiaTheme="minorHAnsi" w:hAnsi="Times New Roman" w:cs="Times New Roman"/>
                <w:b w:val="0"/>
                <w:bCs w:val="0"/>
                <w:sz w:val="24"/>
                <w:szCs w:val="24"/>
              </w:rPr>
              <w:t>Hs</w:t>
            </w:r>
          </w:p>
        </w:tc>
        <w:tc>
          <w:tcPr>
            <w:tcW w:w="284" w:type="dxa"/>
          </w:tcPr>
          <w:p w:rsidR="00092425" w:rsidRDefault="00092425" w:rsidP="00CB0E9A">
            <w:pPr>
              <w:autoSpaceDE w:val="0"/>
              <w:autoSpaceDN w:val="0"/>
              <w:bidi w:val="0"/>
              <w:adjustRightInd w:val="0"/>
              <w:spacing w:after="0" w:line="276" w:lineRule="auto"/>
              <w:rPr>
                <w:rFonts w:ascii="Times New Roman" w:eastAsiaTheme="minorHAnsi" w:hAnsi="Times New Roman" w:cs="Times New Roman"/>
                <w:b w:val="0"/>
                <w:bCs w:val="0"/>
              </w:rPr>
            </w:pPr>
            <w:r>
              <w:rPr>
                <w:rFonts w:ascii="Times New Roman" w:eastAsiaTheme="minorHAnsi" w:hAnsi="Times New Roman" w:cs="Times New Roman"/>
                <w:b w:val="0"/>
                <w:bCs w:val="0"/>
              </w:rPr>
              <w:t>:</w:t>
            </w:r>
          </w:p>
        </w:tc>
        <w:tc>
          <w:tcPr>
            <w:tcW w:w="5386" w:type="dxa"/>
          </w:tcPr>
          <w:p w:rsidR="00092425" w:rsidRPr="00092425" w:rsidRDefault="00092425" w:rsidP="00CB0E9A">
            <w:pPr>
              <w:autoSpaceDE w:val="0"/>
              <w:autoSpaceDN w:val="0"/>
              <w:bidi w:val="0"/>
              <w:adjustRightInd w:val="0"/>
              <w:spacing w:after="0" w:line="276" w:lineRule="auto"/>
              <w:rPr>
                <w:rFonts w:ascii="Times New Roman" w:eastAsiaTheme="minorHAnsi" w:hAnsi="Times New Roman" w:cs="Times New Roman"/>
                <w:b w:val="0"/>
                <w:bCs w:val="0"/>
                <w:sz w:val="22"/>
                <w:szCs w:val="22"/>
              </w:rPr>
            </w:pPr>
            <w:r w:rsidRPr="00092425">
              <w:rPr>
                <w:rFonts w:ascii="Times New Roman" w:eastAsiaTheme="minorHAnsi" w:hAnsi="Times New Roman" w:cs="Times New Roman"/>
                <w:b w:val="0"/>
                <w:bCs w:val="0"/>
                <w:sz w:val="22"/>
                <w:szCs w:val="22"/>
              </w:rPr>
              <w:t xml:space="preserve">haircut appropriate to </w:t>
            </w:r>
            <w:proofErr w:type="spellStart"/>
            <w:r w:rsidRPr="00092425">
              <w:rPr>
                <w:rFonts w:ascii="Times New Roman" w:eastAsiaTheme="minorHAnsi" w:hAnsi="Times New Roman" w:cs="Times New Roman"/>
                <w:b w:val="0"/>
                <w:bCs w:val="0"/>
                <w:sz w:val="22"/>
                <w:szCs w:val="22"/>
              </w:rPr>
              <w:t>Es</w:t>
            </w:r>
            <w:proofErr w:type="spellEnd"/>
          </w:p>
        </w:tc>
      </w:tr>
      <w:tr w:rsidR="00092425" w:rsidTr="00092425">
        <w:tc>
          <w:tcPr>
            <w:tcW w:w="709" w:type="dxa"/>
          </w:tcPr>
          <w:p w:rsidR="00092425" w:rsidRPr="00092425" w:rsidRDefault="00092425" w:rsidP="00CB0E9A">
            <w:pPr>
              <w:autoSpaceDE w:val="0"/>
              <w:autoSpaceDN w:val="0"/>
              <w:bidi w:val="0"/>
              <w:adjustRightInd w:val="0"/>
              <w:spacing w:after="0" w:line="276" w:lineRule="auto"/>
              <w:rPr>
                <w:rFonts w:ascii="Times New Roman" w:eastAsiaTheme="minorHAnsi" w:hAnsi="Times New Roman" w:cs="Times New Roman"/>
                <w:b w:val="0"/>
                <w:bCs w:val="0"/>
                <w:sz w:val="24"/>
                <w:szCs w:val="24"/>
              </w:rPr>
            </w:pPr>
            <w:proofErr w:type="spellStart"/>
            <w:r w:rsidRPr="00092425">
              <w:rPr>
                <w:rFonts w:ascii="Times New Roman" w:eastAsiaTheme="minorHAnsi" w:hAnsi="Times New Roman" w:cs="Times New Roman"/>
                <w:b w:val="0"/>
                <w:bCs w:val="0"/>
                <w:sz w:val="24"/>
                <w:szCs w:val="24"/>
              </w:rPr>
              <w:t>Efx</w:t>
            </w:r>
            <w:proofErr w:type="spellEnd"/>
          </w:p>
        </w:tc>
        <w:tc>
          <w:tcPr>
            <w:tcW w:w="284" w:type="dxa"/>
          </w:tcPr>
          <w:p w:rsidR="00092425" w:rsidRDefault="00092425" w:rsidP="00CB0E9A">
            <w:pPr>
              <w:autoSpaceDE w:val="0"/>
              <w:autoSpaceDN w:val="0"/>
              <w:bidi w:val="0"/>
              <w:adjustRightInd w:val="0"/>
              <w:spacing w:after="0" w:line="276" w:lineRule="auto"/>
              <w:rPr>
                <w:rFonts w:ascii="Times New Roman" w:eastAsiaTheme="minorHAnsi" w:hAnsi="Times New Roman" w:cs="Times New Roman"/>
                <w:b w:val="0"/>
                <w:bCs w:val="0"/>
              </w:rPr>
            </w:pPr>
            <w:r>
              <w:rPr>
                <w:rFonts w:ascii="Times New Roman" w:eastAsiaTheme="minorHAnsi" w:hAnsi="Times New Roman" w:cs="Times New Roman"/>
                <w:b w:val="0"/>
                <w:bCs w:val="0"/>
              </w:rPr>
              <w:t>:</w:t>
            </w:r>
          </w:p>
        </w:tc>
        <w:tc>
          <w:tcPr>
            <w:tcW w:w="5386" w:type="dxa"/>
          </w:tcPr>
          <w:p w:rsidR="00092425" w:rsidRPr="00092425" w:rsidRDefault="00092425" w:rsidP="00CB0E9A">
            <w:pPr>
              <w:autoSpaceDE w:val="0"/>
              <w:autoSpaceDN w:val="0"/>
              <w:bidi w:val="0"/>
              <w:adjustRightInd w:val="0"/>
              <w:spacing w:after="0" w:line="276" w:lineRule="auto"/>
              <w:rPr>
                <w:rFonts w:ascii="Times New Roman" w:eastAsiaTheme="minorHAnsi" w:hAnsi="Times New Roman" w:cs="Times New Roman"/>
                <w:b w:val="0"/>
                <w:bCs w:val="0"/>
                <w:sz w:val="22"/>
                <w:szCs w:val="22"/>
              </w:rPr>
            </w:pPr>
            <w:r w:rsidRPr="00092425">
              <w:rPr>
                <w:rFonts w:ascii="Times New Roman" w:eastAsiaTheme="minorHAnsi" w:hAnsi="Times New Roman" w:cs="Times New Roman"/>
                <w:b w:val="0"/>
                <w:bCs w:val="0"/>
                <w:sz w:val="22"/>
                <w:szCs w:val="22"/>
              </w:rPr>
              <w:t>absolute value of the net position in a currency different from the settlement currency</w:t>
            </w:r>
          </w:p>
        </w:tc>
      </w:tr>
      <w:tr w:rsidR="00092425" w:rsidTr="00092425">
        <w:tc>
          <w:tcPr>
            <w:tcW w:w="709" w:type="dxa"/>
          </w:tcPr>
          <w:p w:rsidR="00092425" w:rsidRPr="00092425" w:rsidRDefault="00092425" w:rsidP="00CB0E9A">
            <w:pPr>
              <w:autoSpaceDE w:val="0"/>
              <w:autoSpaceDN w:val="0"/>
              <w:bidi w:val="0"/>
              <w:adjustRightInd w:val="0"/>
              <w:spacing w:after="0" w:line="276" w:lineRule="auto"/>
              <w:rPr>
                <w:rFonts w:ascii="Times New Roman" w:eastAsiaTheme="minorHAnsi" w:hAnsi="Times New Roman" w:cs="Times New Roman"/>
                <w:b w:val="0"/>
                <w:bCs w:val="0"/>
                <w:sz w:val="24"/>
                <w:szCs w:val="24"/>
              </w:rPr>
            </w:pPr>
            <w:proofErr w:type="spellStart"/>
            <w:r w:rsidRPr="00092425">
              <w:rPr>
                <w:rFonts w:ascii="Times New Roman" w:eastAsiaTheme="minorHAnsi" w:hAnsi="Times New Roman" w:cs="Times New Roman"/>
                <w:b w:val="0"/>
                <w:bCs w:val="0"/>
                <w:sz w:val="24"/>
                <w:szCs w:val="24"/>
              </w:rPr>
              <w:t>Hfx</w:t>
            </w:r>
            <w:proofErr w:type="spellEnd"/>
          </w:p>
        </w:tc>
        <w:tc>
          <w:tcPr>
            <w:tcW w:w="284" w:type="dxa"/>
          </w:tcPr>
          <w:p w:rsidR="00092425" w:rsidRDefault="00092425" w:rsidP="00CB0E9A">
            <w:pPr>
              <w:autoSpaceDE w:val="0"/>
              <w:autoSpaceDN w:val="0"/>
              <w:bidi w:val="0"/>
              <w:adjustRightInd w:val="0"/>
              <w:spacing w:after="0" w:line="276" w:lineRule="auto"/>
              <w:rPr>
                <w:rFonts w:ascii="Times New Roman" w:eastAsiaTheme="minorHAnsi" w:hAnsi="Times New Roman" w:cs="Times New Roman"/>
                <w:b w:val="0"/>
                <w:bCs w:val="0"/>
              </w:rPr>
            </w:pPr>
            <w:r>
              <w:rPr>
                <w:rFonts w:ascii="Times New Roman" w:eastAsiaTheme="minorHAnsi" w:hAnsi="Times New Roman" w:cs="Times New Roman"/>
                <w:b w:val="0"/>
                <w:bCs w:val="0"/>
              </w:rPr>
              <w:t>:</w:t>
            </w:r>
          </w:p>
        </w:tc>
        <w:tc>
          <w:tcPr>
            <w:tcW w:w="5386" w:type="dxa"/>
          </w:tcPr>
          <w:p w:rsidR="00092425" w:rsidRPr="00092425" w:rsidRDefault="00092425" w:rsidP="00CB0E9A">
            <w:pPr>
              <w:autoSpaceDE w:val="0"/>
              <w:autoSpaceDN w:val="0"/>
              <w:bidi w:val="0"/>
              <w:adjustRightInd w:val="0"/>
              <w:spacing w:after="0" w:line="276" w:lineRule="auto"/>
              <w:rPr>
                <w:rFonts w:ascii="Times New Roman" w:eastAsiaTheme="minorHAnsi" w:hAnsi="Times New Roman" w:cs="Times New Roman"/>
                <w:b w:val="0"/>
                <w:bCs w:val="0"/>
                <w:sz w:val="22"/>
                <w:szCs w:val="22"/>
              </w:rPr>
            </w:pPr>
            <w:r w:rsidRPr="00092425">
              <w:rPr>
                <w:rFonts w:ascii="Times New Roman" w:eastAsiaTheme="minorHAnsi" w:hAnsi="Times New Roman" w:cs="Times New Roman"/>
                <w:b w:val="0"/>
                <w:bCs w:val="0"/>
                <w:sz w:val="22"/>
                <w:szCs w:val="22"/>
              </w:rPr>
              <w:t>haircut appropriate for currency mismatch</w:t>
            </w:r>
          </w:p>
        </w:tc>
      </w:tr>
    </w:tbl>
    <w:p w:rsidR="00785D98" w:rsidRPr="00CB0E9A" w:rsidRDefault="00785D98" w:rsidP="00092425">
      <w:pPr>
        <w:autoSpaceDE w:val="0"/>
        <w:autoSpaceDN w:val="0"/>
        <w:bidi w:val="0"/>
        <w:adjustRightInd w:val="0"/>
        <w:spacing w:after="0" w:line="276" w:lineRule="auto"/>
        <w:ind w:left="2250" w:hanging="540"/>
        <w:rPr>
          <w:rFonts w:ascii="Times New Roman" w:eastAsiaTheme="minorHAnsi" w:hAnsi="Times New Roman" w:cs="Times New Roman"/>
          <w:b w:val="0"/>
          <w:bCs w:val="0"/>
        </w:rPr>
      </w:pPr>
      <w:r w:rsidRPr="00CB0E9A">
        <w:rPr>
          <w:rFonts w:ascii="Times New Roman" w:eastAsiaTheme="minorHAnsi" w:hAnsi="Times New Roman" w:cs="Times New Roman"/>
          <w:b w:val="0"/>
          <w:bCs w:val="0"/>
        </w:rPr>
        <w:t xml:space="preserve"> </w:t>
      </w:r>
    </w:p>
    <w:p w:rsidR="00196BC3" w:rsidRPr="00DA4F3E" w:rsidRDefault="00196BC3" w:rsidP="00092425">
      <w:pPr>
        <w:pStyle w:val="ListParagraph"/>
        <w:autoSpaceDE w:val="0"/>
        <w:autoSpaceDN w:val="0"/>
        <w:bidi w:val="0"/>
        <w:adjustRightInd w:val="0"/>
        <w:spacing w:after="0" w:line="276" w:lineRule="auto"/>
        <w:ind w:left="1276"/>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The intention here is to obtain a net exposure amount after netting of the exposures and collateral and have an add-on amount reflecting possible price changes for the securities involved in the transactions and for foreign exchange risk if any. The net long or short position of each security included in the netting agreement will be multiplied by the appropriate haircut.</w:t>
      </w:r>
    </w:p>
    <w:p w:rsidR="00785D98" w:rsidRDefault="00196BC3" w:rsidP="00092425">
      <w:pPr>
        <w:pStyle w:val="ListParagraph"/>
        <w:numPr>
          <w:ilvl w:val="1"/>
          <w:numId w:val="11"/>
        </w:numPr>
        <w:autoSpaceDE w:val="0"/>
        <w:autoSpaceDN w:val="0"/>
        <w:bidi w:val="0"/>
        <w:adjustRightInd w:val="0"/>
        <w:spacing w:after="0" w:line="276" w:lineRule="auto"/>
        <w:ind w:left="1276" w:hanging="567"/>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All other rules regarding the calculation of haircuts stated in Comprehensive approach paragraphs apply for banks using bilateral netting agreements for repo-style transactions.</w:t>
      </w:r>
    </w:p>
    <w:p w:rsidR="00F1087B" w:rsidRPr="00DA4F3E" w:rsidRDefault="00F1087B" w:rsidP="00F1087B">
      <w:pPr>
        <w:pStyle w:val="ListParagraph"/>
        <w:autoSpaceDE w:val="0"/>
        <w:autoSpaceDN w:val="0"/>
        <w:bidi w:val="0"/>
        <w:adjustRightInd w:val="0"/>
        <w:spacing w:after="0" w:line="276" w:lineRule="auto"/>
        <w:ind w:left="1276"/>
        <w:rPr>
          <w:rFonts w:ascii="Times New Roman" w:eastAsiaTheme="minorHAnsi" w:hAnsi="Times New Roman" w:cs="Times New Roman"/>
          <w:b w:val="0"/>
          <w:bCs w:val="0"/>
          <w:sz w:val="24"/>
          <w:szCs w:val="24"/>
        </w:rPr>
      </w:pPr>
    </w:p>
    <w:p w:rsidR="00CB640D" w:rsidRPr="00DA4F3E" w:rsidRDefault="00196BC3" w:rsidP="00092425">
      <w:pPr>
        <w:pStyle w:val="ListParagraph"/>
        <w:numPr>
          <w:ilvl w:val="0"/>
          <w:numId w:val="11"/>
        </w:numPr>
        <w:bidi w:val="0"/>
        <w:spacing w:before="240" w:after="240" w:line="276" w:lineRule="auto"/>
        <w:ind w:left="709" w:hanging="567"/>
        <w:rPr>
          <w:rFonts w:ascii="Times New Roman" w:hAnsi="Times New Roman" w:cs="Times New Roman"/>
          <w:sz w:val="24"/>
          <w:szCs w:val="24"/>
        </w:rPr>
      </w:pPr>
      <w:r w:rsidRPr="00DA4F3E">
        <w:rPr>
          <w:rFonts w:ascii="Times New Roman" w:hAnsi="Times New Roman" w:cs="Times New Roman"/>
          <w:sz w:val="24"/>
          <w:szCs w:val="24"/>
        </w:rPr>
        <w:t>On Balance Sheet Netting</w:t>
      </w:r>
    </w:p>
    <w:p w:rsidR="00196BC3" w:rsidRPr="00DA4F3E" w:rsidRDefault="00E440CC" w:rsidP="00092425">
      <w:pPr>
        <w:pStyle w:val="ListParagraph"/>
        <w:bidi w:val="0"/>
        <w:spacing w:before="240" w:after="240" w:line="276" w:lineRule="auto"/>
        <w:ind w:left="709"/>
        <w:rPr>
          <w:rFonts w:ascii="Times New Roman" w:eastAsiaTheme="minorHAnsi" w:hAnsi="Times New Roman" w:cs="Times New Roman"/>
          <w:b w:val="0"/>
          <w:bCs w:val="0"/>
          <w:sz w:val="24"/>
          <w:szCs w:val="24"/>
        </w:rPr>
      </w:pPr>
      <w:r w:rsidRPr="00DA4F3E">
        <w:rPr>
          <w:rFonts w:ascii="Times New Roman" w:hAnsi="Times New Roman" w:cs="Times New Roman"/>
          <w:b w:val="0"/>
          <w:bCs w:val="0"/>
          <w:sz w:val="24"/>
          <w:szCs w:val="24"/>
          <w:lang w:val="en"/>
        </w:rPr>
        <w:t>If the following conditions apply to the bank</w:t>
      </w:r>
      <w:r w:rsidRPr="00DA4F3E">
        <w:rPr>
          <w:rFonts w:ascii="Times New Roman" w:eastAsiaTheme="minorHAnsi" w:hAnsi="Times New Roman" w:cs="Times New Roman"/>
          <w:b w:val="0"/>
          <w:bCs w:val="0"/>
          <w:sz w:val="24"/>
          <w:szCs w:val="24"/>
          <w:lang w:val="en"/>
        </w:rPr>
        <w:t xml:space="preserve">, it </w:t>
      </w:r>
      <w:r w:rsidR="004F532F" w:rsidRPr="00DA4F3E">
        <w:rPr>
          <w:rFonts w:ascii="Times New Roman" w:eastAsiaTheme="minorHAnsi" w:hAnsi="Times New Roman" w:cs="Times New Roman"/>
          <w:b w:val="0"/>
          <w:bCs w:val="0"/>
          <w:sz w:val="24"/>
          <w:szCs w:val="24"/>
        </w:rPr>
        <w:t>may use the net exposure of loans and deposits as the basis for its capital adequacy calculation in accordance</w:t>
      </w:r>
      <w:r w:rsidR="004F532F" w:rsidRPr="00CB0E9A">
        <w:rPr>
          <w:rFonts w:ascii="Times New Roman" w:eastAsiaTheme="minorHAnsi" w:hAnsi="Times New Roman" w:cs="Times New Roman"/>
          <w:b w:val="0"/>
          <w:bCs w:val="0"/>
        </w:rPr>
        <w:t xml:space="preserve"> </w:t>
      </w:r>
      <w:r w:rsidR="004F532F" w:rsidRPr="00DA4F3E">
        <w:rPr>
          <w:rFonts w:ascii="Times New Roman" w:eastAsiaTheme="minorHAnsi" w:hAnsi="Times New Roman" w:cs="Times New Roman"/>
          <w:b w:val="0"/>
          <w:bCs w:val="0"/>
          <w:sz w:val="24"/>
          <w:szCs w:val="24"/>
        </w:rPr>
        <w:t xml:space="preserve">with the formula in paragraph </w:t>
      </w:r>
      <w:r w:rsidR="004846B0">
        <w:rPr>
          <w:rFonts w:ascii="Times New Roman" w:eastAsiaTheme="minorHAnsi" w:hAnsi="Times New Roman" w:cs="Times New Roman"/>
          <w:b w:val="0"/>
          <w:bCs w:val="0"/>
          <w:sz w:val="24"/>
          <w:szCs w:val="24"/>
        </w:rPr>
        <w:t>(</w:t>
      </w:r>
      <w:r w:rsidRPr="00DA4F3E">
        <w:rPr>
          <w:rFonts w:ascii="Times New Roman" w:eastAsiaTheme="minorHAnsi" w:hAnsi="Times New Roman" w:cs="Times New Roman"/>
          <w:b w:val="0"/>
          <w:bCs w:val="0"/>
          <w:sz w:val="24"/>
          <w:szCs w:val="24"/>
        </w:rPr>
        <w:t>10</w:t>
      </w:r>
      <w:r w:rsidR="004846B0">
        <w:rPr>
          <w:rFonts w:ascii="Times New Roman" w:eastAsiaTheme="minorHAnsi" w:hAnsi="Times New Roman" w:cs="Times New Roman"/>
          <w:b w:val="0"/>
          <w:bCs w:val="0"/>
          <w:sz w:val="24"/>
          <w:szCs w:val="24"/>
        </w:rPr>
        <w:t>)</w:t>
      </w:r>
      <w:r w:rsidR="004F532F" w:rsidRPr="00DA4F3E">
        <w:rPr>
          <w:rFonts w:ascii="Times New Roman" w:eastAsiaTheme="minorHAnsi" w:hAnsi="Times New Roman" w:cs="Times New Roman"/>
          <w:b w:val="0"/>
          <w:bCs w:val="0"/>
          <w:sz w:val="24"/>
          <w:szCs w:val="24"/>
        </w:rPr>
        <w:t>. Assets (loans) are treated as exposure and liabilities (deposits) as collateral. The haircuts will be zero</w:t>
      </w:r>
      <w:r w:rsidR="004846B0">
        <w:rPr>
          <w:rFonts w:ascii="Times New Roman" w:eastAsiaTheme="minorHAnsi" w:hAnsi="Times New Roman" w:cs="Times New Roman"/>
          <w:b w:val="0"/>
          <w:bCs w:val="0"/>
          <w:sz w:val="24"/>
          <w:szCs w:val="24"/>
        </w:rPr>
        <w:t>%</w:t>
      </w:r>
      <w:r w:rsidR="004F532F" w:rsidRPr="00DA4F3E">
        <w:rPr>
          <w:rFonts w:ascii="Times New Roman" w:eastAsiaTheme="minorHAnsi" w:hAnsi="Times New Roman" w:cs="Times New Roman"/>
          <w:b w:val="0"/>
          <w:bCs w:val="0"/>
          <w:sz w:val="24"/>
          <w:szCs w:val="24"/>
        </w:rPr>
        <w:t xml:space="preserve"> except when a </w:t>
      </w:r>
      <w:r w:rsidRPr="00DA4F3E">
        <w:rPr>
          <w:rFonts w:ascii="Times New Roman" w:eastAsiaTheme="minorHAnsi" w:hAnsi="Times New Roman" w:cs="Times New Roman"/>
          <w:b w:val="0"/>
          <w:bCs w:val="0"/>
          <w:sz w:val="24"/>
          <w:szCs w:val="24"/>
        </w:rPr>
        <w:t>currency mismatch exists:</w:t>
      </w:r>
    </w:p>
    <w:p w:rsidR="00E440CC" w:rsidRPr="009F1AEE" w:rsidRDefault="00092425" w:rsidP="00092425">
      <w:pPr>
        <w:pStyle w:val="ListParagraph"/>
        <w:numPr>
          <w:ilvl w:val="1"/>
          <w:numId w:val="11"/>
        </w:numPr>
        <w:bidi w:val="0"/>
        <w:spacing w:before="240" w:after="240" w:line="276" w:lineRule="auto"/>
        <w:ind w:left="1276" w:hanging="567"/>
        <w:rPr>
          <w:rFonts w:ascii="Times New Roman" w:eastAsiaTheme="minorHAnsi" w:hAnsi="Times New Roman" w:cs="Times New Roman"/>
          <w:b w:val="0"/>
          <w:bCs w:val="0"/>
          <w:sz w:val="24"/>
          <w:szCs w:val="24"/>
        </w:rPr>
      </w:pPr>
      <w:r w:rsidRPr="009F1AEE">
        <w:rPr>
          <w:rFonts w:ascii="Times New Roman" w:eastAsiaTheme="minorHAnsi" w:hAnsi="Times New Roman" w:cs="Times New Roman"/>
          <w:b w:val="0"/>
          <w:bCs w:val="0"/>
          <w:sz w:val="24"/>
          <w:szCs w:val="24"/>
        </w:rPr>
        <w:t>H</w:t>
      </w:r>
      <w:r w:rsidR="00E440CC" w:rsidRPr="009F1AEE">
        <w:rPr>
          <w:rFonts w:ascii="Times New Roman" w:eastAsiaTheme="minorHAnsi" w:hAnsi="Times New Roman" w:cs="Times New Roman"/>
          <w:b w:val="0"/>
          <w:bCs w:val="0"/>
          <w:sz w:val="24"/>
          <w:szCs w:val="24"/>
        </w:rPr>
        <w:t>as a well-founded legal basis for concluding that the netting or offsetting agreement is enforceable in each relevant jurisdiction regardless of whether the counterparty is insolvent or bankrupt.</w:t>
      </w:r>
    </w:p>
    <w:p w:rsidR="00E440CC" w:rsidRPr="00DA4F3E" w:rsidRDefault="00092425" w:rsidP="00092425">
      <w:pPr>
        <w:pStyle w:val="ListParagraph"/>
        <w:numPr>
          <w:ilvl w:val="1"/>
          <w:numId w:val="11"/>
        </w:numPr>
        <w:bidi w:val="0"/>
        <w:spacing w:before="240" w:after="240" w:line="276" w:lineRule="auto"/>
        <w:ind w:left="1276" w:hanging="567"/>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lastRenderedPageBreak/>
        <w:t>I</w:t>
      </w:r>
      <w:r w:rsidR="00E440CC" w:rsidRPr="00DA4F3E">
        <w:rPr>
          <w:rFonts w:ascii="Times New Roman" w:eastAsiaTheme="minorHAnsi" w:hAnsi="Times New Roman" w:cs="Times New Roman"/>
          <w:b w:val="0"/>
          <w:bCs w:val="0"/>
          <w:sz w:val="24"/>
          <w:szCs w:val="24"/>
        </w:rPr>
        <w:t>s able at any time to determine those assets and liabilities with the same counterparty that are subject to the netting agreement.</w:t>
      </w:r>
    </w:p>
    <w:p w:rsidR="00E440CC" w:rsidRPr="00DA4F3E" w:rsidRDefault="00092425" w:rsidP="00092425">
      <w:pPr>
        <w:pStyle w:val="ListParagraph"/>
        <w:numPr>
          <w:ilvl w:val="1"/>
          <w:numId w:val="11"/>
        </w:numPr>
        <w:bidi w:val="0"/>
        <w:spacing w:before="240" w:after="240" w:line="276" w:lineRule="auto"/>
        <w:ind w:left="1276" w:hanging="567"/>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M</w:t>
      </w:r>
      <w:r w:rsidR="00E440CC" w:rsidRPr="00DA4F3E">
        <w:rPr>
          <w:rFonts w:ascii="Times New Roman" w:eastAsiaTheme="minorHAnsi" w:hAnsi="Times New Roman" w:cs="Times New Roman"/>
          <w:b w:val="0"/>
          <w:bCs w:val="0"/>
          <w:sz w:val="24"/>
          <w:szCs w:val="24"/>
        </w:rPr>
        <w:t>onitors and controls its roll-off risks.</w:t>
      </w:r>
    </w:p>
    <w:p w:rsidR="00E440CC" w:rsidRPr="00DA4F3E" w:rsidRDefault="00092425" w:rsidP="00092425">
      <w:pPr>
        <w:pStyle w:val="ListParagraph"/>
        <w:numPr>
          <w:ilvl w:val="1"/>
          <w:numId w:val="11"/>
        </w:numPr>
        <w:bidi w:val="0"/>
        <w:spacing w:before="240" w:after="240" w:line="276" w:lineRule="auto"/>
        <w:ind w:left="1276" w:hanging="567"/>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M</w:t>
      </w:r>
      <w:r w:rsidR="00E440CC" w:rsidRPr="00DA4F3E">
        <w:rPr>
          <w:rFonts w:ascii="Times New Roman" w:eastAsiaTheme="minorHAnsi" w:hAnsi="Times New Roman" w:cs="Times New Roman"/>
          <w:b w:val="0"/>
          <w:bCs w:val="0"/>
          <w:sz w:val="24"/>
          <w:szCs w:val="24"/>
        </w:rPr>
        <w:t>onitors and controls the relevant exposures on a net basis.</w:t>
      </w:r>
    </w:p>
    <w:p w:rsidR="00E440CC" w:rsidRPr="00DA4F3E" w:rsidRDefault="00E440CC" w:rsidP="00CB0E9A">
      <w:pPr>
        <w:pStyle w:val="ListParagraph"/>
        <w:bidi w:val="0"/>
        <w:spacing w:before="240" w:after="240" w:line="276" w:lineRule="auto"/>
        <w:ind w:left="1080"/>
        <w:rPr>
          <w:rFonts w:ascii="Times New Roman" w:hAnsi="Times New Roman" w:cs="Times New Roman"/>
          <w:b w:val="0"/>
          <w:bCs w:val="0"/>
          <w:sz w:val="24"/>
          <w:szCs w:val="24"/>
        </w:rPr>
      </w:pPr>
    </w:p>
    <w:p w:rsidR="00196BC3" w:rsidRPr="00DA4F3E" w:rsidRDefault="00E440CC" w:rsidP="00092425">
      <w:pPr>
        <w:pStyle w:val="ListParagraph"/>
        <w:numPr>
          <w:ilvl w:val="0"/>
          <w:numId w:val="11"/>
        </w:numPr>
        <w:bidi w:val="0"/>
        <w:spacing w:before="240" w:after="240" w:line="276" w:lineRule="auto"/>
        <w:ind w:left="709" w:hanging="567"/>
        <w:rPr>
          <w:rFonts w:ascii="Times New Roman" w:hAnsi="Times New Roman" w:cs="Times New Roman"/>
          <w:sz w:val="24"/>
          <w:szCs w:val="24"/>
        </w:rPr>
      </w:pPr>
      <w:r w:rsidRPr="00DA4F3E">
        <w:rPr>
          <w:rFonts w:ascii="Times New Roman" w:hAnsi="Times New Roman" w:cs="Times New Roman"/>
          <w:sz w:val="24"/>
          <w:szCs w:val="24"/>
        </w:rPr>
        <w:t>Guarantees &amp; Credit Derivatives</w:t>
      </w:r>
    </w:p>
    <w:p w:rsidR="00E440CC" w:rsidRPr="00DA4F3E" w:rsidRDefault="00E440CC" w:rsidP="00092425">
      <w:pPr>
        <w:pStyle w:val="ListParagraph"/>
        <w:bidi w:val="0"/>
        <w:spacing w:before="240" w:after="240" w:line="276" w:lineRule="auto"/>
        <w:ind w:left="709"/>
        <w:rPr>
          <w:rFonts w:ascii="Times New Roman" w:hAnsi="Times New Roman" w:cs="Times New Roman"/>
          <w:b w:val="0"/>
          <w:bCs w:val="0"/>
          <w:sz w:val="24"/>
          <w:szCs w:val="24"/>
          <w:lang w:val="en"/>
        </w:rPr>
      </w:pPr>
      <w:r w:rsidRPr="00DA4F3E">
        <w:rPr>
          <w:rFonts w:ascii="Times New Roman" w:hAnsi="Times New Roman" w:cs="Times New Roman"/>
          <w:b w:val="0"/>
          <w:bCs w:val="0"/>
          <w:sz w:val="24"/>
          <w:szCs w:val="24"/>
          <w:lang w:val="en"/>
        </w:rPr>
        <w:t xml:space="preserve">In order to fulfill the operational requirements, the guarantee or the </w:t>
      </w:r>
      <w:r w:rsidR="00365454" w:rsidRPr="00DA4F3E">
        <w:rPr>
          <w:rFonts w:ascii="Times New Roman" w:eastAsiaTheme="minorHAnsi" w:hAnsi="Times New Roman" w:cs="Times New Roman"/>
          <w:b w:val="0"/>
          <w:bCs w:val="0"/>
          <w:sz w:val="24"/>
          <w:szCs w:val="24"/>
        </w:rPr>
        <w:t xml:space="preserve">counter-guarantee </w:t>
      </w:r>
      <w:r w:rsidRPr="00DA4F3E">
        <w:rPr>
          <w:rFonts w:ascii="Times New Roman" w:hAnsi="Times New Roman" w:cs="Times New Roman"/>
          <w:b w:val="0"/>
          <w:bCs w:val="0"/>
          <w:sz w:val="24"/>
          <w:szCs w:val="24"/>
          <w:lang w:val="en"/>
        </w:rPr>
        <w:t>or credit derivative must fulfill all of the following conditions:</w:t>
      </w:r>
    </w:p>
    <w:p w:rsidR="00E440CC" w:rsidRPr="00DA4F3E" w:rsidRDefault="00092425" w:rsidP="00092425">
      <w:pPr>
        <w:pStyle w:val="ListParagraph"/>
        <w:numPr>
          <w:ilvl w:val="1"/>
          <w:numId w:val="11"/>
        </w:numPr>
        <w:bidi w:val="0"/>
        <w:spacing w:before="240" w:after="240" w:line="276" w:lineRule="auto"/>
        <w:ind w:left="1276" w:hanging="567"/>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M</w:t>
      </w:r>
      <w:r w:rsidR="00365454" w:rsidRPr="00DA4F3E">
        <w:rPr>
          <w:rFonts w:ascii="Times New Roman" w:eastAsiaTheme="minorHAnsi" w:hAnsi="Times New Roman" w:cs="Times New Roman"/>
          <w:b w:val="0"/>
          <w:bCs w:val="0"/>
          <w:sz w:val="24"/>
          <w:szCs w:val="24"/>
        </w:rPr>
        <w:t>ust represent a direct claim on the protection provider.</w:t>
      </w:r>
    </w:p>
    <w:p w:rsidR="00365454" w:rsidRPr="00DA4F3E" w:rsidRDefault="00092425" w:rsidP="00092425">
      <w:pPr>
        <w:pStyle w:val="ListParagraph"/>
        <w:numPr>
          <w:ilvl w:val="1"/>
          <w:numId w:val="11"/>
        </w:numPr>
        <w:bidi w:val="0"/>
        <w:spacing w:before="240" w:after="240" w:line="276" w:lineRule="auto"/>
        <w:ind w:left="1276" w:hanging="567"/>
        <w:rPr>
          <w:rFonts w:ascii="Times New Roman" w:hAnsi="Times New Roman" w:cs="Times New Roman"/>
          <w:b w:val="0"/>
          <w:bCs w:val="0"/>
          <w:sz w:val="24"/>
          <w:szCs w:val="24"/>
        </w:rPr>
      </w:pPr>
      <w:r w:rsidRPr="00DA4F3E">
        <w:rPr>
          <w:rFonts w:ascii="Times New Roman" w:eastAsiaTheme="minorHAnsi" w:hAnsi="Times New Roman" w:cs="Times New Roman"/>
          <w:b w:val="0"/>
          <w:bCs w:val="0"/>
          <w:sz w:val="24"/>
          <w:szCs w:val="24"/>
        </w:rPr>
        <w:t>M</w:t>
      </w:r>
      <w:r w:rsidR="00365454" w:rsidRPr="00DA4F3E">
        <w:rPr>
          <w:rFonts w:ascii="Times New Roman" w:eastAsiaTheme="minorHAnsi" w:hAnsi="Times New Roman" w:cs="Times New Roman"/>
          <w:b w:val="0"/>
          <w:bCs w:val="0"/>
          <w:sz w:val="24"/>
          <w:szCs w:val="24"/>
        </w:rPr>
        <w:t>ust be explicitly referenced to specific exposures or a pool of exposures, so that the extent of the cover is clearly defined and incontrovertible.</w:t>
      </w:r>
    </w:p>
    <w:p w:rsidR="00365454" w:rsidRPr="00DA4F3E" w:rsidRDefault="00092425" w:rsidP="00092425">
      <w:pPr>
        <w:pStyle w:val="ListParagraph"/>
        <w:numPr>
          <w:ilvl w:val="1"/>
          <w:numId w:val="11"/>
        </w:numPr>
        <w:bidi w:val="0"/>
        <w:spacing w:before="240" w:after="240" w:line="276" w:lineRule="auto"/>
        <w:ind w:left="1276" w:hanging="567"/>
        <w:rPr>
          <w:rFonts w:ascii="Times New Roman" w:hAnsi="Times New Roman" w:cs="Times New Roman"/>
          <w:b w:val="0"/>
          <w:bCs w:val="0"/>
          <w:sz w:val="24"/>
          <w:szCs w:val="24"/>
        </w:rPr>
      </w:pPr>
      <w:r w:rsidRPr="00DA4F3E">
        <w:rPr>
          <w:rFonts w:ascii="Times New Roman" w:eastAsiaTheme="minorHAnsi" w:hAnsi="Times New Roman" w:cs="Times New Roman"/>
          <w:b w:val="0"/>
          <w:bCs w:val="0"/>
          <w:sz w:val="24"/>
          <w:szCs w:val="24"/>
        </w:rPr>
        <w:t>N</w:t>
      </w:r>
      <w:r w:rsidR="00365454" w:rsidRPr="00DA4F3E">
        <w:rPr>
          <w:rFonts w:ascii="Times New Roman" w:eastAsiaTheme="minorHAnsi" w:hAnsi="Times New Roman" w:cs="Times New Roman"/>
          <w:b w:val="0"/>
          <w:bCs w:val="0"/>
          <w:sz w:val="24"/>
          <w:szCs w:val="24"/>
        </w:rPr>
        <w:t>on-payment by a protection purchaser of money due in respect of the credit protection contract it must be irrevocable; there must be no clause in the contract that would allow the protection provider unilaterally to cancel the credit cover or that would increase the effective cost of cover as a result of deteriorating credit quality in the hedged exposure.</w:t>
      </w:r>
    </w:p>
    <w:p w:rsidR="00365454" w:rsidRPr="00C77C3A" w:rsidRDefault="00092425" w:rsidP="00092425">
      <w:pPr>
        <w:pStyle w:val="ListParagraph"/>
        <w:numPr>
          <w:ilvl w:val="1"/>
          <w:numId w:val="11"/>
        </w:numPr>
        <w:bidi w:val="0"/>
        <w:spacing w:before="240" w:after="240" w:line="276" w:lineRule="auto"/>
        <w:ind w:left="1276" w:hanging="567"/>
        <w:rPr>
          <w:rFonts w:ascii="Times New Roman" w:hAnsi="Times New Roman" w:cs="Times New Roman"/>
          <w:b w:val="0"/>
          <w:bCs w:val="0"/>
          <w:sz w:val="24"/>
          <w:szCs w:val="24"/>
        </w:rPr>
      </w:pPr>
      <w:r w:rsidRPr="00DA4F3E">
        <w:rPr>
          <w:rFonts w:ascii="Times New Roman" w:eastAsiaTheme="minorHAnsi" w:hAnsi="Times New Roman" w:cs="Times New Roman"/>
          <w:b w:val="0"/>
          <w:bCs w:val="0"/>
          <w:sz w:val="24"/>
          <w:szCs w:val="24"/>
        </w:rPr>
        <w:t>M</w:t>
      </w:r>
      <w:r w:rsidR="00365454" w:rsidRPr="00DA4F3E">
        <w:rPr>
          <w:rFonts w:ascii="Times New Roman" w:eastAsiaTheme="minorHAnsi" w:hAnsi="Times New Roman" w:cs="Times New Roman"/>
          <w:b w:val="0"/>
          <w:bCs w:val="0"/>
          <w:sz w:val="24"/>
          <w:szCs w:val="24"/>
        </w:rPr>
        <w:t>ust be unconditional; there should be no clause in the protection contract outside the direct control of the bank that could prevent the protection provider from being obliged to pay out in a timely manner in the event that the original counterparty fails to make the payments due.</w:t>
      </w:r>
    </w:p>
    <w:p w:rsidR="00C77C3A" w:rsidRPr="00DA4F3E" w:rsidRDefault="00C77C3A" w:rsidP="00C77C3A">
      <w:pPr>
        <w:pStyle w:val="ListParagraph"/>
        <w:bidi w:val="0"/>
        <w:spacing w:before="240" w:after="240" w:line="276" w:lineRule="auto"/>
        <w:ind w:left="1276"/>
        <w:rPr>
          <w:rFonts w:ascii="Times New Roman" w:hAnsi="Times New Roman" w:cs="Times New Roman"/>
          <w:b w:val="0"/>
          <w:bCs w:val="0"/>
          <w:sz w:val="24"/>
          <w:szCs w:val="24"/>
        </w:rPr>
      </w:pPr>
    </w:p>
    <w:p w:rsidR="00E440CC" w:rsidRPr="00DA4F3E" w:rsidRDefault="00365454" w:rsidP="00092425">
      <w:pPr>
        <w:pStyle w:val="ListParagraph"/>
        <w:numPr>
          <w:ilvl w:val="0"/>
          <w:numId w:val="11"/>
        </w:numPr>
        <w:bidi w:val="0"/>
        <w:spacing w:before="240" w:after="240" w:line="276" w:lineRule="auto"/>
        <w:ind w:left="709" w:hanging="567"/>
        <w:rPr>
          <w:rFonts w:ascii="Times New Roman" w:hAnsi="Times New Roman" w:cs="Times New Roman"/>
          <w:sz w:val="24"/>
          <w:szCs w:val="24"/>
        </w:rPr>
      </w:pPr>
      <w:r w:rsidRPr="00DA4F3E">
        <w:rPr>
          <w:rFonts w:ascii="Times New Roman" w:hAnsi="Times New Roman" w:cs="Times New Roman"/>
          <w:sz w:val="24"/>
          <w:szCs w:val="24"/>
        </w:rPr>
        <w:t>Additional Operational Requirements for Guarantees:</w:t>
      </w:r>
    </w:p>
    <w:p w:rsidR="00365454" w:rsidRPr="00DA4F3E" w:rsidRDefault="00365454" w:rsidP="00092425">
      <w:pPr>
        <w:pStyle w:val="ListParagraph"/>
        <w:bidi w:val="0"/>
        <w:spacing w:before="240" w:after="240" w:line="276" w:lineRule="auto"/>
        <w:ind w:left="709"/>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 xml:space="preserve">In addition to the legal certainty requirements </w:t>
      </w:r>
      <w:r w:rsidRPr="00DA4F3E">
        <w:rPr>
          <w:rFonts w:ascii="Times New Roman" w:hAnsi="Times New Roman" w:cs="Times New Roman"/>
          <w:b w:val="0"/>
          <w:bCs w:val="0"/>
          <w:sz w:val="24"/>
          <w:szCs w:val="24"/>
          <w:lang w:val="en"/>
        </w:rPr>
        <w:t xml:space="preserve">mentioned </w:t>
      </w:r>
      <w:r w:rsidRPr="00DA4F3E">
        <w:rPr>
          <w:rFonts w:ascii="Times New Roman" w:eastAsiaTheme="minorHAnsi" w:hAnsi="Times New Roman" w:cs="Times New Roman"/>
          <w:b w:val="0"/>
          <w:bCs w:val="0"/>
          <w:sz w:val="24"/>
          <w:szCs w:val="24"/>
        </w:rPr>
        <w:t>above, in order for a guarantee to be recognised, the following conditions must be satisfied:</w:t>
      </w:r>
    </w:p>
    <w:p w:rsidR="00BD0786" w:rsidRPr="00DA4F3E" w:rsidRDefault="00365454" w:rsidP="00092425">
      <w:pPr>
        <w:pStyle w:val="ListParagraph"/>
        <w:numPr>
          <w:ilvl w:val="1"/>
          <w:numId w:val="11"/>
        </w:numPr>
        <w:bidi w:val="0"/>
        <w:spacing w:before="240" w:after="240" w:line="276" w:lineRule="auto"/>
        <w:ind w:left="1276" w:hanging="567"/>
        <w:rPr>
          <w:rFonts w:ascii="Times New Roman" w:hAnsi="Times New Roman" w:cs="Times New Roman"/>
          <w:b w:val="0"/>
          <w:bCs w:val="0"/>
          <w:sz w:val="24"/>
          <w:szCs w:val="24"/>
          <w:lang w:val="en"/>
        </w:rPr>
      </w:pPr>
      <w:r w:rsidRPr="00DA4F3E">
        <w:rPr>
          <w:rFonts w:ascii="Times New Roman" w:eastAsiaTheme="minorHAnsi" w:hAnsi="Times New Roman" w:cs="Times New Roman"/>
          <w:b w:val="0"/>
          <w:bCs w:val="0"/>
          <w:sz w:val="24"/>
          <w:szCs w:val="24"/>
        </w:rPr>
        <w:t>On the qualifying default/non-payment of the counterparty, the bank may in a timely manner pursue the guarantor for any monies outstanding</w:t>
      </w:r>
      <w:r w:rsidR="00BD0786" w:rsidRPr="00DA4F3E">
        <w:rPr>
          <w:rFonts w:ascii="Times New Roman" w:hAnsi="Times New Roman" w:cs="Times New Roman"/>
          <w:b w:val="0"/>
          <w:bCs w:val="0"/>
          <w:sz w:val="24"/>
          <w:szCs w:val="24"/>
          <w:lang w:val="en"/>
        </w:rPr>
        <w:t xml:space="preserve"> </w:t>
      </w:r>
      <w:r w:rsidR="007A0099" w:rsidRPr="00DA4F3E">
        <w:rPr>
          <w:rFonts w:ascii="Times New Roman" w:hAnsi="Times New Roman" w:cs="Times New Roman"/>
          <w:b w:val="0"/>
          <w:bCs w:val="0"/>
          <w:sz w:val="24"/>
          <w:szCs w:val="24"/>
          <w:lang w:val="en"/>
        </w:rPr>
        <w:t>or</w:t>
      </w:r>
      <w:r w:rsidR="00BD0786" w:rsidRPr="00DA4F3E">
        <w:rPr>
          <w:rFonts w:ascii="Times New Roman" w:hAnsi="Times New Roman" w:cs="Times New Roman"/>
          <w:b w:val="0"/>
          <w:bCs w:val="0"/>
          <w:sz w:val="24"/>
          <w:szCs w:val="24"/>
          <w:lang w:val="en"/>
        </w:rPr>
        <w:t xml:space="preserve"> </w:t>
      </w:r>
      <w:r w:rsidR="00BD0786" w:rsidRPr="00DA4F3E">
        <w:rPr>
          <w:rFonts w:ascii="Times New Roman" w:eastAsiaTheme="minorHAnsi" w:hAnsi="Times New Roman" w:cs="Times New Roman"/>
          <w:b w:val="0"/>
          <w:bCs w:val="0"/>
          <w:sz w:val="24"/>
          <w:szCs w:val="24"/>
        </w:rPr>
        <w:t>pursue the guarantor to make one lump sum payment of all monies</w:t>
      </w:r>
      <w:r w:rsidR="00BD0786" w:rsidRPr="00DA4F3E">
        <w:rPr>
          <w:rFonts w:ascii="Times New Roman" w:hAnsi="Times New Roman" w:cs="Times New Roman"/>
          <w:b w:val="0"/>
          <w:bCs w:val="0"/>
          <w:sz w:val="24"/>
          <w:szCs w:val="24"/>
          <w:lang w:val="en"/>
        </w:rPr>
        <w:t xml:space="preserve"> according to a schedule agreed upon with him.</w:t>
      </w:r>
    </w:p>
    <w:p w:rsidR="00F4698B" w:rsidRPr="00DA4F3E" w:rsidRDefault="00F4698B" w:rsidP="00092425">
      <w:pPr>
        <w:pStyle w:val="ListParagraph"/>
        <w:numPr>
          <w:ilvl w:val="1"/>
          <w:numId w:val="11"/>
        </w:numPr>
        <w:bidi w:val="0"/>
        <w:spacing w:before="240" w:after="240" w:line="276" w:lineRule="auto"/>
        <w:ind w:left="1276" w:hanging="567"/>
        <w:rPr>
          <w:rFonts w:ascii="Times New Roman" w:hAnsi="Times New Roman" w:cs="Times New Roman"/>
          <w:b w:val="0"/>
          <w:bCs w:val="0"/>
          <w:sz w:val="24"/>
          <w:szCs w:val="24"/>
        </w:rPr>
      </w:pPr>
      <w:r w:rsidRPr="00DA4F3E">
        <w:rPr>
          <w:rFonts w:ascii="Times New Roman" w:eastAsiaTheme="minorHAnsi" w:hAnsi="Times New Roman" w:cs="Times New Roman"/>
          <w:b w:val="0"/>
          <w:bCs w:val="0"/>
          <w:sz w:val="24"/>
          <w:szCs w:val="24"/>
        </w:rPr>
        <w:t>The bank must have the right to receive any such payments from the guarantor without first having to take legal actions in order to pursue the counterparty for payment.</w:t>
      </w:r>
    </w:p>
    <w:p w:rsidR="00F4698B" w:rsidRPr="00DA4F3E" w:rsidRDefault="00F4698B" w:rsidP="00092425">
      <w:pPr>
        <w:pStyle w:val="ListParagraph"/>
        <w:numPr>
          <w:ilvl w:val="1"/>
          <w:numId w:val="11"/>
        </w:numPr>
        <w:bidi w:val="0"/>
        <w:spacing w:before="240" w:after="240" w:line="276" w:lineRule="auto"/>
        <w:ind w:left="1276" w:hanging="567"/>
        <w:rPr>
          <w:rFonts w:ascii="Times New Roman" w:hAnsi="Times New Roman" w:cs="Times New Roman"/>
          <w:b w:val="0"/>
          <w:bCs w:val="0"/>
          <w:sz w:val="24"/>
          <w:szCs w:val="24"/>
        </w:rPr>
      </w:pPr>
      <w:r w:rsidRPr="00DA4F3E">
        <w:rPr>
          <w:rFonts w:ascii="Times New Roman" w:eastAsiaTheme="minorHAnsi" w:hAnsi="Times New Roman" w:cs="Times New Roman"/>
          <w:b w:val="0"/>
          <w:bCs w:val="0"/>
          <w:sz w:val="24"/>
          <w:szCs w:val="24"/>
        </w:rPr>
        <w:t>The guarantee is an explicitly documented obligation assumed by the guarantor.</w:t>
      </w:r>
    </w:p>
    <w:p w:rsidR="00365454" w:rsidRPr="00DA4F3E" w:rsidRDefault="00F4698B" w:rsidP="00092425">
      <w:pPr>
        <w:pStyle w:val="ListParagraph"/>
        <w:numPr>
          <w:ilvl w:val="1"/>
          <w:numId w:val="11"/>
        </w:numPr>
        <w:bidi w:val="0"/>
        <w:spacing w:before="240" w:after="240" w:line="276" w:lineRule="auto"/>
        <w:ind w:left="1276" w:hanging="567"/>
        <w:rPr>
          <w:rFonts w:ascii="Times New Roman" w:hAnsi="Times New Roman" w:cs="Times New Roman"/>
          <w:b w:val="0"/>
          <w:bCs w:val="0"/>
          <w:sz w:val="24"/>
          <w:szCs w:val="24"/>
        </w:rPr>
      </w:pPr>
      <w:r w:rsidRPr="00DA4F3E">
        <w:rPr>
          <w:rFonts w:ascii="Times New Roman" w:eastAsiaTheme="minorHAnsi" w:hAnsi="Times New Roman" w:cs="Times New Roman"/>
          <w:b w:val="0"/>
          <w:bCs w:val="0"/>
          <w:sz w:val="24"/>
          <w:szCs w:val="24"/>
        </w:rPr>
        <w:t>the guarantee covers all types of payments the underlying obligor is expected to make. Where a guarantee covers payment of principal only, interests and other uncovered payments should be treated as an unsecured amount in accordance with</w:t>
      </w:r>
      <w:r w:rsidR="0049044B" w:rsidRPr="00DA4F3E">
        <w:rPr>
          <w:rFonts w:ascii="Times New Roman" w:eastAsiaTheme="minorHAnsi" w:hAnsi="Times New Roman" w:cs="Times New Roman"/>
          <w:b w:val="0"/>
          <w:bCs w:val="0"/>
          <w:sz w:val="24"/>
          <w:szCs w:val="24"/>
        </w:rPr>
        <w:t xml:space="preserve"> proportional coverage</w:t>
      </w:r>
      <w:r w:rsidRPr="00DA4F3E">
        <w:rPr>
          <w:rFonts w:ascii="Times New Roman" w:eastAsiaTheme="minorHAnsi" w:hAnsi="Times New Roman" w:cs="Times New Roman"/>
          <w:b w:val="0"/>
          <w:bCs w:val="0"/>
          <w:sz w:val="24"/>
          <w:szCs w:val="24"/>
        </w:rPr>
        <w:t xml:space="preserve"> paragraph.</w:t>
      </w:r>
    </w:p>
    <w:p w:rsidR="00092425" w:rsidRPr="00DA4F3E" w:rsidRDefault="00092425" w:rsidP="00092425">
      <w:pPr>
        <w:pStyle w:val="ListParagraph"/>
        <w:bidi w:val="0"/>
        <w:spacing w:before="240" w:after="240" w:line="276" w:lineRule="auto"/>
        <w:ind w:left="1276"/>
        <w:rPr>
          <w:rFonts w:ascii="Times New Roman" w:hAnsi="Times New Roman" w:cs="Times New Roman"/>
          <w:b w:val="0"/>
          <w:bCs w:val="0"/>
          <w:sz w:val="24"/>
          <w:szCs w:val="24"/>
        </w:rPr>
      </w:pPr>
    </w:p>
    <w:p w:rsidR="00365454" w:rsidRPr="00DA4F3E" w:rsidRDefault="00C218E1" w:rsidP="00092425">
      <w:pPr>
        <w:pStyle w:val="ListParagraph"/>
        <w:numPr>
          <w:ilvl w:val="0"/>
          <w:numId w:val="11"/>
        </w:numPr>
        <w:bidi w:val="0"/>
        <w:spacing w:before="240" w:after="240" w:line="276" w:lineRule="auto"/>
        <w:ind w:left="709" w:hanging="567"/>
        <w:rPr>
          <w:rFonts w:ascii="Times New Roman" w:hAnsi="Times New Roman" w:cs="Times New Roman"/>
          <w:sz w:val="24"/>
          <w:szCs w:val="24"/>
        </w:rPr>
      </w:pPr>
      <w:r w:rsidRPr="00DA4F3E">
        <w:rPr>
          <w:rFonts w:ascii="Times New Roman" w:hAnsi="Times New Roman" w:cs="Times New Roman"/>
          <w:sz w:val="24"/>
          <w:szCs w:val="24"/>
        </w:rPr>
        <w:t>Additional Operational Requirements for Credit Derivatives:</w:t>
      </w:r>
    </w:p>
    <w:p w:rsidR="00C218E1" w:rsidRPr="00DA4F3E" w:rsidRDefault="00C218E1" w:rsidP="00092425">
      <w:pPr>
        <w:pStyle w:val="ListParagraph"/>
        <w:numPr>
          <w:ilvl w:val="1"/>
          <w:numId w:val="11"/>
        </w:numPr>
        <w:bidi w:val="0"/>
        <w:spacing w:before="240" w:after="240" w:line="276" w:lineRule="auto"/>
        <w:ind w:left="1276" w:hanging="567"/>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In order for a credit derivative contract to be recognised, the following conditions must be satisfied:</w:t>
      </w:r>
    </w:p>
    <w:p w:rsidR="00C218E1" w:rsidRPr="00DA4F3E" w:rsidRDefault="00C218E1" w:rsidP="00092425">
      <w:pPr>
        <w:pStyle w:val="ListParagraph"/>
        <w:numPr>
          <w:ilvl w:val="2"/>
          <w:numId w:val="11"/>
        </w:numPr>
        <w:bidi w:val="0"/>
        <w:spacing w:before="240" w:after="240" w:line="276" w:lineRule="auto"/>
        <w:ind w:left="2127" w:hanging="851"/>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The credit events specified by the contracting parties must at a minimum cover:</w:t>
      </w:r>
    </w:p>
    <w:p w:rsidR="00C218E1" w:rsidRPr="00DA4F3E" w:rsidRDefault="00092425" w:rsidP="00092425">
      <w:pPr>
        <w:pStyle w:val="ListParagraph"/>
        <w:numPr>
          <w:ilvl w:val="0"/>
          <w:numId w:val="3"/>
        </w:numPr>
        <w:bidi w:val="0"/>
        <w:spacing w:before="240" w:after="240" w:line="276" w:lineRule="auto"/>
        <w:ind w:left="2552" w:hanging="425"/>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lastRenderedPageBreak/>
        <w:t>F</w:t>
      </w:r>
      <w:r w:rsidR="00C218E1" w:rsidRPr="00DA4F3E">
        <w:rPr>
          <w:rFonts w:ascii="Times New Roman" w:eastAsiaTheme="minorHAnsi" w:hAnsi="Times New Roman" w:cs="Times New Roman"/>
          <w:b w:val="0"/>
          <w:bCs w:val="0"/>
          <w:sz w:val="24"/>
          <w:szCs w:val="24"/>
        </w:rPr>
        <w:t>ailure to pay the amounts due under terms of the underlying obligation.</w:t>
      </w:r>
    </w:p>
    <w:p w:rsidR="00C218E1" w:rsidRPr="00DA4F3E" w:rsidRDefault="00092425" w:rsidP="00092425">
      <w:pPr>
        <w:pStyle w:val="ListParagraph"/>
        <w:numPr>
          <w:ilvl w:val="0"/>
          <w:numId w:val="3"/>
        </w:numPr>
        <w:bidi w:val="0"/>
        <w:spacing w:before="240" w:after="240" w:line="276" w:lineRule="auto"/>
        <w:ind w:left="2552" w:hanging="425"/>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B</w:t>
      </w:r>
      <w:r w:rsidR="00C218E1" w:rsidRPr="00DA4F3E">
        <w:rPr>
          <w:rFonts w:ascii="Times New Roman" w:eastAsiaTheme="minorHAnsi" w:hAnsi="Times New Roman" w:cs="Times New Roman"/>
          <w:b w:val="0"/>
          <w:bCs w:val="0"/>
          <w:sz w:val="24"/>
          <w:szCs w:val="24"/>
        </w:rPr>
        <w:t>ankruptcy, insolvency or inability of the obligor to pay its debts, or its failure or admission in writing of its inability generally to pay its debts as they become due.</w:t>
      </w:r>
    </w:p>
    <w:p w:rsidR="00C218E1" w:rsidRPr="00DA4F3E" w:rsidRDefault="00092425" w:rsidP="00092425">
      <w:pPr>
        <w:pStyle w:val="ListParagraph"/>
        <w:numPr>
          <w:ilvl w:val="0"/>
          <w:numId w:val="3"/>
        </w:numPr>
        <w:bidi w:val="0"/>
        <w:spacing w:before="240" w:after="240" w:line="276" w:lineRule="auto"/>
        <w:ind w:left="2552" w:hanging="425"/>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R</w:t>
      </w:r>
      <w:r w:rsidR="00C218E1" w:rsidRPr="00DA4F3E">
        <w:rPr>
          <w:rFonts w:ascii="Times New Roman" w:eastAsiaTheme="minorHAnsi" w:hAnsi="Times New Roman" w:cs="Times New Roman"/>
          <w:b w:val="0"/>
          <w:bCs w:val="0"/>
          <w:sz w:val="24"/>
          <w:szCs w:val="24"/>
        </w:rPr>
        <w:t>estructuring of the underlying obligation involving:</w:t>
      </w:r>
    </w:p>
    <w:p w:rsidR="00C218E1" w:rsidRPr="00DA4F3E" w:rsidRDefault="00092425" w:rsidP="00BA5651">
      <w:pPr>
        <w:pStyle w:val="ListParagraph"/>
        <w:numPr>
          <w:ilvl w:val="0"/>
          <w:numId w:val="45"/>
        </w:numPr>
        <w:bidi w:val="0"/>
        <w:spacing w:before="240" w:after="240" w:line="276" w:lineRule="auto"/>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F</w:t>
      </w:r>
      <w:r w:rsidR="00C218E1" w:rsidRPr="00DA4F3E">
        <w:rPr>
          <w:rFonts w:ascii="Times New Roman" w:eastAsiaTheme="minorHAnsi" w:hAnsi="Times New Roman" w:cs="Times New Roman"/>
          <w:b w:val="0"/>
          <w:bCs w:val="0"/>
          <w:sz w:val="24"/>
          <w:szCs w:val="24"/>
        </w:rPr>
        <w:t xml:space="preserve">orgiveness </w:t>
      </w:r>
      <w:r w:rsidR="00C218E1" w:rsidRPr="00DA4F3E">
        <w:rPr>
          <w:rFonts w:ascii="Times New Roman" w:hAnsi="Times New Roman" w:cs="Times New Roman"/>
          <w:b w:val="0"/>
          <w:bCs w:val="0"/>
          <w:sz w:val="24"/>
          <w:szCs w:val="24"/>
          <w:lang w:val="en"/>
        </w:rPr>
        <w:t xml:space="preserve">from any portion </w:t>
      </w:r>
      <w:r w:rsidR="00C218E1" w:rsidRPr="00DA4F3E">
        <w:rPr>
          <w:rFonts w:ascii="Times New Roman" w:eastAsiaTheme="minorHAnsi" w:hAnsi="Times New Roman" w:cs="Times New Roman"/>
          <w:b w:val="0"/>
          <w:bCs w:val="0"/>
          <w:sz w:val="24"/>
          <w:szCs w:val="24"/>
        </w:rPr>
        <w:t>of principal, interest or fees</w:t>
      </w:r>
      <w:r w:rsidR="009C5A25" w:rsidRPr="00DA4F3E">
        <w:rPr>
          <w:rFonts w:ascii="Times New Roman" w:eastAsiaTheme="minorHAnsi" w:hAnsi="Times New Roman" w:cs="Times New Roman"/>
          <w:b w:val="0"/>
          <w:bCs w:val="0"/>
          <w:sz w:val="24"/>
          <w:szCs w:val="24"/>
        </w:rPr>
        <w:t>.</w:t>
      </w:r>
    </w:p>
    <w:p w:rsidR="009C5A25" w:rsidRPr="00DA4F3E" w:rsidRDefault="00092425" w:rsidP="00BA5651">
      <w:pPr>
        <w:pStyle w:val="ListParagraph"/>
        <w:numPr>
          <w:ilvl w:val="0"/>
          <w:numId w:val="45"/>
        </w:numPr>
        <w:bidi w:val="0"/>
        <w:spacing w:before="240" w:after="240" w:line="276" w:lineRule="auto"/>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C</w:t>
      </w:r>
      <w:r w:rsidR="009C5A25" w:rsidRPr="00DA4F3E">
        <w:rPr>
          <w:rFonts w:ascii="Times New Roman" w:eastAsiaTheme="minorHAnsi" w:hAnsi="Times New Roman" w:cs="Times New Roman"/>
          <w:b w:val="0"/>
          <w:bCs w:val="0"/>
          <w:sz w:val="24"/>
          <w:szCs w:val="24"/>
        </w:rPr>
        <w:t>harge-off specific provision or other similar debit to the profit and loss account.</w:t>
      </w:r>
    </w:p>
    <w:p w:rsidR="009C5A25" w:rsidRPr="00BA5651" w:rsidRDefault="009C5A25" w:rsidP="00BA5651">
      <w:pPr>
        <w:pStyle w:val="ListParagraph"/>
        <w:numPr>
          <w:ilvl w:val="0"/>
          <w:numId w:val="45"/>
        </w:numPr>
        <w:bidi w:val="0"/>
        <w:spacing w:before="240" w:after="240" w:line="276" w:lineRule="auto"/>
        <w:rPr>
          <w:rFonts w:ascii="Times New Roman" w:eastAsiaTheme="minorHAnsi" w:hAnsi="Times New Roman" w:cs="Times New Roman"/>
          <w:b w:val="0"/>
          <w:bCs w:val="0"/>
          <w:sz w:val="24"/>
          <w:szCs w:val="24"/>
        </w:rPr>
      </w:pPr>
      <w:r w:rsidRPr="00BA5651">
        <w:rPr>
          <w:rFonts w:ascii="Times New Roman" w:eastAsiaTheme="minorHAnsi" w:hAnsi="Times New Roman" w:cs="Times New Roman"/>
          <w:b w:val="0"/>
          <w:bCs w:val="0"/>
          <w:sz w:val="24"/>
          <w:szCs w:val="24"/>
        </w:rPr>
        <w:t>When restructuring is not specified as a credit event, refer to section 17.2 below.</w:t>
      </w:r>
    </w:p>
    <w:p w:rsidR="00C218E1" w:rsidRPr="00DA4F3E" w:rsidRDefault="009C5A25" w:rsidP="00D07E53">
      <w:pPr>
        <w:pStyle w:val="ListParagraph"/>
        <w:numPr>
          <w:ilvl w:val="2"/>
          <w:numId w:val="11"/>
        </w:numPr>
        <w:bidi w:val="0"/>
        <w:spacing w:before="240" w:after="240" w:line="276" w:lineRule="auto"/>
        <w:ind w:left="2127" w:hanging="851"/>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 xml:space="preserve">If the credit derivative covers obligations that do not include the underlying obligation, </w:t>
      </w:r>
      <w:r w:rsidR="00D07E53">
        <w:rPr>
          <w:rFonts w:ascii="Times New Roman" w:eastAsiaTheme="minorHAnsi" w:hAnsi="Times New Roman" w:cs="Times New Roman"/>
          <w:b w:val="0"/>
          <w:bCs w:val="0"/>
          <w:sz w:val="24"/>
          <w:szCs w:val="24"/>
        </w:rPr>
        <w:t>paragraph</w:t>
      </w:r>
      <w:r w:rsidR="00D07E53" w:rsidRPr="00DA4F3E">
        <w:rPr>
          <w:rFonts w:ascii="Times New Roman" w:eastAsiaTheme="minorHAnsi" w:hAnsi="Times New Roman" w:cs="Times New Roman"/>
          <w:b w:val="0"/>
          <w:bCs w:val="0"/>
          <w:sz w:val="24"/>
          <w:szCs w:val="24"/>
        </w:rPr>
        <w:t xml:space="preserve"> </w:t>
      </w:r>
      <w:r w:rsidRPr="00DA4F3E">
        <w:rPr>
          <w:rFonts w:ascii="Times New Roman" w:eastAsiaTheme="minorHAnsi" w:hAnsi="Times New Roman" w:cs="Times New Roman"/>
          <w:b w:val="0"/>
          <w:bCs w:val="0"/>
          <w:sz w:val="24"/>
          <w:szCs w:val="24"/>
        </w:rPr>
        <w:t>(17.1.7) below governs whether the asset mismatch is permissible.</w:t>
      </w:r>
    </w:p>
    <w:p w:rsidR="009C5A25" w:rsidRPr="00DA4F3E" w:rsidRDefault="009C5A25" w:rsidP="00092425">
      <w:pPr>
        <w:pStyle w:val="ListParagraph"/>
        <w:numPr>
          <w:ilvl w:val="2"/>
          <w:numId w:val="11"/>
        </w:numPr>
        <w:bidi w:val="0"/>
        <w:spacing w:before="240" w:after="240" w:line="276" w:lineRule="auto"/>
        <w:ind w:left="2127" w:hanging="851"/>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The credit derivative shall not terminate prior to expiration of any grace period required for a default on the underlying obligation to occur as a result of a failure to pay, subject to the provisions of paragraph 24 (Maturity mismatches).</w:t>
      </w:r>
    </w:p>
    <w:p w:rsidR="009C5A25" w:rsidRPr="00DA4F3E" w:rsidRDefault="009C5A25" w:rsidP="00D07E53">
      <w:pPr>
        <w:pStyle w:val="ListParagraph"/>
        <w:numPr>
          <w:ilvl w:val="2"/>
          <w:numId w:val="11"/>
        </w:numPr>
        <w:bidi w:val="0"/>
        <w:spacing w:before="240" w:after="240" w:line="276" w:lineRule="auto"/>
        <w:ind w:left="2127" w:hanging="851"/>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 xml:space="preserve">Credit derivatives allowing for cash settlement are recognised for capital purposes insofar as a robust valuation process is in place in order to estimate loss reliably. There must be a clearly specified period for obtaining post-credit-event valuations of the underlying obligation. If the reference obligation specified in the credit derivative for purposes of cash settlement is different than the underlying obligation, </w:t>
      </w:r>
      <w:r w:rsidR="00D07E53">
        <w:rPr>
          <w:rFonts w:ascii="Times New Roman" w:eastAsiaTheme="minorHAnsi" w:hAnsi="Times New Roman" w:cs="Times New Roman"/>
          <w:b w:val="0"/>
          <w:bCs w:val="0"/>
          <w:sz w:val="24"/>
          <w:szCs w:val="24"/>
        </w:rPr>
        <w:t>paragraph</w:t>
      </w:r>
      <w:r w:rsidRPr="00DA4F3E">
        <w:rPr>
          <w:rFonts w:ascii="Times New Roman" w:eastAsiaTheme="minorHAnsi" w:hAnsi="Times New Roman" w:cs="Times New Roman"/>
          <w:b w:val="0"/>
          <w:bCs w:val="0"/>
          <w:sz w:val="24"/>
          <w:szCs w:val="24"/>
        </w:rPr>
        <w:t xml:space="preserve"> (</w:t>
      </w:r>
      <w:r w:rsidR="000A7EC8" w:rsidRPr="00DA4F3E">
        <w:rPr>
          <w:rFonts w:ascii="Times New Roman" w:eastAsiaTheme="minorHAnsi" w:hAnsi="Times New Roman" w:cs="Times New Roman"/>
          <w:b w:val="0"/>
          <w:bCs w:val="0"/>
          <w:sz w:val="24"/>
          <w:szCs w:val="24"/>
        </w:rPr>
        <w:t>17.1.7</w:t>
      </w:r>
      <w:r w:rsidRPr="00DA4F3E">
        <w:rPr>
          <w:rFonts w:ascii="Times New Roman" w:eastAsiaTheme="minorHAnsi" w:hAnsi="Times New Roman" w:cs="Times New Roman"/>
          <w:b w:val="0"/>
          <w:bCs w:val="0"/>
          <w:sz w:val="24"/>
          <w:szCs w:val="24"/>
        </w:rPr>
        <w:t>) below governs whether the asset mismatch is permissible.</w:t>
      </w:r>
    </w:p>
    <w:p w:rsidR="005447AC" w:rsidRPr="00DA4F3E" w:rsidRDefault="00814F7A" w:rsidP="00092425">
      <w:pPr>
        <w:pStyle w:val="ListParagraph"/>
        <w:numPr>
          <w:ilvl w:val="2"/>
          <w:numId w:val="11"/>
        </w:numPr>
        <w:bidi w:val="0"/>
        <w:spacing w:before="240" w:after="240" w:line="276" w:lineRule="auto"/>
        <w:ind w:left="2127" w:hanging="851"/>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If the protection purchaser’s right/ability to transfer the underlying obligation to the protection provider is required for settlement, the terms of the underlying obligation must provide that any required consent to such transfer may not be unreasonably withheld.</w:t>
      </w:r>
    </w:p>
    <w:p w:rsidR="00814F7A" w:rsidRPr="00DA4F3E" w:rsidRDefault="00814F7A" w:rsidP="00092425">
      <w:pPr>
        <w:pStyle w:val="ListParagraph"/>
        <w:numPr>
          <w:ilvl w:val="2"/>
          <w:numId w:val="11"/>
        </w:numPr>
        <w:bidi w:val="0"/>
        <w:spacing w:before="240" w:after="240" w:line="276" w:lineRule="auto"/>
        <w:ind w:left="2127" w:hanging="851"/>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The identity of the parties responsible for determining whether a credit event has occurred must be clearly defined. This determination must not be the sole responsibility of the protection seller. The protection buyer must have the right/ability to inform the protection provider of the occurrence of a credit event.</w:t>
      </w:r>
    </w:p>
    <w:p w:rsidR="00814F7A" w:rsidRPr="00DA4F3E" w:rsidRDefault="00814F7A" w:rsidP="00092425">
      <w:pPr>
        <w:pStyle w:val="ListParagraph"/>
        <w:numPr>
          <w:ilvl w:val="2"/>
          <w:numId w:val="11"/>
        </w:numPr>
        <w:bidi w:val="0"/>
        <w:spacing w:before="240" w:after="240" w:line="276" w:lineRule="auto"/>
        <w:ind w:left="2127" w:hanging="851"/>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A mismatch between the underlying obligation and the reference obligation under the credit derivative (i.e. the obligation used for purposes of determining cash settlement value or the deliverable obligation) is permissible if:</w:t>
      </w:r>
    </w:p>
    <w:p w:rsidR="00814F7A" w:rsidRPr="00DA4F3E" w:rsidRDefault="00814F7A" w:rsidP="00D07E53">
      <w:pPr>
        <w:pStyle w:val="ListParagraph"/>
        <w:numPr>
          <w:ilvl w:val="0"/>
          <w:numId w:val="3"/>
        </w:numPr>
        <w:bidi w:val="0"/>
        <w:spacing w:before="240" w:after="240" w:line="276" w:lineRule="auto"/>
        <w:ind w:left="2552" w:hanging="425"/>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The reference obligation ranks pari passu with or is junior to the underlying obligation.</w:t>
      </w:r>
    </w:p>
    <w:p w:rsidR="00814F7A" w:rsidRPr="00DA4F3E" w:rsidRDefault="00092425" w:rsidP="00D07E53">
      <w:pPr>
        <w:pStyle w:val="ListParagraph"/>
        <w:numPr>
          <w:ilvl w:val="0"/>
          <w:numId w:val="3"/>
        </w:numPr>
        <w:bidi w:val="0"/>
        <w:spacing w:before="240" w:after="240" w:line="276" w:lineRule="auto"/>
        <w:ind w:left="2552" w:hanging="425"/>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lastRenderedPageBreak/>
        <w:t>T</w:t>
      </w:r>
      <w:r w:rsidR="00814F7A" w:rsidRPr="00DA4F3E">
        <w:rPr>
          <w:rFonts w:ascii="Times New Roman" w:eastAsiaTheme="minorHAnsi" w:hAnsi="Times New Roman" w:cs="Times New Roman"/>
          <w:b w:val="0"/>
          <w:bCs w:val="0"/>
          <w:sz w:val="24"/>
          <w:szCs w:val="24"/>
        </w:rPr>
        <w:t>he underlying obligation and reference obligation share the same obligor and legally enforceable cross-default or cross-acceleration clauses are in place.</w:t>
      </w:r>
    </w:p>
    <w:p w:rsidR="00814F7A" w:rsidRPr="00DA4F3E" w:rsidRDefault="00AA4B5E" w:rsidP="00092425">
      <w:pPr>
        <w:pStyle w:val="ListParagraph"/>
        <w:numPr>
          <w:ilvl w:val="2"/>
          <w:numId w:val="11"/>
        </w:numPr>
        <w:bidi w:val="0"/>
        <w:spacing w:before="240" w:after="240" w:line="276" w:lineRule="auto"/>
        <w:ind w:left="2127" w:hanging="851"/>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A mismatch between the underlying obligation and the obligation used for purposes of determining whether a credit event has occurred is permissible if:</w:t>
      </w:r>
    </w:p>
    <w:p w:rsidR="00AA4B5E" w:rsidRPr="00DA4F3E" w:rsidRDefault="00D07E53" w:rsidP="00D07E53">
      <w:pPr>
        <w:pStyle w:val="ListParagraph"/>
        <w:numPr>
          <w:ilvl w:val="0"/>
          <w:numId w:val="3"/>
        </w:numPr>
        <w:bidi w:val="0"/>
        <w:spacing w:before="240" w:after="240" w:line="276" w:lineRule="auto"/>
        <w:ind w:left="2552" w:hanging="425"/>
        <w:rPr>
          <w:rFonts w:ascii="Times New Roman" w:eastAsiaTheme="minorHAnsi" w:hAnsi="Times New Roman" w:cs="Times New Roman"/>
          <w:b w:val="0"/>
          <w:bCs w:val="0"/>
          <w:sz w:val="24"/>
          <w:szCs w:val="24"/>
        </w:rPr>
      </w:pPr>
      <w:r>
        <w:rPr>
          <w:rFonts w:ascii="Times New Roman" w:eastAsiaTheme="minorHAnsi" w:hAnsi="Times New Roman" w:cs="Times New Roman"/>
          <w:b w:val="0"/>
          <w:bCs w:val="0"/>
          <w:sz w:val="24"/>
          <w:szCs w:val="24"/>
        </w:rPr>
        <w:t>T</w:t>
      </w:r>
      <w:r w:rsidR="00AA4B5E" w:rsidRPr="00DA4F3E">
        <w:rPr>
          <w:rFonts w:ascii="Times New Roman" w:eastAsiaTheme="minorHAnsi" w:hAnsi="Times New Roman" w:cs="Times New Roman"/>
          <w:b w:val="0"/>
          <w:bCs w:val="0"/>
          <w:sz w:val="24"/>
          <w:szCs w:val="24"/>
        </w:rPr>
        <w:t>he latter obligation ranks pari passu with or is junior to the underlying obligation.</w:t>
      </w:r>
    </w:p>
    <w:p w:rsidR="00AA4B5E" w:rsidRPr="00DA4F3E" w:rsidRDefault="00D07E53" w:rsidP="00D07E53">
      <w:pPr>
        <w:pStyle w:val="ListParagraph"/>
        <w:numPr>
          <w:ilvl w:val="0"/>
          <w:numId w:val="3"/>
        </w:numPr>
        <w:bidi w:val="0"/>
        <w:spacing w:before="240" w:after="240" w:line="276" w:lineRule="auto"/>
        <w:ind w:left="2552" w:hanging="425"/>
        <w:rPr>
          <w:rFonts w:ascii="Times New Roman" w:eastAsiaTheme="minorHAnsi" w:hAnsi="Times New Roman" w:cs="Times New Roman"/>
          <w:b w:val="0"/>
          <w:bCs w:val="0"/>
          <w:sz w:val="24"/>
          <w:szCs w:val="24"/>
        </w:rPr>
      </w:pPr>
      <w:r>
        <w:rPr>
          <w:rFonts w:ascii="Times New Roman" w:eastAsiaTheme="minorHAnsi" w:hAnsi="Times New Roman" w:cs="Times New Roman"/>
          <w:b w:val="0"/>
          <w:bCs w:val="0"/>
          <w:sz w:val="24"/>
          <w:szCs w:val="24"/>
        </w:rPr>
        <w:t>T</w:t>
      </w:r>
      <w:r w:rsidR="00AA4B5E" w:rsidRPr="00DA4F3E">
        <w:rPr>
          <w:rFonts w:ascii="Times New Roman" w:eastAsiaTheme="minorHAnsi" w:hAnsi="Times New Roman" w:cs="Times New Roman"/>
          <w:b w:val="0"/>
          <w:bCs w:val="0"/>
          <w:sz w:val="24"/>
          <w:szCs w:val="24"/>
        </w:rPr>
        <w:t>he underlying obligation and reference oblig</w:t>
      </w:r>
      <w:r>
        <w:rPr>
          <w:rFonts w:ascii="Times New Roman" w:eastAsiaTheme="minorHAnsi" w:hAnsi="Times New Roman" w:cs="Times New Roman"/>
          <w:b w:val="0"/>
          <w:bCs w:val="0"/>
          <w:sz w:val="24"/>
          <w:szCs w:val="24"/>
        </w:rPr>
        <w:t>ation share the same obligor</w:t>
      </w:r>
      <w:r w:rsidR="00AA4B5E" w:rsidRPr="00DA4F3E">
        <w:rPr>
          <w:rFonts w:ascii="Times New Roman" w:eastAsiaTheme="minorHAnsi" w:hAnsi="Times New Roman" w:cs="Times New Roman"/>
          <w:b w:val="0"/>
          <w:bCs w:val="0"/>
          <w:sz w:val="24"/>
          <w:szCs w:val="24"/>
        </w:rPr>
        <w:t xml:space="preserve"> and legally enforceable cross-default or cross-acceleration clauses are in place.</w:t>
      </w:r>
    </w:p>
    <w:p w:rsidR="00C218E1" w:rsidRPr="00DA4F3E" w:rsidRDefault="00A81ECC" w:rsidP="00D07E53">
      <w:pPr>
        <w:pStyle w:val="ListParagraph"/>
        <w:numPr>
          <w:ilvl w:val="1"/>
          <w:numId w:val="11"/>
        </w:numPr>
        <w:bidi w:val="0"/>
        <w:spacing w:before="240" w:after="240" w:line="276" w:lineRule="auto"/>
        <w:ind w:left="1276" w:hanging="567"/>
        <w:rPr>
          <w:rFonts w:ascii="Times New Roman" w:hAnsi="Times New Roman" w:cs="Times New Roman"/>
          <w:b w:val="0"/>
          <w:bCs w:val="0"/>
          <w:sz w:val="24"/>
          <w:szCs w:val="24"/>
        </w:rPr>
      </w:pPr>
      <w:r w:rsidRPr="00DA4F3E">
        <w:rPr>
          <w:rFonts w:ascii="Times New Roman" w:eastAsiaTheme="minorHAnsi" w:hAnsi="Times New Roman" w:cs="Times New Roman"/>
          <w:b w:val="0"/>
          <w:bCs w:val="0"/>
          <w:sz w:val="24"/>
          <w:szCs w:val="24"/>
        </w:rPr>
        <w:t xml:space="preserve">When the restructuring of the underlying obligation is not covered by the credit derivative, but the other requirements in </w:t>
      </w:r>
      <w:r w:rsidR="00D07E53">
        <w:rPr>
          <w:rFonts w:ascii="Times New Roman" w:eastAsiaTheme="minorHAnsi" w:hAnsi="Times New Roman" w:cs="Times New Roman"/>
          <w:b w:val="0"/>
          <w:bCs w:val="0"/>
          <w:sz w:val="24"/>
          <w:szCs w:val="24"/>
        </w:rPr>
        <w:t>paragraph</w:t>
      </w:r>
      <w:r w:rsidR="00D07E53" w:rsidRPr="00DA4F3E">
        <w:rPr>
          <w:rFonts w:ascii="Times New Roman" w:eastAsiaTheme="minorHAnsi" w:hAnsi="Times New Roman" w:cs="Times New Roman"/>
          <w:b w:val="0"/>
          <w:bCs w:val="0"/>
          <w:sz w:val="24"/>
          <w:szCs w:val="24"/>
        </w:rPr>
        <w:t xml:space="preserve"> </w:t>
      </w:r>
      <w:r w:rsidRPr="00DA4F3E">
        <w:rPr>
          <w:rFonts w:ascii="Times New Roman" w:eastAsiaTheme="minorHAnsi" w:hAnsi="Times New Roman" w:cs="Times New Roman"/>
          <w:b w:val="0"/>
          <w:bCs w:val="0"/>
          <w:sz w:val="24"/>
          <w:szCs w:val="24"/>
        </w:rPr>
        <w:t xml:space="preserve">(17.1.3) are met, partial recognition of the credit derivative will be allowed, </w:t>
      </w:r>
      <w:r w:rsidRPr="00DA4F3E">
        <w:rPr>
          <w:rFonts w:ascii="Times New Roman" w:hAnsi="Times New Roman" w:cs="Times New Roman"/>
          <w:b w:val="0"/>
          <w:bCs w:val="0"/>
          <w:sz w:val="24"/>
          <w:szCs w:val="24"/>
          <w:lang w:val="en"/>
        </w:rPr>
        <w:t>as follows:</w:t>
      </w:r>
    </w:p>
    <w:p w:rsidR="00A81ECC" w:rsidRPr="00DA4F3E" w:rsidRDefault="00A81ECC" w:rsidP="00811380">
      <w:pPr>
        <w:pStyle w:val="ListParagraph"/>
        <w:numPr>
          <w:ilvl w:val="2"/>
          <w:numId w:val="11"/>
        </w:numPr>
        <w:bidi w:val="0"/>
        <w:spacing w:before="240" w:after="240" w:line="276" w:lineRule="auto"/>
        <w:ind w:left="2127" w:hanging="851"/>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If the amount of the credit derivative is less than or equal to the amount of the underlying obligation, 60% of the amount of the hedge can be recognised as covered.</w:t>
      </w:r>
    </w:p>
    <w:p w:rsidR="00A81ECC" w:rsidRPr="00DA4F3E" w:rsidRDefault="00A81ECC" w:rsidP="00811380">
      <w:pPr>
        <w:pStyle w:val="ListParagraph"/>
        <w:numPr>
          <w:ilvl w:val="2"/>
          <w:numId w:val="11"/>
        </w:numPr>
        <w:bidi w:val="0"/>
        <w:spacing w:before="240" w:after="240" w:line="276" w:lineRule="auto"/>
        <w:ind w:left="2127" w:hanging="851"/>
        <w:rPr>
          <w:rFonts w:ascii="Times New Roman" w:hAnsi="Times New Roman" w:cs="Times New Roman"/>
          <w:b w:val="0"/>
          <w:bCs w:val="0"/>
          <w:sz w:val="24"/>
          <w:szCs w:val="24"/>
        </w:rPr>
      </w:pPr>
      <w:r w:rsidRPr="00DA4F3E">
        <w:rPr>
          <w:rFonts w:ascii="Times New Roman" w:eastAsiaTheme="minorHAnsi" w:hAnsi="Times New Roman" w:cs="Times New Roman"/>
          <w:b w:val="0"/>
          <w:bCs w:val="0"/>
          <w:sz w:val="24"/>
          <w:szCs w:val="24"/>
        </w:rPr>
        <w:t>If the amount of the credit derivative is larger than that of the underlying obligation, then the amount of eligible hedge is capped at 60% of the amount of the underlying obligation.</w:t>
      </w:r>
    </w:p>
    <w:p w:rsidR="00A81ECC" w:rsidRPr="00DA4F3E" w:rsidRDefault="00A81ECC" w:rsidP="00811380">
      <w:pPr>
        <w:pStyle w:val="ListParagraph"/>
        <w:numPr>
          <w:ilvl w:val="1"/>
          <w:numId w:val="11"/>
        </w:numPr>
        <w:bidi w:val="0"/>
        <w:spacing w:before="240" w:after="240" w:line="276" w:lineRule="auto"/>
        <w:ind w:left="1276" w:hanging="567"/>
        <w:rPr>
          <w:rFonts w:ascii="Times New Roman" w:hAnsi="Times New Roman" w:cs="Times New Roman"/>
          <w:b w:val="0"/>
          <w:bCs w:val="0"/>
          <w:sz w:val="24"/>
          <w:szCs w:val="24"/>
        </w:rPr>
      </w:pPr>
      <w:r w:rsidRPr="00DA4F3E">
        <w:rPr>
          <w:rFonts w:ascii="Times New Roman" w:eastAsiaTheme="minorHAnsi" w:hAnsi="Times New Roman" w:cs="Times New Roman"/>
          <w:b w:val="0"/>
          <w:bCs w:val="0"/>
          <w:sz w:val="24"/>
          <w:szCs w:val="24"/>
        </w:rPr>
        <w:t>Only credit default swaps and total return swaps that provide credit protection equivalent to guarantees will be eligible for recognition. The following exception applies:</w:t>
      </w:r>
    </w:p>
    <w:p w:rsidR="00A81ECC" w:rsidRPr="00DA4F3E" w:rsidRDefault="00A81ECC" w:rsidP="00811380">
      <w:pPr>
        <w:pStyle w:val="ListParagraph"/>
        <w:numPr>
          <w:ilvl w:val="2"/>
          <w:numId w:val="11"/>
        </w:numPr>
        <w:bidi w:val="0"/>
        <w:spacing w:before="240" w:after="240" w:line="276" w:lineRule="auto"/>
        <w:ind w:left="2127" w:hanging="851"/>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Where a bank buys credit protection through a total return swap and records the net payments received on the swap as net income, but does not record offsetting deterioration in the value of the asset that is protected (either through reductions in fair value or by an addition to reserves).</w:t>
      </w:r>
    </w:p>
    <w:p w:rsidR="00A81ECC" w:rsidRPr="00DA4F3E" w:rsidRDefault="00A81ECC" w:rsidP="00811380">
      <w:pPr>
        <w:pStyle w:val="ListParagraph"/>
        <w:numPr>
          <w:ilvl w:val="2"/>
          <w:numId w:val="11"/>
        </w:numPr>
        <w:bidi w:val="0"/>
        <w:spacing w:before="240" w:after="240" w:line="276" w:lineRule="auto"/>
        <w:ind w:left="2127" w:hanging="851"/>
        <w:rPr>
          <w:rFonts w:ascii="Times New Roman" w:hAnsi="Times New Roman" w:cs="Times New Roman"/>
          <w:b w:val="0"/>
          <w:bCs w:val="0"/>
          <w:sz w:val="24"/>
          <w:szCs w:val="24"/>
        </w:rPr>
      </w:pPr>
      <w:r w:rsidRPr="00DA4F3E">
        <w:rPr>
          <w:rFonts w:ascii="Times New Roman" w:eastAsiaTheme="minorHAnsi" w:hAnsi="Times New Roman" w:cs="Times New Roman"/>
          <w:b w:val="0"/>
          <w:bCs w:val="0"/>
          <w:sz w:val="24"/>
          <w:szCs w:val="24"/>
        </w:rPr>
        <w:t xml:space="preserve">The treatment of first-to-default and second-to-default products is covered separately in paragraphs </w:t>
      </w:r>
      <w:r w:rsidR="001018B3" w:rsidRPr="00DA4F3E">
        <w:rPr>
          <w:rFonts w:ascii="Times New Roman" w:eastAsiaTheme="minorHAnsi" w:hAnsi="Times New Roman" w:cs="Times New Roman"/>
          <w:b w:val="0"/>
          <w:bCs w:val="0"/>
          <w:sz w:val="24"/>
          <w:szCs w:val="24"/>
        </w:rPr>
        <w:t>27.2 and 27.3 (First-to-default credit derivatives and Second-to-default credit derivatives).</w:t>
      </w:r>
    </w:p>
    <w:p w:rsidR="00A81ECC" w:rsidRPr="00DA4F3E" w:rsidRDefault="001018B3" w:rsidP="00811380">
      <w:pPr>
        <w:pStyle w:val="ListParagraph"/>
        <w:numPr>
          <w:ilvl w:val="1"/>
          <w:numId w:val="11"/>
        </w:numPr>
        <w:bidi w:val="0"/>
        <w:spacing w:before="240" w:after="240" w:line="276" w:lineRule="auto"/>
        <w:ind w:left="1276" w:hanging="567"/>
        <w:rPr>
          <w:rFonts w:ascii="Times New Roman" w:hAnsi="Times New Roman" w:cs="Times New Roman"/>
          <w:b w:val="0"/>
          <w:bCs w:val="0"/>
          <w:sz w:val="24"/>
          <w:szCs w:val="24"/>
        </w:rPr>
      </w:pPr>
      <w:r w:rsidRPr="00DA4F3E">
        <w:rPr>
          <w:rFonts w:ascii="Times New Roman" w:eastAsiaTheme="minorHAnsi" w:hAnsi="Times New Roman" w:cs="Times New Roman"/>
          <w:b w:val="0"/>
          <w:bCs w:val="0"/>
          <w:sz w:val="24"/>
          <w:szCs w:val="24"/>
        </w:rPr>
        <w:t>Other types of credit derivatives will not be eligible for recognition.</w:t>
      </w:r>
    </w:p>
    <w:p w:rsidR="00811380" w:rsidRPr="0039291D" w:rsidRDefault="00811380" w:rsidP="00811380">
      <w:pPr>
        <w:pStyle w:val="ListParagraph"/>
        <w:bidi w:val="0"/>
        <w:spacing w:before="240" w:after="240" w:line="276" w:lineRule="auto"/>
        <w:ind w:left="1276"/>
        <w:rPr>
          <w:rFonts w:ascii="Times New Roman" w:hAnsi="Times New Roman" w:cs="Times New Roman"/>
          <w:b w:val="0"/>
          <w:bCs w:val="0"/>
          <w:sz w:val="16"/>
          <w:szCs w:val="16"/>
        </w:rPr>
      </w:pPr>
    </w:p>
    <w:p w:rsidR="00C218E1" w:rsidRPr="00DA4F3E" w:rsidRDefault="00C84046" w:rsidP="00003019">
      <w:pPr>
        <w:pStyle w:val="ListParagraph"/>
        <w:numPr>
          <w:ilvl w:val="0"/>
          <w:numId w:val="11"/>
        </w:numPr>
        <w:bidi w:val="0"/>
        <w:spacing w:before="240" w:after="240" w:line="276" w:lineRule="auto"/>
        <w:ind w:left="709" w:hanging="567"/>
        <w:rPr>
          <w:rFonts w:ascii="Times New Roman" w:hAnsi="Times New Roman" w:cs="Times New Roman"/>
          <w:sz w:val="24"/>
          <w:szCs w:val="24"/>
        </w:rPr>
      </w:pPr>
      <w:r w:rsidRPr="00DA4F3E">
        <w:rPr>
          <w:rFonts w:ascii="Times New Roman" w:eastAsiaTheme="minorHAnsi" w:hAnsi="Times New Roman" w:cs="Times New Roman"/>
          <w:sz w:val="24"/>
          <w:szCs w:val="24"/>
        </w:rPr>
        <w:t xml:space="preserve">Range of eligible guarantors </w:t>
      </w:r>
    </w:p>
    <w:p w:rsidR="00C84046" w:rsidRPr="00DA4F3E" w:rsidRDefault="00C84046" w:rsidP="00811380">
      <w:pPr>
        <w:pStyle w:val="ListParagraph"/>
        <w:bidi w:val="0"/>
        <w:spacing w:before="240" w:after="240" w:line="276" w:lineRule="auto"/>
        <w:ind w:left="1080" w:hanging="371"/>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Credit protection given by the following entities will be recognised:</w:t>
      </w:r>
    </w:p>
    <w:p w:rsidR="00C84046" w:rsidRPr="00DA4F3E" w:rsidRDefault="00811380" w:rsidP="00811380">
      <w:pPr>
        <w:pStyle w:val="ListParagraph"/>
        <w:numPr>
          <w:ilvl w:val="1"/>
          <w:numId w:val="11"/>
        </w:numPr>
        <w:bidi w:val="0"/>
        <w:spacing w:before="240" w:after="240" w:line="276" w:lineRule="auto"/>
        <w:ind w:left="1276" w:hanging="567"/>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S</w:t>
      </w:r>
      <w:r w:rsidR="00C84046" w:rsidRPr="00DA4F3E">
        <w:rPr>
          <w:rFonts w:ascii="Times New Roman" w:eastAsiaTheme="minorHAnsi" w:hAnsi="Times New Roman" w:cs="Times New Roman"/>
          <w:b w:val="0"/>
          <w:bCs w:val="0"/>
          <w:sz w:val="24"/>
          <w:szCs w:val="24"/>
        </w:rPr>
        <w:t>overeign entities and PSEs.</w:t>
      </w:r>
    </w:p>
    <w:p w:rsidR="00C84046" w:rsidRPr="00DA4F3E" w:rsidRDefault="00B7371E" w:rsidP="00003019">
      <w:pPr>
        <w:pStyle w:val="ListParagraph"/>
        <w:numPr>
          <w:ilvl w:val="1"/>
          <w:numId w:val="11"/>
        </w:numPr>
        <w:bidi w:val="0"/>
        <w:spacing w:before="240" w:after="240" w:line="276" w:lineRule="auto"/>
        <w:ind w:left="1276" w:hanging="567"/>
        <w:rPr>
          <w:rFonts w:ascii="Times New Roman" w:hAnsi="Times New Roman" w:cs="Times New Roman"/>
          <w:b w:val="0"/>
          <w:bCs w:val="0"/>
          <w:sz w:val="24"/>
          <w:szCs w:val="24"/>
        </w:rPr>
      </w:pPr>
      <w:r w:rsidRPr="00DA4F3E">
        <w:rPr>
          <w:rFonts w:ascii="Times New Roman" w:eastAsiaTheme="minorHAnsi" w:hAnsi="Times New Roman" w:cs="Times New Roman"/>
          <w:b w:val="0"/>
          <w:bCs w:val="0"/>
          <w:sz w:val="24"/>
          <w:szCs w:val="24"/>
        </w:rPr>
        <w:t xml:space="preserve">Banks, other MDBs and securities firms with a lower risk weight than the </w:t>
      </w:r>
      <w:r w:rsidR="00003019" w:rsidRPr="00DA4F3E">
        <w:rPr>
          <w:rFonts w:ascii="Times New Roman" w:eastAsiaTheme="minorHAnsi" w:hAnsi="Times New Roman" w:cs="Times New Roman"/>
          <w:b w:val="0"/>
          <w:bCs w:val="0"/>
          <w:sz w:val="24"/>
          <w:szCs w:val="24"/>
        </w:rPr>
        <w:t>obligor</w:t>
      </w:r>
      <w:r w:rsidRPr="00DA4F3E">
        <w:rPr>
          <w:rFonts w:ascii="Times New Roman" w:eastAsiaTheme="minorHAnsi" w:hAnsi="Times New Roman" w:cs="Times New Roman"/>
          <w:b w:val="0"/>
          <w:bCs w:val="0"/>
          <w:sz w:val="24"/>
          <w:szCs w:val="24"/>
        </w:rPr>
        <w:t>.</w:t>
      </w:r>
    </w:p>
    <w:p w:rsidR="00B7371E" w:rsidRPr="00DA4F3E" w:rsidRDefault="00811380" w:rsidP="00811380">
      <w:pPr>
        <w:pStyle w:val="ListParagraph"/>
        <w:numPr>
          <w:ilvl w:val="1"/>
          <w:numId w:val="11"/>
        </w:numPr>
        <w:bidi w:val="0"/>
        <w:spacing w:before="240" w:after="240" w:line="276" w:lineRule="auto"/>
        <w:ind w:left="1276" w:hanging="567"/>
        <w:rPr>
          <w:rFonts w:ascii="Times New Roman" w:hAnsi="Times New Roman" w:cs="Times New Roman"/>
          <w:b w:val="0"/>
          <w:bCs w:val="0"/>
          <w:sz w:val="24"/>
          <w:szCs w:val="24"/>
        </w:rPr>
      </w:pPr>
      <w:r w:rsidRPr="00DA4F3E">
        <w:rPr>
          <w:rFonts w:ascii="Times New Roman" w:eastAsiaTheme="minorHAnsi" w:hAnsi="Times New Roman" w:cs="Times New Roman"/>
          <w:b w:val="0"/>
          <w:bCs w:val="0"/>
          <w:sz w:val="24"/>
          <w:szCs w:val="24"/>
        </w:rPr>
        <w:t>T</w:t>
      </w:r>
      <w:r w:rsidR="00B7371E" w:rsidRPr="00DA4F3E">
        <w:rPr>
          <w:rFonts w:ascii="Times New Roman" w:eastAsiaTheme="minorHAnsi" w:hAnsi="Times New Roman" w:cs="Times New Roman"/>
          <w:b w:val="0"/>
          <w:bCs w:val="0"/>
          <w:sz w:val="24"/>
          <w:szCs w:val="24"/>
        </w:rPr>
        <w:t>he Bank for International Settlements, the International Monetary Fund, the European Central Bank and the European Community.</w:t>
      </w:r>
    </w:p>
    <w:p w:rsidR="00B7371E" w:rsidRPr="00DA4F3E" w:rsidRDefault="00B7371E" w:rsidP="00811380">
      <w:pPr>
        <w:pStyle w:val="ListParagraph"/>
        <w:numPr>
          <w:ilvl w:val="1"/>
          <w:numId w:val="11"/>
        </w:numPr>
        <w:bidi w:val="0"/>
        <w:spacing w:before="240" w:after="240" w:line="276" w:lineRule="auto"/>
        <w:ind w:left="1276" w:hanging="567"/>
        <w:rPr>
          <w:rFonts w:ascii="Times New Roman" w:hAnsi="Times New Roman" w:cs="Times New Roman"/>
          <w:b w:val="0"/>
          <w:bCs w:val="0"/>
          <w:sz w:val="24"/>
          <w:szCs w:val="24"/>
        </w:rPr>
      </w:pPr>
      <w:r w:rsidRPr="00DA4F3E">
        <w:rPr>
          <w:rFonts w:ascii="Times New Roman" w:eastAsiaTheme="minorHAnsi" w:hAnsi="Times New Roman" w:cs="Times New Roman"/>
          <w:b w:val="0"/>
          <w:bCs w:val="0"/>
          <w:sz w:val="24"/>
          <w:szCs w:val="24"/>
        </w:rPr>
        <w:t>MDBs eligible for a 0% risk weight.</w:t>
      </w:r>
    </w:p>
    <w:p w:rsidR="00B7371E" w:rsidRPr="00F1087B" w:rsidRDefault="00811380" w:rsidP="00811380">
      <w:pPr>
        <w:pStyle w:val="ListParagraph"/>
        <w:numPr>
          <w:ilvl w:val="1"/>
          <w:numId w:val="11"/>
        </w:numPr>
        <w:bidi w:val="0"/>
        <w:spacing w:before="240" w:after="240" w:line="276" w:lineRule="auto"/>
        <w:ind w:left="1276" w:hanging="567"/>
        <w:rPr>
          <w:rFonts w:ascii="Times New Roman" w:hAnsi="Times New Roman" w:cs="Times New Roman"/>
          <w:b w:val="0"/>
          <w:bCs w:val="0"/>
          <w:sz w:val="24"/>
          <w:szCs w:val="24"/>
        </w:rPr>
      </w:pPr>
      <w:r w:rsidRPr="00DA4F3E">
        <w:rPr>
          <w:rFonts w:ascii="Times New Roman" w:eastAsiaTheme="minorHAnsi" w:hAnsi="Times New Roman" w:cs="Times New Roman"/>
          <w:b w:val="0"/>
          <w:bCs w:val="0"/>
          <w:sz w:val="24"/>
          <w:szCs w:val="24"/>
        </w:rPr>
        <w:lastRenderedPageBreak/>
        <w:t>O</w:t>
      </w:r>
      <w:r w:rsidR="00B7371E" w:rsidRPr="00DA4F3E">
        <w:rPr>
          <w:rFonts w:ascii="Times New Roman" w:eastAsiaTheme="minorHAnsi" w:hAnsi="Times New Roman" w:cs="Times New Roman"/>
          <w:b w:val="0"/>
          <w:bCs w:val="0"/>
          <w:sz w:val="24"/>
          <w:szCs w:val="24"/>
        </w:rPr>
        <w:t>ther entities rated A- or better. This would include credit protection provided by parent, subsidiary and affiliate companies when they have a lower risk weight than the obligor.</w:t>
      </w:r>
    </w:p>
    <w:p w:rsidR="00F1087B" w:rsidRPr="00C77C3A" w:rsidRDefault="00F1087B" w:rsidP="00F1087B">
      <w:pPr>
        <w:pStyle w:val="ListParagraph"/>
        <w:bidi w:val="0"/>
        <w:spacing w:before="240" w:after="240" w:line="276" w:lineRule="auto"/>
        <w:ind w:left="1276"/>
        <w:rPr>
          <w:rFonts w:ascii="Times New Roman" w:hAnsi="Times New Roman" w:cs="Times New Roman"/>
          <w:b w:val="0"/>
          <w:bCs w:val="0"/>
          <w:sz w:val="12"/>
          <w:szCs w:val="12"/>
        </w:rPr>
      </w:pPr>
    </w:p>
    <w:p w:rsidR="00811380" w:rsidRPr="0039291D" w:rsidRDefault="00811380" w:rsidP="00811380">
      <w:pPr>
        <w:pStyle w:val="ListParagraph"/>
        <w:bidi w:val="0"/>
        <w:spacing w:before="240" w:after="240" w:line="276" w:lineRule="auto"/>
        <w:ind w:left="1276"/>
        <w:rPr>
          <w:rFonts w:ascii="Times New Roman" w:hAnsi="Times New Roman" w:cs="Times New Roman"/>
          <w:b w:val="0"/>
          <w:bCs w:val="0"/>
          <w:sz w:val="12"/>
          <w:szCs w:val="12"/>
        </w:rPr>
      </w:pPr>
    </w:p>
    <w:p w:rsidR="00C84046" w:rsidRPr="00DA4F3E" w:rsidRDefault="00B7371E" w:rsidP="00811380">
      <w:pPr>
        <w:pStyle w:val="ListParagraph"/>
        <w:numPr>
          <w:ilvl w:val="0"/>
          <w:numId w:val="11"/>
        </w:numPr>
        <w:bidi w:val="0"/>
        <w:spacing w:before="240" w:after="240" w:line="276" w:lineRule="auto"/>
        <w:ind w:left="709" w:hanging="567"/>
        <w:rPr>
          <w:rFonts w:ascii="Times New Roman" w:hAnsi="Times New Roman" w:cs="Times New Roman"/>
          <w:sz w:val="24"/>
          <w:szCs w:val="24"/>
        </w:rPr>
      </w:pPr>
      <w:r w:rsidRPr="00DA4F3E">
        <w:rPr>
          <w:rFonts w:ascii="Times New Roman" w:hAnsi="Times New Roman" w:cs="Times New Roman"/>
          <w:sz w:val="24"/>
          <w:szCs w:val="24"/>
        </w:rPr>
        <w:t>Risk Weights</w:t>
      </w:r>
    </w:p>
    <w:p w:rsidR="00B7371E" w:rsidRPr="00DA4F3E" w:rsidRDefault="00B7371E" w:rsidP="00811380">
      <w:pPr>
        <w:pStyle w:val="ListParagraph"/>
        <w:numPr>
          <w:ilvl w:val="1"/>
          <w:numId w:val="11"/>
        </w:numPr>
        <w:bidi w:val="0"/>
        <w:spacing w:before="240" w:after="240" w:line="276" w:lineRule="auto"/>
        <w:ind w:left="1276" w:hanging="567"/>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The protected portion is assigned the risk weight of the protection provider. The uncovered portion of the exposure is assigned the risk weight of the underlying counterparty.</w:t>
      </w:r>
    </w:p>
    <w:p w:rsidR="00B7371E" w:rsidRPr="00DA4F3E" w:rsidRDefault="00B7371E" w:rsidP="00811380">
      <w:pPr>
        <w:pStyle w:val="ListParagraph"/>
        <w:numPr>
          <w:ilvl w:val="1"/>
          <w:numId w:val="11"/>
        </w:numPr>
        <w:bidi w:val="0"/>
        <w:spacing w:before="240" w:after="240" w:line="276" w:lineRule="auto"/>
        <w:ind w:left="1276" w:hanging="567"/>
        <w:rPr>
          <w:rFonts w:ascii="Times New Roman" w:hAnsi="Times New Roman" w:cs="Times New Roman"/>
          <w:b w:val="0"/>
          <w:bCs w:val="0"/>
          <w:sz w:val="24"/>
          <w:szCs w:val="24"/>
        </w:rPr>
      </w:pPr>
      <w:r w:rsidRPr="00DA4F3E">
        <w:rPr>
          <w:rFonts w:ascii="Times New Roman" w:eastAsiaTheme="minorHAnsi" w:hAnsi="Times New Roman" w:cs="Times New Roman"/>
          <w:b w:val="0"/>
          <w:bCs w:val="0"/>
          <w:sz w:val="24"/>
          <w:szCs w:val="24"/>
        </w:rPr>
        <w:t>Materiality thresholds on payments below which no payment is made in the event of loss are equivalent to retained first loss positions and must be deducted in full from the capital of the bank purchasing the credit protection.</w:t>
      </w:r>
    </w:p>
    <w:p w:rsidR="00503386" w:rsidRPr="00F1087B" w:rsidRDefault="00503386" w:rsidP="00503386">
      <w:pPr>
        <w:pStyle w:val="ListParagraph"/>
        <w:bidi w:val="0"/>
        <w:spacing w:before="240" w:after="240" w:line="276" w:lineRule="auto"/>
        <w:ind w:left="1276"/>
        <w:rPr>
          <w:rFonts w:ascii="Times New Roman" w:hAnsi="Times New Roman" w:cs="Times New Roman"/>
          <w:b w:val="0"/>
          <w:bCs w:val="0"/>
          <w:sz w:val="8"/>
          <w:szCs w:val="8"/>
        </w:rPr>
      </w:pPr>
    </w:p>
    <w:p w:rsidR="00B7371E" w:rsidRPr="00DA4F3E" w:rsidRDefault="007E0536" w:rsidP="00811380">
      <w:pPr>
        <w:pStyle w:val="ListParagraph"/>
        <w:numPr>
          <w:ilvl w:val="0"/>
          <w:numId w:val="11"/>
        </w:numPr>
        <w:bidi w:val="0"/>
        <w:spacing w:before="240" w:after="240" w:line="276" w:lineRule="auto"/>
        <w:ind w:left="709" w:hanging="567"/>
        <w:rPr>
          <w:rFonts w:ascii="Times New Roman" w:hAnsi="Times New Roman" w:cs="Times New Roman"/>
          <w:sz w:val="24"/>
          <w:szCs w:val="24"/>
        </w:rPr>
      </w:pPr>
      <w:r w:rsidRPr="00DA4F3E">
        <w:rPr>
          <w:rFonts w:ascii="Times New Roman" w:hAnsi="Times New Roman" w:cs="Times New Roman"/>
          <w:sz w:val="24"/>
          <w:szCs w:val="24"/>
        </w:rPr>
        <w:t>Proportional Coverage</w:t>
      </w:r>
    </w:p>
    <w:p w:rsidR="007E0536" w:rsidRDefault="006F3394" w:rsidP="00811380">
      <w:pPr>
        <w:pStyle w:val="ListParagraph"/>
        <w:bidi w:val="0"/>
        <w:spacing w:before="240" w:after="240" w:line="276" w:lineRule="auto"/>
        <w:ind w:left="709"/>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Where the amount guaranteed, or against which credit protection is held, is less than the amount of the exposure, and the secured and unsecured portions are of equal seniority, i.e. the bank and the guarantor share losses on a pro-rata basis capital relief will be afforded on a proportional basis: i.e. the protected portion of the exposure will receive the t</w:t>
      </w:r>
      <w:r w:rsidR="00811380" w:rsidRPr="00DA4F3E">
        <w:rPr>
          <w:rFonts w:ascii="Times New Roman" w:eastAsiaTheme="minorHAnsi" w:hAnsi="Times New Roman" w:cs="Times New Roman"/>
          <w:b w:val="0"/>
          <w:bCs w:val="0"/>
          <w:sz w:val="24"/>
          <w:szCs w:val="24"/>
        </w:rPr>
        <w:t xml:space="preserve">reatment applicable to eligible </w:t>
      </w:r>
      <w:r w:rsidRPr="00DA4F3E">
        <w:rPr>
          <w:rFonts w:ascii="Times New Roman" w:eastAsiaTheme="minorHAnsi" w:hAnsi="Times New Roman" w:cs="Times New Roman"/>
          <w:b w:val="0"/>
          <w:bCs w:val="0"/>
          <w:sz w:val="24"/>
          <w:szCs w:val="24"/>
        </w:rPr>
        <w:t>guarantees/</w:t>
      </w:r>
      <w:r w:rsidR="00811380" w:rsidRPr="00DA4F3E">
        <w:rPr>
          <w:rFonts w:ascii="Times New Roman" w:eastAsiaTheme="minorHAnsi" w:hAnsi="Times New Roman" w:cs="Times New Roman"/>
          <w:b w:val="0"/>
          <w:bCs w:val="0"/>
          <w:sz w:val="24"/>
          <w:szCs w:val="24"/>
        </w:rPr>
        <w:t xml:space="preserve"> </w:t>
      </w:r>
      <w:r w:rsidRPr="00DA4F3E">
        <w:rPr>
          <w:rFonts w:ascii="Times New Roman" w:eastAsiaTheme="minorHAnsi" w:hAnsi="Times New Roman" w:cs="Times New Roman"/>
          <w:b w:val="0"/>
          <w:bCs w:val="0"/>
          <w:sz w:val="24"/>
          <w:szCs w:val="24"/>
        </w:rPr>
        <w:t>credit derivatives, with the remainder treated as unsecured.</w:t>
      </w:r>
    </w:p>
    <w:p w:rsidR="00C77C3A" w:rsidRPr="00DA4F3E" w:rsidRDefault="00C77C3A" w:rsidP="00C77C3A">
      <w:pPr>
        <w:pStyle w:val="ListParagraph"/>
        <w:bidi w:val="0"/>
        <w:spacing w:before="240" w:after="240" w:line="276" w:lineRule="auto"/>
        <w:ind w:left="709"/>
        <w:rPr>
          <w:rFonts w:ascii="Times New Roman" w:eastAsiaTheme="minorHAnsi" w:hAnsi="Times New Roman" w:cs="Times New Roman"/>
          <w:b w:val="0"/>
          <w:bCs w:val="0"/>
          <w:sz w:val="24"/>
          <w:szCs w:val="24"/>
        </w:rPr>
      </w:pPr>
    </w:p>
    <w:p w:rsidR="00811380" w:rsidRPr="00F1087B" w:rsidRDefault="00811380" w:rsidP="00811380">
      <w:pPr>
        <w:pStyle w:val="ListParagraph"/>
        <w:bidi w:val="0"/>
        <w:spacing w:before="240" w:after="240" w:line="276" w:lineRule="auto"/>
        <w:ind w:left="709"/>
        <w:rPr>
          <w:rFonts w:ascii="Times New Roman" w:hAnsi="Times New Roman" w:cs="Times New Roman"/>
          <w:b w:val="0"/>
          <w:bCs w:val="0"/>
          <w:sz w:val="6"/>
          <w:szCs w:val="6"/>
        </w:rPr>
      </w:pPr>
    </w:p>
    <w:p w:rsidR="007E0536" w:rsidRPr="00DA4F3E" w:rsidRDefault="00E87527" w:rsidP="00811380">
      <w:pPr>
        <w:pStyle w:val="ListParagraph"/>
        <w:numPr>
          <w:ilvl w:val="0"/>
          <w:numId w:val="11"/>
        </w:numPr>
        <w:bidi w:val="0"/>
        <w:spacing w:before="240" w:after="240" w:line="276" w:lineRule="auto"/>
        <w:ind w:left="709" w:hanging="567"/>
        <w:rPr>
          <w:rFonts w:ascii="Times New Roman" w:hAnsi="Times New Roman" w:cs="Times New Roman"/>
          <w:sz w:val="24"/>
          <w:szCs w:val="24"/>
        </w:rPr>
      </w:pPr>
      <w:r w:rsidRPr="00DA4F3E">
        <w:rPr>
          <w:rFonts w:ascii="Times New Roman" w:hAnsi="Times New Roman" w:cs="Times New Roman"/>
          <w:sz w:val="24"/>
          <w:szCs w:val="24"/>
        </w:rPr>
        <w:t>Tranched Credit Protection</w:t>
      </w:r>
    </w:p>
    <w:p w:rsidR="00FF6A80" w:rsidRDefault="00FF6A80" w:rsidP="00811380">
      <w:pPr>
        <w:pStyle w:val="ListParagraph"/>
        <w:bidi w:val="0"/>
        <w:spacing w:before="240" w:after="240" w:line="276" w:lineRule="auto"/>
        <w:ind w:left="709"/>
        <w:rPr>
          <w:rFonts w:ascii="Times New Roman" w:hAnsi="Times New Roman" w:cs="Times New Roman"/>
          <w:b w:val="0"/>
          <w:bCs w:val="0"/>
          <w:sz w:val="24"/>
          <w:szCs w:val="24"/>
          <w:lang w:val="en"/>
        </w:rPr>
      </w:pPr>
      <w:r w:rsidRPr="00DA4F3E">
        <w:rPr>
          <w:rFonts w:ascii="Times New Roman" w:eastAsiaTheme="minorHAnsi" w:hAnsi="Times New Roman" w:cs="Times New Roman"/>
          <w:b w:val="0"/>
          <w:bCs w:val="0"/>
          <w:sz w:val="24"/>
          <w:szCs w:val="24"/>
        </w:rPr>
        <w:t>Where the bank transfers a portion of the risk of an exposure in one or more tranches to a protection seller or sellers and retains some level of risk of the loan and the risk transferred and the risk retained are of different seniority, banks may obtain credit protection for either the senior tranches (e.g. second loss portion) or the junior tranche (e.g. first loss portion). In this case</w:t>
      </w:r>
      <w:r w:rsidR="00554D58" w:rsidRPr="00DA4F3E">
        <w:rPr>
          <w:rFonts w:ascii="Times New Roman" w:eastAsiaTheme="minorHAnsi" w:hAnsi="Times New Roman" w:cs="Times New Roman"/>
          <w:b w:val="0"/>
          <w:bCs w:val="0"/>
          <w:sz w:val="24"/>
          <w:szCs w:val="24"/>
        </w:rPr>
        <w:t>,</w:t>
      </w:r>
      <w:r w:rsidRPr="00DA4F3E">
        <w:rPr>
          <w:rFonts w:ascii="Times New Roman" w:eastAsiaTheme="minorHAnsi" w:hAnsi="Times New Roman" w:cs="Times New Roman"/>
          <w:b w:val="0"/>
          <w:bCs w:val="0"/>
          <w:sz w:val="24"/>
          <w:szCs w:val="24"/>
        </w:rPr>
        <w:t xml:space="preserve"> </w:t>
      </w:r>
      <w:r w:rsidR="00554D58" w:rsidRPr="00DA4F3E">
        <w:rPr>
          <w:rFonts w:ascii="Times New Roman" w:hAnsi="Times New Roman" w:cs="Times New Roman"/>
          <w:b w:val="0"/>
          <w:bCs w:val="0"/>
          <w:sz w:val="24"/>
          <w:szCs w:val="24"/>
          <w:lang w:val="en"/>
        </w:rPr>
        <w:t xml:space="preserve">the instructions for the </w:t>
      </w:r>
      <w:r w:rsidR="00554D58" w:rsidRPr="00DA4F3E">
        <w:rPr>
          <w:rFonts w:ascii="Times New Roman" w:eastAsiaTheme="minorHAnsi" w:hAnsi="Times New Roman" w:cs="Times New Roman"/>
          <w:b w:val="0"/>
          <w:bCs w:val="0"/>
          <w:sz w:val="24"/>
          <w:szCs w:val="24"/>
        </w:rPr>
        <w:t xml:space="preserve">securitisation </w:t>
      </w:r>
      <w:r w:rsidR="00554D58" w:rsidRPr="00DA4F3E">
        <w:rPr>
          <w:rFonts w:ascii="Times New Roman" w:hAnsi="Times New Roman" w:cs="Times New Roman"/>
          <w:b w:val="0"/>
          <w:bCs w:val="0"/>
          <w:sz w:val="24"/>
          <w:szCs w:val="24"/>
          <w:lang w:val="en"/>
        </w:rPr>
        <w:t xml:space="preserve">framework will apply, which will be issued later. </w:t>
      </w:r>
    </w:p>
    <w:p w:rsidR="00C77C3A" w:rsidRPr="00DA4F3E" w:rsidRDefault="00C77C3A" w:rsidP="00C77C3A">
      <w:pPr>
        <w:pStyle w:val="ListParagraph"/>
        <w:bidi w:val="0"/>
        <w:spacing w:before="240" w:after="240" w:line="276" w:lineRule="auto"/>
        <w:ind w:left="709"/>
        <w:rPr>
          <w:rFonts w:ascii="Times New Roman" w:hAnsi="Times New Roman" w:cs="Times New Roman"/>
          <w:b w:val="0"/>
          <w:bCs w:val="0"/>
          <w:sz w:val="24"/>
          <w:szCs w:val="24"/>
          <w:lang w:val="en"/>
        </w:rPr>
      </w:pPr>
    </w:p>
    <w:p w:rsidR="00811380" w:rsidRPr="00F1087B" w:rsidRDefault="00811380" w:rsidP="00811380">
      <w:pPr>
        <w:pStyle w:val="ListParagraph"/>
        <w:bidi w:val="0"/>
        <w:spacing w:before="240" w:after="240" w:line="276" w:lineRule="auto"/>
        <w:ind w:left="709"/>
        <w:rPr>
          <w:rFonts w:ascii="Times New Roman" w:hAnsi="Times New Roman" w:cs="Times New Roman"/>
          <w:b w:val="0"/>
          <w:bCs w:val="0"/>
          <w:sz w:val="6"/>
          <w:szCs w:val="6"/>
        </w:rPr>
      </w:pPr>
    </w:p>
    <w:p w:rsidR="00FF6A80" w:rsidRPr="00DA4F3E" w:rsidRDefault="00554D58" w:rsidP="00811380">
      <w:pPr>
        <w:pStyle w:val="ListParagraph"/>
        <w:numPr>
          <w:ilvl w:val="0"/>
          <w:numId w:val="11"/>
        </w:numPr>
        <w:bidi w:val="0"/>
        <w:spacing w:before="240" w:after="240" w:line="276" w:lineRule="auto"/>
        <w:ind w:left="709" w:hanging="567"/>
        <w:rPr>
          <w:rFonts w:ascii="Times New Roman" w:hAnsi="Times New Roman" w:cs="Times New Roman"/>
          <w:sz w:val="24"/>
          <w:szCs w:val="24"/>
        </w:rPr>
      </w:pPr>
      <w:r w:rsidRPr="00DA4F3E">
        <w:rPr>
          <w:rFonts w:ascii="Times New Roman" w:hAnsi="Times New Roman" w:cs="Times New Roman"/>
          <w:sz w:val="24"/>
          <w:szCs w:val="24"/>
        </w:rPr>
        <w:t>Currency Mismatches</w:t>
      </w:r>
    </w:p>
    <w:p w:rsidR="00811380" w:rsidRPr="00CB0E9A" w:rsidRDefault="00554D58" w:rsidP="00F1087B">
      <w:pPr>
        <w:pStyle w:val="ListParagraph"/>
        <w:bidi w:val="0"/>
        <w:spacing w:before="240" w:after="240" w:line="276" w:lineRule="auto"/>
        <w:ind w:left="709"/>
        <w:rPr>
          <w:rFonts w:ascii="Times New Roman" w:eastAsiaTheme="minorHAnsi" w:hAnsi="Times New Roman" w:cs="Times New Roman"/>
          <w:b w:val="0"/>
          <w:bCs w:val="0"/>
        </w:rPr>
      </w:pPr>
      <w:r w:rsidRPr="00DA4F3E">
        <w:rPr>
          <w:rFonts w:ascii="Times New Roman" w:eastAsiaTheme="minorHAnsi" w:hAnsi="Times New Roman" w:cs="Times New Roman"/>
          <w:b w:val="0"/>
          <w:bCs w:val="0"/>
          <w:sz w:val="24"/>
          <w:szCs w:val="24"/>
        </w:rPr>
        <w:t xml:space="preserve">Where the credit protection is denominated in a currency different from that in which the exposure is denominated — i.e. there is a currency mismatch — the amount of the exposure deemed to be protected will be reduced by the application of a haircut </w:t>
      </w:r>
      <w:r w:rsidRPr="00DA4F3E">
        <w:rPr>
          <w:rFonts w:ascii="Times New Roman" w:eastAsiaTheme="minorHAnsi" w:hAnsi="Times New Roman" w:cs="Times New Roman"/>
          <w:b w:val="0"/>
          <w:bCs w:val="0"/>
          <w:i/>
          <w:iCs/>
          <w:sz w:val="24"/>
          <w:szCs w:val="24"/>
        </w:rPr>
        <w:t>HFX</w:t>
      </w:r>
      <w:r w:rsidRPr="00DA4F3E">
        <w:rPr>
          <w:rFonts w:ascii="Times New Roman" w:eastAsiaTheme="minorHAnsi" w:hAnsi="Times New Roman" w:cs="Times New Roman"/>
          <w:b w:val="0"/>
          <w:bCs w:val="0"/>
          <w:sz w:val="24"/>
          <w:szCs w:val="24"/>
        </w:rPr>
        <w:t>, as following:</w:t>
      </w:r>
    </w:p>
    <w:tbl>
      <w:tblPr>
        <w:tblStyle w:val="TableGrid"/>
        <w:tblpPr w:leftFromText="180" w:rightFromText="180" w:vertAnchor="text" w:horzAnchor="page" w:tblpX="3704" w:tblpY="-297"/>
        <w:bidiVisual/>
        <w:tblW w:w="0" w:type="auto"/>
        <w:tblLook w:val="04A0" w:firstRow="1" w:lastRow="0" w:firstColumn="1" w:lastColumn="0" w:noHBand="0" w:noVBand="1"/>
      </w:tblPr>
      <w:tblGrid>
        <w:gridCol w:w="3456"/>
      </w:tblGrid>
      <w:tr w:rsidR="00554D58" w:rsidTr="00554D58">
        <w:tc>
          <w:tcPr>
            <w:tcW w:w="3456" w:type="dxa"/>
            <w:vAlign w:val="center"/>
          </w:tcPr>
          <w:p w:rsidR="00554D58" w:rsidRDefault="00554D58" w:rsidP="00F1087B">
            <w:pPr>
              <w:spacing w:after="0"/>
              <w:jc w:val="center"/>
              <w:rPr>
                <w:b w:val="0"/>
                <w:bCs w:val="0"/>
                <w:rtl/>
                <w:lang w:bidi="ar-JO"/>
              </w:rPr>
            </w:pPr>
            <w:bookmarkStart w:id="47" w:name="_Toc414888364"/>
            <w:bookmarkStart w:id="48" w:name="_Toc451176552"/>
            <w:r w:rsidRPr="006D6E07">
              <w:rPr>
                <w:b w:val="0"/>
                <w:bCs w:val="0"/>
              </w:rPr>
              <w:t>GA = G</w:t>
            </w:r>
            <w:r w:rsidRPr="006D6E07">
              <w:rPr>
                <w:b w:val="0"/>
                <w:bCs w:val="0"/>
                <w:lang w:val="en-GB" w:eastAsia="en-GB"/>
              </w:rPr>
              <w:t xml:space="preserve"> *</w:t>
            </w:r>
            <w:r w:rsidRPr="006D6E07">
              <w:rPr>
                <w:b w:val="0"/>
                <w:bCs w:val="0"/>
              </w:rPr>
              <w:t xml:space="preserve"> (1 – H</w:t>
            </w:r>
            <w:r w:rsidRPr="006D6E07">
              <w:rPr>
                <w:b w:val="0"/>
                <w:bCs w:val="0"/>
                <w:vertAlign w:val="subscript"/>
              </w:rPr>
              <w:t>FX</w:t>
            </w:r>
            <w:r w:rsidRPr="006D6E07">
              <w:rPr>
                <w:b w:val="0"/>
                <w:bCs w:val="0"/>
              </w:rPr>
              <w:t>)</w:t>
            </w:r>
            <w:bookmarkEnd w:id="47"/>
            <w:bookmarkEnd w:id="48"/>
          </w:p>
        </w:tc>
      </w:tr>
    </w:tbl>
    <w:p w:rsidR="00554D58" w:rsidRPr="00F1087B" w:rsidRDefault="00554D58" w:rsidP="00554D58">
      <w:pPr>
        <w:pStyle w:val="ListParagraph"/>
        <w:bidi w:val="0"/>
        <w:spacing w:before="240" w:after="240" w:line="276" w:lineRule="auto"/>
        <w:ind w:left="1080"/>
        <w:rPr>
          <w:sz w:val="2"/>
          <w:szCs w:val="2"/>
        </w:rPr>
      </w:pPr>
    </w:p>
    <w:p w:rsidR="00554D58" w:rsidRDefault="00554D58" w:rsidP="00811380">
      <w:pPr>
        <w:pStyle w:val="ListParagraph"/>
        <w:bidi w:val="0"/>
        <w:spacing w:before="240" w:after="240" w:line="276" w:lineRule="auto"/>
        <w:ind w:left="1080" w:firstLine="1188"/>
        <w:rPr>
          <w:rFonts w:ascii="Times New Roman" w:eastAsiaTheme="minorHAnsi" w:hAnsi="Times New Roman" w:cs="Times New Roman"/>
          <w:b w:val="0"/>
          <w:bCs w:val="0"/>
        </w:rPr>
      </w:pPr>
      <w:r w:rsidRPr="00DA4F3E">
        <w:rPr>
          <w:rFonts w:ascii="Times New Roman" w:eastAsiaTheme="minorHAnsi" w:hAnsi="Times New Roman" w:cs="Times New Roman"/>
          <w:b w:val="0"/>
          <w:bCs w:val="0"/>
          <w:sz w:val="24"/>
          <w:szCs w:val="24"/>
        </w:rPr>
        <w:t>where</w:t>
      </w:r>
      <w:r w:rsidRPr="00811380">
        <w:rPr>
          <w:rFonts w:ascii="Times New Roman" w:eastAsiaTheme="minorHAnsi" w:hAnsi="Times New Roman" w:cs="Times New Roman"/>
          <w:b w:val="0"/>
          <w:bCs w:val="0"/>
        </w:rPr>
        <w:t>:</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
        <w:gridCol w:w="289"/>
        <w:gridCol w:w="7004"/>
      </w:tblGrid>
      <w:tr w:rsidR="00811380" w:rsidTr="00811380">
        <w:tc>
          <w:tcPr>
            <w:tcW w:w="554" w:type="dxa"/>
          </w:tcPr>
          <w:p w:rsidR="00811380" w:rsidRPr="00811380" w:rsidRDefault="00811380" w:rsidP="00811380">
            <w:pPr>
              <w:pStyle w:val="ListParagraph"/>
              <w:bidi w:val="0"/>
              <w:spacing w:after="0" w:line="276" w:lineRule="auto"/>
              <w:ind w:left="0"/>
              <w:rPr>
                <w:rFonts w:ascii="Times New Roman" w:eastAsiaTheme="minorHAnsi" w:hAnsi="Times New Roman" w:cs="Times New Roman"/>
                <w:b w:val="0"/>
                <w:bCs w:val="0"/>
              </w:rPr>
            </w:pPr>
            <w:r w:rsidRPr="00811380">
              <w:rPr>
                <w:rFonts w:ascii="Times New Roman" w:eastAsiaTheme="minorHAnsi" w:hAnsi="Times New Roman" w:cs="Times New Roman"/>
                <w:b w:val="0"/>
                <w:bCs w:val="0"/>
                <w:sz w:val="22"/>
                <w:szCs w:val="22"/>
              </w:rPr>
              <w:t>G</w:t>
            </w:r>
          </w:p>
        </w:tc>
        <w:tc>
          <w:tcPr>
            <w:tcW w:w="282" w:type="dxa"/>
          </w:tcPr>
          <w:p w:rsidR="00811380" w:rsidRDefault="00811380" w:rsidP="00811380">
            <w:pPr>
              <w:pStyle w:val="ListParagraph"/>
              <w:bidi w:val="0"/>
              <w:spacing w:after="0" w:line="276" w:lineRule="auto"/>
              <w:ind w:left="0"/>
              <w:rPr>
                <w:rFonts w:ascii="Times New Roman" w:eastAsiaTheme="minorHAnsi" w:hAnsi="Times New Roman" w:cs="Times New Roman"/>
                <w:b w:val="0"/>
                <w:bCs w:val="0"/>
              </w:rPr>
            </w:pPr>
            <w:r>
              <w:rPr>
                <w:rFonts w:ascii="Times New Roman" w:eastAsiaTheme="minorHAnsi" w:hAnsi="Times New Roman" w:cs="Times New Roman"/>
                <w:b w:val="0"/>
                <w:bCs w:val="0"/>
              </w:rPr>
              <w:t>:</w:t>
            </w:r>
          </w:p>
        </w:tc>
        <w:tc>
          <w:tcPr>
            <w:tcW w:w="7004" w:type="dxa"/>
          </w:tcPr>
          <w:p w:rsidR="00811380" w:rsidRPr="00811380" w:rsidRDefault="00811380" w:rsidP="00811380">
            <w:pPr>
              <w:pStyle w:val="ListParagraph"/>
              <w:bidi w:val="0"/>
              <w:spacing w:after="0" w:line="276" w:lineRule="auto"/>
              <w:ind w:left="0"/>
              <w:rPr>
                <w:rFonts w:ascii="Times New Roman" w:eastAsiaTheme="minorHAnsi" w:hAnsi="Times New Roman" w:cs="Times New Roman"/>
                <w:b w:val="0"/>
                <w:bCs w:val="0"/>
              </w:rPr>
            </w:pPr>
            <w:r w:rsidRPr="00811380">
              <w:rPr>
                <w:rFonts w:ascii="Times New Roman" w:eastAsiaTheme="minorHAnsi" w:hAnsi="Times New Roman" w:cs="Times New Roman"/>
                <w:b w:val="0"/>
                <w:bCs w:val="0"/>
                <w:sz w:val="22"/>
                <w:szCs w:val="22"/>
              </w:rPr>
              <w:t>nominal amount of the credit protection</w:t>
            </w:r>
          </w:p>
        </w:tc>
      </w:tr>
      <w:tr w:rsidR="00811380" w:rsidTr="00811380">
        <w:tc>
          <w:tcPr>
            <w:tcW w:w="554" w:type="dxa"/>
          </w:tcPr>
          <w:p w:rsidR="00811380" w:rsidRPr="00811380" w:rsidRDefault="00811380" w:rsidP="00811380">
            <w:pPr>
              <w:pStyle w:val="ListParagraph"/>
              <w:bidi w:val="0"/>
              <w:spacing w:after="0" w:line="276" w:lineRule="auto"/>
              <w:ind w:left="0"/>
              <w:rPr>
                <w:rFonts w:ascii="Times New Roman" w:eastAsiaTheme="minorHAnsi" w:hAnsi="Times New Roman" w:cs="Times New Roman"/>
                <w:b w:val="0"/>
                <w:bCs w:val="0"/>
              </w:rPr>
            </w:pPr>
            <w:r w:rsidRPr="00811380">
              <w:rPr>
                <w:rFonts w:ascii="Times New Roman" w:eastAsiaTheme="minorHAnsi" w:hAnsi="Times New Roman" w:cs="Times New Roman"/>
                <w:b w:val="0"/>
                <w:bCs w:val="0"/>
                <w:sz w:val="22"/>
                <w:szCs w:val="22"/>
              </w:rPr>
              <w:t>H</w:t>
            </w:r>
            <w:r w:rsidRPr="00811380">
              <w:rPr>
                <w:rFonts w:ascii="Times New Roman" w:eastAsiaTheme="minorHAnsi" w:hAnsi="Times New Roman" w:cs="Times New Roman"/>
                <w:b w:val="0"/>
                <w:bCs w:val="0"/>
                <w:sz w:val="14"/>
                <w:szCs w:val="14"/>
              </w:rPr>
              <w:t>FX</w:t>
            </w:r>
          </w:p>
        </w:tc>
        <w:tc>
          <w:tcPr>
            <w:tcW w:w="282" w:type="dxa"/>
          </w:tcPr>
          <w:p w:rsidR="00811380" w:rsidRDefault="00811380" w:rsidP="00811380">
            <w:pPr>
              <w:pStyle w:val="ListParagraph"/>
              <w:bidi w:val="0"/>
              <w:spacing w:after="0" w:line="276" w:lineRule="auto"/>
              <w:ind w:left="0"/>
              <w:rPr>
                <w:rFonts w:ascii="Times New Roman" w:eastAsiaTheme="minorHAnsi" w:hAnsi="Times New Roman" w:cs="Times New Roman"/>
                <w:b w:val="0"/>
                <w:bCs w:val="0"/>
              </w:rPr>
            </w:pPr>
            <w:r>
              <w:rPr>
                <w:rFonts w:ascii="Times New Roman" w:eastAsiaTheme="minorHAnsi" w:hAnsi="Times New Roman" w:cs="Times New Roman"/>
                <w:b w:val="0"/>
                <w:bCs w:val="0"/>
              </w:rPr>
              <w:t>:</w:t>
            </w:r>
          </w:p>
        </w:tc>
        <w:tc>
          <w:tcPr>
            <w:tcW w:w="7004" w:type="dxa"/>
          </w:tcPr>
          <w:p w:rsidR="00811380" w:rsidRPr="00811380" w:rsidRDefault="00811380" w:rsidP="00811380">
            <w:pPr>
              <w:bidi w:val="0"/>
              <w:spacing w:after="0" w:line="276" w:lineRule="auto"/>
              <w:rPr>
                <w:rFonts w:ascii="Times New Roman" w:hAnsi="Times New Roman" w:cs="Times New Roman"/>
              </w:rPr>
            </w:pPr>
            <w:r w:rsidRPr="00811380">
              <w:rPr>
                <w:rFonts w:ascii="Times New Roman" w:eastAsiaTheme="minorHAnsi" w:hAnsi="Times New Roman" w:cs="Times New Roman"/>
                <w:b w:val="0"/>
                <w:bCs w:val="0"/>
                <w:sz w:val="22"/>
                <w:szCs w:val="22"/>
              </w:rPr>
              <w:t>haircut appropriate for currency mismatch between the credit protection and underlying obligation</w:t>
            </w:r>
          </w:p>
        </w:tc>
      </w:tr>
    </w:tbl>
    <w:p w:rsidR="007316F2" w:rsidRPr="0039291D" w:rsidRDefault="007316F2" w:rsidP="007316F2">
      <w:pPr>
        <w:pStyle w:val="ListParagraph"/>
        <w:bidi w:val="0"/>
        <w:spacing w:after="0" w:line="276" w:lineRule="auto"/>
        <w:ind w:left="1080"/>
        <w:rPr>
          <w:rFonts w:ascii="Times New Roman" w:hAnsi="Times New Roman" w:cs="Times New Roman"/>
          <w:sz w:val="16"/>
          <w:szCs w:val="16"/>
        </w:rPr>
      </w:pPr>
    </w:p>
    <w:p w:rsidR="00554D58" w:rsidRPr="00DA4F3E" w:rsidRDefault="006331B4" w:rsidP="007316F2">
      <w:pPr>
        <w:pStyle w:val="ListParagraph"/>
        <w:numPr>
          <w:ilvl w:val="0"/>
          <w:numId w:val="11"/>
        </w:numPr>
        <w:bidi w:val="0"/>
        <w:spacing w:after="0" w:line="276" w:lineRule="auto"/>
        <w:ind w:left="709" w:hanging="567"/>
        <w:rPr>
          <w:rFonts w:ascii="Times New Roman" w:hAnsi="Times New Roman" w:cs="Times New Roman"/>
          <w:sz w:val="24"/>
          <w:szCs w:val="24"/>
        </w:rPr>
      </w:pPr>
      <w:r w:rsidRPr="00DA4F3E">
        <w:rPr>
          <w:rFonts w:ascii="Times New Roman" w:hAnsi="Times New Roman" w:cs="Times New Roman"/>
          <w:sz w:val="24"/>
          <w:szCs w:val="24"/>
        </w:rPr>
        <w:t>Sovereign Guarantees and Counter-guarantees</w:t>
      </w:r>
    </w:p>
    <w:p w:rsidR="00971721" w:rsidRPr="00DA4F3E" w:rsidRDefault="007316F2" w:rsidP="007316F2">
      <w:pPr>
        <w:pStyle w:val="ListParagraph"/>
        <w:numPr>
          <w:ilvl w:val="1"/>
          <w:numId w:val="11"/>
        </w:numPr>
        <w:bidi w:val="0"/>
        <w:spacing w:after="0" w:line="276" w:lineRule="auto"/>
        <w:ind w:left="1276" w:hanging="567"/>
        <w:rPr>
          <w:rFonts w:ascii="Times New Roman" w:hAnsi="Times New Roman" w:cs="Times New Roman"/>
          <w:b w:val="0"/>
          <w:bCs w:val="0"/>
          <w:color w:val="202124"/>
          <w:sz w:val="24"/>
          <w:szCs w:val="24"/>
          <w:lang w:val="en"/>
        </w:rPr>
      </w:pPr>
      <w:r w:rsidRPr="00DA4F3E">
        <w:rPr>
          <w:rFonts w:ascii="Times New Roman" w:eastAsiaTheme="minorHAnsi" w:hAnsi="Times New Roman" w:cs="Times New Roman"/>
          <w:b w:val="0"/>
          <w:bCs w:val="0"/>
          <w:sz w:val="24"/>
          <w:szCs w:val="24"/>
        </w:rPr>
        <w:t xml:space="preserve">A </w:t>
      </w:r>
      <w:r w:rsidR="00971721" w:rsidRPr="00DA4F3E">
        <w:rPr>
          <w:rFonts w:ascii="Times New Roman" w:eastAsiaTheme="minorHAnsi" w:hAnsi="Times New Roman" w:cs="Times New Roman"/>
          <w:b w:val="0"/>
          <w:bCs w:val="0"/>
          <w:sz w:val="24"/>
          <w:szCs w:val="24"/>
        </w:rPr>
        <w:t xml:space="preserve">zero% risk weight may be applied at national discretion to a bank’s exposures to the sovereign and/or central banks, where the exposure is denominated in </w:t>
      </w:r>
      <w:r w:rsidR="00971721" w:rsidRPr="00DA4F3E">
        <w:rPr>
          <w:rFonts w:ascii="Times New Roman" w:eastAsiaTheme="minorHAnsi" w:hAnsi="Times New Roman" w:cs="Times New Roman"/>
          <w:b w:val="0"/>
          <w:bCs w:val="0"/>
          <w:sz w:val="24"/>
          <w:szCs w:val="24"/>
        </w:rPr>
        <w:lastRenderedPageBreak/>
        <w:t>domestic currency and funded in that currency.</w:t>
      </w:r>
      <w:r w:rsidR="00971721" w:rsidRPr="00DA4F3E">
        <w:rPr>
          <w:rFonts w:ascii="Times New Roman" w:hAnsi="Times New Roman" w:cs="Times New Roman"/>
          <w:b w:val="0"/>
          <w:bCs w:val="0"/>
          <w:color w:val="202124"/>
          <w:sz w:val="24"/>
          <w:szCs w:val="24"/>
          <w:lang w:val="en"/>
        </w:rPr>
        <w:t xml:space="preserve"> In the event the coverage is partial, only the covered part gives a (zero%) risk weight.</w:t>
      </w:r>
    </w:p>
    <w:p w:rsidR="006331B4" w:rsidRPr="00DA4F3E" w:rsidRDefault="00971721" w:rsidP="007316F2">
      <w:pPr>
        <w:pStyle w:val="ListParagraph"/>
        <w:numPr>
          <w:ilvl w:val="1"/>
          <w:numId w:val="11"/>
        </w:numPr>
        <w:bidi w:val="0"/>
        <w:spacing w:after="0" w:line="276" w:lineRule="auto"/>
        <w:ind w:left="1276" w:hanging="567"/>
        <w:rPr>
          <w:rFonts w:ascii="Times New Roman" w:hAnsi="Times New Roman" w:cs="Times New Roman"/>
          <w:b w:val="0"/>
          <w:bCs w:val="0"/>
          <w:sz w:val="24"/>
          <w:szCs w:val="24"/>
        </w:rPr>
      </w:pPr>
      <w:r w:rsidRPr="00DA4F3E">
        <w:rPr>
          <w:rFonts w:ascii="Times New Roman" w:eastAsiaTheme="minorHAnsi" w:hAnsi="Times New Roman" w:cs="Times New Roman"/>
          <w:b w:val="0"/>
          <w:bCs w:val="0"/>
          <w:sz w:val="24"/>
          <w:szCs w:val="24"/>
        </w:rPr>
        <w:t>If the claim covered by a</w:t>
      </w:r>
      <w:r w:rsidRPr="00DA4F3E">
        <w:rPr>
          <w:rFonts w:ascii="Times New Roman" w:hAnsi="Times New Roman" w:cs="Times New Roman"/>
          <w:b w:val="0"/>
          <w:bCs w:val="0"/>
          <w:color w:val="202124"/>
          <w:sz w:val="24"/>
          <w:szCs w:val="24"/>
          <w:lang w:val="en"/>
        </w:rPr>
        <w:t xml:space="preserve"> </w:t>
      </w:r>
      <w:r w:rsidRPr="00DA4F3E">
        <w:rPr>
          <w:rFonts w:ascii="Times New Roman" w:eastAsiaTheme="minorHAnsi" w:hAnsi="Times New Roman" w:cs="Times New Roman"/>
          <w:b w:val="0"/>
          <w:bCs w:val="0"/>
          <w:sz w:val="24"/>
          <w:szCs w:val="24"/>
        </w:rPr>
        <w:t>guarantee that is indirectly counter-guaranteed by a sovereign</w:t>
      </w:r>
      <w:r w:rsidR="00EC775C" w:rsidRPr="00DA4F3E">
        <w:rPr>
          <w:rFonts w:ascii="Times New Roman" w:eastAsiaTheme="minorHAnsi" w:hAnsi="Times New Roman" w:cs="Times New Roman"/>
          <w:b w:val="0"/>
          <w:bCs w:val="0"/>
          <w:sz w:val="24"/>
          <w:szCs w:val="24"/>
        </w:rPr>
        <w:t xml:space="preserve"> and/or central banks</w:t>
      </w:r>
      <w:r w:rsidRPr="00DA4F3E">
        <w:rPr>
          <w:rFonts w:ascii="Times New Roman" w:eastAsiaTheme="minorHAnsi" w:hAnsi="Times New Roman" w:cs="Times New Roman"/>
          <w:b w:val="0"/>
          <w:bCs w:val="0"/>
          <w:sz w:val="24"/>
          <w:szCs w:val="24"/>
        </w:rPr>
        <w:t>. Such a claim may be treated as covered by a sovereign</w:t>
      </w:r>
      <w:r w:rsidR="00EC775C" w:rsidRPr="00DA4F3E">
        <w:rPr>
          <w:rFonts w:ascii="Times New Roman" w:eastAsiaTheme="minorHAnsi" w:hAnsi="Times New Roman" w:cs="Times New Roman"/>
          <w:b w:val="0"/>
          <w:bCs w:val="0"/>
          <w:sz w:val="24"/>
          <w:szCs w:val="24"/>
        </w:rPr>
        <w:t xml:space="preserve"> and/or central banks guarantee provided that:</w:t>
      </w:r>
    </w:p>
    <w:p w:rsidR="00EC775C" w:rsidRPr="00DA4F3E" w:rsidRDefault="007316F2" w:rsidP="007316F2">
      <w:pPr>
        <w:pStyle w:val="ListParagraph"/>
        <w:numPr>
          <w:ilvl w:val="2"/>
          <w:numId w:val="11"/>
        </w:numPr>
        <w:bidi w:val="0"/>
        <w:spacing w:after="0" w:line="276" w:lineRule="auto"/>
        <w:ind w:left="2127" w:hanging="851"/>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T</w:t>
      </w:r>
      <w:r w:rsidR="00EC775C" w:rsidRPr="00DA4F3E">
        <w:rPr>
          <w:rFonts w:ascii="Times New Roman" w:eastAsiaTheme="minorHAnsi" w:hAnsi="Times New Roman" w:cs="Times New Roman"/>
          <w:b w:val="0"/>
          <w:bCs w:val="0"/>
          <w:sz w:val="24"/>
          <w:szCs w:val="24"/>
        </w:rPr>
        <w:t>he sovereign counter-guarantee covers all credit risk elements of the claim.</w:t>
      </w:r>
    </w:p>
    <w:p w:rsidR="00EC775C" w:rsidRPr="00DA4F3E" w:rsidRDefault="007316F2" w:rsidP="007316F2">
      <w:pPr>
        <w:pStyle w:val="ListParagraph"/>
        <w:numPr>
          <w:ilvl w:val="2"/>
          <w:numId w:val="11"/>
        </w:numPr>
        <w:bidi w:val="0"/>
        <w:spacing w:after="0" w:line="276" w:lineRule="auto"/>
        <w:ind w:left="2127" w:hanging="851"/>
        <w:rPr>
          <w:rFonts w:ascii="Times New Roman" w:hAnsi="Times New Roman" w:cs="Times New Roman"/>
          <w:b w:val="0"/>
          <w:bCs w:val="0"/>
          <w:sz w:val="24"/>
          <w:szCs w:val="24"/>
        </w:rPr>
      </w:pPr>
      <w:r w:rsidRPr="00DA4F3E">
        <w:rPr>
          <w:rFonts w:ascii="Times New Roman" w:eastAsiaTheme="minorHAnsi" w:hAnsi="Times New Roman" w:cs="Times New Roman"/>
          <w:b w:val="0"/>
          <w:bCs w:val="0"/>
          <w:sz w:val="24"/>
          <w:szCs w:val="24"/>
        </w:rPr>
        <w:t>B</w:t>
      </w:r>
      <w:r w:rsidR="00EC775C" w:rsidRPr="00DA4F3E">
        <w:rPr>
          <w:rFonts w:ascii="Times New Roman" w:eastAsiaTheme="minorHAnsi" w:hAnsi="Times New Roman" w:cs="Times New Roman"/>
          <w:b w:val="0"/>
          <w:bCs w:val="0"/>
          <w:sz w:val="24"/>
          <w:szCs w:val="24"/>
        </w:rPr>
        <w:t>oth the original guarantee and the counter-guarantee meet all operational requirements for guarantees, except that the counter-guarantee need not be direct and explicit to the original claim.</w:t>
      </w:r>
    </w:p>
    <w:p w:rsidR="00EC775C" w:rsidRPr="00DA4F3E" w:rsidRDefault="007316F2" w:rsidP="007316F2">
      <w:pPr>
        <w:pStyle w:val="ListParagraph"/>
        <w:numPr>
          <w:ilvl w:val="2"/>
          <w:numId w:val="11"/>
        </w:numPr>
        <w:bidi w:val="0"/>
        <w:spacing w:after="0" w:line="276" w:lineRule="auto"/>
        <w:ind w:left="2127" w:hanging="851"/>
        <w:rPr>
          <w:rFonts w:ascii="Times New Roman" w:hAnsi="Times New Roman" w:cs="Times New Roman"/>
          <w:b w:val="0"/>
          <w:bCs w:val="0"/>
          <w:sz w:val="24"/>
          <w:szCs w:val="24"/>
        </w:rPr>
      </w:pPr>
      <w:r w:rsidRPr="00DA4F3E">
        <w:rPr>
          <w:rFonts w:ascii="Times New Roman" w:eastAsiaTheme="minorHAnsi" w:hAnsi="Times New Roman" w:cs="Times New Roman"/>
          <w:b w:val="0"/>
          <w:bCs w:val="0"/>
          <w:sz w:val="24"/>
          <w:szCs w:val="24"/>
        </w:rPr>
        <w:t>T</w:t>
      </w:r>
      <w:r w:rsidR="00EC775C" w:rsidRPr="00DA4F3E">
        <w:rPr>
          <w:rFonts w:ascii="Times New Roman" w:eastAsiaTheme="minorHAnsi" w:hAnsi="Times New Roman" w:cs="Times New Roman"/>
          <w:b w:val="0"/>
          <w:bCs w:val="0"/>
          <w:sz w:val="24"/>
          <w:szCs w:val="24"/>
        </w:rPr>
        <w:t>he supervisor is satisfied that the cover is robust and that no historical evidence suggests that the coverage of the counter-guarantee is less than effectively equivalent to that of a direct sovereign guarantee.</w:t>
      </w:r>
    </w:p>
    <w:p w:rsidR="007316F2" w:rsidRPr="00F1087B" w:rsidRDefault="007316F2" w:rsidP="007316F2">
      <w:pPr>
        <w:pStyle w:val="ListParagraph"/>
        <w:bidi w:val="0"/>
        <w:spacing w:after="0" w:line="276" w:lineRule="auto"/>
        <w:ind w:left="2127"/>
        <w:rPr>
          <w:rFonts w:ascii="Times New Roman" w:hAnsi="Times New Roman" w:cs="Times New Roman"/>
          <w:b w:val="0"/>
          <w:bCs w:val="0"/>
          <w:sz w:val="10"/>
          <w:szCs w:val="10"/>
        </w:rPr>
      </w:pPr>
    </w:p>
    <w:p w:rsidR="006331B4" w:rsidRPr="00DA4F3E" w:rsidRDefault="00EC775C" w:rsidP="007316F2">
      <w:pPr>
        <w:pStyle w:val="ListParagraph"/>
        <w:numPr>
          <w:ilvl w:val="0"/>
          <w:numId w:val="11"/>
        </w:numPr>
        <w:bidi w:val="0"/>
        <w:spacing w:after="0" w:line="276" w:lineRule="auto"/>
        <w:ind w:left="709" w:hanging="567"/>
        <w:rPr>
          <w:rFonts w:ascii="Times New Roman" w:hAnsi="Times New Roman" w:cs="Times New Roman"/>
          <w:sz w:val="24"/>
          <w:szCs w:val="24"/>
        </w:rPr>
      </w:pPr>
      <w:r w:rsidRPr="00DA4F3E">
        <w:rPr>
          <w:rFonts w:ascii="Times New Roman" w:hAnsi="Times New Roman" w:cs="Times New Roman"/>
          <w:sz w:val="24"/>
          <w:szCs w:val="24"/>
        </w:rPr>
        <w:t>Maturity Mismatches</w:t>
      </w:r>
    </w:p>
    <w:p w:rsidR="00EC775C" w:rsidRPr="00DA4F3E" w:rsidRDefault="007316F2" w:rsidP="007316F2">
      <w:pPr>
        <w:pStyle w:val="ListParagraph"/>
        <w:numPr>
          <w:ilvl w:val="1"/>
          <w:numId w:val="11"/>
        </w:numPr>
        <w:bidi w:val="0"/>
        <w:spacing w:after="0" w:line="276" w:lineRule="auto"/>
        <w:ind w:left="1276" w:hanging="567"/>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 xml:space="preserve">A </w:t>
      </w:r>
      <w:r w:rsidR="00EC775C" w:rsidRPr="00DA4F3E">
        <w:rPr>
          <w:rFonts w:ascii="Times New Roman" w:eastAsiaTheme="minorHAnsi" w:hAnsi="Times New Roman" w:cs="Times New Roman"/>
          <w:b w:val="0"/>
          <w:bCs w:val="0"/>
          <w:sz w:val="24"/>
          <w:szCs w:val="24"/>
        </w:rPr>
        <w:t>maturity mismatch occurs when the residual maturity of a hedge is less than that of the underlying exposure.</w:t>
      </w:r>
    </w:p>
    <w:p w:rsidR="00DE283B" w:rsidRPr="00DA4F3E" w:rsidRDefault="00DE283B" w:rsidP="007316F2">
      <w:pPr>
        <w:pStyle w:val="ListParagraph"/>
        <w:numPr>
          <w:ilvl w:val="1"/>
          <w:numId w:val="11"/>
        </w:numPr>
        <w:bidi w:val="0"/>
        <w:spacing w:after="0" w:line="276" w:lineRule="auto"/>
        <w:ind w:left="1276" w:hanging="567"/>
        <w:rPr>
          <w:rFonts w:ascii="Times New Roman" w:hAnsi="Times New Roman" w:cs="Times New Roman"/>
          <w:b w:val="0"/>
          <w:bCs w:val="0"/>
          <w:sz w:val="24"/>
          <w:szCs w:val="24"/>
        </w:rPr>
      </w:pPr>
      <w:r w:rsidRPr="00DA4F3E">
        <w:rPr>
          <w:rFonts w:ascii="Times New Roman" w:hAnsi="Times New Roman" w:cs="Times New Roman"/>
          <w:b w:val="0"/>
          <w:bCs w:val="0"/>
          <w:color w:val="202124"/>
          <w:sz w:val="24"/>
          <w:szCs w:val="24"/>
          <w:lang w:val="en"/>
        </w:rPr>
        <w:t xml:space="preserve">When the </w:t>
      </w:r>
      <w:r w:rsidRPr="00DA4F3E">
        <w:rPr>
          <w:rFonts w:ascii="Times New Roman" w:eastAsiaTheme="minorHAnsi" w:hAnsi="Times New Roman" w:cs="Times New Roman"/>
          <w:b w:val="0"/>
          <w:bCs w:val="0"/>
          <w:sz w:val="24"/>
          <w:szCs w:val="24"/>
        </w:rPr>
        <w:t xml:space="preserve">maturity mismatch </w:t>
      </w:r>
      <w:r w:rsidRPr="00DA4F3E">
        <w:rPr>
          <w:rFonts w:ascii="Times New Roman" w:hAnsi="Times New Roman" w:cs="Times New Roman"/>
          <w:b w:val="0"/>
          <w:bCs w:val="0"/>
          <w:color w:val="202124"/>
          <w:sz w:val="24"/>
          <w:szCs w:val="24"/>
          <w:lang w:val="en"/>
        </w:rPr>
        <w:t xml:space="preserve">occurs and the </w:t>
      </w:r>
      <w:r w:rsidRPr="00DA4F3E">
        <w:rPr>
          <w:rFonts w:ascii="Times New Roman" w:eastAsiaTheme="minorHAnsi" w:hAnsi="Times New Roman" w:cs="Times New Roman"/>
          <w:b w:val="0"/>
          <w:bCs w:val="0"/>
          <w:sz w:val="24"/>
          <w:szCs w:val="24"/>
        </w:rPr>
        <w:t>original life of a hedge</w:t>
      </w:r>
      <w:r w:rsidRPr="00DA4F3E">
        <w:rPr>
          <w:rFonts w:ascii="Times New Roman" w:hAnsi="Times New Roman" w:cs="Times New Roman"/>
          <w:b w:val="0"/>
          <w:bCs w:val="0"/>
          <w:color w:val="202124"/>
          <w:sz w:val="24"/>
          <w:szCs w:val="24"/>
          <w:lang w:val="en"/>
        </w:rPr>
        <w:t xml:space="preserve"> is less than one year, the </w:t>
      </w:r>
      <w:r w:rsidRPr="00DA4F3E">
        <w:rPr>
          <w:rFonts w:ascii="Times New Roman" w:eastAsiaTheme="minorHAnsi" w:hAnsi="Times New Roman" w:cs="Times New Roman"/>
          <w:b w:val="0"/>
          <w:bCs w:val="0"/>
          <w:sz w:val="24"/>
          <w:szCs w:val="24"/>
        </w:rPr>
        <w:t>hedge</w:t>
      </w:r>
      <w:r w:rsidRPr="00DA4F3E">
        <w:rPr>
          <w:rFonts w:ascii="Times New Roman" w:hAnsi="Times New Roman" w:cs="Times New Roman"/>
          <w:b w:val="0"/>
          <w:bCs w:val="0"/>
          <w:color w:val="202124"/>
          <w:sz w:val="24"/>
          <w:szCs w:val="24"/>
          <w:lang w:val="en"/>
        </w:rPr>
        <w:t xml:space="preserve"> will not </w:t>
      </w:r>
      <w:r w:rsidR="00A46C88" w:rsidRPr="00DA4F3E">
        <w:rPr>
          <w:rFonts w:ascii="Times New Roman" w:hAnsi="Times New Roman" w:cs="Times New Roman"/>
          <w:b w:val="0"/>
          <w:bCs w:val="0"/>
          <w:color w:val="202124"/>
          <w:sz w:val="24"/>
          <w:szCs w:val="24"/>
          <w:lang w:val="en"/>
        </w:rPr>
        <w:t>recognize</w:t>
      </w:r>
      <w:r w:rsidRPr="00DA4F3E">
        <w:rPr>
          <w:rFonts w:ascii="Times New Roman" w:hAnsi="Times New Roman" w:cs="Times New Roman"/>
          <w:b w:val="0"/>
          <w:bCs w:val="0"/>
          <w:color w:val="202124"/>
          <w:sz w:val="24"/>
          <w:szCs w:val="24"/>
          <w:lang w:val="en"/>
        </w:rPr>
        <w:t>.</w:t>
      </w:r>
    </w:p>
    <w:p w:rsidR="00EC775C" w:rsidRPr="00DA4F3E" w:rsidRDefault="00DE283B" w:rsidP="007316F2">
      <w:pPr>
        <w:pStyle w:val="ListParagraph"/>
        <w:numPr>
          <w:ilvl w:val="1"/>
          <w:numId w:val="11"/>
        </w:numPr>
        <w:bidi w:val="0"/>
        <w:spacing w:after="0" w:line="276" w:lineRule="auto"/>
        <w:ind w:left="1276" w:hanging="567"/>
        <w:rPr>
          <w:rFonts w:ascii="Times New Roman" w:hAnsi="Times New Roman" w:cs="Times New Roman"/>
          <w:b w:val="0"/>
          <w:bCs w:val="0"/>
          <w:sz w:val="24"/>
          <w:szCs w:val="24"/>
        </w:rPr>
      </w:pPr>
      <w:r w:rsidRPr="00DA4F3E">
        <w:rPr>
          <w:rFonts w:ascii="Times New Roman" w:hAnsi="Times New Roman" w:cs="Times New Roman"/>
          <w:b w:val="0"/>
          <w:bCs w:val="0"/>
          <w:color w:val="202124"/>
          <w:sz w:val="24"/>
          <w:szCs w:val="24"/>
          <w:lang w:val="en"/>
        </w:rPr>
        <w:t xml:space="preserve">If the original life of the </w:t>
      </w:r>
      <w:r w:rsidR="009A1F35" w:rsidRPr="00DA4F3E">
        <w:rPr>
          <w:rFonts w:ascii="Times New Roman" w:hAnsi="Times New Roman" w:cs="Times New Roman"/>
          <w:b w:val="0"/>
          <w:bCs w:val="0"/>
          <w:color w:val="202124"/>
          <w:sz w:val="24"/>
          <w:szCs w:val="24"/>
          <w:lang w:val="en"/>
        </w:rPr>
        <w:t>hedge</w:t>
      </w:r>
      <w:r w:rsidRPr="00DA4F3E">
        <w:rPr>
          <w:rFonts w:ascii="Times New Roman" w:hAnsi="Times New Roman" w:cs="Times New Roman"/>
          <w:b w:val="0"/>
          <w:bCs w:val="0"/>
          <w:color w:val="202124"/>
          <w:sz w:val="24"/>
          <w:szCs w:val="24"/>
          <w:lang w:val="en"/>
        </w:rPr>
        <w:t xml:space="preserve"> is more than one year, the </w:t>
      </w:r>
      <w:r w:rsidR="009A1F35" w:rsidRPr="00DA4F3E">
        <w:rPr>
          <w:rFonts w:ascii="Times New Roman" w:hAnsi="Times New Roman" w:cs="Times New Roman"/>
          <w:b w:val="0"/>
          <w:bCs w:val="0"/>
          <w:color w:val="202124"/>
          <w:sz w:val="24"/>
          <w:szCs w:val="24"/>
          <w:lang w:val="en"/>
        </w:rPr>
        <w:t>hedge</w:t>
      </w:r>
      <w:r w:rsidRPr="00DA4F3E">
        <w:rPr>
          <w:rFonts w:ascii="Times New Roman" w:hAnsi="Times New Roman" w:cs="Times New Roman"/>
          <w:b w:val="0"/>
          <w:bCs w:val="0"/>
          <w:color w:val="202124"/>
          <w:sz w:val="24"/>
          <w:szCs w:val="24"/>
          <w:lang w:val="en"/>
        </w:rPr>
        <w:t xml:space="preserve"> will be partially recognized</w:t>
      </w:r>
      <w:r w:rsidR="009A1F35" w:rsidRPr="00DA4F3E">
        <w:rPr>
          <w:rFonts w:ascii="Times New Roman" w:hAnsi="Times New Roman" w:cs="Times New Roman"/>
          <w:b w:val="0"/>
          <w:bCs w:val="0"/>
          <w:sz w:val="24"/>
          <w:szCs w:val="24"/>
        </w:rPr>
        <w:t>.</w:t>
      </w:r>
    </w:p>
    <w:p w:rsidR="00EC775C" w:rsidRPr="00DA4F3E" w:rsidRDefault="007316F2" w:rsidP="007316F2">
      <w:pPr>
        <w:pStyle w:val="ListParagraph"/>
        <w:numPr>
          <w:ilvl w:val="1"/>
          <w:numId w:val="11"/>
        </w:numPr>
        <w:bidi w:val="0"/>
        <w:spacing w:after="0" w:line="276" w:lineRule="auto"/>
        <w:ind w:left="1276" w:hanging="567"/>
        <w:rPr>
          <w:rFonts w:ascii="Times New Roman" w:hAnsi="Times New Roman" w:cs="Times New Roman"/>
          <w:b w:val="0"/>
          <w:bCs w:val="0"/>
          <w:sz w:val="24"/>
          <w:szCs w:val="24"/>
        </w:rPr>
      </w:pPr>
      <w:r w:rsidRPr="00DA4F3E">
        <w:rPr>
          <w:rFonts w:ascii="Times New Roman" w:eastAsiaTheme="minorHAnsi" w:hAnsi="Times New Roman" w:cs="Times New Roman"/>
          <w:b w:val="0"/>
          <w:bCs w:val="0"/>
          <w:sz w:val="24"/>
          <w:szCs w:val="24"/>
        </w:rPr>
        <w:t>H</w:t>
      </w:r>
      <w:r w:rsidR="009A1F35" w:rsidRPr="00DA4F3E">
        <w:rPr>
          <w:rFonts w:ascii="Times New Roman" w:eastAsiaTheme="minorHAnsi" w:hAnsi="Times New Roman" w:cs="Times New Roman"/>
          <w:b w:val="0"/>
          <w:bCs w:val="0"/>
          <w:sz w:val="24"/>
          <w:szCs w:val="24"/>
        </w:rPr>
        <w:t>edges with maturity mismatches will no longer be recognised when they have a residual maturity of three months or less.</w:t>
      </w:r>
    </w:p>
    <w:p w:rsidR="00EC775C" w:rsidRPr="00DA4F3E" w:rsidRDefault="00EC775C" w:rsidP="007316F2">
      <w:pPr>
        <w:pStyle w:val="ListParagraph"/>
        <w:numPr>
          <w:ilvl w:val="1"/>
          <w:numId w:val="11"/>
        </w:numPr>
        <w:bidi w:val="0"/>
        <w:spacing w:after="0" w:line="276" w:lineRule="auto"/>
        <w:ind w:left="1276" w:hanging="567"/>
        <w:rPr>
          <w:rFonts w:ascii="Times New Roman" w:hAnsi="Times New Roman" w:cs="Times New Roman"/>
          <w:b w:val="0"/>
          <w:bCs w:val="0"/>
          <w:sz w:val="24"/>
          <w:szCs w:val="24"/>
        </w:rPr>
      </w:pPr>
      <w:r w:rsidRPr="00DA4F3E">
        <w:rPr>
          <w:rFonts w:ascii="Times New Roman" w:eastAsiaTheme="minorHAnsi" w:hAnsi="Times New Roman" w:cs="Times New Roman"/>
          <w:b w:val="0"/>
          <w:bCs w:val="0"/>
          <w:sz w:val="24"/>
          <w:szCs w:val="24"/>
        </w:rPr>
        <w:t>Under the simple approach for collateral maturity mismatches will not be allowed</w:t>
      </w:r>
      <w:r w:rsidR="00DE283B" w:rsidRPr="00DA4F3E">
        <w:rPr>
          <w:rFonts w:ascii="Times New Roman" w:eastAsiaTheme="minorHAnsi" w:hAnsi="Times New Roman" w:cs="Times New Roman"/>
          <w:b w:val="0"/>
          <w:bCs w:val="0"/>
          <w:sz w:val="24"/>
          <w:szCs w:val="24"/>
        </w:rPr>
        <w:t>.</w:t>
      </w:r>
    </w:p>
    <w:p w:rsidR="007316F2" w:rsidRPr="00F1087B" w:rsidRDefault="007316F2" w:rsidP="007316F2">
      <w:pPr>
        <w:pStyle w:val="ListParagraph"/>
        <w:bidi w:val="0"/>
        <w:spacing w:after="0" w:line="276" w:lineRule="auto"/>
        <w:ind w:left="1276"/>
        <w:rPr>
          <w:rFonts w:ascii="Times New Roman" w:hAnsi="Times New Roman" w:cs="Times New Roman"/>
          <w:b w:val="0"/>
          <w:bCs w:val="0"/>
          <w:sz w:val="8"/>
          <w:szCs w:val="8"/>
        </w:rPr>
      </w:pPr>
    </w:p>
    <w:p w:rsidR="00EC775C" w:rsidRPr="00DA4F3E" w:rsidRDefault="009A1F35" w:rsidP="007316F2">
      <w:pPr>
        <w:pStyle w:val="ListParagraph"/>
        <w:numPr>
          <w:ilvl w:val="0"/>
          <w:numId w:val="11"/>
        </w:numPr>
        <w:bidi w:val="0"/>
        <w:spacing w:after="0" w:line="276" w:lineRule="auto"/>
        <w:ind w:left="709" w:hanging="567"/>
        <w:rPr>
          <w:rFonts w:ascii="Times New Roman" w:hAnsi="Times New Roman" w:cs="Times New Roman"/>
          <w:sz w:val="24"/>
          <w:szCs w:val="24"/>
        </w:rPr>
      </w:pPr>
      <w:r w:rsidRPr="00DA4F3E">
        <w:rPr>
          <w:rFonts w:ascii="Times New Roman" w:hAnsi="Times New Roman" w:cs="Times New Roman"/>
          <w:sz w:val="24"/>
          <w:szCs w:val="24"/>
        </w:rPr>
        <w:t>Definition of Maturity</w:t>
      </w:r>
    </w:p>
    <w:p w:rsidR="000F01C2" w:rsidRPr="00DA4F3E" w:rsidRDefault="000F01C2" w:rsidP="007316F2">
      <w:pPr>
        <w:pStyle w:val="ListParagraph"/>
        <w:numPr>
          <w:ilvl w:val="1"/>
          <w:numId w:val="11"/>
        </w:numPr>
        <w:bidi w:val="0"/>
        <w:spacing w:after="0" w:line="276" w:lineRule="auto"/>
        <w:ind w:left="1276" w:hanging="567"/>
        <w:rPr>
          <w:rFonts w:ascii="Times New Roman" w:eastAsiaTheme="minorHAnsi" w:hAnsi="Times New Roman" w:cs="Times New Roman"/>
          <w:b w:val="0"/>
          <w:bCs w:val="0"/>
          <w:sz w:val="24"/>
          <w:szCs w:val="24"/>
        </w:rPr>
      </w:pPr>
      <w:r w:rsidRPr="00DA4F3E">
        <w:rPr>
          <w:rFonts w:ascii="Times New Roman" w:hAnsi="Times New Roman" w:cs="Times New Roman"/>
          <w:b w:val="0"/>
          <w:bCs w:val="0"/>
          <w:sz w:val="24"/>
          <w:szCs w:val="24"/>
        </w:rPr>
        <w:t>Maturity</w:t>
      </w:r>
      <w:r w:rsidRPr="00DA4F3E">
        <w:rPr>
          <w:rFonts w:ascii="Times New Roman" w:hAnsi="Times New Roman" w:cs="Times New Roman"/>
          <w:b w:val="0"/>
          <w:bCs w:val="0"/>
          <w:color w:val="202124"/>
          <w:sz w:val="24"/>
          <w:szCs w:val="24"/>
          <w:lang w:val="en"/>
        </w:rPr>
        <w:t xml:space="preserve"> means the</w:t>
      </w:r>
      <w:r w:rsidRPr="00DA4F3E">
        <w:rPr>
          <w:rFonts w:ascii="Times New Roman" w:eastAsiaTheme="minorHAnsi" w:hAnsi="Times New Roman" w:cs="Times New Roman"/>
          <w:b w:val="0"/>
          <w:bCs w:val="0"/>
          <w:sz w:val="24"/>
          <w:szCs w:val="24"/>
        </w:rPr>
        <w:t xml:space="preserve"> effective maturity of the underlying exposure, and should be gauged as the longest possible remaining time before the counterparty is scheduled to fulfil its obligation, taking into account any applicable grace period.</w:t>
      </w:r>
    </w:p>
    <w:p w:rsidR="00D20A82" w:rsidRPr="009F1AEE" w:rsidRDefault="000F01C2" w:rsidP="007316F2">
      <w:pPr>
        <w:pStyle w:val="ListParagraph"/>
        <w:numPr>
          <w:ilvl w:val="1"/>
          <w:numId w:val="11"/>
        </w:numPr>
        <w:bidi w:val="0"/>
        <w:spacing w:after="0" w:line="276" w:lineRule="auto"/>
        <w:ind w:left="1276" w:hanging="567"/>
        <w:rPr>
          <w:rFonts w:ascii="Times New Roman" w:hAnsi="Times New Roman" w:cs="Times New Roman"/>
          <w:b w:val="0"/>
          <w:bCs w:val="0"/>
          <w:sz w:val="24"/>
          <w:szCs w:val="24"/>
        </w:rPr>
      </w:pPr>
      <w:r w:rsidRPr="009F1AEE">
        <w:rPr>
          <w:rFonts w:ascii="Times New Roman" w:eastAsiaTheme="minorHAnsi" w:hAnsi="Times New Roman" w:cs="Times New Roman"/>
          <w:b w:val="0"/>
          <w:bCs w:val="0"/>
          <w:sz w:val="24"/>
          <w:szCs w:val="24"/>
        </w:rPr>
        <w:t>For the hedge, embedded options which may reduce the term of the hedge should be taken into account so that the shortest possible effective maturity is used, f</w:t>
      </w:r>
      <w:r w:rsidRPr="009F1AEE">
        <w:rPr>
          <w:rFonts w:ascii="Times New Roman" w:hAnsi="Times New Roman" w:cs="Times New Roman"/>
          <w:b w:val="0"/>
          <w:bCs w:val="0"/>
          <w:color w:val="202124"/>
          <w:sz w:val="24"/>
          <w:szCs w:val="24"/>
          <w:lang w:val="en"/>
        </w:rPr>
        <w:t>or example</w:t>
      </w:r>
      <w:r w:rsidR="00D20A82" w:rsidRPr="009F1AEE">
        <w:rPr>
          <w:rFonts w:ascii="Times New Roman" w:hAnsi="Times New Roman" w:cs="Times New Roman"/>
          <w:b w:val="0"/>
          <w:bCs w:val="0"/>
          <w:color w:val="202124"/>
          <w:sz w:val="24"/>
          <w:szCs w:val="24"/>
          <w:lang w:val="en"/>
        </w:rPr>
        <w:t>:</w:t>
      </w:r>
    </w:p>
    <w:p w:rsidR="00D20A82" w:rsidRPr="009F1AEE" w:rsidRDefault="00D20A82" w:rsidP="007316F2">
      <w:pPr>
        <w:pStyle w:val="ListParagraph"/>
        <w:numPr>
          <w:ilvl w:val="2"/>
          <w:numId w:val="11"/>
        </w:numPr>
        <w:bidi w:val="0"/>
        <w:spacing w:after="0" w:line="276" w:lineRule="auto"/>
        <w:ind w:left="2127" w:hanging="851"/>
        <w:rPr>
          <w:rFonts w:ascii="Times New Roman" w:eastAsiaTheme="minorHAnsi" w:hAnsi="Times New Roman" w:cs="Times New Roman"/>
          <w:b w:val="0"/>
          <w:bCs w:val="0"/>
          <w:sz w:val="24"/>
          <w:szCs w:val="24"/>
        </w:rPr>
      </w:pPr>
      <w:r w:rsidRPr="009F1AEE">
        <w:rPr>
          <w:rFonts w:ascii="Times New Roman" w:eastAsiaTheme="minorHAnsi" w:hAnsi="Times New Roman" w:cs="Times New Roman"/>
          <w:b w:val="0"/>
          <w:bCs w:val="0"/>
          <w:sz w:val="24"/>
          <w:szCs w:val="24"/>
        </w:rPr>
        <w:t>Where a call is at the discretion of the protection seller, the maturity will always be at the first call date.</w:t>
      </w:r>
    </w:p>
    <w:p w:rsidR="007316F2" w:rsidRPr="00C77C3A" w:rsidRDefault="007316F2" w:rsidP="007316F2">
      <w:pPr>
        <w:pStyle w:val="ListParagraph"/>
        <w:numPr>
          <w:ilvl w:val="2"/>
          <w:numId w:val="11"/>
        </w:numPr>
        <w:bidi w:val="0"/>
        <w:spacing w:after="0" w:line="276" w:lineRule="auto"/>
        <w:ind w:left="2127" w:hanging="851"/>
        <w:rPr>
          <w:rFonts w:ascii="Times New Roman" w:hAnsi="Times New Roman" w:cs="Times New Roman"/>
          <w:b w:val="0"/>
          <w:bCs w:val="0"/>
          <w:sz w:val="24"/>
          <w:szCs w:val="24"/>
        </w:rPr>
      </w:pPr>
      <w:r w:rsidRPr="009F1AEE">
        <w:rPr>
          <w:rFonts w:ascii="Times New Roman" w:eastAsiaTheme="minorHAnsi" w:hAnsi="Times New Roman" w:cs="Times New Roman"/>
          <w:b w:val="0"/>
          <w:bCs w:val="0"/>
          <w:sz w:val="24"/>
          <w:szCs w:val="24"/>
        </w:rPr>
        <w:t>T</w:t>
      </w:r>
      <w:r w:rsidR="00D20A82" w:rsidRPr="009F1AEE">
        <w:rPr>
          <w:rFonts w:ascii="Times New Roman" w:eastAsiaTheme="minorHAnsi" w:hAnsi="Times New Roman" w:cs="Times New Roman"/>
          <w:b w:val="0"/>
          <w:bCs w:val="0"/>
          <w:sz w:val="24"/>
          <w:szCs w:val="24"/>
        </w:rPr>
        <w:t>he call is at the discretion of the protection buying bank but the terms of the arrangement at origination of the hedge contain a positive incentive for the bank to call the transaction before contractual maturity, the remaining time to the first call date will be deemed to be the effective maturity.</w:t>
      </w:r>
    </w:p>
    <w:p w:rsidR="00C77C3A" w:rsidRPr="009F1AEE" w:rsidRDefault="00C77C3A" w:rsidP="00C77C3A">
      <w:pPr>
        <w:pStyle w:val="ListParagraph"/>
        <w:bidi w:val="0"/>
        <w:spacing w:after="0" w:line="276" w:lineRule="auto"/>
        <w:ind w:left="2127"/>
        <w:rPr>
          <w:rFonts w:ascii="Times New Roman" w:hAnsi="Times New Roman" w:cs="Times New Roman"/>
          <w:b w:val="0"/>
          <w:bCs w:val="0"/>
          <w:sz w:val="24"/>
          <w:szCs w:val="24"/>
        </w:rPr>
      </w:pPr>
    </w:p>
    <w:p w:rsidR="00DA4F3E" w:rsidRPr="0039291D" w:rsidRDefault="00DA4F3E" w:rsidP="00DA4F3E">
      <w:pPr>
        <w:bidi w:val="0"/>
        <w:spacing w:after="0" w:line="276" w:lineRule="auto"/>
        <w:rPr>
          <w:rFonts w:ascii="Times New Roman" w:hAnsi="Times New Roman" w:cs="Times New Roman"/>
          <w:b w:val="0"/>
          <w:bCs w:val="0"/>
          <w:sz w:val="6"/>
          <w:szCs w:val="6"/>
        </w:rPr>
      </w:pPr>
    </w:p>
    <w:p w:rsidR="000F01C2" w:rsidRPr="00E96CD6" w:rsidRDefault="00B338EC" w:rsidP="007316F2">
      <w:pPr>
        <w:pStyle w:val="ListParagraph"/>
        <w:numPr>
          <w:ilvl w:val="0"/>
          <w:numId w:val="11"/>
        </w:numPr>
        <w:bidi w:val="0"/>
        <w:spacing w:after="0" w:line="276" w:lineRule="auto"/>
        <w:ind w:left="709" w:hanging="567"/>
        <w:rPr>
          <w:rFonts w:ascii="Times New Roman" w:hAnsi="Times New Roman" w:cs="Times New Roman"/>
          <w:sz w:val="24"/>
          <w:szCs w:val="24"/>
        </w:rPr>
      </w:pPr>
      <w:r w:rsidRPr="00E96CD6">
        <w:rPr>
          <w:rFonts w:ascii="Times New Roman" w:hAnsi="Times New Roman" w:cs="Times New Roman"/>
          <w:sz w:val="24"/>
          <w:szCs w:val="24"/>
        </w:rPr>
        <w:t>Risk weights for maturity mismatches</w:t>
      </w:r>
    </w:p>
    <w:p w:rsidR="00B338EC" w:rsidRPr="00DA4F3E" w:rsidRDefault="00B338EC" w:rsidP="007316F2">
      <w:pPr>
        <w:pStyle w:val="ListParagraph"/>
        <w:bidi w:val="0"/>
        <w:spacing w:after="0" w:line="276" w:lineRule="auto"/>
        <w:ind w:left="709"/>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When there is a maturity mismatch with recognised credit risk mitigants, the following adjustment will be applied:</w:t>
      </w:r>
    </w:p>
    <w:tbl>
      <w:tblPr>
        <w:tblStyle w:val="TableGrid"/>
        <w:tblpPr w:leftFromText="180" w:rightFromText="180" w:vertAnchor="text" w:horzAnchor="margin" w:tblpXSpec="center" w:tblpY="71"/>
        <w:bidiVisual/>
        <w:tblW w:w="0" w:type="auto"/>
        <w:tblLook w:val="04A0" w:firstRow="1" w:lastRow="0" w:firstColumn="1" w:lastColumn="0" w:noHBand="0" w:noVBand="1"/>
      </w:tblPr>
      <w:tblGrid>
        <w:gridCol w:w="4896"/>
      </w:tblGrid>
      <w:tr w:rsidR="00B338EC" w:rsidTr="00F1087B">
        <w:trPr>
          <w:trHeight w:val="416"/>
        </w:trPr>
        <w:tc>
          <w:tcPr>
            <w:tcW w:w="4896" w:type="dxa"/>
            <w:vAlign w:val="center"/>
          </w:tcPr>
          <w:p w:rsidR="00B338EC" w:rsidRPr="00F1087B" w:rsidRDefault="00B338EC" w:rsidP="00F1087B">
            <w:pPr>
              <w:spacing w:after="0"/>
              <w:jc w:val="center"/>
              <w:rPr>
                <w:b w:val="0"/>
                <w:bCs w:val="0"/>
                <w:sz w:val="24"/>
                <w:szCs w:val="24"/>
                <w:rtl/>
                <w:lang w:bidi="ar-JO"/>
              </w:rPr>
            </w:pPr>
            <w:bookmarkStart w:id="49" w:name="_Toc414888387"/>
            <w:bookmarkStart w:id="50" w:name="_Toc451176575"/>
            <w:r w:rsidRPr="00F1087B">
              <w:rPr>
                <w:b w:val="0"/>
                <w:bCs w:val="0"/>
                <w:sz w:val="24"/>
                <w:szCs w:val="24"/>
              </w:rPr>
              <w:lastRenderedPageBreak/>
              <w:t>Pa = P * (t-0.25) / (T -0.25)</w:t>
            </w:r>
            <w:bookmarkEnd w:id="49"/>
            <w:bookmarkEnd w:id="50"/>
          </w:p>
        </w:tc>
      </w:tr>
    </w:tbl>
    <w:p w:rsidR="00B338EC" w:rsidRPr="00F1087B" w:rsidRDefault="00B338EC" w:rsidP="00B338EC">
      <w:pPr>
        <w:pStyle w:val="ListParagraph"/>
        <w:bidi w:val="0"/>
        <w:spacing w:before="240" w:after="240" w:line="276" w:lineRule="auto"/>
        <w:ind w:left="1080"/>
        <w:rPr>
          <w:sz w:val="10"/>
          <w:szCs w:val="10"/>
        </w:rPr>
      </w:pPr>
    </w:p>
    <w:p w:rsidR="00C77C3A" w:rsidRDefault="00C77C3A" w:rsidP="00B338EC">
      <w:pPr>
        <w:autoSpaceDE w:val="0"/>
        <w:autoSpaceDN w:val="0"/>
        <w:bidi w:val="0"/>
        <w:adjustRightInd w:val="0"/>
        <w:spacing w:after="0"/>
        <w:ind w:left="2340" w:hanging="900"/>
        <w:jc w:val="left"/>
        <w:rPr>
          <w:rFonts w:ascii="Times New Roman" w:eastAsiaTheme="minorHAnsi" w:hAnsi="Times New Roman" w:cs="Times New Roman"/>
          <w:b w:val="0"/>
          <w:bCs w:val="0"/>
          <w:sz w:val="24"/>
          <w:szCs w:val="24"/>
        </w:rPr>
      </w:pPr>
    </w:p>
    <w:p w:rsidR="00B338EC" w:rsidRDefault="00B338EC" w:rsidP="00C77C3A">
      <w:pPr>
        <w:autoSpaceDE w:val="0"/>
        <w:autoSpaceDN w:val="0"/>
        <w:bidi w:val="0"/>
        <w:adjustRightInd w:val="0"/>
        <w:spacing w:after="0"/>
        <w:ind w:left="2340" w:hanging="900"/>
        <w:jc w:val="left"/>
        <w:rPr>
          <w:rFonts w:ascii="Times New Roman" w:eastAsiaTheme="minorHAnsi" w:hAnsi="Times New Roman" w:cs="Times New Roman"/>
          <w:b w:val="0"/>
          <w:bCs w:val="0"/>
          <w:sz w:val="24"/>
          <w:szCs w:val="24"/>
        </w:rPr>
      </w:pPr>
      <w:r w:rsidRPr="00503386">
        <w:rPr>
          <w:rFonts w:ascii="Times New Roman" w:eastAsiaTheme="minorHAnsi" w:hAnsi="Times New Roman" w:cs="Times New Roman"/>
          <w:b w:val="0"/>
          <w:bCs w:val="0"/>
          <w:sz w:val="24"/>
          <w:szCs w:val="24"/>
        </w:rPr>
        <w:t>where:</w:t>
      </w:r>
    </w:p>
    <w:tbl>
      <w:tblPr>
        <w:tblStyle w:val="TableGrid"/>
        <w:tblW w:w="0" w:type="auto"/>
        <w:tblInd w:w="2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283"/>
        <w:gridCol w:w="5821"/>
      </w:tblGrid>
      <w:tr w:rsidR="00503386" w:rsidTr="00503386">
        <w:tc>
          <w:tcPr>
            <w:tcW w:w="486" w:type="dxa"/>
          </w:tcPr>
          <w:p w:rsidR="00503386" w:rsidRPr="0039291D" w:rsidRDefault="00503386" w:rsidP="00503386">
            <w:pPr>
              <w:autoSpaceDE w:val="0"/>
              <w:autoSpaceDN w:val="0"/>
              <w:bidi w:val="0"/>
              <w:adjustRightInd w:val="0"/>
              <w:spacing w:after="0"/>
              <w:jc w:val="left"/>
              <w:rPr>
                <w:rFonts w:ascii="Times New Roman" w:eastAsiaTheme="minorHAnsi" w:hAnsi="Times New Roman" w:cs="Times New Roman"/>
                <w:b w:val="0"/>
                <w:bCs w:val="0"/>
                <w:sz w:val="24"/>
                <w:szCs w:val="24"/>
              </w:rPr>
            </w:pPr>
            <w:r w:rsidRPr="0039291D">
              <w:rPr>
                <w:rFonts w:ascii="Times New Roman" w:eastAsiaTheme="minorHAnsi" w:hAnsi="Times New Roman" w:cs="Times New Roman"/>
                <w:b w:val="0"/>
                <w:bCs w:val="0"/>
                <w:sz w:val="22"/>
                <w:szCs w:val="22"/>
              </w:rPr>
              <w:t>Pa</w:t>
            </w:r>
          </w:p>
        </w:tc>
        <w:tc>
          <w:tcPr>
            <w:tcW w:w="236" w:type="dxa"/>
          </w:tcPr>
          <w:p w:rsidR="00503386" w:rsidRDefault="00503386" w:rsidP="00503386">
            <w:pPr>
              <w:autoSpaceDE w:val="0"/>
              <w:autoSpaceDN w:val="0"/>
              <w:bidi w:val="0"/>
              <w:adjustRightInd w:val="0"/>
              <w:spacing w:after="0"/>
              <w:jc w:val="left"/>
              <w:rPr>
                <w:rFonts w:ascii="Times New Roman" w:eastAsiaTheme="minorHAnsi" w:hAnsi="Times New Roman" w:cs="Times New Roman"/>
                <w:b w:val="0"/>
                <w:bCs w:val="0"/>
                <w:sz w:val="24"/>
                <w:szCs w:val="24"/>
              </w:rPr>
            </w:pPr>
            <w:r>
              <w:rPr>
                <w:rFonts w:ascii="Times New Roman" w:eastAsiaTheme="minorHAnsi" w:hAnsi="Times New Roman" w:cs="Times New Roman"/>
                <w:b w:val="0"/>
                <w:bCs w:val="0"/>
                <w:sz w:val="24"/>
                <w:szCs w:val="24"/>
              </w:rPr>
              <w:t>:</w:t>
            </w:r>
          </w:p>
        </w:tc>
        <w:tc>
          <w:tcPr>
            <w:tcW w:w="5858" w:type="dxa"/>
          </w:tcPr>
          <w:p w:rsidR="00503386" w:rsidRPr="00503386" w:rsidRDefault="00503386" w:rsidP="00503386">
            <w:pPr>
              <w:autoSpaceDE w:val="0"/>
              <w:autoSpaceDN w:val="0"/>
              <w:bidi w:val="0"/>
              <w:adjustRightInd w:val="0"/>
              <w:spacing w:after="0"/>
              <w:jc w:val="left"/>
              <w:rPr>
                <w:rFonts w:ascii="Times New Roman" w:eastAsiaTheme="minorHAnsi" w:hAnsi="Times New Roman" w:cs="Times New Roman"/>
                <w:b w:val="0"/>
                <w:bCs w:val="0"/>
                <w:sz w:val="24"/>
                <w:szCs w:val="24"/>
              </w:rPr>
            </w:pPr>
            <w:r w:rsidRPr="00503386">
              <w:rPr>
                <w:rFonts w:ascii="Times New Roman" w:eastAsiaTheme="minorHAnsi" w:hAnsi="Times New Roman" w:cs="Times New Roman"/>
                <w:b w:val="0"/>
                <w:bCs w:val="0"/>
                <w:sz w:val="22"/>
                <w:szCs w:val="22"/>
              </w:rPr>
              <w:t>value of the credit protection adjusted for maturity mismatch</w:t>
            </w:r>
          </w:p>
        </w:tc>
      </w:tr>
      <w:tr w:rsidR="00503386" w:rsidTr="00503386">
        <w:tc>
          <w:tcPr>
            <w:tcW w:w="486" w:type="dxa"/>
          </w:tcPr>
          <w:p w:rsidR="00503386" w:rsidRPr="0039291D" w:rsidRDefault="00503386" w:rsidP="00503386">
            <w:pPr>
              <w:autoSpaceDE w:val="0"/>
              <w:autoSpaceDN w:val="0"/>
              <w:bidi w:val="0"/>
              <w:adjustRightInd w:val="0"/>
              <w:spacing w:after="0"/>
              <w:jc w:val="left"/>
              <w:rPr>
                <w:rFonts w:ascii="Times New Roman" w:eastAsiaTheme="minorHAnsi" w:hAnsi="Times New Roman" w:cs="Times New Roman"/>
                <w:b w:val="0"/>
                <w:bCs w:val="0"/>
                <w:sz w:val="24"/>
                <w:szCs w:val="24"/>
              </w:rPr>
            </w:pPr>
            <w:r w:rsidRPr="0039291D">
              <w:rPr>
                <w:rFonts w:ascii="Times New Roman" w:eastAsiaTheme="minorHAnsi" w:hAnsi="Times New Roman" w:cs="Times New Roman"/>
                <w:b w:val="0"/>
                <w:bCs w:val="0"/>
                <w:sz w:val="22"/>
                <w:szCs w:val="22"/>
              </w:rPr>
              <w:t>P</w:t>
            </w:r>
          </w:p>
        </w:tc>
        <w:tc>
          <w:tcPr>
            <w:tcW w:w="236" w:type="dxa"/>
          </w:tcPr>
          <w:p w:rsidR="00503386" w:rsidRDefault="00503386" w:rsidP="00503386">
            <w:pPr>
              <w:autoSpaceDE w:val="0"/>
              <w:autoSpaceDN w:val="0"/>
              <w:bidi w:val="0"/>
              <w:adjustRightInd w:val="0"/>
              <w:spacing w:after="0"/>
              <w:jc w:val="left"/>
              <w:rPr>
                <w:rFonts w:ascii="Times New Roman" w:eastAsiaTheme="minorHAnsi" w:hAnsi="Times New Roman" w:cs="Times New Roman"/>
                <w:b w:val="0"/>
                <w:bCs w:val="0"/>
                <w:sz w:val="24"/>
                <w:szCs w:val="24"/>
              </w:rPr>
            </w:pPr>
            <w:r>
              <w:rPr>
                <w:rFonts w:ascii="Times New Roman" w:eastAsiaTheme="minorHAnsi" w:hAnsi="Times New Roman" w:cs="Times New Roman"/>
                <w:b w:val="0"/>
                <w:bCs w:val="0"/>
                <w:sz w:val="24"/>
                <w:szCs w:val="24"/>
              </w:rPr>
              <w:t>:</w:t>
            </w:r>
          </w:p>
        </w:tc>
        <w:tc>
          <w:tcPr>
            <w:tcW w:w="5858" w:type="dxa"/>
          </w:tcPr>
          <w:p w:rsidR="00503386" w:rsidRPr="00503386" w:rsidRDefault="00503386" w:rsidP="00503386">
            <w:pPr>
              <w:autoSpaceDE w:val="0"/>
              <w:autoSpaceDN w:val="0"/>
              <w:bidi w:val="0"/>
              <w:adjustRightInd w:val="0"/>
              <w:spacing w:after="0"/>
              <w:jc w:val="left"/>
              <w:rPr>
                <w:rFonts w:ascii="Times New Roman" w:eastAsiaTheme="minorHAnsi" w:hAnsi="Times New Roman" w:cs="Times New Roman"/>
                <w:b w:val="0"/>
                <w:bCs w:val="0"/>
                <w:sz w:val="24"/>
                <w:szCs w:val="24"/>
              </w:rPr>
            </w:pPr>
            <w:r w:rsidRPr="00503386">
              <w:rPr>
                <w:rFonts w:ascii="Times New Roman" w:eastAsiaTheme="minorHAnsi" w:hAnsi="Times New Roman" w:cs="Times New Roman"/>
                <w:b w:val="0"/>
                <w:bCs w:val="0"/>
                <w:sz w:val="22"/>
                <w:szCs w:val="22"/>
              </w:rPr>
              <w:t>credit protection adjusted for any haircuts</w:t>
            </w:r>
          </w:p>
        </w:tc>
      </w:tr>
      <w:tr w:rsidR="00503386" w:rsidTr="00503386">
        <w:tc>
          <w:tcPr>
            <w:tcW w:w="486" w:type="dxa"/>
          </w:tcPr>
          <w:p w:rsidR="00503386" w:rsidRPr="0039291D" w:rsidRDefault="00503386" w:rsidP="00503386">
            <w:pPr>
              <w:autoSpaceDE w:val="0"/>
              <w:autoSpaceDN w:val="0"/>
              <w:bidi w:val="0"/>
              <w:adjustRightInd w:val="0"/>
              <w:spacing w:after="0"/>
              <w:jc w:val="left"/>
              <w:rPr>
                <w:rFonts w:ascii="Times New Roman" w:eastAsiaTheme="minorHAnsi" w:hAnsi="Times New Roman" w:cs="Times New Roman"/>
                <w:b w:val="0"/>
                <w:bCs w:val="0"/>
                <w:sz w:val="24"/>
                <w:szCs w:val="24"/>
              </w:rPr>
            </w:pPr>
            <w:r w:rsidRPr="0039291D">
              <w:rPr>
                <w:rFonts w:ascii="Times New Roman" w:eastAsiaTheme="minorHAnsi" w:hAnsi="Times New Roman" w:cs="Times New Roman"/>
                <w:b w:val="0"/>
                <w:bCs w:val="0"/>
                <w:sz w:val="22"/>
                <w:szCs w:val="22"/>
              </w:rPr>
              <w:t>t</w:t>
            </w:r>
          </w:p>
        </w:tc>
        <w:tc>
          <w:tcPr>
            <w:tcW w:w="236" w:type="dxa"/>
          </w:tcPr>
          <w:p w:rsidR="00503386" w:rsidRDefault="00503386" w:rsidP="00503386">
            <w:pPr>
              <w:autoSpaceDE w:val="0"/>
              <w:autoSpaceDN w:val="0"/>
              <w:bidi w:val="0"/>
              <w:adjustRightInd w:val="0"/>
              <w:spacing w:after="0"/>
              <w:jc w:val="left"/>
              <w:rPr>
                <w:rFonts w:ascii="Times New Roman" w:eastAsiaTheme="minorHAnsi" w:hAnsi="Times New Roman" w:cs="Times New Roman"/>
                <w:b w:val="0"/>
                <w:bCs w:val="0"/>
                <w:sz w:val="24"/>
                <w:szCs w:val="24"/>
              </w:rPr>
            </w:pPr>
            <w:r>
              <w:rPr>
                <w:rFonts w:ascii="Times New Roman" w:eastAsiaTheme="minorHAnsi" w:hAnsi="Times New Roman" w:cs="Times New Roman"/>
                <w:b w:val="0"/>
                <w:bCs w:val="0"/>
                <w:sz w:val="24"/>
                <w:szCs w:val="24"/>
              </w:rPr>
              <w:t>:</w:t>
            </w:r>
          </w:p>
        </w:tc>
        <w:tc>
          <w:tcPr>
            <w:tcW w:w="5858" w:type="dxa"/>
          </w:tcPr>
          <w:p w:rsidR="00503386" w:rsidRPr="00503386" w:rsidRDefault="00503386" w:rsidP="00503386">
            <w:pPr>
              <w:autoSpaceDE w:val="0"/>
              <w:autoSpaceDN w:val="0"/>
              <w:bidi w:val="0"/>
              <w:adjustRightInd w:val="0"/>
              <w:spacing w:after="0"/>
              <w:jc w:val="left"/>
              <w:rPr>
                <w:rFonts w:ascii="Times New Roman" w:eastAsiaTheme="minorHAnsi" w:hAnsi="Times New Roman" w:cs="Times New Roman"/>
                <w:b w:val="0"/>
                <w:bCs w:val="0"/>
                <w:sz w:val="24"/>
                <w:szCs w:val="24"/>
              </w:rPr>
            </w:pPr>
            <w:r w:rsidRPr="00503386">
              <w:rPr>
                <w:rFonts w:ascii="Times New Roman" w:eastAsiaTheme="minorHAnsi" w:hAnsi="Times New Roman" w:cs="Times New Roman"/>
                <w:b w:val="0"/>
                <w:bCs w:val="0"/>
                <w:sz w:val="22"/>
                <w:szCs w:val="22"/>
              </w:rPr>
              <w:t>min (T, residual maturity of the credit protection arrangement) expressed in years</w:t>
            </w:r>
          </w:p>
        </w:tc>
      </w:tr>
      <w:tr w:rsidR="00503386" w:rsidTr="00503386">
        <w:tc>
          <w:tcPr>
            <w:tcW w:w="486" w:type="dxa"/>
          </w:tcPr>
          <w:p w:rsidR="00503386" w:rsidRPr="0039291D" w:rsidRDefault="00503386" w:rsidP="00503386">
            <w:pPr>
              <w:autoSpaceDE w:val="0"/>
              <w:autoSpaceDN w:val="0"/>
              <w:bidi w:val="0"/>
              <w:adjustRightInd w:val="0"/>
              <w:spacing w:after="0"/>
              <w:jc w:val="left"/>
              <w:rPr>
                <w:rFonts w:ascii="Times New Roman" w:eastAsiaTheme="minorHAnsi" w:hAnsi="Times New Roman" w:cs="Times New Roman"/>
                <w:b w:val="0"/>
                <w:bCs w:val="0"/>
                <w:sz w:val="24"/>
                <w:szCs w:val="24"/>
              </w:rPr>
            </w:pPr>
            <w:r w:rsidRPr="0039291D">
              <w:rPr>
                <w:rFonts w:ascii="Times New Roman" w:eastAsiaTheme="minorHAnsi" w:hAnsi="Times New Roman" w:cs="Times New Roman"/>
                <w:b w:val="0"/>
                <w:bCs w:val="0"/>
                <w:sz w:val="22"/>
                <w:szCs w:val="22"/>
              </w:rPr>
              <w:t>T</w:t>
            </w:r>
          </w:p>
        </w:tc>
        <w:tc>
          <w:tcPr>
            <w:tcW w:w="236" w:type="dxa"/>
          </w:tcPr>
          <w:p w:rsidR="00503386" w:rsidRDefault="00503386" w:rsidP="00503386">
            <w:pPr>
              <w:autoSpaceDE w:val="0"/>
              <w:autoSpaceDN w:val="0"/>
              <w:bidi w:val="0"/>
              <w:adjustRightInd w:val="0"/>
              <w:spacing w:after="0"/>
              <w:jc w:val="left"/>
              <w:rPr>
                <w:rFonts w:ascii="Times New Roman" w:eastAsiaTheme="minorHAnsi" w:hAnsi="Times New Roman" w:cs="Times New Roman"/>
                <w:b w:val="0"/>
                <w:bCs w:val="0"/>
                <w:sz w:val="24"/>
                <w:szCs w:val="24"/>
              </w:rPr>
            </w:pPr>
            <w:r>
              <w:rPr>
                <w:rFonts w:ascii="Times New Roman" w:eastAsiaTheme="minorHAnsi" w:hAnsi="Times New Roman" w:cs="Times New Roman"/>
                <w:b w:val="0"/>
                <w:bCs w:val="0"/>
                <w:sz w:val="24"/>
                <w:szCs w:val="24"/>
              </w:rPr>
              <w:t>:</w:t>
            </w:r>
          </w:p>
        </w:tc>
        <w:tc>
          <w:tcPr>
            <w:tcW w:w="5858" w:type="dxa"/>
          </w:tcPr>
          <w:p w:rsidR="00503386" w:rsidRPr="00503386" w:rsidRDefault="00503386" w:rsidP="00503386">
            <w:pPr>
              <w:autoSpaceDE w:val="0"/>
              <w:autoSpaceDN w:val="0"/>
              <w:bidi w:val="0"/>
              <w:adjustRightInd w:val="0"/>
              <w:spacing w:after="0"/>
              <w:jc w:val="left"/>
              <w:rPr>
                <w:rFonts w:ascii="Times New Roman" w:eastAsiaTheme="minorHAnsi" w:hAnsi="Times New Roman" w:cs="Times New Roman"/>
                <w:b w:val="0"/>
                <w:bCs w:val="0"/>
                <w:sz w:val="24"/>
                <w:szCs w:val="24"/>
              </w:rPr>
            </w:pPr>
            <w:r w:rsidRPr="00503386">
              <w:rPr>
                <w:rFonts w:ascii="Times New Roman" w:eastAsiaTheme="minorHAnsi" w:hAnsi="Times New Roman" w:cs="Times New Roman"/>
                <w:b w:val="0"/>
                <w:bCs w:val="0"/>
                <w:sz w:val="22"/>
                <w:szCs w:val="22"/>
              </w:rPr>
              <w:t>min (5, residual maturity of the exposure) expressed in years</w:t>
            </w:r>
          </w:p>
        </w:tc>
      </w:tr>
    </w:tbl>
    <w:p w:rsidR="00F1087B" w:rsidRDefault="00F1087B" w:rsidP="00F1087B">
      <w:pPr>
        <w:pStyle w:val="ListParagraph"/>
        <w:bidi w:val="0"/>
        <w:spacing w:after="0" w:line="276" w:lineRule="auto"/>
        <w:ind w:left="709"/>
        <w:rPr>
          <w:rFonts w:ascii="Times New Roman" w:hAnsi="Times New Roman" w:cs="Times New Roman"/>
          <w:sz w:val="24"/>
          <w:szCs w:val="24"/>
        </w:rPr>
      </w:pPr>
    </w:p>
    <w:p w:rsidR="00B338EC" w:rsidRPr="00DA4F3E" w:rsidRDefault="007362FD" w:rsidP="00F1087B">
      <w:pPr>
        <w:pStyle w:val="ListParagraph"/>
        <w:numPr>
          <w:ilvl w:val="0"/>
          <w:numId w:val="11"/>
        </w:numPr>
        <w:bidi w:val="0"/>
        <w:spacing w:after="0" w:line="276" w:lineRule="auto"/>
        <w:ind w:left="709" w:hanging="567"/>
        <w:rPr>
          <w:rFonts w:ascii="Times New Roman" w:hAnsi="Times New Roman" w:cs="Times New Roman"/>
          <w:sz w:val="24"/>
          <w:szCs w:val="24"/>
        </w:rPr>
      </w:pPr>
      <w:r w:rsidRPr="00DA4F3E">
        <w:rPr>
          <w:rFonts w:ascii="Times New Roman" w:hAnsi="Times New Roman" w:cs="Times New Roman"/>
          <w:sz w:val="24"/>
          <w:szCs w:val="24"/>
        </w:rPr>
        <w:t>Other items related to the treatment of CRM techniques:</w:t>
      </w:r>
    </w:p>
    <w:p w:rsidR="007362FD" w:rsidRPr="00DA4F3E" w:rsidRDefault="007362FD" w:rsidP="00D2058F">
      <w:pPr>
        <w:pStyle w:val="ListParagraph"/>
        <w:numPr>
          <w:ilvl w:val="1"/>
          <w:numId w:val="11"/>
        </w:numPr>
        <w:bidi w:val="0"/>
        <w:spacing w:after="0" w:line="276" w:lineRule="auto"/>
        <w:ind w:left="1276" w:hanging="567"/>
        <w:rPr>
          <w:rFonts w:ascii="Times New Roman" w:hAnsi="Times New Roman" w:cs="Times New Roman"/>
          <w:b w:val="0"/>
          <w:bCs w:val="0"/>
          <w:sz w:val="24"/>
          <w:szCs w:val="24"/>
        </w:rPr>
      </w:pPr>
      <w:r w:rsidRPr="00DA4F3E">
        <w:rPr>
          <w:rFonts w:ascii="Times New Roman" w:hAnsi="Times New Roman" w:cs="Times New Roman"/>
          <w:b w:val="0"/>
          <w:bCs w:val="0"/>
          <w:sz w:val="24"/>
          <w:szCs w:val="24"/>
        </w:rPr>
        <w:t>Treatment of pools of CRM techniques</w:t>
      </w:r>
    </w:p>
    <w:p w:rsidR="007362FD" w:rsidRPr="00DA4F3E" w:rsidRDefault="006B4BB7" w:rsidP="00D2058F">
      <w:pPr>
        <w:pStyle w:val="ListParagraph"/>
        <w:numPr>
          <w:ilvl w:val="2"/>
          <w:numId w:val="11"/>
        </w:numPr>
        <w:bidi w:val="0"/>
        <w:spacing w:after="0" w:line="276" w:lineRule="auto"/>
        <w:ind w:left="2127" w:hanging="851"/>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In the case where a bank has multiple CRM techniques covering a single exposure, the bank will be required to subdivide the exposure into portions covered by each type of CRM technique and the risk-weighted assets of each portion must be calculated separately.</w:t>
      </w:r>
    </w:p>
    <w:p w:rsidR="006B4BB7" w:rsidRPr="00DA4F3E" w:rsidRDefault="006B4BB7" w:rsidP="00D2058F">
      <w:pPr>
        <w:pStyle w:val="ListParagraph"/>
        <w:numPr>
          <w:ilvl w:val="2"/>
          <w:numId w:val="11"/>
        </w:numPr>
        <w:bidi w:val="0"/>
        <w:spacing w:after="0" w:line="276" w:lineRule="auto"/>
        <w:ind w:left="2127" w:hanging="851"/>
        <w:rPr>
          <w:rFonts w:ascii="Times New Roman" w:hAnsi="Times New Roman" w:cs="Times New Roman"/>
          <w:b w:val="0"/>
          <w:bCs w:val="0"/>
          <w:sz w:val="24"/>
          <w:szCs w:val="24"/>
          <w:lang w:bidi="ar-JO"/>
        </w:rPr>
      </w:pPr>
      <w:r w:rsidRPr="00DA4F3E">
        <w:rPr>
          <w:rFonts w:ascii="Times New Roman" w:eastAsiaTheme="minorHAnsi" w:hAnsi="Times New Roman" w:cs="Times New Roman"/>
          <w:b w:val="0"/>
          <w:bCs w:val="0"/>
          <w:sz w:val="24"/>
          <w:szCs w:val="24"/>
        </w:rPr>
        <w:t>When credit protection provided by a single protection provider has differing maturities, they must be subdivided into separate protection as well.</w:t>
      </w:r>
    </w:p>
    <w:p w:rsidR="007362FD" w:rsidRPr="00DA4F3E" w:rsidRDefault="006B4BB7" w:rsidP="00D2058F">
      <w:pPr>
        <w:pStyle w:val="ListParagraph"/>
        <w:numPr>
          <w:ilvl w:val="1"/>
          <w:numId w:val="11"/>
        </w:numPr>
        <w:bidi w:val="0"/>
        <w:spacing w:after="0" w:line="276" w:lineRule="auto"/>
        <w:ind w:left="1276" w:hanging="567"/>
        <w:rPr>
          <w:rFonts w:ascii="Times New Roman" w:hAnsi="Times New Roman" w:cs="Times New Roman"/>
          <w:b w:val="0"/>
          <w:bCs w:val="0"/>
          <w:sz w:val="24"/>
          <w:szCs w:val="24"/>
        </w:rPr>
      </w:pPr>
      <w:r w:rsidRPr="00DA4F3E">
        <w:rPr>
          <w:rFonts w:ascii="Times New Roman" w:hAnsi="Times New Roman" w:cs="Times New Roman"/>
          <w:b w:val="0"/>
          <w:bCs w:val="0"/>
          <w:sz w:val="24"/>
          <w:szCs w:val="24"/>
        </w:rPr>
        <w:t>First-to-Default Credit Derivatives</w:t>
      </w:r>
    </w:p>
    <w:p w:rsidR="006B4BB7" w:rsidRPr="00DA4F3E" w:rsidRDefault="006B4BB7" w:rsidP="00E96CD6">
      <w:pPr>
        <w:pStyle w:val="ListParagraph"/>
        <w:numPr>
          <w:ilvl w:val="2"/>
          <w:numId w:val="11"/>
        </w:numPr>
        <w:bidi w:val="0"/>
        <w:spacing w:after="0" w:line="276" w:lineRule="auto"/>
        <w:ind w:left="2127" w:hanging="851"/>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 xml:space="preserve">If a bank obtains credit protection for a basket of reference names and where the first default among the reference names triggers the credit protection and the credit event also terminates the contract. In this case, the bank may </w:t>
      </w:r>
      <w:r w:rsidR="00A46C88" w:rsidRPr="00DA4F3E">
        <w:rPr>
          <w:rFonts w:ascii="Times New Roman" w:eastAsiaTheme="minorHAnsi" w:hAnsi="Times New Roman" w:cs="Times New Roman"/>
          <w:b w:val="0"/>
          <w:bCs w:val="0"/>
          <w:sz w:val="24"/>
          <w:szCs w:val="24"/>
        </w:rPr>
        <w:t>recognize</w:t>
      </w:r>
      <w:r w:rsidRPr="00DA4F3E">
        <w:rPr>
          <w:rFonts w:ascii="Times New Roman" w:eastAsiaTheme="minorHAnsi" w:hAnsi="Times New Roman" w:cs="Times New Roman"/>
          <w:b w:val="0"/>
          <w:bCs w:val="0"/>
          <w:sz w:val="24"/>
          <w:szCs w:val="24"/>
        </w:rPr>
        <w:t xml:space="preserve"> regulatory capital relief for the asset within the basket with the lowest risk-weighted amount, but only if the </w:t>
      </w:r>
      <w:r w:rsidR="00E96CD6">
        <w:rPr>
          <w:rFonts w:ascii="Times New Roman" w:eastAsiaTheme="minorHAnsi" w:hAnsi="Times New Roman" w:cs="Times New Roman"/>
          <w:b w:val="0"/>
          <w:bCs w:val="0"/>
          <w:sz w:val="24"/>
          <w:szCs w:val="24"/>
        </w:rPr>
        <w:t>nominal</w:t>
      </w:r>
      <w:r w:rsidRPr="00DA4F3E">
        <w:rPr>
          <w:rFonts w:ascii="Times New Roman" w:eastAsiaTheme="minorHAnsi" w:hAnsi="Times New Roman" w:cs="Times New Roman"/>
          <w:b w:val="0"/>
          <w:bCs w:val="0"/>
          <w:sz w:val="24"/>
          <w:szCs w:val="24"/>
        </w:rPr>
        <w:t xml:space="preserve"> amount is less than or equal to the </w:t>
      </w:r>
      <w:r w:rsidR="00E96CD6">
        <w:rPr>
          <w:rFonts w:ascii="Times New Roman" w:eastAsiaTheme="minorHAnsi" w:hAnsi="Times New Roman" w:cs="Times New Roman"/>
          <w:b w:val="0"/>
          <w:bCs w:val="0"/>
          <w:sz w:val="24"/>
          <w:szCs w:val="24"/>
        </w:rPr>
        <w:t>nominal</w:t>
      </w:r>
      <w:r w:rsidR="00E96CD6" w:rsidRPr="00DA4F3E">
        <w:rPr>
          <w:rFonts w:ascii="Times New Roman" w:eastAsiaTheme="minorHAnsi" w:hAnsi="Times New Roman" w:cs="Times New Roman"/>
          <w:b w:val="0"/>
          <w:bCs w:val="0"/>
          <w:sz w:val="24"/>
          <w:szCs w:val="24"/>
        </w:rPr>
        <w:t xml:space="preserve"> </w:t>
      </w:r>
      <w:r w:rsidRPr="00DA4F3E">
        <w:rPr>
          <w:rFonts w:ascii="Times New Roman" w:eastAsiaTheme="minorHAnsi" w:hAnsi="Times New Roman" w:cs="Times New Roman"/>
          <w:b w:val="0"/>
          <w:bCs w:val="0"/>
          <w:sz w:val="24"/>
          <w:szCs w:val="24"/>
        </w:rPr>
        <w:t>amount of the credit derivative.</w:t>
      </w:r>
    </w:p>
    <w:p w:rsidR="006B4BB7" w:rsidRPr="00DA4F3E" w:rsidRDefault="00932D17" w:rsidP="009F50C5">
      <w:pPr>
        <w:pStyle w:val="ListParagraph"/>
        <w:numPr>
          <w:ilvl w:val="2"/>
          <w:numId w:val="11"/>
        </w:numPr>
        <w:bidi w:val="0"/>
        <w:spacing w:after="0" w:line="276" w:lineRule="auto"/>
        <w:ind w:left="2127" w:hanging="851"/>
        <w:rPr>
          <w:rFonts w:ascii="Times New Roman" w:hAnsi="Times New Roman" w:cs="Times New Roman"/>
          <w:b w:val="0"/>
          <w:bCs w:val="0"/>
          <w:sz w:val="24"/>
          <w:szCs w:val="24"/>
        </w:rPr>
      </w:pPr>
      <w:r w:rsidRPr="00DA4F3E">
        <w:rPr>
          <w:rFonts w:ascii="Times New Roman" w:eastAsiaTheme="minorHAnsi" w:hAnsi="Times New Roman" w:cs="Times New Roman"/>
          <w:b w:val="0"/>
          <w:bCs w:val="0"/>
          <w:sz w:val="24"/>
          <w:szCs w:val="24"/>
        </w:rPr>
        <w:t xml:space="preserve">With regard to the bank providing credit protection through such an instrument, if the product has an external credit </w:t>
      </w:r>
      <w:r w:rsidR="009F50C5">
        <w:rPr>
          <w:rFonts w:ascii="Times New Roman" w:eastAsiaTheme="minorHAnsi" w:hAnsi="Times New Roman" w:cs="Times New Roman"/>
          <w:b w:val="0"/>
          <w:bCs w:val="0"/>
          <w:sz w:val="24"/>
          <w:szCs w:val="24"/>
        </w:rPr>
        <w:t>rating</w:t>
      </w:r>
      <w:r w:rsidRPr="00DA4F3E">
        <w:rPr>
          <w:rFonts w:ascii="Times New Roman" w:eastAsiaTheme="minorHAnsi" w:hAnsi="Times New Roman" w:cs="Times New Roman"/>
          <w:b w:val="0"/>
          <w:bCs w:val="0"/>
          <w:sz w:val="24"/>
          <w:szCs w:val="24"/>
        </w:rPr>
        <w:t xml:space="preserve"> from an eligible credit </w:t>
      </w:r>
      <w:r w:rsidR="009F50C5">
        <w:rPr>
          <w:rFonts w:ascii="Times New Roman" w:eastAsiaTheme="minorHAnsi" w:hAnsi="Times New Roman" w:cs="Times New Roman"/>
          <w:b w:val="0"/>
          <w:bCs w:val="0"/>
          <w:sz w:val="24"/>
          <w:szCs w:val="24"/>
        </w:rPr>
        <w:t>rating</w:t>
      </w:r>
      <w:r w:rsidR="009F50C5" w:rsidRPr="00DA4F3E">
        <w:rPr>
          <w:rFonts w:ascii="Times New Roman" w:eastAsiaTheme="minorHAnsi" w:hAnsi="Times New Roman" w:cs="Times New Roman"/>
          <w:b w:val="0"/>
          <w:bCs w:val="0"/>
          <w:sz w:val="24"/>
          <w:szCs w:val="24"/>
        </w:rPr>
        <w:t xml:space="preserve"> </w:t>
      </w:r>
      <w:r w:rsidRPr="00DA4F3E">
        <w:rPr>
          <w:rFonts w:ascii="Times New Roman" w:eastAsiaTheme="minorHAnsi" w:hAnsi="Times New Roman" w:cs="Times New Roman"/>
          <w:b w:val="0"/>
          <w:bCs w:val="0"/>
          <w:sz w:val="24"/>
          <w:szCs w:val="24"/>
        </w:rPr>
        <w:t xml:space="preserve">institution, the securitisation instructions will be applied. If the product is not rated by an eligible external credit </w:t>
      </w:r>
      <w:r w:rsidR="009F50C5">
        <w:rPr>
          <w:rFonts w:ascii="Times New Roman" w:eastAsiaTheme="minorHAnsi" w:hAnsi="Times New Roman" w:cs="Times New Roman"/>
          <w:b w:val="0"/>
          <w:bCs w:val="0"/>
          <w:sz w:val="24"/>
          <w:szCs w:val="24"/>
        </w:rPr>
        <w:t>rating</w:t>
      </w:r>
      <w:r w:rsidR="009F50C5" w:rsidRPr="00DA4F3E">
        <w:rPr>
          <w:rFonts w:ascii="Times New Roman" w:eastAsiaTheme="minorHAnsi" w:hAnsi="Times New Roman" w:cs="Times New Roman"/>
          <w:b w:val="0"/>
          <w:bCs w:val="0"/>
          <w:sz w:val="24"/>
          <w:szCs w:val="24"/>
        </w:rPr>
        <w:t xml:space="preserve"> </w:t>
      </w:r>
      <w:r w:rsidRPr="00DA4F3E">
        <w:rPr>
          <w:rFonts w:ascii="Times New Roman" w:eastAsiaTheme="minorHAnsi" w:hAnsi="Times New Roman" w:cs="Times New Roman"/>
          <w:b w:val="0"/>
          <w:bCs w:val="0"/>
          <w:sz w:val="24"/>
          <w:szCs w:val="24"/>
        </w:rPr>
        <w:t>institution, the risk weights of the assets included in the basket will be aggregated up to a maximum of 1250% and multiplied by the nominal amount of the protection provided by the credit derivative to obtain the risk-weighted asset amount.</w:t>
      </w:r>
    </w:p>
    <w:p w:rsidR="006B4BB7" w:rsidRPr="00DA4F3E" w:rsidRDefault="00932D17" w:rsidP="00D2058F">
      <w:pPr>
        <w:pStyle w:val="ListParagraph"/>
        <w:numPr>
          <w:ilvl w:val="1"/>
          <w:numId w:val="11"/>
        </w:numPr>
        <w:bidi w:val="0"/>
        <w:spacing w:after="0" w:line="276" w:lineRule="auto"/>
        <w:ind w:left="1276" w:hanging="567"/>
        <w:rPr>
          <w:rFonts w:ascii="Times New Roman" w:hAnsi="Times New Roman" w:cs="Times New Roman"/>
          <w:b w:val="0"/>
          <w:bCs w:val="0"/>
          <w:sz w:val="24"/>
          <w:szCs w:val="24"/>
        </w:rPr>
      </w:pPr>
      <w:r w:rsidRPr="00DA4F3E">
        <w:rPr>
          <w:rFonts w:ascii="Times New Roman" w:hAnsi="Times New Roman" w:cs="Times New Roman"/>
          <w:b w:val="0"/>
          <w:bCs w:val="0"/>
          <w:sz w:val="24"/>
          <w:szCs w:val="24"/>
        </w:rPr>
        <w:t>Second-to-default credit derivatives</w:t>
      </w:r>
    </w:p>
    <w:p w:rsidR="00932D17" w:rsidRPr="00DA4F3E" w:rsidRDefault="00932D17" w:rsidP="00D2058F">
      <w:pPr>
        <w:pStyle w:val="ListParagraph"/>
        <w:numPr>
          <w:ilvl w:val="2"/>
          <w:numId w:val="11"/>
        </w:numPr>
        <w:bidi w:val="0"/>
        <w:spacing w:after="0" w:line="276" w:lineRule="auto"/>
        <w:ind w:left="2127" w:hanging="851"/>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 xml:space="preserve">In the case where the second default among the assets within the basket triggers the credit protection, the bank obtaining credit protection through such a product will only be able to </w:t>
      </w:r>
      <w:r w:rsidR="00E96CD6" w:rsidRPr="00DA4F3E">
        <w:rPr>
          <w:rFonts w:ascii="Times New Roman" w:eastAsiaTheme="minorHAnsi" w:hAnsi="Times New Roman" w:cs="Times New Roman"/>
          <w:b w:val="0"/>
          <w:bCs w:val="0"/>
          <w:sz w:val="24"/>
          <w:szCs w:val="24"/>
        </w:rPr>
        <w:t>recognize</w:t>
      </w:r>
      <w:r w:rsidRPr="00DA4F3E">
        <w:rPr>
          <w:rFonts w:ascii="Times New Roman" w:eastAsiaTheme="minorHAnsi" w:hAnsi="Times New Roman" w:cs="Times New Roman"/>
          <w:b w:val="0"/>
          <w:bCs w:val="0"/>
          <w:sz w:val="24"/>
          <w:szCs w:val="24"/>
        </w:rPr>
        <w:t xml:space="preserve"> any capital relief if first-default-protection has also </w:t>
      </w:r>
      <w:proofErr w:type="gramStart"/>
      <w:r w:rsidRPr="00DA4F3E">
        <w:rPr>
          <w:rFonts w:ascii="Times New Roman" w:eastAsiaTheme="minorHAnsi" w:hAnsi="Times New Roman" w:cs="Times New Roman"/>
          <w:b w:val="0"/>
          <w:bCs w:val="0"/>
          <w:sz w:val="24"/>
          <w:szCs w:val="24"/>
        </w:rPr>
        <w:t>be</w:t>
      </w:r>
      <w:proofErr w:type="gramEnd"/>
      <w:r w:rsidRPr="00DA4F3E">
        <w:rPr>
          <w:rFonts w:ascii="Times New Roman" w:eastAsiaTheme="minorHAnsi" w:hAnsi="Times New Roman" w:cs="Times New Roman"/>
          <w:b w:val="0"/>
          <w:bCs w:val="0"/>
          <w:sz w:val="24"/>
          <w:szCs w:val="24"/>
        </w:rPr>
        <w:t xml:space="preserve"> obtained or when one of the assets within the basket has already defaulted.</w:t>
      </w:r>
    </w:p>
    <w:p w:rsidR="00932D17" w:rsidRPr="00DA4F3E" w:rsidRDefault="00932D17" w:rsidP="00E96CD6">
      <w:pPr>
        <w:pStyle w:val="ListParagraph"/>
        <w:numPr>
          <w:ilvl w:val="2"/>
          <w:numId w:val="11"/>
        </w:numPr>
        <w:bidi w:val="0"/>
        <w:spacing w:after="0" w:line="276" w:lineRule="auto"/>
        <w:ind w:left="2127" w:hanging="851"/>
        <w:rPr>
          <w:rFonts w:ascii="Times New Roman" w:hAnsi="Times New Roman" w:cs="Times New Roman"/>
          <w:b w:val="0"/>
          <w:bCs w:val="0"/>
          <w:sz w:val="24"/>
          <w:szCs w:val="24"/>
        </w:rPr>
      </w:pPr>
      <w:r w:rsidRPr="00DA4F3E">
        <w:rPr>
          <w:rFonts w:ascii="Times New Roman" w:eastAsiaTheme="minorHAnsi" w:hAnsi="Times New Roman" w:cs="Times New Roman"/>
          <w:b w:val="0"/>
          <w:bCs w:val="0"/>
          <w:sz w:val="24"/>
          <w:szCs w:val="24"/>
        </w:rPr>
        <w:t xml:space="preserve">For banks providing credit protection through such a product, the capital treatment is the same as in </w:t>
      </w:r>
      <w:r w:rsidR="00E96CD6">
        <w:rPr>
          <w:rFonts w:ascii="Times New Roman" w:eastAsiaTheme="minorHAnsi" w:hAnsi="Times New Roman" w:cs="Times New Roman"/>
          <w:b w:val="0"/>
          <w:bCs w:val="0"/>
          <w:sz w:val="24"/>
          <w:szCs w:val="24"/>
        </w:rPr>
        <w:t>paragraph</w:t>
      </w:r>
      <w:r w:rsidRPr="00DA4F3E">
        <w:rPr>
          <w:rFonts w:ascii="Times New Roman" w:eastAsiaTheme="minorHAnsi" w:hAnsi="Times New Roman" w:cs="Times New Roman"/>
          <w:b w:val="0"/>
          <w:bCs w:val="0"/>
          <w:sz w:val="24"/>
          <w:szCs w:val="24"/>
        </w:rPr>
        <w:t xml:space="preserve"> (27.2.2) above with one exception. The exception is that, in aggregating the risk weights, the </w:t>
      </w:r>
      <w:r w:rsidRPr="00DA4F3E">
        <w:rPr>
          <w:rFonts w:ascii="Times New Roman" w:eastAsiaTheme="minorHAnsi" w:hAnsi="Times New Roman" w:cs="Times New Roman"/>
          <w:b w:val="0"/>
          <w:bCs w:val="0"/>
          <w:sz w:val="24"/>
          <w:szCs w:val="24"/>
        </w:rPr>
        <w:lastRenderedPageBreak/>
        <w:t>asset with the lowest risk weighted amount can be excluded from the calculation.</w:t>
      </w:r>
    </w:p>
    <w:p w:rsidR="00E96CD6" w:rsidRPr="00F1087B" w:rsidRDefault="00E96CD6" w:rsidP="00E96CD6">
      <w:pPr>
        <w:bidi w:val="0"/>
        <w:spacing w:after="0" w:line="276" w:lineRule="auto"/>
        <w:rPr>
          <w:rFonts w:ascii="Times New Roman" w:hAnsi="Times New Roman" w:cs="Times New Roman"/>
          <w:b w:val="0"/>
          <w:bCs w:val="0"/>
          <w:sz w:val="10"/>
          <w:szCs w:val="10"/>
        </w:rPr>
      </w:pPr>
    </w:p>
    <w:p w:rsidR="00932D17" w:rsidRPr="00DA4F3E" w:rsidRDefault="00932D17" w:rsidP="00DA4F3E">
      <w:pPr>
        <w:pStyle w:val="Heading2"/>
        <w:bidi w:val="0"/>
      </w:pPr>
      <w:bookmarkStart w:id="51" w:name="_Toc65354406"/>
      <w:r w:rsidRPr="00DA4F3E">
        <w:t xml:space="preserve">Third: </w:t>
      </w:r>
      <w:r w:rsidR="007139B2" w:rsidRPr="00DA4F3E">
        <w:t>Operational Risk</w:t>
      </w:r>
      <w:bookmarkEnd w:id="51"/>
    </w:p>
    <w:p w:rsidR="007139B2" w:rsidRPr="00DA4F3E" w:rsidRDefault="007139B2" w:rsidP="00D2058F">
      <w:pPr>
        <w:bidi w:val="0"/>
        <w:spacing w:after="0" w:line="276" w:lineRule="auto"/>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Operational risk is defined as the risk of loss resulting from inadequate or failed internal processes, people and systems or from external events. This definition includes legal risk, but excludes strategic and reputational risk.</w:t>
      </w:r>
    </w:p>
    <w:p w:rsidR="007139B2" w:rsidRPr="00DA4F3E" w:rsidRDefault="007139B2" w:rsidP="00D2058F">
      <w:pPr>
        <w:pStyle w:val="ListParagraph"/>
        <w:numPr>
          <w:ilvl w:val="0"/>
          <w:numId w:val="21"/>
        </w:numPr>
        <w:bidi w:val="0"/>
        <w:spacing w:after="0" w:line="276" w:lineRule="auto"/>
        <w:ind w:hanging="578"/>
        <w:rPr>
          <w:rFonts w:ascii="Times New Roman" w:hAnsi="Times New Roman" w:cs="Times New Roman"/>
          <w:sz w:val="24"/>
          <w:szCs w:val="24"/>
        </w:rPr>
      </w:pPr>
      <w:r w:rsidRPr="00DA4F3E">
        <w:rPr>
          <w:rFonts w:ascii="Times New Roman" w:eastAsiaTheme="minorHAnsi" w:hAnsi="Times New Roman" w:cs="Times New Roman"/>
          <w:sz w:val="24"/>
          <w:szCs w:val="24"/>
        </w:rPr>
        <w:t>The measurement methodologies</w:t>
      </w:r>
    </w:p>
    <w:p w:rsidR="007139B2" w:rsidRPr="00DA4F3E" w:rsidRDefault="007139B2" w:rsidP="00D2058F">
      <w:pPr>
        <w:pStyle w:val="ListParagraph"/>
        <w:bidi w:val="0"/>
        <w:spacing w:after="0" w:line="276" w:lineRule="auto"/>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The framework outlined below presents three methods for calculating operational risk:</w:t>
      </w:r>
    </w:p>
    <w:p w:rsidR="007139B2" w:rsidRPr="00DA4F3E" w:rsidRDefault="007139B2" w:rsidP="00D2058F">
      <w:pPr>
        <w:pStyle w:val="ListParagraph"/>
        <w:numPr>
          <w:ilvl w:val="1"/>
          <w:numId w:val="21"/>
        </w:numPr>
        <w:bidi w:val="0"/>
        <w:spacing w:after="0" w:line="276" w:lineRule="auto"/>
        <w:ind w:left="1276" w:hanging="556"/>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The Basic Indicator Approach.</w:t>
      </w:r>
    </w:p>
    <w:p w:rsidR="007139B2" w:rsidRPr="00DA4F3E" w:rsidRDefault="00D2058F" w:rsidP="00D2058F">
      <w:pPr>
        <w:pStyle w:val="ListParagraph"/>
        <w:numPr>
          <w:ilvl w:val="1"/>
          <w:numId w:val="21"/>
        </w:numPr>
        <w:bidi w:val="0"/>
        <w:spacing w:after="0" w:line="276" w:lineRule="auto"/>
        <w:ind w:left="1276" w:hanging="556"/>
        <w:rPr>
          <w:rFonts w:ascii="Times New Roman" w:hAnsi="Times New Roman" w:cs="Times New Roman"/>
          <w:b w:val="0"/>
          <w:bCs w:val="0"/>
          <w:sz w:val="24"/>
          <w:szCs w:val="24"/>
        </w:rPr>
      </w:pPr>
      <w:r w:rsidRPr="00DA4F3E">
        <w:rPr>
          <w:rFonts w:ascii="Times New Roman" w:eastAsiaTheme="minorHAnsi" w:hAnsi="Times New Roman" w:cs="Times New Roman"/>
          <w:b w:val="0"/>
          <w:bCs w:val="0"/>
          <w:sz w:val="24"/>
          <w:szCs w:val="24"/>
        </w:rPr>
        <w:t>T</w:t>
      </w:r>
      <w:r w:rsidR="007139B2" w:rsidRPr="00DA4F3E">
        <w:rPr>
          <w:rFonts w:ascii="Times New Roman" w:eastAsiaTheme="minorHAnsi" w:hAnsi="Times New Roman" w:cs="Times New Roman"/>
          <w:b w:val="0"/>
          <w:bCs w:val="0"/>
          <w:sz w:val="24"/>
          <w:szCs w:val="24"/>
        </w:rPr>
        <w:t xml:space="preserve">he Standardised Approach/ </w:t>
      </w:r>
      <w:r w:rsidR="007139B2" w:rsidRPr="00DA4F3E">
        <w:rPr>
          <w:rFonts w:ascii="Times New Roman" w:hAnsi="Times New Roman" w:cs="Times New Roman"/>
          <w:b w:val="0"/>
          <w:bCs w:val="0"/>
          <w:sz w:val="24"/>
          <w:szCs w:val="24"/>
        </w:rPr>
        <w:t>The Alternative Standardized Approach.</w:t>
      </w:r>
    </w:p>
    <w:p w:rsidR="007139B2" w:rsidRPr="00DA4F3E" w:rsidRDefault="00EE6389" w:rsidP="00D2058F">
      <w:pPr>
        <w:pStyle w:val="ListParagraph"/>
        <w:numPr>
          <w:ilvl w:val="1"/>
          <w:numId w:val="21"/>
        </w:numPr>
        <w:bidi w:val="0"/>
        <w:spacing w:after="0" w:line="276" w:lineRule="auto"/>
        <w:ind w:left="1276" w:hanging="556"/>
        <w:rPr>
          <w:rFonts w:ascii="Times New Roman" w:hAnsi="Times New Roman" w:cs="Times New Roman"/>
          <w:b w:val="0"/>
          <w:bCs w:val="0"/>
          <w:sz w:val="24"/>
          <w:szCs w:val="24"/>
        </w:rPr>
      </w:pPr>
      <w:r w:rsidRPr="00DA4F3E">
        <w:rPr>
          <w:rFonts w:ascii="Times New Roman" w:eastAsiaTheme="minorHAnsi" w:hAnsi="Times New Roman" w:cs="Times New Roman"/>
          <w:b w:val="0"/>
          <w:bCs w:val="0"/>
          <w:sz w:val="24"/>
          <w:szCs w:val="24"/>
        </w:rPr>
        <w:t>Advanced Measurement Approaches (AMA).</w:t>
      </w:r>
    </w:p>
    <w:p w:rsidR="00D2058F" w:rsidRPr="00DA4F3E" w:rsidRDefault="00D2058F" w:rsidP="00D2058F">
      <w:pPr>
        <w:pStyle w:val="ListParagraph"/>
        <w:bidi w:val="0"/>
        <w:spacing w:after="0" w:line="276" w:lineRule="auto"/>
        <w:ind w:left="1276"/>
        <w:rPr>
          <w:rFonts w:ascii="Times New Roman" w:hAnsi="Times New Roman" w:cs="Times New Roman"/>
          <w:b w:val="0"/>
          <w:bCs w:val="0"/>
          <w:sz w:val="24"/>
          <w:szCs w:val="24"/>
        </w:rPr>
      </w:pPr>
    </w:p>
    <w:p w:rsidR="007139B2" w:rsidRPr="00DA4F3E" w:rsidRDefault="00EE6389" w:rsidP="00D2058F">
      <w:pPr>
        <w:pStyle w:val="ListParagraph"/>
        <w:numPr>
          <w:ilvl w:val="0"/>
          <w:numId w:val="21"/>
        </w:numPr>
        <w:bidi w:val="0"/>
        <w:spacing w:after="0" w:line="276" w:lineRule="auto"/>
        <w:ind w:hanging="578"/>
        <w:rPr>
          <w:rFonts w:ascii="Times New Roman" w:hAnsi="Times New Roman" w:cs="Times New Roman"/>
          <w:sz w:val="24"/>
          <w:szCs w:val="24"/>
        </w:rPr>
      </w:pPr>
      <w:r w:rsidRPr="00DA4F3E">
        <w:rPr>
          <w:rFonts w:ascii="Times New Roman" w:hAnsi="Times New Roman" w:cs="Times New Roman"/>
          <w:sz w:val="24"/>
          <w:szCs w:val="24"/>
        </w:rPr>
        <w:t>The Basic Indicator Approach</w:t>
      </w:r>
    </w:p>
    <w:p w:rsidR="00EE6389" w:rsidRPr="00DA4F3E" w:rsidRDefault="00EE6389" w:rsidP="004721B3">
      <w:pPr>
        <w:pStyle w:val="ListParagraph"/>
        <w:numPr>
          <w:ilvl w:val="1"/>
          <w:numId w:val="21"/>
        </w:numPr>
        <w:bidi w:val="0"/>
        <w:spacing w:after="0" w:line="276" w:lineRule="auto"/>
        <w:ind w:left="1276" w:hanging="556"/>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 xml:space="preserve">Banks using the Basic Indicator Approach must hold capital for operational risk equal to the average over the previous three years of a fixed percentage (denoted alpha) of positive annual gross income. Figures for any year in which annual gross income is negative should be excluded from the numerator </w:t>
      </w:r>
      <w:r w:rsidR="004721B3">
        <w:rPr>
          <w:rFonts w:ascii="Times New Roman" w:eastAsiaTheme="minorHAnsi" w:hAnsi="Times New Roman" w:cs="Times New Roman"/>
          <w:b w:val="0"/>
          <w:bCs w:val="0"/>
          <w:sz w:val="24"/>
          <w:szCs w:val="24"/>
        </w:rPr>
        <w:t>of the percentage denominator, accordingly</w:t>
      </w:r>
      <w:r w:rsidR="004721B3" w:rsidRPr="004721B3">
        <w:rPr>
          <w:rFonts w:ascii="Times New Roman" w:eastAsiaTheme="minorHAnsi" w:hAnsi="Times New Roman" w:cs="Times New Roman"/>
          <w:b w:val="0"/>
          <w:bCs w:val="0"/>
          <w:sz w:val="24"/>
          <w:szCs w:val="24"/>
        </w:rPr>
        <w:t>, the number of years is adjusted</w:t>
      </w:r>
      <w:r w:rsidRPr="00DA4F3E">
        <w:rPr>
          <w:rFonts w:ascii="Times New Roman" w:eastAsiaTheme="minorHAnsi" w:hAnsi="Times New Roman" w:cs="Times New Roman"/>
          <w:b w:val="0"/>
          <w:bCs w:val="0"/>
          <w:sz w:val="24"/>
          <w:szCs w:val="24"/>
        </w:rPr>
        <w:t>. The charge may be expressed as follows:</w:t>
      </w:r>
    </w:p>
    <w:tbl>
      <w:tblPr>
        <w:tblStyle w:val="TableGrid"/>
        <w:tblpPr w:leftFromText="180" w:rightFromText="180" w:vertAnchor="text" w:horzAnchor="margin" w:tblpXSpec="center" w:tblpY="155"/>
        <w:bidiVisual/>
        <w:tblW w:w="0" w:type="auto"/>
        <w:tblLook w:val="04A0" w:firstRow="1" w:lastRow="0" w:firstColumn="1" w:lastColumn="0" w:noHBand="0" w:noVBand="1"/>
      </w:tblPr>
      <w:tblGrid>
        <w:gridCol w:w="5328"/>
      </w:tblGrid>
      <w:tr w:rsidR="009E353D" w:rsidTr="009E353D">
        <w:tc>
          <w:tcPr>
            <w:tcW w:w="5328" w:type="dxa"/>
          </w:tcPr>
          <w:p w:rsidR="009E353D" w:rsidRPr="00DF19D3" w:rsidRDefault="009E353D" w:rsidP="009E353D">
            <w:pPr>
              <w:autoSpaceDE w:val="0"/>
              <w:autoSpaceDN w:val="0"/>
              <w:bidi w:val="0"/>
              <w:adjustRightInd w:val="0"/>
              <w:jc w:val="center"/>
              <w:rPr>
                <w:b w:val="0"/>
                <w:bCs w:val="0"/>
                <w:rtl/>
                <w:lang w:bidi="ar-JO"/>
              </w:rPr>
            </w:pPr>
            <w:r w:rsidRPr="006D6E07">
              <w:rPr>
                <w:b w:val="0"/>
                <w:bCs w:val="0"/>
                <w:lang w:bidi="ar-JO"/>
              </w:rPr>
              <w:t>KBIA</w:t>
            </w:r>
            <w:r w:rsidRPr="006D6E07">
              <w:rPr>
                <w:b w:val="0"/>
                <w:bCs w:val="0"/>
                <w:lang w:val="el-GR" w:bidi="ar-JO"/>
              </w:rPr>
              <w:t xml:space="preserve"> = [</w:t>
            </w:r>
            <w:r w:rsidRPr="006D6E07">
              <w:rPr>
                <w:rFonts w:ascii="Times New Roman" w:hAnsi="Times New Roman" w:cs="Times New Roman"/>
                <w:b w:val="0"/>
                <w:bCs w:val="0"/>
                <w:lang w:val="el-GR"/>
              </w:rPr>
              <w:t>Σ</w:t>
            </w:r>
            <w:r w:rsidRPr="006D6E07">
              <w:rPr>
                <w:b w:val="0"/>
                <w:bCs w:val="0"/>
                <w:lang w:val="el-GR"/>
              </w:rPr>
              <w:t xml:space="preserve"> </w:t>
            </w:r>
            <w:r w:rsidRPr="006D6E07">
              <w:rPr>
                <w:b w:val="0"/>
                <w:bCs w:val="0"/>
                <w:lang w:val="el-GR" w:bidi="ar-JO"/>
              </w:rPr>
              <w:t>(</w:t>
            </w:r>
            <w:r w:rsidRPr="006D6E07">
              <w:rPr>
                <w:b w:val="0"/>
                <w:bCs w:val="0"/>
                <w:lang w:bidi="ar-JO"/>
              </w:rPr>
              <w:t>GI</w:t>
            </w:r>
            <w:r w:rsidRPr="006D6E07">
              <w:rPr>
                <w:b w:val="0"/>
                <w:bCs w:val="0"/>
                <w:lang w:val="el-GR" w:bidi="ar-JO"/>
              </w:rPr>
              <w:t xml:space="preserve"> 1…</w:t>
            </w:r>
            <w:r w:rsidRPr="006D6E07">
              <w:rPr>
                <w:b w:val="0"/>
                <w:bCs w:val="0"/>
                <w:lang w:bidi="ar-JO"/>
              </w:rPr>
              <w:t>n</w:t>
            </w:r>
            <w:r w:rsidRPr="006D6E07">
              <w:rPr>
                <w:b w:val="0"/>
                <w:bCs w:val="0"/>
                <w:lang w:val="el-GR" w:bidi="ar-JO"/>
              </w:rPr>
              <w:t xml:space="preserve"> × </w:t>
            </w:r>
            <w:r w:rsidRPr="006D6E07">
              <w:rPr>
                <w:rFonts w:ascii="Times New Roman" w:hAnsi="Times New Roman" w:cs="Times New Roman" w:hint="cs"/>
                <w:b w:val="0"/>
                <w:bCs w:val="0"/>
                <w:rtl/>
              </w:rPr>
              <w:t>α</w:t>
            </w:r>
            <w:r w:rsidRPr="006D6E07">
              <w:rPr>
                <w:b w:val="0"/>
                <w:bCs w:val="0"/>
                <w:lang w:val="el-GR" w:bidi="ar-JO"/>
              </w:rPr>
              <w:t xml:space="preserve"> )] /</w:t>
            </w:r>
            <w:r>
              <w:rPr>
                <w:b w:val="0"/>
                <w:bCs w:val="0"/>
                <w:lang w:bidi="ar-JO"/>
              </w:rPr>
              <w:t>n</w:t>
            </w:r>
          </w:p>
        </w:tc>
      </w:tr>
    </w:tbl>
    <w:p w:rsidR="009E353D" w:rsidRDefault="009E353D" w:rsidP="009E353D">
      <w:pPr>
        <w:bidi w:val="0"/>
        <w:spacing w:after="0" w:line="276" w:lineRule="auto"/>
        <w:rPr>
          <w:rFonts w:ascii="Times New Roman" w:eastAsiaTheme="minorHAnsi" w:hAnsi="Times New Roman" w:cs="Times New Roman"/>
          <w:b w:val="0"/>
          <w:bCs w:val="0"/>
        </w:rPr>
      </w:pPr>
    </w:p>
    <w:p w:rsidR="009E353D" w:rsidRPr="009E353D" w:rsidRDefault="009E353D" w:rsidP="009E353D">
      <w:pPr>
        <w:bidi w:val="0"/>
        <w:spacing w:after="0" w:line="276" w:lineRule="auto"/>
        <w:rPr>
          <w:rFonts w:ascii="Times New Roman" w:eastAsiaTheme="minorHAnsi" w:hAnsi="Times New Roman" w:cs="Times New Roman"/>
          <w:b w:val="0"/>
          <w:bCs w:val="0"/>
        </w:rPr>
      </w:pPr>
    </w:p>
    <w:p w:rsidR="009E353D" w:rsidRDefault="009E353D" w:rsidP="00EE6389">
      <w:pPr>
        <w:autoSpaceDE w:val="0"/>
        <w:autoSpaceDN w:val="0"/>
        <w:bidi w:val="0"/>
        <w:adjustRightInd w:val="0"/>
        <w:spacing w:after="0"/>
        <w:ind w:left="1980" w:hanging="630"/>
        <w:jc w:val="left"/>
        <w:rPr>
          <w:rFonts w:ascii="Arial" w:eastAsiaTheme="minorHAnsi" w:hAnsi="Arial" w:cs="Arial"/>
          <w:b w:val="0"/>
          <w:bCs w:val="0"/>
          <w:sz w:val="22"/>
          <w:szCs w:val="22"/>
        </w:rPr>
      </w:pPr>
    </w:p>
    <w:p w:rsidR="00EE6389" w:rsidRDefault="00EE6389" w:rsidP="009E353D">
      <w:pPr>
        <w:autoSpaceDE w:val="0"/>
        <w:autoSpaceDN w:val="0"/>
        <w:bidi w:val="0"/>
        <w:adjustRightInd w:val="0"/>
        <w:spacing w:after="0"/>
        <w:ind w:left="1980" w:hanging="630"/>
        <w:jc w:val="left"/>
        <w:rPr>
          <w:rFonts w:ascii="Times New Roman" w:eastAsiaTheme="minorHAnsi" w:hAnsi="Times New Roman" w:cs="Times New Roman"/>
          <w:b w:val="0"/>
          <w:bCs w:val="0"/>
          <w:sz w:val="24"/>
          <w:szCs w:val="24"/>
        </w:rPr>
      </w:pPr>
      <w:r w:rsidRPr="009E353D">
        <w:rPr>
          <w:rFonts w:ascii="Times New Roman" w:eastAsiaTheme="minorHAnsi" w:hAnsi="Times New Roman" w:cs="Times New Roman"/>
          <w:b w:val="0"/>
          <w:bCs w:val="0"/>
          <w:sz w:val="24"/>
          <w:szCs w:val="24"/>
        </w:rPr>
        <w:t>where:</w:t>
      </w:r>
    </w:p>
    <w:tbl>
      <w:tblPr>
        <w:tblStyle w:val="TableGrid"/>
        <w:tblW w:w="0" w:type="auto"/>
        <w:tblInd w:w="1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
        <w:gridCol w:w="327"/>
        <w:gridCol w:w="6520"/>
      </w:tblGrid>
      <w:tr w:rsidR="009E353D" w:rsidTr="009E353D">
        <w:tc>
          <w:tcPr>
            <w:tcW w:w="589" w:type="dxa"/>
          </w:tcPr>
          <w:p w:rsidR="009E353D" w:rsidRDefault="009E353D" w:rsidP="009E353D">
            <w:pPr>
              <w:autoSpaceDE w:val="0"/>
              <w:autoSpaceDN w:val="0"/>
              <w:bidi w:val="0"/>
              <w:adjustRightInd w:val="0"/>
              <w:spacing w:after="0"/>
              <w:jc w:val="left"/>
              <w:rPr>
                <w:rFonts w:ascii="Times New Roman" w:eastAsiaTheme="minorHAnsi" w:hAnsi="Times New Roman" w:cs="Times New Roman"/>
                <w:b w:val="0"/>
                <w:bCs w:val="0"/>
                <w:sz w:val="24"/>
                <w:szCs w:val="24"/>
              </w:rPr>
            </w:pPr>
            <w:r>
              <w:rPr>
                <w:rFonts w:ascii="Arial" w:eastAsiaTheme="minorHAnsi" w:hAnsi="Arial" w:cs="Arial"/>
                <w:b w:val="0"/>
                <w:bCs w:val="0"/>
                <w:sz w:val="22"/>
                <w:szCs w:val="22"/>
              </w:rPr>
              <w:t>K</w:t>
            </w:r>
            <w:r>
              <w:rPr>
                <w:rFonts w:ascii="Arial" w:eastAsiaTheme="minorHAnsi" w:hAnsi="Arial" w:cs="Arial"/>
                <w:b w:val="0"/>
                <w:bCs w:val="0"/>
                <w:sz w:val="14"/>
                <w:szCs w:val="14"/>
              </w:rPr>
              <w:t>BIA</w:t>
            </w:r>
          </w:p>
        </w:tc>
        <w:tc>
          <w:tcPr>
            <w:tcW w:w="327" w:type="dxa"/>
          </w:tcPr>
          <w:p w:rsidR="009E353D" w:rsidRDefault="009E353D" w:rsidP="009E353D">
            <w:pPr>
              <w:autoSpaceDE w:val="0"/>
              <w:autoSpaceDN w:val="0"/>
              <w:bidi w:val="0"/>
              <w:adjustRightInd w:val="0"/>
              <w:spacing w:after="0"/>
              <w:jc w:val="left"/>
              <w:rPr>
                <w:rFonts w:ascii="Times New Roman" w:eastAsiaTheme="minorHAnsi" w:hAnsi="Times New Roman" w:cs="Times New Roman"/>
                <w:b w:val="0"/>
                <w:bCs w:val="0"/>
                <w:sz w:val="24"/>
                <w:szCs w:val="24"/>
              </w:rPr>
            </w:pPr>
            <w:r>
              <w:rPr>
                <w:rFonts w:ascii="Times New Roman" w:eastAsiaTheme="minorHAnsi" w:hAnsi="Times New Roman" w:cs="Times New Roman"/>
                <w:b w:val="0"/>
                <w:bCs w:val="0"/>
                <w:sz w:val="24"/>
                <w:szCs w:val="24"/>
              </w:rPr>
              <w:t>:</w:t>
            </w:r>
          </w:p>
        </w:tc>
        <w:tc>
          <w:tcPr>
            <w:tcW w:w="6520" w:type="dxa"/>
          </w:tcPr>
          <w:p w:rsidR="009E353D" w:rsidRPr="009E353D" w:rsidRDefault="009E353D" w:rsidP="009E353D">
            <w:pPr>
              <w:autoSpaceDE w:val="0"/>
              <w:autoSpaceDN w:val="0"/>
              <w:bidi w:val="0"/>
              <w:adjustRightInd w:val="0"/>
              <w:spacing w:after="0"/>
              <w:jc w:val="left"/>
              <w:rPr>
                <w:rFonts w:ascii="Times New Roman" w:eastAsiaTheme="minorHAnsi" w:hAnsi="Times New Roman" w:cs="Times New Roman"/>
                <w:b w:val="0"/>
                <w:bCs w:val="0"/>
                <w:sz w:val="24"/>
                <w:szCs w:val="24"/>
              </w:rPr>
            </w:pPr>
            <w:r w:rsidRPr="009E353D">
              <w:rPr>
                <w:rFonts w:ascii="Times New Roman" w:eastAsiaTheme="minorHAnsi" w:hAnsi="Times New Roman" w:cs="Times New Roman"/>
                <w:b w:val="0"/>
                <w:bCs w:val="0"/>
                <w:sz w:val="22"/>
                <w:szCs w:val="22"/>
              </w:rPr>
              <w:t>the capital charge under the Basic Indicator Approach</w:t>
            </w:r>
          </w:p>
        </w:tc>
      </w:tr>
      <w:tr w:rsidR="009E353D" w:rsidTr="009E353D">
        <w:tc>
          <w:tcPr>
            <w:tcW w:w="589" w:type="dxa"/>
          </w:tcPr>
          <w:p w:rsidR="009E353D" w:rsidRDefault="009E353D" w:rsidP="009E353D">
            <w:pPr>
              <w:autoSpaceDE w:val="0"/>
              <w:autoSpaceDN w:val="0"/>
              <w:bidi w:val="0"/>
              <w:adjustRightInd w:val="0"/>
              <w:spacing w:after="0"/>
              <w:jc w:val="left"/>
              <w:rPr>
                <w:rFonts w:ascii="Times New Roman" w:eastAsiaTheme="minorHAnsi" w:hAnsi="Times New Roman" w:cs="Times New Roman"/>
                <w:b w:val="0"/>
                <w:bCs w:val="0"/>
                <w:sz w:val="24"/>
                <w:szCs w:val="24"/>
              </w:rPr>
            </w:pPr>
            <w:r>
              <w:rPr>
                <w:rFonts w:ascii="Arial" w:eastAsiaTheme="minorHAnsi" w:hAnsi="Arial" w:cs="Arial"/>
                <w:b w:val="0"/>
                <w:bCs w:val="0"/>
                <w:sz w:val="22"/>
                <w:szCs w:val="22"/>
              </w:rPr>
              <w:t>GI</w:t>
            </w:r>
          </w:p>
        </w:tc>
        <w:tc>
          <w:tcPr>
            <w:tcW w:w="327" w:type="dxa"/>
          </w:tcPr>
          <w:p w:rsidR="009E353D" w:rsidRDefault="009E353D" w:rsidP="009E353D">
            <w:pPr>
              <w:autoSpaceDE w:val="0"/>
              <w:autoSpaceDN w:val="0"/>
              <w:bidi w:val="0"/>
              <w:adjustRightInd w:val="0"/>
              <w:spacing w:after="0"/>
              <w:jc w:val="left"/>
              <w:rPr>
                <w:rFonts w:ascii="Times New Roman" w:eastAsiaTheme="minorHAnsi" w:hAnsi="Times New Roman" w:cs="Times New Roman"/>
                <w:b w:val="0"/>
                <w:bCs w:val="0"/>
                <w:sz w:val="24"/>
                <w:szCs w:val="24"/>
              </w:rPr>
            </w:pPr>
            <w:r>
              <w:rPr>
                <w:rFonts w:ascii="Times New Roman" w:eastAsiaTheme="minorHAnsi" w:hAnsi="Times New Roman" w:cs="Times New Roman"/>
                <w:b w:val="0"/>
                <w:bCs w:val="0"/>
                <w:sz w:val="24"/>
                <w:szCs w:val="24"/>
              </w:rPr>
              <w:t>:</w:t>
            </w:r>
          </w:p>
        </w:tc>
        <w:tc>
          <w:tcPr>
            <w:tcW w:w="6520" w:type="dxa"/>
          </w:tcPr>
          <w:p w:rsidR="009E353D" w:rsidRPr="009E353D" w:rsidRDefault="009E353D" w:rsidP="009E353D">
            <w:pPr>
              <w:autoSpaceDE w:val="0"/>
              <w:autoSpaceDN w:val="0"/>
              <w:bidi w:val="0"/>
              <w:adjustRightInd w:val="0"/>
              <w:spacing w:after="0"/>
              <w:jc w:val="left"/>
              <w:rPr>
                <w:rFonts w:ascii="Times New Roman" w:eastAsiaTheme="minorHAnsi" w:hAnsi="Times New Roman" w:cs="Times New Roman"/>
                <w:b w:val="0"/>
                <w:bCs w:val="0"/>
                <w:sz w:val="24"/>
                <w:szCs w:val="24"/>
              </w:rPr>
            </w:pPr>
            <w:r w:rsidRPr="009E353D">
              <w:rPr>
                <w:rFonts w:ascii="Times New Roman" w:eastAsiaTheme="minorHAnsi" w:hAnsi="Times New Roman" w:cs="Times New Roman"/>
                <w:b w:val="0"/>
                <w:bCs w:val="0"/>
                <w:sz w:val="22"/>
                <w:szCs w:val="22"/>
              </w:rPr>
              <w:t>annual gross income, where positive, over the previous three years</w:t>
            </w:r>
          </w:p>
        </w:tc>
      </w:tr>
      <w:tr w:rsidR="009E353D" w:rsidTr="009E353D">
        <w:tc>
          <w:tcPr>
            <w:tcW w:w="589" w:type="dxa"/>
          </w:tcPr>
          <w:p w:rsidR="009E353D" w:rsidRDefault="009E353D" w:rsidP="009E353D">
            <w:pPr>
              <w:autoSpaceDE w:val="0"/>
              <w:autoSpaceDN w:val="0"/>
              <w:bidi w:val="0"/>
              <w:adjustRightInd w:val="0"/>
              <w:spacing w:after="0"/>
              <w:jc w:val="left"/>
              <w:rPr>
                <w:rFonts w:ascii="Times New Roman" w:eastAsiaTheme="minorHAnsi" w:hAnsi="Times New Roman" w:cs="Times New Roman"/>
                <w:b w:val="0"/>
                <w:bCs w:val="0"/>
                <w:sz w:val="24"/>
                <w:szCs w:val="24"/>
              </w:rPr>
            </w:pPr>
            <w:r>
              <w:rPr>
                <w:rFonts w:ascii="Arial" w:eastAsiaTheme="minorHAnsi" w:hAnsi="Arial" w:cs="Arial"/>
                <w:b w:val="0"/>
                <w:bCs w:val="0"/>
                <w:sz w:val="22"/>
                <w:szCs w:val="22"/>
              </w:rPr>
              <w:t>N</w:t>
            </w:r>
          </w:p>
        </w:tc>
        <w:tc>
          <w:tcPr>
            <w:tcW w:w="327" w:type="dxa"/>
          </w:tcPr>
          <w:p w:rsidR="009E353D" w:rsidRDefault="009E353D" w:rsidP="009E353D">
            <w:pPr>
              <w:autoSpaceDE w:val="0"/>
              <w:autoSpaceDN w:val="0"/>
              <w:bidi w:val="0"/>
              <w:adjustRightInd w:val="0"/>
              <w:spacing w:after="0"/>
              <w:jc w:val="left"/>
              <w:rPr>
                <w:rFonts w:ascii="Times New Roman" w:eastAsiaTheme="minorHAnsi" w:hAnsi="Times New Roman" w:cs="Times New Roman"/>
                <w:b w:val="0"/>
                <w:bCs w:val="0"/>
                <w:sz w:val="24"/>
                <w:szCs w:val="24"/>
              </w:rPr>
            </w:pPr>
            <w:r>
              <w:rPr>
                <w:rFonts w:ascii="Times New Roman" w:eastAsiaTheme="minorHAnsi" w:hAnsi="Times New Roman" w:cs="Times New Roman"/>
                <w:b w:val="0"/>
                <w:bCs w:val="0"/>
                <w:sz w:val="24"/>
                <w:szCs w:val="24"/>
              </w:rPr>
              <w:t>:</w:t>
            </w:r>
          </w:p>
        </w:tc>
        <w:tc>
          <w:tcPr>
            <w:tcW w:w="6520" w:type="dxa"/>
          </w:tcPr>
          <w:p w:rsidR="009E353D" w:rsidRPr="009E353D" w:rsidRDefault="009E353D" w:rsidP="009E353D">
            <w:pPr>
              <w:autoSpaceDE w:val="0"/>
              <w:autoSpaceDN w:val="0"/>
              <w:bidi w:val="0"/>
              <w:adjustRightInd w:val="0"/>
              <w:spacing w:after="0"/>
              <w:jc w:val="left"/>
              <w:rPr>
                <w:rFonts w:ascii="Times New Roman" w:eastAsiaTheme="minorHAnsi" w:hAnsi="Times New Roman" w:cs="Times New Roman"/>
                <w:b w:val="0"/>
                <w:bCs w:val="0"/>
                <w:sz w:val="24"/>
                <w:szCs w:val="24"/>
              </w:rPr>
            </w:pPr>
            <w:r w:rsidRPr="009E353D">
              <w:rPr>
                <w:rFonts w:ascii="Times New Roman" w:eastAsiaTheme="minorHAnsi" w:hAnsi="Times New Roman" w:cs="Times New Roman"/>
                <w:b w:val="0"/>
                <w:bCs w:val="0"/>
                <w:sz w:val="22"/>
                <w:szCs w:val="22"/>
              </w:rPr>
              <w:t>number of the previous three years for which gross income is positive</w:t>
            </w:r>
          </w:p>
        </w:tc>
      </w:tr>
      <w:tr w:rsidR="009E353D" w:rsidTr="009E353D">
        <w:tc>
          <w:tcPr>
            <w:tcW w:w="589" w:type="dxa"/>
          </w:tcPr>
          <w:p w:rsidR="009E353D" w:rsidRDefault="009E353D" w:rsidP="009E353D">
            <w:pPr>
              <w:autoSpaceDE w:val="0"/>
              <w:autoSpaceDN w:val="0"/>
              <w:bidi w:val="0"/>
              <w:adjustRightInd w:val="0"/>
              <w:spacing w:after="0"/>
              <w:jc w:val="left"/>
              <w:rPr>
                <w:rFonts w:ascii="Times New Roman" w:eastAsiaTheme="minorHAnsi" w:hAnsi="Times New Roman" w:cs="Times New Roman"/>
                <w:b w:val="0"/>
                <w:bCs w:val="0"/>
                <w:sz w:val="24"/>
                <w:szCs w:val="24"/>
              </w:rPr>
            </w:pPr>
            <w:r w:rsidRPr="006D6E07">
              <w:rPr>
                <w:rFonts w:ascii="Times New Roman" w:hAnsi="Times New Roman" w:cs="Times New Roman" w:hint="cs"/>
                <w:b w:val="0"/>
                <w:bCs w:val="0"/>
                <w:rtl/>
              </w:rPr>
              <w:t>α</w:t>
            </w:r>
          </w:p>
        </w:tc>
        <w:tc>
          <w:tcPr>
            <w:tcW w:w="327" w:type="dxa"/>
          </w:tcPr>
          <w:p w:rsidR="009E353D" w:rsidRDefault="009E353D" w:rsidP="009E353D">
            <w:pPr>
              <w:autoSpaceDE w:val="0"/>
              <w:autoSpaceDN w:val="0"/>
              <w:bidi w:val="0"/>
              <w:adjustRightInd w:val="0"/>
              <w:spacing w:after="0"/>
              <w:jc w:val="left"/>
              <w:rPr>
                <w:rFonts w:ascii="Times New Roman" w:eastAsiaTheme="minorHAnsi" w:hAnsi="Times New Roman" w:cs="Times New Roman"/>
                <w:b w:val="0"/>
                <w:bCs w:val="0"/>
                <w:sz w:val="24"/>
                <w:szCs w:val="24"/>
              </w:rPr>
            </w:pPr>
            <w:r>
              <w:rPr>
                <w:rFonts w:ascii="Times New Roman" w:eastAsiaTheme="minorHAnsi" w:hAnsi="Times New Roman" w:cs="Times New Roman"/>
                <w:b w:val="0"/>
                <w:bCs w:val="0"/>
                <w:sz w:val="24"/>
                <w:szCs w:val="24"/>
              </w:rPr>
              <w:t>:</w:t>
            </w:r>
          </w:p>
        </w:tc>
        <w:tc>
          <w:tcPr>
            <w:tcW w:w="6520" w:type="dxa"/>
          </w:tcPr>
          <w:p w:rsidR="009E353D" w:rsidRPr="009E353D" w:rsidRDefault="009E353D" w:rsidP="009E353D">
            <w:pPr>
              <w:autoSpaceDE w:val="0"/>
              <w:autoSpaceDN w:val="0"/>
              <w:bidi w:val="0"/>
              <w:adjustRightInd w:val="0"/>
              <w:spacing w:after="0"/>
              <w:jc w:val="left"/>
              <w:rPr>
                <w:rFonts w:ascii="Times New Roman" w:eastAsiaTheme="minorHAnsi" w:hAnsi="Times New Roman" w:cs="Times New Roman"/>
                <w:b w:val="0"/>
                <w:bCs w:val="0"/>
                <w:sz w:val="24"/>
                <w:szCs w:val="24"/>
              </w:rPr>
            </w:pPr>
            <w:r w:rsidRPr="009E353D">
              <w:rPr>
                <w:rFonts w:ascii="Times New Roman" w:eastAsiaTheme="minorHAnsi" w:hAnsi="Times New Roman" w:cs="Times New Roman"/>
                <w:b w:val="0"/>
                <w:bCs w:val="0"/>
                <w:sz w:val="22"/>
                <w:szCs w:val="22"/>
              </w:rPr>
              <w:t>15%.</w:t>
            </w:r>
          </w:p>
        </w:tc>
      </w:tr>
    </w:tbl>
    <w:p w:rsidR="009E353D" w:rsidRDefault="009E353D" w:rsidP="009E353D">
      <w:pPr>
        <w:autoSpaceDE w:val="0"/>
        <w:autoSpaceDN w:val="0"/>
        <w:bidi w:val="0"/>
        <w:adjustRightInd w:val="0"/>
        <w:spacing w:after="0"/>
        <w:ind w:left="1980" w:hanging="630"/>
        <w:jc w:val="left"/>
        <w:rPr>
          <w:rFonts w:ascii="Times New Roman" w:eastAsiaTheme="minorHAnsi" w:hAnsi="Times New Roman" w:cs="Times New Roman"/>
          <w:b w:val="0"/>
          <w:bCs w:val="0"/>
          <w:sz w:val="24"/>
          <w:szCs w:val="24"/>
        </w:rPr>
      </w:pPr>
    </w:p>
    <w:p w:rsidR="00EE6389" w:rsidRPr="00DA4F3E" w:rsidRDefault="00EE6389" w:rsidP="009E353D">
      <w:pPr>
        <w:pStyle w:val="ListParagraph"/>
        <w:numPr>
          <w:ilvl w:val="1"/>
          <w:numId w:val="21"/>
        </w:numPr>
        <w:bidi w:val="0"/>
        <w:spacing w:after="0" w:line="276" w:lineRule="auto"/>
        <w:ind w:left="1276" w:hanging="567"/>
        <w:rPr>
          <w:rFonts w:ascii="Times New Roman" w:hAnsi="Times New Roman" w:cs="Times New Roman"/>
          <w:b w:val="0"/>
          <w:bCs w:val="0"/>
          <w:sz w:val="24"/>
          <w:szCs w:val="24"/>
        </w:rPr>
      </w:pPr>
      <w:r w:rsidRPr="00DA4F3E">
        <w:rPr>
          <w:rFonts w:ascii="Times New Roman" w:hAnsi="Times New Roman" w:cs="Times New Roman"/>
          <w:b w:val="0"/>
          <w:bCs w:val="0"/>
          <w:sz w:val="24"/>
          <w:szCs w:val="24"/>
          <w:lang w:val="en"/>
        </w:rPr>
        <w:t>Definition of gross income</w:t>
      </w:r>
      <w:r w:rsidRPr="00DA4F3E">
        <w:rPr>
          <w:rFonts w:ascii="Times New Roman" w:eastAsiaTheme="minorHAnsi" w:hAnsi="Times New Roman" w:cs="Times New Roman"/>
          <w:b w:val="0"/>
          <w:bCs w:val="0"/>
          <w:sz w:val="24"/>
          <w:szCs w:val="24"/>
        </w:rPr>
        <w:t>:</w:t>
      </w:r>
    </w:p>
    <w:p w:rsidR="00EE6389" w:rsidRPr="00DA4F3E" w:rsidRDefault="00EE6389" w:rsidP="009E353D">
      <w:pPr>
        <w:pStyle w:val="ListParagraph"/>
        <w:numPr>
          <w:ilvl w:val="2"/>
          <w:numId w:val="21"/>
        </w:numPr>
        <w:bidi w:val="0"/>
        <w:spacing w:after="0" w:line="276" w:lineRule="auto"/>
        <w:ind w:left="2127" w:hanging="851"/>
        <w:rPr>
          <w:rFonts w:ascii="Times New Roman" w:hAnsi="Times New Roman" w:cs="Times New Roman"/>
          <w:b w:val="0"/>
          <w:bCs w:val="0"/>
          <w:sz w:val="24"/>
          <w:szCs w:val="24"/>
          <w:lang w:val="en"/>
        </w:rPr>
      </w:pPr>
      <w:r w:rsidRPr="00DA4F3E">
        <w:rPr>
          <w:rFonts w:ascii="Times New Roman" w:eastAsiaTheme="minorHAnsi" w:hAnsi="Times New Roman" w:cs="Times New Roman"/>
          <w:b w:val="0"/>
          <w:bCs w:val="0"/>
          <w:sz w:val="24"/>
          <w:szCs w:val="24"/>
        </w:rPr>
        <w:t xml:space="preserve">Gross income is defined as net interest income plus net non-interest income, </w:t>
      </w:r>
      <w:r w:rsidRPr="00DA4F3E">
        <w:rPr>
          <w:rFonts w:ascii="Times New Roman" w:hAnsi="Times New Roman" w:cs="Times New Roman"/>
          <w:b w:val="0"/>
          <w:bCs w:val="0"/>
          <w:sz w:val="24"/>
          <w:szCs w:val="24"/>
          <w:lang w:val="en"/>
        </w:rPr>
        <w:t>and is calculated</w:t>
      </w:r>
      <w:r w:rsidR="004721B3">
        <w:rPr>
          <w:rFonts w:ascii="Times New Roman" w:hAnsi="Times New Roman" w:cs="Times New Roman"/>
          <w:b w:val="0"/>
          <w:bCs w:val="0"/>
          <w:sz w:val="24"/>
          <w:szCs w:val="24"/>
          <w:lang w:val="en"/>
        </w:rPr>
        <w:t>,</w:t>
      </w:r>
      <w:r w:rsidRPr="00DA4F3E">
        <w:rPr>
          <w:rFonts w:ascii="Times New Roman" w:hAnsi="Times New Roman" w:cs="Times New Roman"/>
          <w:b w:val="0"/>
          <w:bCs w:val="0"/>
          <w:sz w:val="24"/>
          <w:szCs w:val="24"/>
          <w:lang w:val="en"/>
        </w:rPr>
        <w:t xml:space="preserve"> as follows:</w:t>
      </w:r>
    </w:p>
    <w:tbl>
      <w:tblPr>
        <w:tblStyle w:val="TableGrid"/>
        <w:tblW w:w="7992" w:type="dxa"/>
        <w:tblInd w:w="1075" w:type="dxa"/>
        <w:tblLook w:val="04A0" w:firstRow="1" w:lastRow="0" w:firstColumn="1" w:lastColumn="0" w:noHBand="0" w:noVBand="1"/>
      </w:tblPr>
      <w:tblGrid>
        <w:gridCol w:w="7992"/>
      </w:tblGrid>
      <w:tr w:rsidR="00EE6389" w:rsidRPr="00DA4F3E" w:rsidTr="009E353D">
        <w:trPr>
          <w:trHeight w:val="290"/>
        </w:trPr>
        <w:tc>
          <w:tcPr>
            <w:tcW w:w="7992" w:type="dxa"/>
          </w:tcPr>
          <w:p w:rsidR="00EE6389" w:rsidRPr="009F1AEE" w:rsidRDefault="00EE6389" w:rsidP="00C77C3A">
            <w:pPr>
              <w:tabs>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ind w:right="333"/>
              <w:jc w:val="left"/>
              <w:rPr>
                <w:rFonts w:ascii="Times New Roman" w:eastAsia="Times New Roman" w:hAnsi="Times New Roman" w:cs="Times New Roman"/>
                <w:b w:val="0"/>
                <w:bCs w:val="0"/>
                <w:color w:val="202124"/>
                <w:sz w:val="22"/>
                <w:szCs w:val="22"/>
                <w:lang w:val="en"/>
              </w:rPr>
            </w:pPr>
            <w:r w:rsidRPr="009F1AEE">
              <w:rPr>
                <w:rFonts w:ascii="Times New Roman" w:eastAsia="Times New Roman" w:hAnsi="Times New Roman" w:cs="Times New Roman"/>
                <w:b w:val="0"/>
                <w:bCs w:val="0"/>
                <w:color w:val="202124"/>
                <w:sz w:val="22"/>
                <w:szCs w:val="22"/>
                <w:lang w:val="en"/>
              </w:rPr>
              <w:t>Net interest and commission income</w:t>
            </w:r>
          </w:p>
        </w:tc>
      </w:tr>
      <w:tr w:rsidR="00EE6389" w:rsidRPr="00DA4F3E" w:rsidTr="009E353D">
        <w:tc>
          <w:tcPr>
            <w:tcW w:w="7992" w:type="dxa"/>
          </w:tcPr>
          <w:p w:rsidR="00EE6389" w:rsidRPr="009F1AEE" w:rsidRDefault="00712328" w:rsidP="00C77C3A">
            <w:pPr>
              <w:pStyle w:val="ListParagraph"/>
              <w:bidi w:val="0"/>
              <w:spacing w:after="0"/>
              <w:ind w:left="0"/>
              <w:rPr>
                <w:rFonts w:ascii="Times New Roman" w:hAnsi="Times New Roman" w:cs="Times New Roman"/>
                <w:b w:val="0"/>
                <w:bCs w:val="0"/>
                <w:color w:val="202124"/>
                <w:sz w:val="22"/>
                <w:szCs w:val="22"/>
                <w:lang w:val="en"/>
              </w:rPr>
            </w:pPr>
            <w:r w:rsidRPr="009F1AEE">
              <w:rPr>
                <w:rFonts w:ascii="Times New Roman" w:hAnsi="Times New Roman" w:cs="Times New Roman"/>
                <w:b w:val="0"/>
                <w:bCs w:val="0"/>
                <w:color w:val="202124"/>
                <w:sz w:val="22"/>
                <w:szCs w:val="22"/>
                <w:lang w:val="en"/>
              </w:rPr>
              <w:t>+ Foreign currency gains (losses)</w:t>
            </w:r>
          </w:p>
        </w:tc>
      </w:tr>
      <w:tr w:rsidR="00EE6389" w:rsidRPr="00DA4F3E" w:rsidTr="009E353D">
        <w:tc>
          <w:tcPr>
            <w:tcW w:w="7992" w:type="dxa"/>
          </w:tcPr>
          <w:p w:rsidR="00EE6389" w:rsidRPr="009F1AEE" w:rsidRDefault="00712328" w:rsidP="00C77C3A">
            <w:pPr>
              <w:pStyle w:val="ListParagraph"/>
              <w:bidi w:val="0"/>
              <w:spacing w:after="0"/>
              <w:ind w:left="0"/>
              <w:rPr>
                <w:rFonts w:ascii="Times New Roman" w:hAnsi="Times New Roman" w:cs="Times New Roman"/>
                <w:b w:val="0"/>
                <w:bCs w:val="0"/>
                <w:color w:val="202124"/>
                <w:sz w:val="22"/>
                <w:szCs w:val="22"/>
                <w:lang w:val="en"/>
              </w:rPr>
            </w:pPr>
            <w:r w:rsidRPr="009F1AEE">
              <w:rPr>
                <w:rFonts w:ascii="Times New Roman" w:hAnsi="Times New Roman" w:cs="Times New Roman"/>
                <w:b w:val="0"/>
                <w:bCs w:val="0"/>
                <w:color w:val="202124"/>
                <w:sz w:val="22"/>
                <w:szCs w:val="22"/>
                <w:lang w:val="en"/>
              </w:rPr>
              <w:t xml:space="preserve">+ Profits (losses) </w:t>
            </w:r>
            <w:r w:rsidR="009F1AEE" w:rsidRPr="009F1AEE">
              <w:rPr>
                <w:rFonts w:ascii="Times New Roman" w:hAnsi="Times New Roman" w:cs="Times New Roman"/>
                <w:b w:val="0"/>
                <w:bCs w:val="0"/>
                <w:color w:val="202124"/>
                <w:sz w:val="22"/>
                <w:szCs w:val="22"/>
                <w:lang w:val="en"/>
              </w:rPr>
              <w:t>for</w:t>
            </w:r>
            <w:r w:rsidRPr="009F1AEE">
              <w:rPr>
                <w:rFonts w:ascii="Times New Roman" w:hAnsi="Times New Roman" w:cs="Times New Roman"/>
                <w:b w:val="0"/>
                <w:bCs w:val="0"/>
                <w:color w:val="202124"/>
                <w:sz w:val="22"/>
                <w:szCs w:val="22"/>
                <w:lang w:val="en"/>
              </w:rPr>
              <w:t xml:space="preserve"> </w:t>
            </w:r>
            <w:r w:rsidR="009F1AEE" w:rsidRPr="009F1AEE">
              <w:rPr>
                <w:rFonts w:ascii="Times New Roman" w:hAnsi="Times New Roman" w:cs="Times New Roman"/>
                <w:b w:val="0"/>
                <w:bCs w:val="0"/>
                <w:color w:val="202124"/>
                <w:sz w:val="22"/>
                <w:szCs w:val="22"/>
                <w:lang w:val="en"/>
              </w:rPr>
              <w:t xml:space="preserve">financial assets </w:t>
            </w:r>
            <w:r w:rsidRPr="009F1AEE">
              <w:rPr>
                <w:rFonts w:ascii="Times New Roman" w:hAnsi="Times New Roman" w:cs="Times New Roman"/>
                <w:b w:val="0"/>
                <w:bCs w:val="0"/>
                <w:color w:val="202124"/>
                <w:sz w:val="22"/>
                <w:szCs w:val="22"/>
                <w:lang w:val="en"/>
              </w:rPr>
              <w:t xml:space="preserve">trading </w:t>
            </w:r>
          </w:p>
        </w:tc>
      </w:tr>
      <w:tr w:rsidR="00EE6389" w:rsidRPr="00DA4F3E" w:rsidTr="009E353D">
        <w:tc>
          <w:tcPr>
            <w:tcW w:w="7992" w:type="dxa"/>
          </w:tcPr>
          <w:p w:rsidR="00EE6389" w:rsidRPr="009F1AEE" w:rsidRDefault="00712328" w:rsidP="00C77C3A">
            <w:pPr>
              <w:pStyle w:val="ListParagraph"/>
              <w:bidi w:val="0"/>
              <w:spacing w:after="0"/>
              <w:ind w:left="0"/>
              <w:rPr>
                <w:rFonts w:ascii="Times New Roman" w:hAnsi="Times New Roman" w:cs="Times New Roman"/>
                <w:b w:val="0"/>
                <w:bCs w:val="0"/>
                <w:color w:val="202124"/>
                <w:sz w:val="22"/>
                <w:szCs w:val="22"/>
                <w:lang w:val="en"/>
              </w:rPr>
            </w:pPr>
            <w:r w:rsidRPr="009F1AEE">
              <w:rPr>
                <w:rFonts w:ascii="Times New Roman" w:hAnsi="Times New Roman" w:cs="Times New Roman"/>
                <w:b w:val="0"/>
                <w:bCs w:val="0"/>
                <w:color w:val="202124"/>
                <w:sz w:val="22"/>
                <w:szCs w:val="22"/>
                <w:lang w:val="en"/>
              </w:rPr>
              <w:t>+ Profits (losses) of financial assets at fair value through income statement</w:t>
            </w:r>
          </w:p>
        </w:tc>
      </w:tr>
      <w:tr w:rsidR="00712328" w:rsidRPr="00DA4F3E" w:rsidTr="009E353D">
        <w:tc>
          <w:tcPr>
            <w:tcW w:w="7992" w:type="dxa"/>
          </w:tcPr>
          <w:p w:rsidR="00712328" w:rsidRPr="009F1AEE" w:rsidRDefault="00712328" w:rsidP="00C77C3A">
            <w:pPr>
              <w:pStyle w:val="ListParagraph"/>
              <w:bidi w:val="0"/>
              <w:spacing w:after="0"/>
              <w:ind w:left="0"/>
              <w:rPr>
                <w:rFonts w:ascii="Times New Roman" w:hAnsi="Times New Roman" w:cs="Times New Roman"/>
                <w:b w:val="0"/>
                <w:bCs w:val="0"/>
                <w:color w:val="202124"/>
                <w:sz w:val="22"/>
                <w:szCs w:val="22"/>
                <w:lang w:val="en"/>
              </w:rPr>
            </w:pPr>
            <w:r w:rsidRPr="009F1AEE">
              <w:rPr>
                <w:rFonts w:ascii="Times New Roman" w:hAnsi="Times New Roman" w:cs="Times New Roman"/>
                <w:b w:val="0"/>
                <w:bCs w:val="0"/>
                <w:color w:val="202124"/>
                <w:sz w:val="22"/>
                <w:szCs w:val="22"/>
                <w:lang w:val="en"/>
              </w:rPr>
              <w:t>+ Dividend income from financial assets through other comprehensive income statement items</w:t>
            </w:r>
          </w:p>
        </w:tc>
      </w:tr>
      <w:tr w:rsidR="00712328" w:rsidRPr="00DA4F3E" w:rsidTr="009E353D">
        <w:tc>
          <w:tcPr>
            <w:tcW w:w="7992" w:type="dxa"/>
          </w:tcPr>
          <w:p w:rsidR="00712328" w:rsidRPr="009F1AEE" w:rsidRDefault="00712328" w:rsidP="00C77C3A">
            <w:pPr>
              <w:pStyle w:val="ListParagraph"/>
              <w:bidi w:val="0"/>
              <w:spacing w:after="0"/>
              <w:ind w:left="0"/>
              <w:rPr>
                <w:rFonts w:ascii="Times New Roman" w:hAnsi="Times New Roman" w:cs="Times New Roman"/>
                <w:b w:val="0"/>
                <w:bCs w:val="0"/>
                <w:color w:val="202124"/>
                <w:sz w:val="22"/>
                <w:szCs w:val="22"/>
                <w:rtl/>
                <w:lang w:val="en" w:bidi="ar-JO"/>
              </w:rPr>
            </w:pPr>
            <w:r w:rsidRPr="009F1AEE">
              <w:rPr>
                <w:rFonts w:ascii="Times New Roman" w:hAnsi="Times New Roman" w:cs="Times New Roman"/>
                <w:b w:val="0"/>
                <w:bCs w:val="0"/>
                <w:color w:val="202124"/>
                <w:sz w:val="22"/>
                <w:szCs w:val="22"/>
                <w:lang w:val="en"/>
              </w:rPr>
              <w:t xml:space="preserve">+ The bank’s share of the profits / (losses) of </w:t>
            </w:r>
            <w:r w:rsidR="004721B3" w:rsidRPr="009F1AEE">
              <w:rPr>
                <w:rFonts w:ascii="Times New Roman" w:hAnsi="Times New Roman" w:cs="Times New Roman"/>
                <w:b w:val="0"/>
                <w:bCs w:val="0"/>
                <w:color w:val="202124"/>
                <w:sz w:val="22"/>
                <w:szCs w:val="22"/>
                <w:lang w:val="en"/>
              </w:rPr>
              <w:t>affiliates</w:t>
            </w:r>
            <w:r w:rsidR="00DA4F3E" w:rsidRPr="009F1AEE">
              <w:rPr>
                <w:rFonts w:ascii="Times New Roman" w:hAnsi="Times New Roman" w:cs="Times New Roman"/>
                <w:b w:val="0"/>
                <w:bCs w:val="0"/>
                <w:color w:val="202124"/>
                <w:sz w:val="22"/>
                <w:szCs w:val="22"/>
                <w:lang w:val="en"/>
              </w:rPr>
              <w:t xml:space="preserve"> </w:t>
            </w:r>
            <w:r w:rsidRPr="009F1AEE">
              <w:rPr>
                <w:rFonts w:ascii="Times New Roman" w:hAnsi="Times New Roman" w:cs="Times New Roman"/>
                <w:b w:val="0"/>
                <w:bCs w:val="0"/>
                <w:color w:val="202124"/>
                <w:sz w:val="22"/>
                <w:szCs w:val="22"/>
                <w:rtl/>
                <w:lang w:val="en" w:bidi="ar-JO"/>
              </w:rPr>
              <w:t xml:space="preserve"> </w:t>
            </w:r>
          </w:p>
        </w:tc>
      </w:tr>
      <w:tr w:rsidR="00712328" w:rsidRPr="00DA4F3E" w:rsidTr="009E353D">
        <w:tc>
          <w:tcPr>
            <w:tcW w:w="7992" w:type="dxa"/>
          </w:tcPr>
          <w:p w:rsidR="00712328" w:rsidRPr="009F1AEE" w:rsidRDefault="00712328" w:rsidP="00C77C3A">
            <w:pPr>
              <w:pStyle w:val="ListParagraph"/>
              <w:bidi w:val="0"/>
              <w:spacing w:after="0"/>
              <w:ind w:left="0"/>
              <w:rPr>
                <w:rFonts w:ascii="Times New Roman" w:hAnsi="Times New Roman" w:cs="Times New Roman"/>
                <w:b w:val="0"/>
                <w:bCs w:val="0"/>
                <w:color w:val="202124"/>
                <w:sz w:val="22"/>
                <w:szCs w:val="22"/>
                <w:lang w:val="en"/>
              </w:rPr>
            </w:pPr>
            <w:r w:rsidRPr="009F1AEE">
              <w:rPr>
                <w:rFonts w:ascii="Times New Roman" w:hAnsi="Times New Roman" w:cs="Times New Roman"/>
                <w:b w:val="0"/>
                <w:bCs w:val="0"/>
                <w:color w:val="202124"/>
                <w:sz w:val="22"/>
                <w:szCs w:val="22"/>
                <w:lang w:val="en"/>
              </w:rPr>
              <w:t xml:space="preserve">+ The bank's share of dividends / subsidiary and </w:t>
            </w:r>
            <w:r w:rsidR="004721B3" w:rsidRPr="009F1AEE">
              <w:rPr>
                <w:rFonts w:ascii="Times New Roman" w:hAnsi="Times New Roman" w:cs="Times New Roman"/>
                <w:b w:val="0"/>
                <w:bCs w:val="0"/>
                <w:color w:val="202124"/>
                <w:sz w:val="22"/>
                <w:szCs w:val="22"/>
                <w:lang w:val="en"/>
              </w:rPr>
              <w:t xml:space="preserve">affiliates </w:t>
            </w:r>
            <w:r w:rsidR="004721B3" w:rsidRPr="009F1AEE">
              <w:rPr>
                <w:rFonts w:ascii="Times New Roman" w:hAnsi="Times New Roman" w:cs="Times New Roman"/>
                <w:b w:val="0"/>
                <w:bCs w:val="0"/>
                <w:color w:val="202124"/>
                <w:sz w:val="22"/>
                <w:szCs w:val="22"/>
                <w:rtl/>
                <w:lang w:val="en" w:bidi="ar-JO"/>
              </w:rPr>
              <w:t xml:space="preserve"> </w:t>
            </w:r>
            <w:r w:rsidRPr="009F1AEE">
              <w:rPr>
                <w:rFonts w:ascii="Times New Roman" w:hAnsi="Times New Roman" w:cs="Times New Roman"/>
                <w:b w:val="0"/>
                <w:bCs w:val="0"/>
                <w:color w:val="202124"/>
                <w:sz w:val="22"/>
                <w:szCs w:val="22"/>
                <w:lang w:val="en"/>
              </w:rPr>
              <w:t>(in the non-consolidated financial statements).</w:t>
            </w:r>
          </w:p>
        </w:tc>
      </w:tr>
      <w:tr w:rsidR="00712328" w:rsidRPr="00DA4F3E" w:rsidTr="009E353D">
        <w:tc>
          <w:tcPr>
            <w:tcW w:w="7992" w:type="dxa"/>
          </w:tcPr>
          <w:p w:rsidR="00712328" w:rsidRPr="009F1AEE" w:rsidRDefault="00712328" w:rsidP="00C77C3A">
            <w:pPr>
              <w:pStyle w:val="ListParagraph"/>
              <w:bidi w:val="0"/>
              <w:spacing w:after="0"/>
              <w:ind w:left="0"/>
              <w:rPr>
                <w:rFonts w:ascii="Times New Roman" w:hAnsi="Times New Roman" w:cs="Times New Roman"/>
                <w:b w:val="0"/>
                <w:bCs w:val="0"/>
                <w:color w:val="202124"/>
                <w:sz w:val="22"/>
                <w:szCs w:val="22"/>
                <w:lang w:val="en"/>
              </w:rPr>
            </w:pPr>
            <w:r w:rsidRPr="009F1AEE">
              <w:rPr>
                <w:rFonts w:ascii="Times New Roman" w:hAnsi="Times New Roman" w:cs="Times New Roman"/>
                <w:b w:val="0"/>
                <w:bCs w:val="0"/>
                <w:color w:val="202124"/>
                <w:sz w:val="22"/>
                <w:szCs w:val="22"/>
                <w:lang w:val="en"/>
              </w:rPr>
              <w:t>+ Other revenues (mentioned in detail), with the exception of:</w:t>
            </w:r>
          </w:p>
          <w:p w:rsidR="00712328" w:rsidRPr="009F1AEE" w:rsidRDefault="004721B3" w:rsidP="00C77C3A">
            <w:pPr>
              <w:pStyle w:val="ListParagraph"/>
              <w:numPr>
                <w:ilvl w:val="0"/>
                <w:numId w:val="3"/>
              </w:numPr>
              <w:bidi w:val="0"/>
              <w:spacing w:after="0"/>
              <w:rPr>
                <w:rFonts w:ascii="Times New Roman" w:hAnsi="Times New Roman" w:cs="Times New Roman"/>
                <w:b w:val="0"/>
                <w:bCs w:val="0"/>
                <w:color w:val="202124"/>
                <w:sz w:val="22"/>
                <w:szCs w:val="22"/>
                <w:lang w:val="en"/>
              </w:rPr>
            </w:pPr>
            <w:r w:rsidRPr="009F1AEE">
              <w:rPr>
                <w:rFonts w:ascii="Times New Roman" w:eastAsiaTheme="minorHAnsi" w:hAnsi="Times New Roman" w:cs="Times New Roman"/>
                <w:b w:val="0"/>
                <w:bCs w:val="0"/>
                <w:sz w:val="22"/>
                <w:szCs w:val="22"/>
              </w:rPr>
              <w:t>revenues</w:t>
            </w:r>
            <w:r w:rsidR="00712328" w:rsidRPr="009F1AEE">
              <w:rPr>
                <w:rFonts w:ascii="Times New Roman" w:eastAsiaTheme="minorHAnsi" w:hAnsi="Times New Roman" w:cs="Times New Roman"/>
                <w:b w:val="0"/>
                <w:bCs w:val="0"/>
                <w:sz w:val="22"/>
                <w:szCs w:val="22"/>
              </w:rPr>
              <w:t xml:space="preserve"> derived from insurance</w:t>
            </w:r>
            <w:r w:rsidRPr="009F1AEE">
              <w:rPr>
                <w:rFonts w:ascii="Times New Roman" w:eastAsiaTheme="minorHAnsi" w:hAnsi="Times New Roman" w:cs="Times New Roman"/>
                <w:b w:val="0"/>
                <w:bCs w:val="0"/>
                <w:sz w:val="22"/>
                <w:szCs w:val="22"/>
              </w:rPr>
              <w:t xml:space="preserve"> operations</w:t>
            </w:r>
          </w:p>
          <w:p w:rsidR="00712328" w:rsidRPr="009F1AEE" w:rsidRDefault="00712328" w:rsidP="00C77C3A">
            <w:pPr>
              <w:pStyle w:val="ListParagraph"/>
              <w:numPr>
                <w:ilvl w:val="0"/>
                <w:numId w:val="3"/>
              </w:numPr>
              <w:bidi w:val="0"/>
              <w:spacing w:after="0"/>
              <w:rPr>
                <w:rFonts w:ascii="Times New Roman" w:hAnsi="Times New Roman" w:cs="Times New Roman"/>
                <w:b w:val="0"/>
                <w:bCs w:val="0"/>
                <w:color w:val="202124"/>
                <w:sz w:val="22"/>
                <w:szCs w:val="22"/>
                <w:lang w:val="en"/>
              </w:rPr>
            </w:pPr>
            <w:r w:rsidRPr="009F1AEE">
              <w:rPr>
                <w:rFonts w:ascii="Times New Roman" w:eastAsiaTheme="minorHAnsi" w:hAnsi="Times New Roman" w:cs="Times New Roman"/>
                <w:b w:val="0"/>
                <w:bCs w:val="0"/>
                <w:sz w:val="22"/>
                <w:szCs w:val="22"/>
              </w:rPr>
              <w:t xml:space="preserve">extraordinary or irregular </w:t>
            </w:r>
            <w:r w:rsidR="004721B3" w:rsidRPr="009F1AEE">
              <w:rPr>
                <w:rFonts w:ascii="Times New Roman" w:eastAsiaTheme="minorHAnsi" w:hAnsi="Times New Roman" w:cs="Times New Roman"/>
                <w:b w:val="0"/>
                <w:bCs w:val="0"/>
                <w:sz w:val="22"/>
                <w:szCs w:val="22"/>
              </w:rPr>
              <w:t>revenues</w:t>
            </w:r>
          </w:p>
          <w:p w:rsidR="00712328" w:rsidRPr="009F1AEE" w:rsidRDefault="00712328" w:rsidP="00C77C3A">
            <w:pPr>
              <w:pStyle w:val="ListParagraph"/>
              <w:bidi w:val="0"/>
              <w:spacing w:after="0"/>
              <w:ind w:left="1835"/>
              <w:rPr>
                <w:rFonts w:ascii="Times New Roman" w:hAnsi="Times New Roman" w:cs="Times New Roman"/>
                <w:b w:val="0"/>
                <w:bCs w:val="0"/>
                <w:color w:val="202124"/>
                <w:sz w:val="22"/>
                <w:szCs w:val="22"/>
                <w:lang w:val="en"/>
              </w:rPr>
            </w:pPr>
            <w:r w:rsidRPr="009F1AEE">
              <w:rPr>
                <w:rFonts w:ascii="Times New Roman" w:hAnsi="Times New Roman" w:cs="Times New Roman"/>
                <w:b w:val="0"/>
                <w:bCs w:val="0"/>
                <w:color w:val="202124"/>
                <w:sz w:val="22"/>
                <w:szCs w:val="22"/>
                <w:lang w:val="en"/>
              </w:rPr>
              <w:t>(mentioned in detail)</w:t>
            </w:r>
          </w:p>
        </w:tc>
      </w:tr>
      <w:tr w:rsidR="00712328" w:rsidRPr="00DA4F3E" w:rsidTr="00FD34A1">
        <w:tc>
          <w:tcPr>
            <w:tcW w:w="7992" w:type="dxa"/>
            <w:shd w:val="clear" w:color="auto" w:fill="EDEDED" w:themeFill="accent3" w:themeFillTint="33"/>
          </w:tcPr>
          <w:p w:rsidR="00712328" w:rsidRPr="009F1AEE" w:rsidRDefault="00712328" w:rsidP="009E353D">
            <w:pPr>
              <w:pStyle w:val="ListParagraph"/>
              <w:bidi w:val="0"/>
              <w:spacing w:after="0" w:line="276" w:lineRule="auto"/>
              <w:ind w:left="0"/>
              <w:rPr>
                <w:rFonts w:ascii="Times New Roman" w:hAnsi="Times New Roman" w:cs="Times New Roman"/>
                <w:b w:val="0"/>
                <w:bCs w:val="0"/>
                <w:color w:val="202124"/>
                <w:sz w:val="22"/>
                <w:szCs w:val="22"/>
                <w:lang w:val="en"/>
              </w:rPr>
            </w:pPr>
            <w:r w:rsidRPr="009F1AEE">
              <w:rPr>
                <w:rFonts w:ascii="Times New Roman" w:eastAsiaTheme="minorHAnsi" w:hAnsi="Times New Roman" w:cs="Times New Roman"/>
                <w:b w:val="0"/>
                <w:bCs w:val="0"/>
                <w:sz w:val="22"/>
                <w:szCs w:val="22"/>
              </w:rPr>
              <w:t xml:space="preserve">Gross </w:t>
            </w:r>
            <w:r w:rsidRPr="009F1AEE">
              <w:rPr>
                <w:rFonts w:ascii="Times New Roman" w:hAnsi="Times New Roman" w:cs="Times New Roman"/>
                <w:b w:val="0"/>
                <w:bCs w:val="0"/>
                <w:color w:val="202124"/>
                <w:sz w:val="22"/>
                <w:szCs w:val="22"/>
                <w:lang w:val="en"/>
              </w:rPr>
              <w:t>income</w:t>
            </w:r>
          </w:p>
        </w:tc>
      </w:tr>
    </w:tbl>
    <w:p w:rsidR="00EE6389" w:rsidRPr="00DA4F3E" w:rsidRDefault="00044AF1" w:rsidP="00D94259">
      <w:pPr>
        <w:pStyle w:val="ListParagraph"/>
        <w:numPr>
          <w:ilvl w:val="2"/>
          <w:numId w:val="21"/>
        </w:numPr>
        <w:bidi w:val="0"/>
        <w:spacing w:after="0" w:line="276" w:lineRule="auto"/>
        <w:ind w:left="2127" w:hanging="851"/>
        <w:rPr>
          <w:rFonts w:ascii="Times New Roman" w:hAnsi="Times New Roman" w:cs="Times New Roman"/>
          <w:b w:val="0"/>
          <w:bCs w:val="0"/>
          <w:sz w:val="24"/>
          <w:szCs w:val="24"/>
        </w:rPr>
      </w:pPr>
      <w:r w:rsidRPr="00DA4F3E">
        <w:rPr>
          <w:rFonts w:ascii="Times New Roman" w:hAnsi="Times New Roman" w:cs="Times New Roman"/>
          <w:b w:val="0"/>
          <w:bCs w:val="0"/>
          <w:sz w:val="24"/>
          <w:szCs w:val="24"/>
        </w:rPr>
        <w:lastRenderedPageBreak/>
        <w:t xml:space="preserve">Banks have to </w:t>
      </w:r>
      <w:r w:rsidRPr="00DA4F3E">
        <w:rPr>
          <w:rFonts w:ascii="Times New Roman" w:eastAsiaTheme="minorHAnsi" w:hAnsi="Times New Roman" w:cs="Times New Roman"/>
          <w:b w:val="0"/>
          <w:bCs w:val="0"/>
          <w:sz w:val="24"/>
          <w:szCs w:val="24"/>
        </w:rPr>
        <w:t xml:space="preserve">comply with the </w:t>
      </w:r>
      <w:r w:rsidR="00393C31" w:rsidRPr="00DA4F3E">
        <w:rPr>
          <w:rFonts w:ascii="Times New Roman" w:eastAsiaTheme="minorHAnsi" w:hAnsi="Times New Roman" w:cs="Times New Roman"/>
          <w:b w:val="0"/>
          <w:bCs w:val="0"/>
          <w:sz w:val="24"/>
          <w:szCs w:val="24"/>
        </w:rPr>
        <w:t xml:space="preserve">Basel </w:t>
      </w:r>
      <w:r w:rsidRPr="00DA4F3E">
        <w:rPr>
          <w:rFonts w:ascii="Times New Roman" w:eastAsiaTheme="minorHAnsi" w:hAnsi="Times New Roman" w:cs="Times New Roman"/>
          <w:b w:val="0"/>
          <w:bCs w:val="0"/>
          <w:sz w:val="24"/>
          <w:szCs w:val="24"/>
        </w:rPr>
        <w:t>Committee’s guidance on Sound Practices for the Management and Supervision of Operational Risk, June 2011.</w:t>
      </w:r>
      <w:r w:rsidR="00393C31" w:rsidRPr="00DA4F3E">
        <w:rPr>
          <w:rFonts w:ascii="Times New Roman" w:hAnsi="Times New Roman" w:cs="Times New Roman"/>
          <w:b w:val="0"/>
          <w:bCs w:val="0"/>
          <w:sz w:val="24"/>
          <w:szCs w:val="24"/>
          <w:lang w:val="en"/>
        </w:rPr>
        <w:t xml:space="preserve"> In the event that the Central Bank finds deficiencies in applying these practices, the </w:t>
      </w:r>
      <w:r w:rsidR="00A0773A" w:rsidRPr="00DA4F3E">
        <w:rPr>
          <w:rFonts w:ascii="Times New Roman" w:hAnsi="Times New Roman" w:cs="Times New Roman"/>
          <w:b w:val="0"/>
          <w:bCs w:val="0"/>
          <w:sz w:val="24"/>
          <w:szCs w:val="24"/>
          <w:lang w:val="en"/>
        </w:rPr>
        <w:t>factor</w:t>
      </w:r>
      <w:r w:rsidR="00393C31" w:rsidRPr="00DA4F3E">
        <w:rPr>
          <w:rFonts w:ascii="Times New Roman" w:hAnsi="Times New Roman" w:cs="Times New Roman"/>
          <w:b w:val="0"/>
          <w:bCs w:val="0"/>
          <w:sz w:val="24"/>
          <w:szCs w:val="24"/>
          <w:lang w:val="en"/>
        </w:rPr>
        <w:t xml:space="preserve"> (α) mentioned in the aforementioned calculation equation will be increased.</w:t>
      </w:r>
    </w:p>
    <w:p w:rsidR="00393C31" w:rsidRPr="00C77C3A" w:rsidRDefault="00393C31" w:rsidP="0005148C">
      <w:pPr>
        <w:pStyle w:val="ListParagraph"/>
        <w:numPr>
          <w:ilvl w:val="2"/>
          <w:numId w:val="21"/>
        </w:numPr>
        <w:bidi w:val="0"/>
        <w:spacing w:after="0" w:line="276" w:lineRule="auto"/>
        <w:ind w:left="2127" w:hanging="851"/>
        <w:rPr>
          <w:rFonts w:ascii="Times New Roman" w:hAnsi="Times New Roman" w:cs="Times New Roman"/>
          <w:b w:val="0"/>
          <w:bCs w:val="0"/>
          <w:sz w:val="24"/>
          <w:szCs w:val="24"/>
        </w:rPr>
      </w:pPr>
      <w:r w:rsidRPr="00C73A12">
        <w:rPr>
          <w:rFonts w:ascii="Times New Roman" w:hAnsi="Times New Roman" w:cs="Times New Roman"/>
          <w:b w:val="0"/>
          <w:bCs w:val="0"/>
          <w:sz w:val="24"/>
          <w:szCs w:val="24"/>
          <w:lang w:val="en"/>
        </w:rPr>
        <w:t>Banks wishing to switch to the standardized approach for calculating operational risks, must fulfill all quantitative and qualitative requirements that qualify them for that</w:t>
      </w:r>
      <w:r w:rsidRPr="00C73A12">
        <w:rPr>
          <w:rFonts w:ascii="Times New Roman" w:hAnsi="Times New Roman" w:cs="Times New Roman"/>
          <w:b w:val="0"/>
          <w:bCs w:val="0"/>
          <w:sz w:val="24"/>
          <w:szCs w:val="24"/>
        </w:rPr>
        <w:t xml:space="preserve">. </w:t>
      </w:r>
      <w:r w:rsidRPr="00C73A12">
        <w:rPr>
          <w:rFonts w:ascii="Times New Roman" w:hAnsi="Times New Roman" w:cs="Times New Roman"/>
          <w:b w:val="0"/>
          <w:bCs w:val="0"/>
          <w:sz w:val="24"/>
          <w:szCs w:val="24"/>
          <w:lang w:val="en"/>
        </w:rPr>
        <w:t xml:space="preserve">This will be according to the Basel committee, especially </w:t>
      </w:r>
      <w:r w:rsidR="0005148C" w:rsidRPr="00C73A12">
        <w:rPr>
          <w:rFonts w:ascii="Times New Roman" w:hAnsi="Times New Roman" w:cs="Times New Roman"/>
          <w:b w:val="0"/>
          <w:bCs w:val="0"/>
          <w:sz w:val="24"/>
          <w:szCs w:val="24"/>
          <w:lang w:val="en"/>
        </w:rPr>
        <w:t>dividing</w:t>
      </w:r>
      <w:r w:rsidRPr="00C73A12">
        <w:rPr>
          <w:rFonts w:ascii="Times New Roman" w:hAnsi="Times New Roman" w:cs="Times New Roman"/>
          <w:b w:val="0"/>
          <w:bCs w:val="0"/>
          <w:sz w:val="24"/>
          <w:szCs w:val="24"/>
          <w:lang w:val="en"/>
        </w:rPr>
        <w:t xml:space="preserve"> their activities into eight </w:t>
      </w:r>
      <w:r w:rsidR="00A0773A" w:rsidRPr="00C73A12">
        <w:rPr>
          <w:rFonts w:ascii="Times New Roman" w:eastAsiaTheme="minorHAnsi" w:hAnsi="Times New Roman" w:cs="Times New Roman"/>
          <w:b w:val="0"/>
          <w:bCs w:val="0"/>
          <w:sz w:val="24"/>
          <w:szCs w:val="24"/>
        </w:rPr>
        <w:t>business lines</w:t>
      </w:r>
      <w:r w:rsidR="00A0773A" w:rsidRPr="00C73A12">
        <w:rPr>
          <w:rFonts w:ascii="Times New Roman" w:hAnsi="Times New Roman" w:cs="Times New Roman"/>
          <w:b w:val="0"/>
          <w:bCs w:val="0"/>
          <w:sz w:val="24"/>
          <w:szCs w:val="24"/>
          <w:lang w:val="en"/>
        </w:rPr>
        <w:t xml:space="preserve"> </w:t>
      </w:r>
      <w:r w:rsidRPr="00C73A12">
        <w:rPr>
          <w:rFonts w:ascii="Times New Roman" w:hAnsi="Times New Roman" w:cs="Times New Roman"/>
          <w:b w:val="0"/>
          <w:bCs w:val="0"/>
          <w:sz w:val="24"/>
          <w:szCs w:val="24"/>
          <w:lang w:val="en"/>
        </w:rPr>
        <w:t>(according to the reality of the situation with them), provided that the prior approval of the Central Bank is obtained before starting to move to this approach.</w:t>
      </w:r>
    </w:p>
    <w:p w:rsidR="00C77C3A" w:rsidRPr="00C73A12" w:rsidRDefault="00C77C3A" w:rsidP="00C77C3A">
      <w:pPr>
        <w:pStyle w:val="ListParagraph"/>
        <w:bidi w:val="0"/>
        <w:spacing w:after="0" w:line="276" w:lineRule="auto"/>
        <w:ind w:left="2127"/>
        <w:rPr>
          <w:rFonts w:ascii="Times New Roman" w:hAnsi="Times New Roman" w:cs="Times New Roman"/>
          <w:b w:val="0"/>
          <w:bCs w:val="0"/>
          <w:sz w:val="24"/>
          <w:szCs w:val="24"/>
        </w:rPr>
      </w:pPr>
    </w:p>
    <w:p w:rsidR="00EE6389" w:rsidRPr="00DA4F3E" w:rsidRDefault="00393C31" w:rsidP="00D94259">
      <w:pPr>
        <w:pStyle w:val="ListParagraph"/>
        <w:numPr>
          <w:ilvl w:val="0"/>
          <w:numId w:val="21"/>
        </w:numPr>
        <w:bidi w:val="0"/>
        <w:spacing w:after="0" w:line="276" w:lineRule="auto"/>
        <w:ind w:hanging="578"/>
        <w:rPr>
          <w:rFonts w:ascii="Times New Roman" w:hAnsi="Times New Roman" w:cs="Times New Roman"/>
          <w:sz w:val="24"/>
          <w:szCs w:val="24"/>
        </w:rPr>
      </w:pPr>
      <w:r w:rsidRPr="00DA4F3E">
        <w:rPr>
          <w:rFonts w:ascii="Times New Roman" w:hAnsi="Times New Roman" w:cs="Times New Roman"/>
          <w:sz w:val="24"/>
          <w:szCs w:val="24"/>
        </w:rPr>
        <w:t>Standardized Approach/ The Alternative Standardized Approach</w:t>
      </w:r>
    </w:p>
    <w:p w:rsidR="00393C31" w:rsidRPr="00DA4F3E" w:rsidRDefault="00393C31" w:rsidP="00D94259">
      <w:pPr>
        <w:pStyle w:val="ListParagraph"/>
        <w:numPr>
          <w:ilvl w:val="1"/>
          <w:numId w:val="21"/>
        </w:numPr>
        <w:bidi w:val="0"/>
        <w:spacing w:after="0" w:line="276" w:lineRule="auto"/>
        <w:ind w:left="1276" w:hanging="556"/>
        <w:rPr>
          <w:rFonts w:ascii="Times New Roman" w:hAnsi="Times New Roman" w:cs="Times New Roman"/>
          <w:b w:val="0"/>
          <w:bCs w:val="0"/>
          <w:sz w:val="24"/>
          <w:szCs w:val="24"/>
        </w:rPr>
      </w:pPr>
      <w:r w:rsidRPr="00DA4F3E">
        <w:rPr>
          <w:rFonts w:ascii="Times New Roman" w:hAnsi="Times New Roman" w:cs="Times New Roman"/>
          <w:b w:val="0"/>
          <w:bCs w:val="0"/>
          <w:sz w:val="24"/>
          <w:szCs w:val="24"/>
        </w:rPr>
        <w:t>Standardized Approach:</w:t>
      </w:r>
    </w:p>
    <w:p w:rsidR="00A0773A" w:rsidRPr="00DA4F3E" w:rsidRDefault="00A0773A" w:rsidP="00D94259">
      <w:pPr>
        <w:pStyle w:val="ListParagraph"/>
        <w:bidi w:val="0"/>
        <w:spacing w:after="0" w:line="276" w:lineRule="auto"/>
        <w:ind w:left="1440" w:hanging="164"/>
        <w:rPr>
          <w:rFonts w:ascii="Times New Roman" w:hAnsi="Times New Roman" w:cs="Times New Roman"/>
          <w:b w:val="0"/>
          <w:bCs w:val="0"/>
          <w:sz w:val="24"/>
          <w:szCs w:val="24"/>
          <w:lang w:val="en"/>
        </w:rPr>
      </w:pPr>
      <w:r w:rsidRPr="00DA4F3E">
        <w:rPr>
          <w:rFonts w:ascii="Times New Roman" w:hAnsi="Times New Roman" w:cs="Times New Roman"/>
          <w:b w:val="0"/>
          <w:bCs w:val="0"/>
          <w:sz w:val="24"/>
          <w:szCs w:val="24"/>
          <w:lang w:val="en"/>
        </w:rPr>
        <w:t xml:space="preserve">To apply the </w:t>
      </w:r>
      <w:r w:rsidRPr="00DA4F3E">
        <w:rPr>
          <w:rFonts w:ascii="Times New Roman" w:hAnsi="Times New Roman" w:cs="Times New Roman"/>
          <w:b w:val="0"/>
          <w:bCs w:val="0"/>
          <w:sz w:val="24"/>
          <w:szCs w:val="24"/>
        </w:rPr>
        <w:t>Standardized Approach</w:t>
      </w:r>
      <w:r w:rsidRPr="00DA4F3E">
        <w:rPr>
          <w:rFonts w:ascii="Times New Roman" w:hAnsi="Times New Roman" w:cs="Times New Roman"/>
          <w:b w:val="0"/>
          <w:bCs w:val="0"/>
          <w:sz w:val="24"/>
          <w:szCs w:val="24"/>
          <w:lang w:val="en"/>
        </w:rPr>
        <w:t>, the bank must do the following:</w:t>
      </w:r>
    </w:p>
    <w:p w:rsidR="00A0773A" w:rsidRPr="00DA4F3E" w:rsidRDefault="00A0773A" w:rsidP="00C77C3A">
      <w:pPr>
        <w:pStyle w:val="ListParagraph"/>
        <w:numPr>
          <w:ilvl w:val="2"/>
          <w:numId w:val="21"/>
        </w:numPr>
        <w:bidi w:val="0"/>
        <w:spacing w:after="0" w:line="276" w:lineRule="auto"/>
        <w:ind w:left="2127" w:hanging="851"/>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 xml:space="preserve">banks’ activities are divided into eight business lines: corporate finance, trading </w:t>
      </w:r>
      <w:r w:rsidR="00C77C3A">
        <w:rPr>
          <w:rFonts w:ascii="Times New Roman" w:eastAsiaTheme="minorHAnsi" w:hAnsi="Times New Roman" w:cs="Times New Roman"/>
          <w:b w:val="0"/>
          <w:bCs w:val="0"/>
          <w:sz w:val="24"/>
          <w:szCs w:val="24"/>
        </w:rPr>
        <w:t>and</w:t>
      </w:r>
      <w:r w:rsidRPr="00DA4F3E">
        <w:rPr>
          <w:rFonts w:ascii="Times New Roman" w:eastAsiaTheme="minorHAnsi" w:hAnsi="Times New Roman" w:cs="Times New Roman"/>
          <w:b w:val="0"/>
          <w:bCs w:val="0"/>
          <w:sz w:val="24"/>
          <w:szCs w:val="24"/>
        </w:rPr>
        <w:t xml:space="preserve"> sales, retail banking, commercial banking, payment </w:t>
      </w:r>
      <w:r w:rsidR="00C77C3A">
        <w:rPr>
          <w:rFonts w:ascii="Times New Roman" w:eastAsiaTheme="minorHAnsi" w:hAnsi="Times New Roman" w:cs="Times New Roman"/>
          <w:b w:val="0"/>
          <w:bCs w:val="0"/>
          <w:sz w:val="24"/>
          <w:szCs w:val="24"/>
        </w:rPr>
        <w:t>and</w:t>
      </w:r>
      <w:r w:rsidRPr="00DA4F3E">
        <w:rPr>
          <w:rFonts w:ascii="Times New Roman" w:eastAsiaTheme="minorHAnsi" w:hAnsi="Times New Roman" w:cs="Times New Roman"/>
          <w:b w:val="0"/>
          <w:bCs w:val="0"/>
          <w:sz w:val="24"/>
          <w:szCs w:val="24"/>
        </w:rPr>
        <w:t xml:space="preserve"> settlement, agency services, asset management, and retail brokerage. The business </w:t>
      </w:r>
      <w:r w:rsidR="004721B3">
        <w:rPr>
          <w:rFonts w:ascii="Times New Roman" w:eastAsiaTheme="minorHAnsi" w:hAnsi="Times New Roman" w:cs="Times New Roman"/>
          <w:b w:val="0"/>
          <w:bCs w:val="0"/>
          <w:sz w:val="24"/>
          <w:szCs w:val="24"/>
        </w:rPr>
        <w:t>lines are defined in detail in a</w:t>
      </w:r>
      <w:r w:rsidRPr="00DA4F3E">
        <w:rPr>
          <w:rFonts w:ascii="Times New Roman" w:eastAsiaTheme="minorHAnsi" w:hAnsi="Times New Roman" w:cs="Times New Roman"/>
          <w:b w:val="0"/>
          <w:bCs w:val="0"/>
          <w:sz w:val="24"/>
          <w:szCs w:val="24"/>
        </w:rPr>
        <w:t>nnex (14).</w:t>
      </w:r>
    </w:p>
    <w:p w:rsidR="00A0773A" w:rsidRPr="00C73A12" w:rsidRDefault="00A0773A" w:rsidP="00D94259">
      <w:pPr>
        <w:pStyle w:val="ListParagraph"/>
        <w:numPr>
          <w:ilvl w:val="2"/>
          <w:numId w:val="21"/>
        </w:numPr>
        <w:bidi w:val="0"/>
        <w:spacing w:after="0" w:line="276" w:lineRule="auto"/>
        <w:ind w:left="2127" w:hanging="851"/>
        <w:rPr>
          <w:rFonts w:ascii="Times New Roman" w:hAnsi="Times New Roman" w:cs="Times New Roman"/>
          <w:b w:val="0"/>
          <w:bCs w:val="0"/>
          <w:sz w:val="24"/>
          <w:szCs w:val="24"/>
        </w:rPr>
      </w:pPr>
      <w:r w:rsidRPr="00C73A12">
        <w:rPr>
          <w:rFonts w:ascii="Times New Roman" w:eastAsiaTheme="minorHAnsi" w:hAnsi="Times New Roman" w:cs="Times New Roman"/>
          <w:b w:val="0"/>
          <w:bCs w:val="0"/>
          <w:sz w:val="24"/>
          <w:szCs w:val="24"/>
        </w:rPr>
        <w:t xml:space="preserve">Within each business line, gross income is a broad indicator that serves as a proxy for the scale of business operations and thus the likely scale of operational risk exposure within each of these business lines. </w:t>
      </w:r>
    </w:p>
    <w:p w:rsidR="00A0773A" w:rsidRPr="00DA4F3E" w:rsidRDefault="00A0773A" w:rsidP="00D94259">
      <w:pPr>
        <w:pStyle w:val="ListParagraph"/>
        <w:numPr>
          <w:ilvl w:val="2"/>
          <w:numId w:val="21"/>
        </w:numPr>
        <w:bidi w:val="0"/>
        <w:spacing w:after="0" w:line="276" w:lineRule="auto"/>
        <w:ind w:left="2127" w:hanging="851"/>
        <w:rPr>
          <w:rFonts w:ascii="Times New Roman" w:hAnsi="Times New Roman" w:cs="Times New Roman"/>
          <w:b w:val="0"/>
          <w:bCs w:val="0"/>
          <w:sz w:val="24"/>
          <w:szCs w:val="24"/>
        </w:rPr>
      </w:pPr>
      <w:r w:rsidRPr="00DA4F3E">
        <w:rPr>
          <w:rFonts w:ascii="Times New Roman" w:eastAsiaTheme="minorHAnsi" w:hAnsi="Times New Roman" w:cs="Times New Roman"/>
          <w:b w:val="0"/>
          <w:bCs w:val="0"/>
          <w:sz w:val="24"/>
          <w:szCs w:val="24"/>
        </w:rPr>
        <w:t>The capital charge for each business line is calculated by multiplying gross income by a factor (denoted beta) assigned to that business line. Beta serves as a proxy for the industry-wide relationship between the operational risk loss experience for a given business line and the aggregate level of gross income for that business line. It should be noted that in the Standardised Approach gross income is measured for each business line, not the whole institution, i.e. in retail banking, the indicator is the gross income generated in the retail banking business line.</w:t>
      </w:r>
    </w:p>
    <w:p w:rsidR="00A0773A" w:rsidRPr="00C77C3A" w:rsidRDefault="009E3DFE" w:rsidP="00D94259">
      <w:pPr>
        <w:pStyle w:val="ListParagraph"/>
        <w:numPr>
          <w:ilvl w:val="2"/>
          <w:numId w:val="21"/>
        </w:numPr>
        <w:bidi w:val="0"/>
        <w:spacing w:after="0" w:line="276" w:lineRule="auto"/>
        <w:ind w:left="2127" w:hanging="851"/>
        <w:rPr>
          <w:rFonts w:ascii="Times New Roman" w:hAnsi="Times New Roman" w:cs="Times New Roman"/>
          <w:b w:val="0"/>
          <w:bCs w:val="0"/>
          <w:sz w:val="24"/>
          <w:szCs w:val="24"/>
        </w:rPr>
      </w:pPr>
      <w:r w:rsidRPr="00DA4F3E">
        <w:rPr>
          <w:rFonts w:ascii="Times New Roman" w:eastAsiaTheme="minorHAnsi" w:hAnsi="Times New Roman" w:cs="Times New Roman"/>
          <w:b w:val="0"/>
          <w:bCs w:val="0"/>
          <w:sz w:val="24"/>
          <w:szCs w:val="24"/>
        </w:rPr>
        <w:t>The total capital charge is calculated as the three-year average of the simple summation of the regulatory capital charges across each of the business lines in each year. In any given year, negative capital charges (resulting from negative gross income) in any business line may offset positive capital charges in other business lines without limit. However, where the aggregate capital charge across all business lines within a given year is negative, then the input to the numerator for that year will be zero. The total capital charge may be expressed as:</w:t>
      </w:r>
    </w:p>
    <w:p w:rsidR="00C77C3A" w:rsidRDefault="00C77C3A" w:rsidP="00C77C3A">
      <w:pPr>
        <w:pStyle w:val="ListParagraph"/>
        <w:bidi w:val="0"/>
        <w:spacing w:after="0" w:line="276" w:lineRule="auto"/>
        <w:ind w:left="2127"/>
        <w:rPr>
          <w:rFonts w:ascii="Times New Roman" w:eastAsiaTheme="minorHAnsi" w:hAnsi="Times New Roman" w:cs="Times New Roman"/>
          <w:b w:val="0"/>
          <w:bCs w:val="0"/>
          <w:sz w:val="24"/>
          <w:szCs w:val="24"/>
        </w:rPr>
      </w:pPr>
    </w:p>
    <w:p w:rsidR="00C77C3A" w:rsidRPr="00DA4F3E" w:rsidRDefault="00C77C3A" w:rsidP="00C77C3A">
      <w:pPr>
        <w:pStyle w:val="ListParagraph"/>
        <w:bidi w:val="0"/>
        <w:spacing w:after="0" w:line="276" w:lineRule="auto"/>
        <w:ind w:left="2127"/>
        <w:rPr>
          <w:rFonts w:ascii="Times New Roman" w:hAnsi="Times New Roman" w:cs="Times New Roman"/>
          <w:b w:val="0"/>
          <w:bCs w:val="0"/>
          <w:sz w:val="24"/>
          <w:szCs w:val="24"/>
        </w:rPr>
      </w:pPr>
    </w:p>
    <w:tbl>
      <w:tblPr>
        <w:tblStyle w:val="TableGrid"/>
        <w:tblpPr w:leftFromText="180" w:rightFromText="180" w:vertAnchor="text" w:horzAnchor="margin" w:tblpXSpec="right" w:tblpY="201"/>
        <w:bidiVisual/>
        <w:tblW w:w="4176" w:type="pct"/>
        <w:tblLook w:val="04A0" w:firstRow="1" w:lastRow="0" w:firstColumn="1" w:lastColumn="0" w:noHBand="0" w:noVBand="1"/>
      </w:tblPr>
      <w:tblGrid>
        <w:gridCol w:w="7450"/>
      </w:tblGrid>
      <w:tr w:rsidR="009E3DFE" w:rsidRPr="00DF19D3" w:rsidTr="00D94259">
        <w:tc>
          <w:tcPr>
            <w:tcW w:w="5000" w:type="pct"/>
            <w:vAlign w:val="center"/>
          </w:tcPr>
          <w:p w:rsidR="009E3DFE" w:rsidRPr="00DF19D3" w:rsidRDefault="009E3DFE" w:rsidP="00D94259">
            <w:pPr>
              <w:ind w:left="98" w:hanging="27"/>
              <w:jc w:val="center"/>
              <w:rPr>
                <w:b w:val="0"/>
                <w:bCs w:val="0"/>
                <w:rtl/>
              </w:rPr>
            </w:pPr>
            <w:r w:rsidRPr="00DF19D3">
              <w:rPr>
                <w:b w:val="0"/>
                <w:bCs w:val="0"/>
              </w:rPr>
              <w:lastRenderedPageBreak/>
              <w:t>K=</w:t>
            </w:r>
            <w:r w:rsidRPr="00DF19D3">
              <w:rPr>
                <w:rFonts w:ascii="Times New Roman" w:hAnsi="Times New Roman" w:cs="Times New Roman"/>
                <w:b w:val="0"/>
                <w:bCs w:val="0"/>
              </w:rPr>
              <w:t>∑</w:t>
            </w:r>
            <w:r w:rsidRPr="00DF19D3">
              <w:rPr>
                <w:b w:val="0"/>
                <w:bCs w:val="0"/>
              </w:rPr>
              <w:t xml:space="preserve"> business lines 1-8{max [(</w:t>
            </w:r>
            <w:r w:rsidRPr="00DF19D3">
              <w:rPr>
                <w:rFonts w:ascii="Times New Roman" w:hAnsi="Times New Roman" w:cs="Times New Roman"/>
                <w:b w:val="0"/>
                <w:bCs w:val="0"/>
              </w:rPr>
              <w:t>∑</w:t>
            </w:r>
            <w:r w:rsidRPr="00DF19D3">
              <w:rPr>
                <w:b w:val="0"/>
                <w:bCs w:val="0"/>
              </w:rPr>
              <w:t>years1-3 GI</w:t>
            </w:r>
            <w:r w:rsidRPr="00DF19D3">
              <w:rPr>
                <w:b w:val="0"/>
                <w:bCs w:val="0"/>
                <w:vertAlign w:val="subscript"/>
              </w:rPr>
              <w:t>1-8</w:t>
            </w:r>
            <w:r w:rsidRPr="00DF19D3">
              <w:rPr>
                <w:b w:val="0"/>
                <w:bCs w:val="0"/>
              </w:rPr>
              <w:t xml:space="preserve"> / 3) X </w:t>
            </w:r>
            <w:r w:rsidRPr="00DF19D3">
              <w:rPr>
                <w:rFonts w:ascii="Times New Roman" w:hAnsi="Times New Roman" w:cs="Times New Roman"/>
                <w:b w:val="0"/>
                <w:bCs w:val="0"/>
              </w:rPr>
              <w:t>β</w:t>
            </w:r>
            <w:r w:rsidRPr="00DF19D3">
              <w:rPr>
                <w:b w:val="0"/>
                <w:bCs w:val="0"/>
                <w:vertAlign w:val="subscript"/>
              </w:rPr>
              <w:t>1-8</w:t>
            </w:r>
            <w:r w:rsidRPr="00DF19D3">
              <w:rPr>
                <w:b w:val="0"/>
                <w:bCs w:val="0"/>
              </w:rPr>
              <w:t>}, 0]</w:t>
            </w:r>
          </w:p>
        </w:tc>
      </w:tr>
    </w:tbl>
    <w:p w:rsidR="009E3DFE" w:rsidRDefault="009E3DFE" w:rsidP="00D94259">
      <w:pPr>
        <w:pStyle w:val="ListParagraph"/>
        <w:bidi w:val="0"/>
        <w:spacing w:after="240" w:line="276" w:lineRule="auto"/>
        <w:ind w:left="1800"/>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2"/>
          <w:szCs w:val="22"/>
        </w:rPr>
        <w:t>Where</w:t>
      </w:r>
      <w:r w:rsidRPr="00D94259">
        <w:rPr>
          <w:rFonts w:ascii="Times New Roman" w:eastAsiaTheme="minorHAnsi" w:hAnsi="Times New Roman" w:cs="Times New Roman"/>
          <w:b w:val="0"/>
          <w:bCs w:val="0"/>
          <w:sz w:val="24"/>
          <w:szCs w:val="24"/>
        </w:rPr>
        <w:t>:</w:t>
      </w:r>
    </w:p>
    <w:tbl>
      <w:tblPr>
        <w:tblStyle w:val="TableGrid"/>
        <w:tblW w:w="0" w:type="auto"/>
        <w:tblInd w:w="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5"/>
        <w:gridCol w:w="283"/>
        <w:gridCol w:w="6092"/>
      </w:tblGrid>
      <w:tr w:rsidR="00D94259" w:rsidTr="00D94259">
        <w:tc>
          <w:tcPr>
            <w:tcW w:w="745" w:type="dxa"/>
          </w:tcPr>
          <w:p w:rsidR="00D94259" w:rsidRDefault="00D94259" w:rsidP="00D94259">
            <w:pPr>
              <w:pStyle w:val="ListParagraph"/>
              <w:bidi w:val="0"/>
              <w:spacing w:after="0" w:line="276" w:lineRule="auto"/>
              <w:ind w:left="0"/>
              <w:rPr>
                <w:rFonts w:ascii="Times New Roman" w:eastAsiaTheme="minorHAnsi" w:hAnsi="Times New Roman" w:cs="Times New Roman"/>
                <w:b w:val="0"/>
                <w:bCs w:val="0"/>
                <w:sz w:val="24"/>
                <w:szCs w:val="24"/>
              </w:rPr>
            </w:pPr>
            <w:r>
              <w:rPr>
                <w:rFonts w:ascii="Arial" w:eastAsiaTheme="minorHAnsi" w:hAnsi="Arial" w:cs="Arial"/>
                <w:b w:val="0"/>
                <w:bCs w:val="0"/>
                <w:sz w:val="22"/>
                <w:szCs w:val="22"/>
              </w:rPr>
              <w:t>K</w:t>
            </w:r>
          </w:p>
        </w:tc>
        <w:tc>
          <w:tcPr>
            <w:tcW w:w="283" w:type="dxa"/>
          </w:tcPr>
          <w:p w:rsidR="00D94259" w:rsidRDefault="00D94259" w:rsidP="00D94259">
            <w:pPr>
              <w:pStyle w:val="ListParagraph"/>
              <w:bidi w:val="0"/>
              <w:spacing w:after="0" w:line="276" w:lineRule="auto"/>
              <w:ind w:left="0"/>
              <w:rPr>
                <w:rFonts w:ascii="Times New Roman" w:eastAsiaTheme="minorHAnsi" w:hAnsi="Times New Roman" w:cs="Times New Roman"/>
                <w:b w:val="0"/>
                <w:bCs w:val="0"/>
                <w:sz w:val="24"/>
                <w:szCs w:val="24"/>
              </w:rPr>
            </w:pPr>
            <w:r>
              <w:rPr>
                <w:rFonts w:ascii="Times New Roman" w:eastAsiaTheme="minorHAnsi" w:hAnsi="Times New Roman" w:cs="Times New Roman"/>
                <w:b w:val="0"/>
                <w:bCs w:val="0"/>
                <w:sz w:val="24"/>
                <w:szCs w:val="24"/>
              </w:rPr>
              <w:t>:</w:t>
            </w:r>
          </w:p>
        </w:tc>
        <w:tc>
          <w:tcPr>
            <w:tcW w:w="6092" w:type="dxa"/>
          </w:tcPr>
          <w:p w:rsidR="00D94259" w:rsidRPr="00D94259" w:rsidRDefault="00D94259" w:rsidP="00D94259">
            <w:pPr>
              <w:pStyle w:val="ListParagraph"/>
              <w:bidi w:val="0"/>
              <w:spacing w:after="0" w:line="276" w:lineRule="auto"/>
              <w:ind w:left="0"/>
              <w:rPr>
                <w:rFonts w:ascii="Times New Roman" w:eastAsiaTheme="minorHAnsi" w:hAnsi="Times New Roman" w:cs="Times New Roman"/>
                <w:b w:val="0"/>
                <w:bCs w:val="0"/>
                <w:sz w:val="24"/>
                <w:szCs w:val="24"/>
              </w:rPr>
            </w:pPr>
            <w:r w:rsidRPr="00D94259">
              <w:rPr>
                <w:rFonts w:ascii="Times New Roman" w:eastAsiaTheme="minorHAnsi" w:hAnsi="Times New Roman" w:cs="Times New Roman"/>
                <w:b w:val="0"/>
                <w:bCs w:val="0"/>
                <w:sz w:val="22"/>
                <w:szCs w:val="22"/>
              </w:rPr>
              <w:t>the capital charge under the Standardised Approach</w:t>
            </w:r>
          </w:p>
        </w:tc>
      </w:tr>
      <w:tr w:rsidR="00D94259" w:rsidTr="00D94259">
        <w:tc>
          <w:tcPr>
            <w:tcW w:w="745" w:type="dxa"/>
          </w:tcPr>
          <w:p w:rsidR="00D94259" w:rsidRDefault="00D94259" w:rsidP="00D94259">
            <w:pPr>
              <w:pStyle w:val="ListParagraph"/>
              <w:bidi w:val="0"/>
              <w:spacing w:after="0" w:line="276" w:lineRule="auto"/>
              <w:ind w:left="0"/>
              <w:rPr>
                <w:rFonts w:ascii="Times New Roman" w:eastAsiaTheme="minorHAnsi" w:hAnsi="Times New Roman" w:cs="Times New Roman"/>
                <w:b w:val="0"/>
                <w:bCs w:val="0"/>
                <w:sz w:val="24"/>
                <w:szCs w:val="24"/>
              </w:rPr>
            </w:pPr>
            <w:r>
              <w:rPr>
                <w:rFonts w:ascii="Arial" w:eastAsiaTheme="minorHAnsi" w:hAnsi="Arial" w:cs="Arial"/>
                <w:b w:val="0"/>
                <w:bCs w:val="0"/>
                <w:sz w:val="22"/>
                <w:szCs w:val="22"/>
              </w:rPr>
              <w:t>GI</w:t>
            </w:r>
            <w:r>
              <w:rPr>
                <w:rFonts w:ascii="Arial" w:eastAsiaTheme="minorHAnsi" w:hAnsi="Arial" w:cs="Arial"/>
                <w:b w:val="0"/>
                <w:bCs w:val="0"/>
                <w:sz w:val="14"/>
                <w:szCs w:val="14"/>
              </w:rPr>
              <w:t>1-8</w:t>
            </w:r>
          </w:p>
        </w:tc>
        <w:tc>
          <w:tcPr>
            <w:tcW w:w="283" w:type="dxa"/>
          </w:tcPr>
          <w:p w:rsidR="00D94259" w:rsidRDefault="00D94259" w:rsidP="00D94259">
            <w:pPr>
              <w:pStyle w:val="ListParagraph"/>
              <w:bidi w:val="0"/>
              <w:spacing w:after="0" w:line="276" w:lineRule="auto"/>
              <w:ind w:left="0"/>
              <w:rPr>
                <w:rFonts w:ascii="Times New Roman" w:eastAsiaTheme="minorHAnsi" w:hAnsi="Times New Roman" w:cs="Times New Roman"/>
                <w:b w:val="0"/>
                <w:bCs w:val="0"/>
                <w:sz w:val="24"/>
                <w:szCs w:val="24"/>
              </w:rPr>
            </w:pPr>
            <w:r>
              <w:rPr>
                <w:rFonts w:ascii="Times New Roman" w:eastAsiaTheme="minorHAnsi" w:hAnsi="Times New Roman" w:cs="Times New Roman"/>
                <w:b w:val="0"/>
                <w:bCs w:val="0"/>
                <w:sz w:val="24"/>
                <w:szCs w:val="24"/>
              </w:rPr>
              <w:t>:</w:t>
            </w:r>
          </w:p>
        </w:tc>
        <w:tc>
          <w:tcPr>
            <w:tcW w:w="6092" w:type="dxa"/>
          </w:tcPr>
          <w:p w:rsidR="00D94259" w:rsidRPr="00D94259" w:rsidRDefault="00D94259" w:rsidP="00D94259">
            <w:pPr>
              <w:pStyle w:val="ListParagraph"/>
              <w:bidi w:val="0"/>
              <w:spacing w:after="0" w:line="276" w:lineRule="auto"/>
              <w:ind w:left="0"/>
              <w:rPr>
                <w:rFonts w:ascii="Times New Roman" w:eastAsiaTheme="minorHAnsi" w:hAnsi="Times New Roman" w:cs="Times New Roman"/>
                <w:b w:val="0"/>
                <w:bCs w:val="0"/>
                <w:sz w:val="24"/>
                <w:szCs w:val="24"/>
              </w:rPr>
            </w:pPr>
            <w:r w:rsidRPr="00D94259">
              <w:rPr>
                <w:rFonts w:ascii="Times New Roman" w:eastAsiaTheme="minorHAnsi" w:hAnsi="Times New Roman" w:cs="Times New Roman"/>
                <w:b w:val="0"/>
                <w:bCs w:val="0"/>
                <w:sz w:val="22"/>
                <w:szCs w:val="22"/>
              </w:rPr>
              <w:t>annual gross income in a given year (at the end of year), for each of the eight business lines</w:t>
            </w:r>
          </w:p>
        </w:tc>
      </w:tr>
      <w:tr w:rsidR="00D94259" w:rsidTr="00D94259">
        <w:tc>
          <w:tcPr>
            <w:tcW w:w="745" w:type="dxa"/>
          </w:tcPr>
          <w:p w:rsidR="00D94259" w:rsidRDefault="00D94259" w:rsidP="00D94259">
            <w:pPr>
              <w:pStyle w:val="ListParagraph"/>
              <w:bidi w:val="0"/>
              <w:spacing w:after="0" w:line="276" w:lineRule="auto"/>
              <w:ind w:left="0"/>
              <w:rPr>
                <w:rFonts w:ascii="Times New Roman" w:eastAsiaTheme="minorHAnsi" w:hAnsi="Times New Roman" w:cs="Times New Roman"/>
                <w:b w:val="0"/>
                <w:bCs w:val="0"/>
                <w:sz w:val="24"/>
                <w:szCs w:val="24"/>
              </w:rPr>
            </w:pPr>
            <w:r w:rsidRPr="00DF19D3">
              <w:rPr>
                <w:rFonts w:ascii="Times New Roman" w:hAnsi="Times New Roman" w:cs="Times New Roman"/>
                <w:b w:val="0"/>
                <w:bCs w:val="0"/>
              </w:rPr>
              <w:t>β</w:t>
            </w:r>
            <w:r w:rsidRPr="00DF19D3">
              <w:rPr>
                <w:b w:val="0"/>
                <w:bCs w:val="0"/>
                <w:vertAlign w:val="subscript"/>
              </w:rPr>
              <w:t>1-8</w:t>
            </w:r>
            <w:r>
              <w:rPr>
                <w:rFonts w:hint="cs"/>
                <w:b w:val="0"/>
                <w:bCs w:val="0"/>
                <w:vertAlign w:val="subscript"/>
                <w:rtl/>
              </w:rPr>
              <w:t xml:space="preserve">   </w:t>
            </w:r>
          </w:p>
        </w:tc>
        <w:tc>
          <w:tcPr>
            <w:tcW w:w="283" w:type="dxa"/>
          </w:tcPr>
          <w:p w:rsidR="00D94259" w:rsidRDefault="00D94259" w:rsidP="00D94259">
            <w:pPr>
              <w:pStyle w:val="ListParagraph"/>
              <w:bidi w:val="0"/>
              <w:spacing w:after="0" w:line="276" w:lineRule="auto"/>
              <w:ind w:left="0"/>
              <w:rPr>
                <w:rFonts w:ascii="Times New Roman" w:eastAsiaTheme="minorHAnsi" w:hAnsi="Times New Roman" w:cs="Times New Roman"/>
                <w:b w:val="0"/>
                <w:bCs w:val="0"/>
                <w:sz w:val="24"/>
                <w:szCs w:val="24"/>
              </w:rPr>
            </w:pPr>
            <w:r>
              <w:rPr>
                <w:rFonts w:ascii="Times New Roman" w:eastAsiaTheme="minorHAnsi" w:hAnsi="Times New Roman" w:cs="Times New Roman"/>
                <w:b w:val="0"/>
                <w:bCs w:val="0"/>
                <w:sz w:val="24"/>
                <w:szCs w:val="24"/>
              </w:rPr>
              <w:t>:</w:t>
            </w:r>
          </w:p>
        </w:tc>
        <w:tc>
          <w:tcPr>
            <w:tcW w:w="6092" w:type="dxa"/>
          </w:tcPr>
          <w:p w:rsidR="00D94259" w:rsidRPr="00D94259" w:rsidRDefault="00D94259" w:rsidP="008628F1">
            <w:pPr>
              <w:pStyle w:val="ListParagraph"/>
              <w:bidi w:val="0"/>
              <w:spacing w:after="0" w:line="276" w:lineRule="auto"/>
              <w:ind w:left="0"/>
              <w:rPr>
                <w:rFonts w:ascii="Times New Roman" w:eastAsiaTheme="minorHAnsi" w:hAnsi="Times New Roman" w:cs="Times New Roman"/>
                <w:b w:val="0"/>
                <w:bCs w:val="0"/>
                <w:sz w:val="24"/>
                <w:szCs w:val="24"/>
              </w:rPr>
            </w:pPr>
            <w:r w:rsidRPr="00D94259">
              <w:rPr>
                <w:rFonts w:ascii="Times New Roman" w:eastAsiaTheme="minorHAnsi" w:hAnsi="Times New Roman" w:cs="Times New Roman"/>
                <w:b w:val="0"/>
                <w:bCs w:val="0"/>
                <w:sz w:val="22"/>
                <w:szCs w:val="22"/>
              </w:rPr>
              <w:t>a fixed percentage, for each of the eight business lines</w:t>
            </w:r>
            <w:r w:rsidR="008628F1">
              <w:rPr>
                <w:rFonts w:ascii="Times New Roman" w:eastAsiaTheme="minorHAnsi" w:hAnsi="Times New Roman" w:cs="Times New Roman"/>
                <w:b w:val="0"/>
                <w:bCs w:val="0"/>
                <w:sz w:val="22"/>
                <w:szCs w:val="22"/>
              </w:rPr>
              <w:t xml:space="preserve"> </w:t>
            </w:r>
            <w:r w:rsidRPr="00D94259">
              <w:rPr>
                <w:rFonts w:ascii="Times New Roman" w:eastAsiaTheme="minorHAnsi" w:hAnsi="Times New Roman" w:cs="Times New Roman"/>
                <w:b w:val="0"/>
                <w:bCs w:val="0"/>
                <w:sz w:val="22"/>
                <w:szCs w:val="22"/>
              </w:rPr>
              <w:t>as below:</w:t>
            </w:r>
          </w:p>
        </w:tc>
      </w:tr>
    </w:tbl>
    <w:p w:rsidR="00D94259" w:rsidRPr="00AA2027" w:rsidRDefault="00D94259" w:rsidP="00D94259">
      <w:pPr>
        <w:pStyle w:val="ListParagraph"/>
        <w:bidi w:val="0"/>
        <w:spacing w:after="240" w:line="276" w:lineRule="auto"/>
        <w:ind w:left="1800"/>
        <w:rPr>
          <w:rFonts w:ascii="Times New Roman" w:eastAsiaTheme="minorHAnsi" w:hAnsi="Times New Roman" w:cs="Times New Roman"/>
          <w:b w:val="0"/>
          <w:bCs w:val="0"/>
          <w:sz w:val="16"/>
          <w:szCs w:val="16"/>
        </w:rPr>
      </w:pPr>
    </w:p>
    <w:tbl>
      <w:tblPr>
        <w:tblStyle w:val="TableGrid"/>
        <w:tblW w:w="0" w:type="auto"/>
        <w:jc w:val="center"/>
        <w:tblLook w:val="04A0" w:firstRow="1" w:lastRow="0" w:firstColumn="1" w:lastColumn="0" w:noHBand="0" w:noVBand="1"/>
      </w:tblPr>
      <w:tblGrid>
        <w:gridCol w:w="2977"/>
        <w:gridCol w:w="1885"/>
      </w:tblGrid>
      <w:tr w:rsidR="009E3DFE" w:rsidRPr="00DA4F3E" w:rsidTr="008628F1">
        <w:trPr>
          <w:trHeight w:val="363"/>
          <w:jc w:val="center"/>
        </w:trPr>
        <w:tc>
          <w:tcPr>
            <w:tcW w:w="2977" w:type="dxa"/>
            <w:shd w:val="clear" w:color="auto" w:fill="E7E6E6" w:themeFill="background2"/>
            <w:vAlign w:val="center"/>
          </w:tcPr>
          <w:p w:rsidR="009E3DFE" w:rsidRPr="00DA4F3E" w:rsidRDefault="009E3DFE" w:rsidP="00D94259">
            <w:pPr>
              <w:pStyle w:val="ListParagraph"/>
              <w:bidi w:val="0"/>
              <w:spacing w:after="0" w:line="276" w:lineRule="auto"/>
              <w:ind w:left="0"/>
              <w:jc w:val="center"/>
              <w:rPr>
                <w:rFonts w:ascii="Times New Roman" w:eastAsiaTheme="minorHAnsi" w:hAnsi="Times New Roman" w:cs="Times New Roman"/>
                <w:b w:val="0"/>
                <w:bCs w:val="0"/>
                <w:sz w:val="22"/>
                <w:szCs w:val="22"/>
              </w:rPr>
            </w:pPr>
            <w:r w:rsidRPr="00DA4F3E">
              <w:rPr>
                <w:rFonts w:ascii="Times New Roman" w:eastAsiaTheme="minorHAnsi" w:hAnsi="Times New Roman" w:cs="Times New Roman"/>
                <w:sz w:val="22"/>
                <w:szCs w:val="22"/>
              </w:rPr>
              <w:t>Business Lines</w:t>
            </w:r>
          </w:p>
        </w:tc>
        <w:tc>
          <w:tcPr>
            <w:tcW w:w="1885" w:type="dxa"/>
            <w:shd w:val="clear" w:color="auto" w:fill="E7E6E6" w:themeFill="background2"/>
            <w:vAlign w:val="center"/>
          </w:tcPr>
          <w:p w:rsidR="009E3DFE" w:rsidRPr="00DA4F3E" w:rsidRDefault="008628F1" w:rsidP="00D94259">
            <w:pPr>
              <w:pStyle w:val="ListParagraph"/>
              <w:bidi w:val="0"/>
              <w:spacing w:after="0" w:line="276" w:lineRule="auto"/>
              <w:ind w:left="0"/>
              <w:jc w:val="center"/>
              <w:rPr>
                <w:rFonts w:ascii="Times New Roman" w:eastAsiaTheme="minorHAnsi" w:hAnsi="Times New Roman" w:cs="Times New Roman"/>
                <w:b w:val="0"/>
                <w:bCs w:val="0"/>
                <w:sz w:val="22"/>
                <w:szCs w:val="22"/>
              </w:rPr>
            </w:pPr>
            <w:r>
              <w:rPr>
                <w:rFonts w:ascii="Times New Roman" w:eastAsiaTheme="minorHAnsi" w:hAnsi="Times New Roman" w:cs="Times New Roman"/>
                <w:sz w:val="22"/>
                <w:szCs w:val="22"/>
              </w:rPr>
              <w:t>Beta Factor</w:t>
            </w:r>
            <w:r w:rsidR="009E3DFE" w:rsidRPr="00DA4F3E">
              <w:rPr>
                <w:rFonts w:ascii="Times New Roman" w:eastAsiaTheme="minorHAnsi" w:hAnsi="Times New Roman" w:cs="Times New Roman"/>
                <w:sz w:val="22"/>
                <w:szCs w:val="22"/>
              </w:rPr>
              <w:t xml:space="preserve"> %</w:t>
            </w:r>
          </w:p>
        </w:tc>
      </w:tr>
      <w:tr w:rsidR="009E3DFE" w:rsidRPr="00DA4F3E" w:rsidTr="00DA4F3E">
        <w:trPr>
          <w:jc w:val="center"/>
        </w:trPr>
        <w:tc>
          <w:tcPr>
            <w:tcW w:w="2977" w:type="dxa"/>
          </w:tcPr>
          <w:p w:rsidR="009E3DFE" w:rsidRPr="00DA4F3E" w:rsidRDefault="009E3DFE" w:rsidP="009E3DFE">
            <w:pPr>
              <w:pStyle w:val="ListParagraph"/>
              <w:bidi w:val="0"/>
              <w:spacing w:after="0" w:line="276" w:lineRule="auto"/>
              <w:ind w:left="0"/>
              <w:rPr>
                <w:rFonts w:ascii="Times New Roman" w:eastAsiaTheme="minorHAnsi" w:hAnsi="Times New Roman" w:cs="Times New Roman"/>
                <w:b w:val="0"/>
                <w:bCs w:val="0"/>
                <w:sz w:val="22"/>
                <w:szCs w:val="22"/>
              </w:rPr>
            </w:pPr>
            <w:r w:rsidRPr="00DA4F3E">
              <w:rPr>
                <w:rFonts w:ascii="Times New Roman" w:eastAsiaTheme="minorHAnsi" w:hAnsi="Times New Roman" w:cs="Times New Roman"/>
                <w:b w:val="0"/>
                <w:bCs w:val="0"/>
                <w:sz w:val="22"/>
                <w:szCs w:val="22"/>
              </w:rPr>
              <w:t>Corporate finance</w:t>
            </w:r>
          </w:p>
        </w:tc>
        <w:tc>
          <w:tcPr>
            <w:tcW w:w="1885" w:type="dxa"/>
            <w:vMerge w:val="restart"/>
            <w:vAlign w:val="center"/>
          </w:tcPr>
          <w:p w:rsidR="009E3DFE" w:rsidRPr="00DA4F3E" w:rsidRDefault="009E3DFE" w:rsidP="00D94259">
            <w:pPr>
              <w:pStyle w:val="ListParagraph"/>
              <w:bidi w:val="0"/>
              <w:spacing w:after="0" w:line="276" w:lineRule="auto"/>
              <w:ind w:left="0"/>
              <w:jc w:val="center"/>
              <w:rPr>
                <w:rFonts w:ascii="Times New Roman" w:eastAsiaTheme="minorHAnsi" w:hAnsi="Times New Roman" w:cs="Times New Roman"/>
                <w:b w:val="0"/>
                <w:bCs w:val="0"/>
                <w:sz w:val="22"/>
                <w:szCs w:val="22"/>
              </w:rPr>
            </w:pPr>
            <w:r w:rsidRPr="00DA4F3E">
              <w:rPr>
                <w:rFonts w:ascii="Times New Roman" w:eastAsiaTheme="minorHAnsi" w:hAnsi="Times New Roman" w:cs="Times New Roman"/>
                <w:b w:val="0"/>
                <w:bCs w:val="0"/>
                <w:sz w:val="22"/>
                <w:szCs w:val="22"/>
              </w:rPr>
              <w:t>18</w:t>
            </w:r>
          </w:p>
        </w:tc>
      </w:tr>
      <w:tr w:rsidR="009E3DFE" w:rsidRPr="00DA4F3E" w:rsidTr="00DA4F3E">
        <w:trPr>
          <w:jc w:val="center"/>
        </w:trPr>
        <w:tc>
          <w:tcPr>
            <w:tcW w:w="2977" w:type="dxa"/>
          </w:tcPr>
          <w:p w:rsidR="009E3DFE" w:rsidRPr="00DA4F3E" w:rsidRDefault="009E3DFE" w:rsidP="009E3DFE">
            <w:pPr>
              <w:pStyle w:val="ListParagraph"/>
              <w:bidi w:val="0"/>
              <w:spacing w:after="0" w:line="276" w:lineRule="auto"/>
              <w:ind w:left="0"/>
              <w:rPr>
                <w:rFonts w:ascii="Times New Roman" w:eastAsiaTheme="minorHAnsi" w:hAnsi="Times New Roman" w:cs="Times New Roman"/>
                <w:b w:val="0"/>
                <w:bCs w:val="0"/>
                <w:sz w:val="22"/>
                <w:szCs w:val="22"/>
              </w:rPr>
            </w:pPr>
            <w:r w:rsidRPr="00DA4F3E">
              <w:rPr>
                <w:rFonts w:ascii="Times New Roman" w:eastAsiaTheme="minorHAnsi" w:hAnsi="Times New Roman" w:cs="Times New Roman"/>
                <w:b w:val="0"/>
                <w:bCs w:val="0"/>
                <w:sz w:val="22"/>
                <w:szCs w:val="22"/>
              </w:rPr>
              <w:t>Trading and sales</w:t>
            </w:r>
          </w:p>
        </w:tc>
        <w:tc>
          <w:tcPr>
            <w:tcW w:w="1885" w:type="dxa"/>
            <w:vMerge/>
            <w:vAlign w:val="center"/>
          </w:tcPr>
          <w:p w:rsidR="009E3DFE" w:rsidRPr="00DA4F3E" w:rsidRDefault="009E3DFE" w:rsidP="00D94259">
            <w:pPr>
              <w:pStyle w:val="ListParagraph"/>
              <w:bidi w:val="0"/>
              <w:spacing w:after="0" w:line="276" w:lineRule="auto"/>
              <w:ind w:left="0"/>
              <w:jc w:val="center"/>
              <w:rPr>
                <w:rFonts w:ascii="Times New Roman" w:eastAsiaTheme="minorHAnsi" w:hAnsi="Times New Roman" w:cs="Times New Roman"/>
                <w:b w:val="0"/>
                <w:bCs w:val="0"/>
                <w:sz w:val="22"/>
                <w:szCs w:val="22"/>
              </w:rPr>
            </w:pPr>
          </w:p>
        </w:tc>
      </w:tr>
      <w:tr w:rsidR="009E3DFE" w:rsidRPr="00DA4F3E" w:rsidTr="00DA4F3E">
        <w:trPr>
          <w:jc w:val="center"/>
        </w:trPr>
        <w:tc>
          <w:tcPr>
            <w:tcW w:w="2977" w:type="dxa"/>
          </w:tcPr>
          <w:p w:rsidR="009E3DFE" w:rsidRPr="00DA4F3E" w:rsidRDefault="009E3DFE" w:rsidP="009E3DFE">
            <w:pPr>
              <w:pStyle w:val="ListParagraph"/>
              <w:bidi w:val="0"/>
              <w:spacing w:after="0" w:line="276" w:lineRule="auto"/>
              <w:ind w:left="0"/>
              <w:rPr>
                <w:rFonts w:ascii="Times New Roman" w:eastAsiaTheme="minorHAnsi" w:hAnsi="Times New Roman" w:cs="Times New Roman"/>
                <w:b w:val="0"/>
                <w:bCs w:val="0"/>
                <w:sz w:val="22"/>
                <w:szCs w:val="22"/>
              </w:rPr>
            </w:pPr>
            <w:r w:rsidRPr="00DA4F3E">
              <w:rPr>
                <w:rFonts w:ascii="Times New Roman" w:eastAsiaTheme="minorHAnsi" w:hAnsi="Times New Roman" w:cs="Times New Roman"/>
                <w:b w:val="0"/>
                <w:bCs w:val="0"/>
                <w:sz w:val="22"/>
                <w:szCs w:val="22"/>
              </w:rPr>
              <w:t>Payment and settlement</w:t>
            </w:r>
          </w:p>
        </w:tc>
        <w:tc>
          <w:tcPr>
            <w:tcW w:w="1885" w:type="dxa"/>
            <w:vMerge/>
            <w:vAlign w:val="center"/>
          </w:tcPr>
          <w:p w:rsidR="009E3DFE" w:rsidRPr="00DA4F3E" w:rsidRDefault="009E3DFE" w:rsidP="00D94259">
            <w:pPr>
              <w:pStyle w:val="ListParagraph"/>
              <w:bidi w:val="0"/>
              <w:spacing w:after="0" w:line="276" w:lineRule="auto"/>
              <w:ind w:left="0"/>
              <w:jc w:val="center"/>
              <w:rPr>
                <w:rFonts w:ascii="Times New Roman" w:eastAsiaTheme="minorHAnsi" w:hAnsi="Times New Roman" w:cs="Times New Roman"/>
                <w:b w:val="0"/>
                <w:bCs w:val="0"/>
                <w:sz w:val="22"/>
                <w:szCs w:val="22"/>
              </w:rPr>
            </w:pPr>
          </w:p>
        </w:tc>
      </w:tr>
      <w:tr w:rsidR="009E3DFE" w:rsidRPr="00DA4F3E" w:rsidTr="00DA4F3E">
        <w:trPr>
          <w:jc w:val="center"/>
        </w:trPr>
        <w:tc>
          <w:tcPr>
            <w:tcW w:w="2977" w:type="dxa"/>
          </w:tcPr>
          <w:p w:rsidR="009E3DFE" w:rsidRPr="00DA4F3E" w:rsidRDefault="009E3DFE" w:rsidP="009E3DFE">
            <w:pPr>
              <w:pStyle w:val="ListParagraph"/>
              <w:bidi w:val="0"/>
              <w:spacing w:after="0" w:line="276" w:lineRule="auto"/>
              <w:ind w:left="0"/>
              <w:rPr>
                <w:rFonts w:ascii="Times New Roman" w:eastAsiaTheme="minorHAnsi" w:hAnsi="Times New Roman" w:cs="Times New Roman"/>
                <w:b w:val="0"/>
                <w:bCs w:val="0"/>
                <w:sz w:val="22"/>
                <w:szCs w:val="22"/>
              </w:rPr>
            </w:pPr>
            <w:r w:rsidRPr="00DA4F3E">
              <w:rPr>
                <w:rFonts w:ascii="Times New Roman" w:eastAsiaTheme="minorHAnsi" w:hAnsi="Times New Roman" w:cs="Times New Roman"/>
                <w:b w:val="0"/>
                <w:bCs w:val="0"/>
                <w:sz w:val="22"/>
                <w:szCs w:val="22"/>
              </w:rPr>
              <w:t>Commercial banking</w:t>
            </w:r>
          </w:p>
        </w:tc>
        <w:tc>
          <w:tcPr>
            <w:tcW w:w="1885" w:type="dxa"/>
            <w:vMerge w:val="restart"/>
            <w:vAlign w:val="center"/>
          </w:tcPr>
          <w:p w:rsidR="009E3DFE" w:rsidRPr="00DA4F3E" w:rsidRDefault="009E3DFE" w:rsidP="00D94259">
            <w:pPr>
              <w:pStyle w:val="ListParagraph"/>
              <w:bidi w:val="0"/>
              <w:spacing w:after="0" w:line="276" w:lineRule="auto"/>
              <w:ind w:left="0"/>
              <w:jc w:val="center"/>
              <w:rPr>
                <w:rFonts w:ascii="Times New Roman" w:eastAsiaTheme="minorHAnsi" w:hAnsi="Times New Roman" w:cs="Times New Roman"/>
                <w:b w:val="0"/>
                <w:bCs w:val="0"/>
                <w:sz w:val="22"/>
                <w:szCs w:val="22"/>
              </w:rPr>
            </w:pPr>
            <w:r w:rsidRPr="00DA4F3E">
              <w:rPr>
                <w:rFonts w:ascii="Times New Roman" w:eastAsiaTheme="minorHAnsi" w:hAnsi="Times New Roman" w:cs="Times New Roman"/>
                <w:b w:val="0"/>
                <w:bCs w:val="0"/>
                <w:sz w:val="22"/>
                <w:szCs w:val="22"/>
              </w:rPr>
              <w:t>15</w:t>
            </w:r>
          </w:p>
        </w:tc>
      </w:tr>
      <w:tr w:rsidR="009E3DFE" w:rsidRPr="00DA4F3E" w:rsidTr="00DA4F3E">
        <w:trPr>
          <w:jc w:val="center"/>
        </w:trPr>
        <w:tc>
          <w:tcPr>
            <w:tcW w:w="2977" w:type="dxa"/>
          </w:tcPr>
          <w:p w:rsidR="009E3DFE" w:rsidRPr="00DA4F3E" w:rsidRDefault="009E3DFE" w:rsidP="009E3DFE">
            <w:pPr>
              <w:pStyle w:val="ListParagraph"/>
              <w:bidi w:val="0"/>
              <w:spacing w:after="0" w:line="276" w:lineRule="auto"/>
              <w:ind w:left="0"/>
              <w:rPr>
                <w:rFonts w:ascii="Times New Roman" w:eastAsiaTheme="minorHAnsi" w:hAnsi="Times New Roman" w:cs="Times New Roman"/>
                <w:b w:val="0"/>
                <w:bCs w:val="0"/>
                <w:sz w:val="22"/>
                <w:szCs w:val="22"/>
              </w:rPr>
            </w:pPr>
            <w:r w:rsidRPr="00DA4F3E">
              <w:rPr>
                <w:rFonts w:ascii="Times New Roman" w:eastAsiaTheme="minorHAnsi" w:hAnsi="Times New Roman" w:cs="Times New Roman"/>
                <w:b w:val="0"/>
                <w:bCs w:val="0"/>
                <w:sz w:val="22"/>
                <w:szCs w:val="22"/>
              </w:rPr>
              <w:t>Agency services</w:t>
            </w:r>
          </w:p>
        </w:tc>
        <w:tc>
          <w:tcPr>
            <w:tcW w:w="1885" w:type="dxa"/>
            <w:vMerge/>
            <w:vAlign w:val="center"/>
          </w:tcPr>
          <w:p w:rsidR="009E3DFE" w:rsidRPr="00DA4F3E" w:rsidRDefault="009E3DFE" w:rsidP="00D94259">
            <w:pPr>
              <w:pStyle w:val="ListParagraph"/>
              <w:bidi w:val="0"/>
              <w:spacing w:after="0" w:line="276" w:lineRule="auto"/>
              <w:ind w:left="0"/>
              <w:jc w:val="center"/>
              <w:rPr>
                <w:rFonts w:ascii="Times New Roman" w:eastAsiaTheme="minorHAnsi" w:hAnsi="Times New Roman" w:cs="Times New Roman"/>
                <w:b w:val="0"/>
                <w:bCs w:val="0"/>
                <w:sz w:val="22"/>
                <w:szCs w:val="22"/>
              </w:rPr>
            </w:pPr>
          </w:p>
        </w:tc>
      </w:tr>
      <w:tr w:rsidR="009E3DFE" w:rsidRPr="00DA4F3E" w:rsidTr="00DA4F3E">
        <w:trPr>
          <w:jc w:val="center"/>
        </w:trPr>
        <w:tc>
          <w:tcPr>
            <w:tcW w:w="2977" w:type="dxa"/>
          </w:tcPr>
          <w:p w:rsidR="009E3DFE" w:rsidRPr="00DA4F3E" w:rsidRDefault="009E3DFE" w:rsidP="009E3DFE">
            <w:pPr>
              <w:pStyle w:val="ListParagraph"/>
              <w:bidi w:val="0"/>
              <w:spacing w:after="0" w:line="276" w:lineRule="auto"/>
              <w:ind w:left="0"/>
              <w:rPr>
                <w:rFonts w:ascii="Times New Roman" w:eastAsiaTheme="minorHAnsi" w:hAnsi="Times New Roman" w:cs="Times New Roman"/>
                <w:b w:val="0"/>
                <w:bCs w:val="0"/>
                <w:sz w:val="22"/>
                <w:szCs w:val="22"/>
              </w:rPr>
            </w:pPr>
            <w:r w:rsidRPr="00DA4F3E">
              <w:rPr>
                <w:rFonts w:ascii="Times New Roman" w:eastAsiaTheme="minorHAnsi" w:hAnsi="Times New Roman" w:cs="Times New Roman"/>
                <w:b w:val="0"/>
                <w:bCs w:val="0"/>
                <w:sz w:val="22"/>
                <w:szCs w:val="22"/>
              </w:rPr>
              <w:t>Retail banking</w:t>
            </w:r>
          </w:p>
        </w:tc>
        <w:tc>
          <w:tcPr>
            <w:tcW w:w="1885" w:type="dxa"/>
            <w:vMerge w:val="restart"/>
            <w:vAlign w:val="center"/>
          </w:tcPr>
          <w:p w:rsidR="009E3DFE" w:rsidRPr="00DA4F3E" w:rsidRDefault="009E3DFE" w:rsidP="00D94259">
            <w:pPr>
              <w:pStyle w:val="ListParagraph"/>
              <w:bidi w:val="0"/>
              <w:spacing w:after="0" w:line="276" w:lineRule="auto"/>
              <w:ind w:left="0"/>
              <w:jc w:val="center"/>
              <w:rPr>
                <w:rFonts w:ascii="Times New Roman" w:eastAsiaTheme="minorHAnsi" w:hAnsi="Times New Roman" w:cs="Times New Roman"/>
                <w:b w:val="0"/>
                <w:bCs w:val="0"/>
                <w:sz w:val="22"/>
                <w:szCs w:val="22"/>
              </w:rPr>
            </w:pPr>
            <w:r w:rsidRPr="00DA4F3E">
              <w:rPr>
                <w:rFonts w:ascii="Times New Roman" w:eastAsiaTheme="minorHAnsi" w:hAnsi="Times New Roman" w:cs="Times New Roman"/>
                <w:b w:val="0"/>
                <w:bCs w:val="0"/>
                <w:sz w:val="22"/>
                <w:szCs w:val="22"/>
              </w:rPr>
              <w:t>12</w:t>
            </w:r>
          </w:p>
        </w:tc>
      </w:tr>
      <w:tr w:rsidR="009E3DFE" w:rsidRPr="00DA4F3E" w:rsidTr="00DA4F3E">
        <w:trPr>
          <w:jc w:val="center"/>
        </w:trPr>
        <w:tc>
          <w:tcPr>
            <w:tcW w:w="2977" w:type="dxa"/>
          </w:tcPr>
          <w:p w:rsidR="009E3DFE" w:rsidRPr="00DA4F3E" w:rsidRDefault="009E3DFE" w:rsidP="009E3DFE">
            <w:pPr>
              <w:pStyle w:val="ListParagraph"/>
              <w:bidi w:val="0"/>
              <w:spacing w:after="0" w:line="276" w:lineRule="auto"/>
              <w:ind w:left="0"/>
              <w:rPr>
                <w:rFonts w:ascii="Times New Roman" w:eastAsiaTheme="minorHAnsi" w:hAnsi="Times New Roman" w:cs="Times New Roman"/>
                <w:b w:val="0"/>
                <w:bCs w:val="0"/>
                <w:sz w:val="22"/>
                <w:szCs w:val="22"/>
              </w:rPr>
            </w:pPr>
            <w:r w:rsidRPr="00DA4F3E">
              <w:rPr>
                <w:rFonts w:ascii="Times New Roman" w:eastAsiaTheme="minorHAnsi" w:hAnsi="Times New Roman" w:cs="Times New Roman"/>
                <w:b w:val="0"/>
                <w:bCs w:val="0"/>
                <w:sz w:val="22"/>
                <w:szCs w:val="22"/>
              </w:rPr>
              <w:t>Asset management</w:t>
            </w:r>
          </w:p>
        </w:tc>
        <w:tc>
          <w:tcPr>
            <w:tcW w:w="1885" w:type="dxa"/>
            <w:vMerge/>
          </w:tcPr>
          <w:p w:rsidR="009E3DFE" w:rsidRPr="00DA4F3E" w:rsidRDefault="009E3DFE" w:rsidP="009E3DFE">
            <w:pPr>
              <w:pStyle w:val="ListParagraph"/>
              <w:bidi w:val="0"/>
              <w:spacing w:after="0" w:line="276" w:lineRule="auto"/>
              <w:ind w:left="0"/>
              <w:rPr>
                <w:rFonts w:ascii="Times New Roman" w:eastAsiaTheme="minorHAnsi" w:hAnsi="Times New Roman" w:cs="Times New Roman"/>
                <w:b w:val="0"/>
                <w:bCs w:val="0"/>
                <w:sz w:val="22"/>
                <w:szCs w:val="22"/>
              </w:rPr>
            </w:pPr>
          </w:p>
        </w:tc>
      </w:tr>
      <w:tr w:rsidR="009E3DFE" w:rsidRPr="00DA4F3E" w:rsidTr="00DA4F3E">
        <w:trPr>
          <w:jc w:val="center"/>
        </w:trPr>
        <w:tc>
          <w:tcPr>
            <w:tcW w:w="2977" w:type="dxa"/>
          </w:tcPr>
          <w:p w:rsidR="009E3DFE" w:rsidRPr="00DA4F3E" w:rsidRDefault="009E3DFE" w:rsidP="009E3DFE">
            <w:pPr>
              <w:pStyle w:val="ListParagraph"/>
              <w:bidi w:val="0"/>
              <w:spacing w:after="0" w:line="276" w:lineRule="auto"/>
              <w:ind w:left="0"/>
              <w:rPr>
                <w:rFonts w:ascii="Times New Roman" w:eastAsiaTheme="minorHAnsi" w:hAnsi="Times New Roman" w:cs="Times New Roman"/>
                <w:b w:val="0"/>
                <w:bCs w:val="0"/>
                <w:sz w:val="22"/>
                <w:szCs w:val="22"/>
              </w:rPr>
            </w:pPr>
            <w:r w:rsidRPr="00DA4F3E">
              <w:rPr>
                <w:rFonts w:ascii="Times New Roman" w:eastAsiaTheme="minorHAnsi" w:hAnsi="Times New Roman" w:cs="Times New Roman"/>
                <w:b w:val="0"/>
                <w:bCs w:val="0"/>
                <w:sz w:val="22"/>
                <w:szCs w:val="22"/>
              </w:rPr>
              <w:t>Retail brokerage</w:t>
            </w:r>
          </w:p>
        </w:tc>
        <w:tc>
          <w:tcPr>
            <w:tcW w:w="1885" w:type="dxa"/>
            <w:vMerge/>
          </w:tcPr>
          <w:p w:rsidR="009E3DFE" w:rsidRPr="00DA4F3E" w:rsidRDefault="009E3DFE" w:rsidP="009E3DFE">
            <w:pPr>
              <w:pStyle w:val="ListParagraph"/>
              <w:bidi w:val="0"/>
              <w:spacing w:after="0" w:line="276" w:lineRule="auto"/>
              <w:ind w:left="0"/>
              <w:rPr>
                <w:rFonts w:ascii="Times New Roman" w:eastAsiaTheme="minorHAnsi" w:hAnsi="Times New Roman" w:cs="Times New Roman"/>
                <w:b w:val="0"/>
                <w:bCs w:val="0"/>
                <w:sz w:val="22"/>
                <w:szCs w:val="22"/>
              </w:rPr>
            </w:pPr>
          </w:p>
        </w:tc>
      </w:tr>
    </w:tbl>
    <w:p w:rsidR="00D94259" w:rsidRPr="0039291D" w:rsidRDefault="00D94259" w:rsidP="00D94259">
      <w:pPr>
        <w:pStyle w:val="ListParagraph"/>
        <w:bidi w:val="0"/>
        <w:spacing w:before="240" w:after="240" w:line="276" w:lineRule="auto"/>
        <w:ind w:left="1800"/>
        <w:rPr>
          <w:rFonts w:ascii="Arial" w:eastAsiaTheme="minorHAnsi" w:hAnsi="Arial" w:cs="Arial"/>
          <w:b w:val="0"/>
          <w:bCs w:val="0"/>
          <w:sz w:val="14"/>
          <w:szCs w:val="14"/>
        </w:rPr>
      </w:pPr>
    </w:p>
    <w:p w:rsidR="009E3DFE" w:rsidRPr="00C77C3A" w:rsidRDefault="00030AE7" w:rsidP="00C73A12">
      <w:pPr>
        <w:pStyle w:val="ListParagraph"/>
        <w:numPr>
          <w:ilvl w:val="2"/>
          <w:numId w:val="21"/>
        </w:numPr>
        <w:bidi w:val="0"/>
        <w:spacing w:after="0" w:line="276" w:lineRule="auto"/>
        <w:ind w:left="2127" w:hanging="851"/>
        <w:rPr>
          <w:rFonts w:ascii="Times New Roman" w:hAnsi="Times New Roman" w:cs="Times New Roman"/>
          <w:b w:val="0"/>
          <w:bCs w:val="0"/>
          <w:sz w:val="24"/>
          <w:szCs w:val="24"/>
        </w:rPr>
      </w:pPr>
      <w:r w:rsidRPr="00C73A12">
        <w:rPr>
          <w:rFonts w:ascii="Times New Roman" w:hAnsi="Times New Roman" w:cs="Times New Roman"/>
          <w:b w:val="0"/>
          <w:bCs w:val="0"/>
          <w:sz w:val="24"/>
          <w:szCs w:val="24"/>
        </w:rPr>
        <w:t xml:space="preserve">In </w:t>
      </w:r>
      <w:r w:rsidRPr="00C73A12">
        <w:rPr>
          <w:rFonts w:ascii="Times New Roman" w:hAnsi="Times New Roman" w:cs="Times New Roman"/>
          <w:b w:val="0"/>
          <w:bCs w:val="0"/>
          <w:color w:val="202124"/>
          <w:sz w:val="24"/>
          <w:szCs w:val="24"/>
          <w:lang w:val="en"/>
        </w:rPr>
        <w:t>the event that the gross income is negative for the past t</w:t>
      </w:r>
      <w:r w:rsidR="00C73A12" w:rsidRPr="00C73A12">
        <w:rPr>
          <w:rFonts w:ascii="Times New Roman" w:hAnsi="Times New Roman" w:cs="Times New Roman"/>
          <w:b w:val="0"/>
          <w:bCs w:val="0"/>
          <w:color w:val="202124"/>
          <w:sz w:val="24"/>
          <w:szCs w:val="24"/>
          <w:lang w:val="en"/>
        </w:rPr>
        <w:t xml:space="preserve">hree years, or in the case of newly </w:t>
      </w:r>
      <w:r w:rsidRPr="00C73A12">
        <w:rPr>
          <w:rFonts w:ascii="Times New Roman" w:hAnsi="Times New Roman" w:cs="Times New Roman"/>
          <w:b w:val="0"/>
          <w:bCs w:val="0"/>
          <w:color w:val="202124"/>
          <w:sz w:val="24"/>
          <w:szCs w:val="24"/>
          <w:lang w:val="en"/>
        </w:rPr>
        <w:t>licensed bank with operations of less than three years, or in the case of mergers, acquisitions, or substantial restructuring, the Central Bank of Jordan negotiates with the licensed bank regarding an alternative method for calculating capital requirements on operational risks</w:t>
      </w:r>
      <w:r w:rsidR="00BD5776" w:rsidRPr="00C73A12">
        <w:rPr>
          <w:rFonts w:ascii="Times New Roman" w:hAnsi="Times New Roman" w:cs="Times New Roman"/>
          <w:b w:val="0"/>
          <w:bCs w:val="0"/>
          <w:color w:val="202124"/>
          <w:sz w:val="24"/>
          <w:szCs w:val="24"/>
          <w:lang w:val="en"/>
        </w:rPr>
        <w:t xml:space="preserve">. For example, the newly licensed bank may be required to use the </w:t>
      </w:r>
      <w:r w:rsidR="008628F1" w:rsidRPr="00C73A12">
        <w:rPr>
          <w:rFonts w:ascii="Times New Roman" w:hAnsi="Times New Roman" w:cs="Times New Roman"/>
          <w:b w:val="0"/>
          <w:bCs w:val="0"/>
          <w:color w:val="202124"/>
          <w:sz w:val="24"/>
          <w:szCs w:val="24"/>
          <w:lang w:val="en"/>
        </w:rPr>
        <w:t xml:space="preserve">expected </w:t>
      </w:r>
      <w:r w:rsidR="00BD5776" w:rsidRPr="00C73A12">
        <w:rPr>
          <w:rFonts w:ascii="Times New Roman" w:hAnsi="Times New Roman" w:cs="Times New Roman"/>
          <w:b w:val="0"/>
          <w:bCs w:val="0"/>
          <w:color w:val="202124"/>
          <w:sz w:val="24"/>
          <w:szCs w:val="24"/>
          <w:lang w:val="en"/>
        </w:rPr>
        <w:t>gross</w:t>
      </w:r>
      <w:r w:rsidR="008628F1" w:rsidRPr="00C73A12">
        <w:rPr>
          <w:rFonts w:ascii="Times New Roman" w:hAnsi="Times New Roman" w:cs="Times New Roman"/>
          <w:b w:val="0"/>
          <w:bCs w:val="0"/>
          <w:color w:val="202124"/>
          <w:sz w:val="24"/>
          <w:szCs w:val="24"/>
          <w:lang w:val="en"/>
        </w:rPr>
        <w:t xml:space="preserve"> income</w:t>
      </w:r>
      <w:r w:rsidR="00BD5776" w:rsidRPr="00C73A12">
        <w:rPr>
          <w:rFonts w:ascii="Times New Roman" w:hAnsi="Times New Roman" w:cs="Times New Roman"/>
          <w:b w:val="0"/>
          <w:bCs w:val="0"/>
          <w:color w:val="202124"/>
          <w:sz w:val="24"/>
          <w:szCs w:val="24"/>
          <w:lang w:val="en"/>
        </w:rPr>
        <w:t xml:space="preserve"> in the business plan for the next three years, and the other method is that the Central Bank of Jordan may require those banks to adhere to higher standards of the Capital Adequacy Ratio (CAR).</w:t>
      </w:r>
    </w:p>
    <w:p w:rsidR="00C77C3A" w:rsidRPr="00C73A12" w:rsidRDefault="00C77C3A" w:rsidP="00C77C3A">
      <w:pPr>
        <w:pStyle w:val="ListParagraph"/>
        <w:bidi w:val="0"/>
        <w:spacing w:after="0" w:line="276" w:lineRule="auto"/>
        <w:ind w:left="2127"/>
        <w:rPr>
          <w:rFonts w:ascii="Times New Roman" w:hAnsi="Times New Roman" w:cs="Times New Roman"/>
          <w:b w:val="0"/>
          <w:bCs w:val="0"/>
          <w:sz w:val="24"/>
          <w:szCs w:val="24"/>
        </w:rPr>
      </w:pPr>
    </w:p>
    <w:p w:rsidR="00A0773A" w:rsidRPr="00DA4F3E" w:rsidRDefault="00BD5776" w:rsidP="00AA2027">
      <w:pPr>
        <w:pStyle w:val="ListParagraph"/>
        <w:numPr>
          <w:ilvl w:val="1"/>
          <w:numId w:val="21"/>
        </w:numPr>
        <w:bidi w:val="0"/>
        <w:spacing w:after="0" w:line="276" w:lineRule="auto"/>
        <w:ind w:left="1276" w:hanging="556"/>
        <w:rPr>
          <w:rFonts w:ascii="Times New Roman" w:hAnsi="Times New Roman" w:cs="Times New Roman"/>
          <w:b w:val="0"/>
          <w:bCs w:val="0"/>
          <w:sz w:val="24"/>
          <w:szCs w:val="24"/>
        </w:rPr>
      </w:pPr>
      <w:r w:rsidRPr="00DA4F3E">
        <w:rPr>
          <w:rFonts w:ascii="Times New Roman" w:hAnsi="Times New Roman" w:cs="Times New Roman"/>
          <w:b w:val="0"/>
          <w:bCs w:val="0"/>
          <w:sz w:val="24"/>
          <w:szCs w:val="24"/>
        </w:rPr>
        <w:t>The Alternative Standardized Approach</w:t>
      </w:r>
    </w:p>
    <w:p w:rsidR="00BD5776" w:rsidRDefault="00BD5776" w:rsidP="00AA2027">
      <w:pPr>
        <w:pStyle w:val="ListParagraph"/>
        <w:numPr>
          <w:ilvl w:val="2"/>
          <w:numId w:val="21"/>
        </w:numPr>
        <w:bidi w:val="0"/>
        <w:spacing w:after="0" w:line="276" w:lineRule="auto"/>
        <w:ind w:left="2127" w:hanging="851"/>
        <w:rPr>
          <w:rFonts w:ascii="Times New Roman" w:eastAsiaTheme="minorHAnsi" w:hAnsi="Times New Roman" w:cs="Times New Roman"/>
          <w:b w:val="0"/>
          <w:bCs w:val="0"/>
          <w:sz w:val="24"/>
          <w:szCs w:val="24"/>
        </w:rPr>
      </w:pPr>
      <w:r w:rsidRPr="00DA4F3E">
        <w:rPr>
          <w:rFonts w:ascii="Times New Roman" w:hAnsi="Times New Roman" w:cs="Times New Roman"/>
          <w:b w:val="0"/>
          <w:bCs w:val="0"/>
          <w:sz w:val="24"/>
          <w:szCs w:val="24"/>
        </w:rPr>
        <w:t>based on the Alternative Standardized Approach</w:t>
      </w:r>
      <w:r w:rsidR="000858F9" w:rsidRPr="00DA4F3E">
        <w:rPr>
          <w:rFonts w:ascii="Times New Roman" w:hAnsi="Times New Roman" w:cs="Times New Roman"/>
          <w:b w:val="0"/>
          <w:bCs w:val="0"/>
          <w:sz w:val="24"/>
          <w:szCs w:val="24"/>
        </w:rPr>
        <w:t xml:space="preserve"> (ASA)</w:t>
      </w:r>
      <w:r w:rsidRPr="00DA4F3E">
        <w:rPr>
          <w:rFonts w:ascii="Times New Roman" w:hAnsi="Times New Roman" w:cs="Times New Roman"/>
          <w:b w:val="0"/>
          <w:bCs w:val="0"/>
          <w:sz w:val="24"/>
          <w:szCs w:val="24"/>
        </w:rPr>
        <w:t xml:space="preserve">, </w:t>
      </w:r>
      <w:r w:rsidRPr="00DA4F3E">
        <w:rPr>
          <w:rFonts w:ascii="Times New Roman" w:eastAsiaTheme="minorHAnsi" w:hAnsi="Times New Roman" w:cs="Times New Roman"/>
          <w:b w:val="0"/>
          <w:bCs w:val="0"/>
          <w:sz w:val="24"/>
          <w:szCs w:val="24"/>
        </w:rPr>
        <w:t>the operational risk capit</w:t>
      </w:r>
      <w:r w:rsidR="008628F1">
        <w:rPr>
          <w:rFonts w:ascii="Times New Roman" w:eastAsiaTheme="minorHAnsi" w:hAnsi="Times New Roman" w:cs="Times New Roman"/>
          <w:b w:val="0"/>
          <w:bCs w:val="0"/>
          <w:sz w:val="24"/>
          <w:szCs w:val="24"/>
        </w:rPr>
        <w:t xml:space="preserve">al charge </w:t>
      </w:r>
      <w:r w:rsidRPr="00DA4F3E">
        <w:rPr>
          <w:rFonts w:ascii="Times New Roman" w:eastAsiaTheme="minorHAnsi" w:hAnsi="Times New Roman" w:cs="Times New Roman"/>
          <w:b w:val="0"/>
          <w:bCs w:val="0"/>
          <w:sz w:val="24"/>
          <w:szCs w:val="24"/>
        </w:rPr>
        <w:t>methodology is the same as for the Standardised Approach except for two business lines — retail banking and commercial banking. Banks under this approach may use a three-year average for loans and advances in place of gross income. The betas for retail and commercial banking are unchanged from the Standardised Approach.</w:t>
      </w:r>
      <w:r w:rsidR="000858F9" w:rsidRPr="00DA4F3E">
        <w:rPr>
          <w:rFonts w:ascii="Times New Roman" w:eastAsiaTheme="minorHAnsi" w:hAnsi="Times New Roman" w:cs="Times New Roman"/>
          <w:b w:val="0"/>
          <w:bCs w:val="0"/>
          <w:sz w:val="24"/>
          <w:szCs w:val="24"/>
        </w:rPr>
        <w:t xml:space="preserve"> The ASA operational risk capital charge for retail banking (with the same basic formula for commercial banking) can be expressed as:</w:t>
      </w:r>
    </w:p>
    <w:p w:rsidR="00C77C3A" w:rsidRDefault="00C77C3A" w:rsidP="00C77C3A">
      <w:pPr>
        <w:pStyle w:val="ListParagraph"/>
        <w:bidi w:val="0"/>
        <w:spacing w:after="0" w:line="276" w:lineRule="auto"/>
        <w:ind w:left="2127"/>
        <w:rPr>
          <w:rFonts w:ascii="Times New Roman" w:eastAsiaTheme="minorHAnsi" w:hAnsi="Times New Roman" w:cs="Times New Roman"/>
          <w:b w:val="0"/>
          <w:bCs w:val="0"/>
          <w:sz w:val="24"/>
          <w:szCs w:val="24"/>
        </w:rPr>
      </w:pPr>
    </w:p>
    <w:p w:rsidR="00C77C3A" w:rsidRPr="00DA4F3E" w:rsidRDefault="00C77C3A" w:rsidP="00C77C3A">
      <w:pPr>
        <w:pStyle w:val="ListParagraph"/>
        <w:bidi w:val="0"/>
        <w:spacing w:after="0" w:line="276" w:lineRule="auto"/>
        <w:ind w:left="2127"/>
        <w:rPr>
          <w:rFonts w:ascii="Times New Roman" w:eastAsiaTheme="minorHAnsi" w:hAnsi="Times New Roman" w:cs="Times New Roman"/>
          <w:b w:val="0"/>
          <w:bCs w:val="0"/>
          <w:sz w:val="24"/>
          <w:szCs w:val="24"/>
        </w:rPr>
      </w:pPr>
    </w:p>
    <w:tbl>
      <w:tblPr>
        <w:tblStyle w:val="TableGrid"/>
        <w:tblpPr w:leftFromText="180" w:rightFromText="180" w:vertAnchor="text" w:horzAnchor="margin" w:tblpXSpec="center" w:tblpY="105"/>
        <w:bidiVisual/>
        <w:tblW w:w="0" w:type="auto"/>
        <w:tblLook w:val="04A0" w:firstRow="1" w:lastRow="0" w:firstColumn="1" w:lastColumn="0" w:noHBand="0" w:noVBand="1"/>
      </w:tblPr>
      <w:tblGrid>
        <w:gridCol w:w="4032"/>
      </w:tblGrid>
      <w:tr w:rsidR="000858F9" w:rsidRPr="00B2749A" w:rsidTr="000858F9">
        <w:tc>
          <w:tcPr>
            <w:tcW w:w="4032" w:type="dxa"/>
            <w:vAlign w:val="center"/>
          </w:tcPr>
          <w:p w:rsidR="000858F9" w:rsidRPr="00B2749A" w:rsidRDefault="000858F9" w:rsidP="000858F9">
            <w:pPr>
              <w:jc w:val="center"/>
              <w:rPr>
                <w:b w:val="0"/>
                <w:bCs w:val="0"/>
                <w:rtl/>
                <w:lang w:bidi="ar-JO"/>
              </w:rPr>
            </w:pPr>
            <w:bookmarkStart w:id="52" w:name="_Toc414888417"/>
            <w:bookmarkStart w:id="53" w:name="_Toc451176605"/>
            <w:bookmarkStart w:id="54" w:name="_Toc451180502"/>
            <w:r w:rsidRPr="00B2749A">
              <w:rPr>
                <w:b w:val="0"/>
                <w:bCs w:val="0"/>
              </w:rPr>
              <w:lastRenderedPageBreak/>
              <w:t>K</w:t>
            </w:r>
            <w:r w:rsidRPr="00B2749A">
              <w:rPr>
                <w:b w:val="0"/>
                <w:bCs w:val="0"/>
                <w:vertAlign w:val="subscript"/>
              </w:rPr>
              <w:t>RB</w:t>
            </w:r>
            <w:r w:rsidRPr="00B2749A">
              <w:rPr>
                <w:b w:val="0"/>
                <w:bCs w:val="0"/>
              </w:rPr>
              <w:t xml:space="preserve"> = </w:t>
            </w:r>
            <w:r w:rsidRPr="00B2749A">
              <w:rPr>
                <w:rFonts w:ascii="Times New Roman" w:hAnsi="Times New Roman" w:cs="Times New Roman"/>
                <w:b w:val="0"/>
                <w:bCs w:val="0"/>
              </w:rPr>
              <w:t>β</w:t>
            </w:r>
            <w:r w:rsidRPr="00B2749A">
              <w:rPr>
                <w:b w:val="0"/>
                <w:bCs w:val="0"/>
                <w:vertAlign w:val="subscript"/>
              </w:rPr>
              <w:t>RB</w:t>
            </w:r>
            <w:r w:rsidRPr="00B2749A">
              <w:rPr>
                <w:b w:val="0"/>
                <w:bCs w:val="0"/>
              </w:rPr>
              <w:t xml:space="preserve"> x m x LA</w:t>
            </w:r>
            <w:r w:rsidRPr="00B2749A">
              <w:rPr>
                <w:b w:val="0"/>
                <w:bCs w:val="0"/>
                <w:vertAlign w:val="subscript"/>
              </w:rPr>
              <w:t>RB</w:t>
            </w:r>
            <w:bookmarkEnd w:id="52"/>
            <w:bookmarkEnd w:id="53"/>
            <w:bookmarkEnd w:id="54"/>
          </w:p>
        </w:tc>
      </w:tr>
    </w:tbl>
    <w:p w:rsidR="000858F9" w:rsidRDefault="000858F9" w:rsidP="000858F9">
      <w:pPr>
        <w:pStyle w:val="ListParagraph"/>
        <w:bidi w:val="0"/>
        <w:spacing w:before="240" w:after="240" w:line="276" w:lineRule="auto"/>
        <w:ind w:left="1800"/>
      </w:pPr>
    </w:p>
    <w:p w:rsidR="00C77C3A" w:rsidRDefault="00C77C3A" w:rsidP="00AA2027">
      <w:pPr>
        <w:pStyle w:val="ListParagraph"/>
        <w:bidi w:val="0"/>
        <w:spacing w:before="240" w:after="240" w:line="276" w:lineRule="auto"/>
        <w:ind w:left="1800" w:firstLine="327"/>
        <w:rPr>
          <w:rFonts w:ascii="Times New Roman" w:hAnsi="Times New Roman" w:cs="Times New Roman"/>
          <w:b w:val="0"/>
          <w:bCs w:val="0"/>
          <w:sz w:val="24"/>
          <w:szCs w:val="24"/>
        </w:rPr>
      </w:pPr>
    </w:p>
    <w:p w:rsidR="000858F9" w:rsidRDefault="000858F9" w:rsidP="00C77C3A">
      <w:pPr>
        <w:pStyle w:val="ListParagraph"/>
        <w:bidi w:val="0"/>
        <w:spacing w:before="240" w:after="240" w:line="276" w:lineRule="auto"/>
        <w:ind w:left="1800" w:firstLine="327"/>
        <w:rPr>
          <w:rFonts w:ascii="Times New Roman" w:hAnsi="Times New Roman" w:cs="Times New Roman"/>
          <w:b w:val="0"/>
          <w:bCs w:val="0"/>
          <w:sz w:val="24"/>
          <w:szCs w:val="24"/>
        </w:rPr>
      </w:pPr>
      <w:r w:rsidRPr="00AA2027">
        <w:rPr>
          <w:rFonts w:ascii="Times New Roman" w:hAnsi="Times New Roman" w:cs="Times New Roman"/>
          <w:b w:val="0"/>
          <w:bCs w:val="0"/>
          <w:sz w:val="24"/>
          <w:szCs w:val="24"/>
        </w:rPr>
        <w:t xml:space="preserve">Where: </w:t>
      </w:r>
    </w:p>
    <w:tbl>
      <w:tblPr>
        <w:tblStyle w:val="TableGrid"/>
        <w:tblW w:w="0" w:type="auto"/>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
        <w:gridCol w:w="283"/>
        <w:gridCol w:w="6100"/>
      </w:tblGrid>
      <w:tr w:rsidR="00AA2027" w:rsidTr="00AA2027">
        <w:tc>
          <w:tcPr>
            <w:tcW w:w="747" w:type="dxa"/>
          </w:tcPr>
          <w:p w:rsidR="00AA2027" w:rsidRDefault="00AA2027" w:rsidP="00AA2027">
            <w:pPr>
              <w:pStyle w:val="ListParagraph"/>
              <w:bidi w:val="0"/>
              <w:spacing w:after="0" w:line="276" w:lineRule="auto"/>
              <w:ind w:left="0"/>
              <w:rPr>
                <w:rFonts w:ascii="Times New Roman" w:hAnsi="Times New Roman" w:cs="Times New Roman"/>
                <w:b w:val="0"/>
                <w:bCs w:val="0"/>
                <w:sz w:val="24"/>
                <w:szCs w:val="24"/>
              </w:rPr>
            </w:pPr>
            <w:r w:rsidRPr="001E0FE2">
              <w:rPr>
                <w:b w:val="0"/>
                <w:bCs w:val="0"/>
              </w:rPr>
              <w:t>K</w:t>
            </w:r>
            <w:r w:rsidRPr="001E0FE2">
              <w:rPr>
                <w:b w:val="0"/>
                <w:bCs w:val="0"/>
                <w:vertAlign w:val="subscript"/>
              </w:rPr>
              <w:t>RB</w:t>
            </w:r>
          </w:p>
        </w:tc>
        <w:tc>
          <w:tcPr>
            <w:tcW w:w="236" w:type="dxa"/>
          </w:tcPr>
          <w:p w:rsidR="00AA2027" w:rsidRDefault="00AA2027" w:rsidP="00AA2027">
            <w:pPr>
              <w:pStyle w:val="ListParagraph"/>
              <w:bidi w:val="0"/>
              <w:spacing w:after="0" w:line="276"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w:t>
            </w:r>
          </w:p>
        </w:tc>
        <w:tc>
          <w:tcPr>
            <w:tcW w:w="6137" w:type="dxa"/>
          </w:tcPr>
          <w:p w:rsidR="00AA2027" w:rsidRPr="00AA2027" w:rsidRDefault="00AA2027" w:rsidP="00AA2027">
            <w:pPr>
              <w:pStyle w:val="ListParagraph"/>
              <w:bidi w:val="0"/>
              <w:spacing w:after="0" w:line="276" w:lineRule="auto"/>
              <w:ind w:left="0"/>
              <w:rPr>
                <w:rFonts w:ascii="Times New Roman" w:hAnsi="Times New Roman" w:cs="Times New Roman"/>
                <w:b w:val="0"/>
                <w:bCs w:val="0"/>
                <w:sz w:val="22"/>
                <w:szCs w:val="22"/>
              </w:rPr>
            </w:pPr>
            <w:r w:rsidRPr="00AA2027">
              <w:rPr>
                <w:rFonts w:ascii="Times New Roman" w:eastAsiaTheme="minorHAnsi" w:hAnsi="Times New Roman" w:cs="Times New Roman"/>
                <w:b w:val="0"/>
                <w:bCs w:val="0"/>
                <w:sz w:val="22"/>
                <w:szCs w:val="22"/>
              </w:rPr>
              <w:t>the capital charge for the retail banking business line</w:t>
            </w:r>
          </w:p>
        </w:tc>
      </w:tr>
      <w:tr w:rsidR="00AA2027" w:rsidTr="00AA2027">
        <w:tc>
          <w:tcPr>
            <w:tcW w:w="747" w:type="dxa"/>
          </w:tcPr>
          <w:p w:rsidR="00AA2027" w:rsidRDefault="00AA2027" w:rsidP="00AA2027">
            <w:pPr>
              <w:pStyle w:val="ListParagraph"/>
              <w:bidi w:val="0"/>
              <w:spacing w:after="0" w:line="276" w:lineRule="auto"/>
              <w:ind w:left="0"/>
              <w:rPr>
                <w:rFonts w:ascii="Times New Roman" w:hAnsi="Times New Roman" w:cs="Times New Roman"/>
                <w:b w:val="0"/>
                <w:bCs w:val="0"/>
                <w:sz w:val="24"/>
                <w:szCs w:val="24"/>
              </w:rPr>
            </w:pPr>
            <w:r w:rsidRPr="001E0FE2">
              <w:rPr>
                <w:rFonts w:ascii="Times New Roman" w:hAnsi="Times New Roman" w:cs="Times New Roman"/>
                <w:b w:val="0"/>
                <w:bCs w:val="0"/>
              </w:rPr>
              <w:t>β</w:t>
            </w:r>
            <w:r w:rsidRPr="001E0FE2">
              <w:rPr>
                <w:b w:val="0"/>
                <w:bCs w:val="0"/>
                <w:vertAlign w:val="subscript"/>
              </w:rPr>
              <w:t>RB</w:t>
            </w:r>
          </w:p>
        </w:tc>
        <w:tc>
          <w:tcPr>
            <w:tcW w:w="236" w:type="dxa"/>
          </w:tcPr>
          <w:p w:rsidR="00AA2027" w:rsidRDefault="00AA2027" w:rsidP="00AA2027">
            <w:pPr>
              <w:pStyle w:val="ListParagraph"/>
              <w:bidi w:val="0"/>
              <w:spacing w:after="0" w:line="276"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w:t>
            </w:r>
          </w:p>
        </w:tc>
        <w:tc>
          <w:tcPr>
            <w:tcW w:w="6137" w:type="dxa"/>
          </w:tcPr>
          <w:p w:rsidR="00AA2027" w:rsidRPr="00AA2027" w:rsidRDefault="00AA2027" w:rsidP="00AA2027">
            <w:pPr>
              <w:pStyle w:val="ListParagraph"/>
              <w:bidi w:val="0"/>
              <w:spacing w:after="0" w:line="276" w:lineRule="auto"/>
              <w:ind w:left="0"/>
              <w:rPr>
                <w:rFonts w:ascii="Times New Roman" w:hAnsi="Times New Roman" w:cs="Times New Roman"/>
                <w:b w:val="0"/>
                <w:bCs w:val="0"/>
                <w:sz w:val="22"/>
                <w:szCs w:val="22"/>
              </w:rPr>
            </w:pPr>
            <w:r w:rsidRPr="00AA2027">
              <w:rPr>
                <w:rFonts w:ascii="Times New Roman" w:eastAsiaTheme="minorHAnsi" w:hAnsi="Times New Roman" w:cs="Times New Roman"/>
                <w:b w:val="0"/>
                <w:bCs w:val="0"/>
                <w:sz w:val="22"/>
                <w:szCs w:val="22"/>
              </w:rPr>
              <w:t>the beta for the retail banking business line</w:t>
            </w:r>
          </w:p>
        </w:tc>
      </w:tr>
      <w:tr w:rsidR="00AA2027" w:rsidTr="00AA2027">
        <w:tc>
          <w:tcPr>
            <w:tcW w:w="747" w:type="dxa"/>
          </w:tcPr>
          <w:p w:rsidR="00AA2027" w:rsidRDefault="00AA2027" w:rsidP="00AA2027">
            <w:pPr>
              <w:pStyle w:val="ListParagraph"/>
              <w:bidi w:val="0"/>
              <w:spacing w:after="0" w:line="276" w:lineRule="auto"/>
              <w:ind w:left="0"/>
              <w:rPr>
                <w:rFonts w:ascii="Times New Roman" w:hAnsi="Times New Roman" w:cs="Times New Roman"/>
                <w:b w:val="0"/>
                <w:bCs w:val="0"/>
                <w:sz w:val="24"/>
                <w:szCs w:val="24"/>
              </w:rPr>
            </w:pPr>
            <w:r w:rsidRPr="001E0FE2">
              <w:rPr>
                <w:b w:val="0"/>
                <w:bCs w:val="0"/>
              </w:rPr>
              <w:t>LA</w:t>
            </w:r>
            <w:r w:rsidRPr="001E0FE2">
              <w:rPr>
                <w:b w:val="0"/>
                <w:bCs w:val="0"/>
                <w:vertAlign w:val="subscript"/>
              </w:rPr>
              <w:t>RB</w:t>
            </w:r>
          </w:p>
        </w:tc>
        <w:tc>
          <w:tcPr>
            <w:tcW w:w="236" w:type="dxa"/>
          </w:tcPr>
          <w:p w:rsidR="00AA2027" w:rsidRDefault="00AA2027" w:rsidP="00AA2027">
            <w:pPr>
              <w:pStyle w:val="ListParagraph"/>
              <w:bidi w:val="0"/>
              <w:spacing w:after="0" w:line="276"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w:t>
            </w:r>
          </w:p>
        </w:tc>
        <w:tc>
          <w:tcPr>
            <w:tcW w:w="6137" w:type="dxa"/>
          </w:tcPr>
          <w:p w:rsidR="00AA2027" w:rsidRPr="00AA2027" w:rsidRDefault="00AA2027" w:rsidP="00AA2027">
            <w:pPr>
              <w:pStyle w:val="ListParagraph"/>
              <w:bidi w:val="0"/>
              <w:spacing w:after="0" w:line="276" w:lineRule="auto"/>
              <w:ind w:left="0"/>
              <w:rPr>
                <w:rFonts w:ascii="Times New Roman" w:hAnsi="Times New Roman" w:cs="Times New Roman"/>
                <w:b w:val="0"/>
                <w:bCs w:val="0"/>
                <w:sz w:val="22"/>
                <w:szCs w:val="22"/>
              </w:rPr>
            </w:pPr>
            <w:r w:rsidRPr="00AA2027">
              <w:rPr>
                <w:rFonts w:ascii="Times New Roman" w:eastAsiaTheme="minorHAnsi" w:hAnsi="Times New Roman" w:cs="Times New Roman"/>
                <w:b w:val="0"/>
                <w:bCs w:val="0"/>
                <w:sz w:val="22"/>
                <w:szCs w:val="22"/>
              </w:rPr>
              <w:t>total outstanding retail loans and advances (non-risk weighted and gross of provisions), averaged over the past three years</w:t>
            </w:r>
          </w:p>
        </w:tc>
      </w:tr>
      <w:tr w:rsidR="00AA2027" w:rsidTr="00AA2027">
        <w:tc>
          <w:tcPr>
            <w:tcW w:w="747" w:type="dxa"/>
          </w:tcPr>
          <w:p w:rsidR="00AA2027" w:rsidRDefault="00AA2027" w:rsidP="00AA2027">
            <w:pPr>
              <w:pStyle w:val="ListParagraph"/>
              <w:bidi w:val="0"/>
              <w:spacing w:after="0" w:line="276" w:lineRule="auto"/>
              <w:ind w:left="0"/>
              <w:rPr>
                <w:rFonts w:ascii="Times New Roman" w:hAnsi="Times New Roman" w:cs="Times New Roman"/>
                <w:b w:val="0"/>
                <w:bCs w:val="0"/>
                <w:sz w:val="24"/>
                <w:szCs w:val="24"/>
              </w:rPr>
            </w:pPr>
            <w:r>
              <w:rPr>
                <w:rFonts w:ascii="Arial" w:eastAsiaTheme="minorHAnsi" w:hAnsi="Arial" w:cs="Arial"/>
                <w:b w:val="0"/>
                <w:bCs w:val="0"/>
                <w:sz w:val="18"/>
                <w:szCs w:val="18"/>
              </w:rPr>
              <w:t>m</w:t>
            </w:r>
          </w:p>
        </w:tc>
        <w:tc>
          <w:tcPr>
            <w:tcW w:w="236" w:type="dxa"/>
          </w:tcPr>
          <w:p w:rsidR="00AA2027" w:rsidRDefault="00AA2027" w:rsidP="00AA2027">
            <w:pPr>
              <w:pStyle w:val="ListParagraph"/>
              <w:bidi w:val="0"/>
              <w:spacing w:after="0" w:line="276"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w:t>
            </w:r>
          </w:p>
        </w:tc>
        <w:tc>
          <w:tcPr>
            <w:tcW w:w="6137" w:type="dxa"/>
          </w:tcPr>
          <w:p w:rsidR="00AA2027" w:rsidRPr="00AA2027" w:rsidRDefault="00AA2027" w:rsidP="00AA2027">
            <w:pPr>
              <w:pStyle w:val="ListParagraph"/>
              <w:bidi w:val="0"/>
              <w:spacing w:after="0" w:line="276" w:lineRule="auto"/>
              <w:ind w:left="0"/>
              <w:rPr>
                <w:rFonts w:ascii="Times New Roman" w:hAnsi="Times New Roman" w:cs="Times New Roman"/>
                <w:b w:val="0"/>
                <w:bCs w:val="0"/>
                <w:sz w:val="22"/>
                <w:szCs w:val="22"/>
              </w:rPr>
            </w:pPr>
            <w:r w:rsidRPr="00AA2027">
              <w:rPr>
                <w:rFonts w:ascii="Times New Roman" w:eastAsiaTheme="minorHAnsi" w:hAnsi="Times New Roman" w:cs="Times New Roman"/>
                <w:b w:val="0"/>
                <w:bCs w:val="0"/>
                <w:sz w:val="22"/>
                <w:szCs w:val="22"/>
              </w:rPr>
              <w:t>0.035</w:t>
            </w:r>
          </w:p>
        </w:tc>
      </w:tr>
    </w:tbl>
    <w:p w:rsidR="000858F9" w:rsidRPr="00DA4F3E" w:rsidRDefault="000858F9" w:rsidP="00AA2027">
      <w:pPr>
        <w:pStyle w:val="ListParagraph"/>
        <w:bidi w:val="0"/>
        <w:spacing w:after="0" w:line="276" w:lineRule="auto"/>
        <w:ind w:left="1800"/>
        <w:rPr>
          <w:rFonts w:ascii="Times New Roman" w:eastAsiaTheme="minorHAnsi" w:hAnsi="Times New Roman" w:cs="Times New Roman"/>
          <w:b w:val="0"/>
          <w:bCs w:val="0"/>
          <w:sz w:val="24"/>
          <w:szCs w:val="24"/>
        </w:rPr>
      </w:pPr>
    </w:p>
    <w:p w:rsidR="000858F9" w:rsidRPr="00DA4F3E" w:rsidRDefault="000858F9" w:rsidP="00AA2027">
      <w:pPr>
        <w:pStyle w:val="ListParagraph"/>
        <w:numPr>
          <w:ilvl w:val="2"/>
          <w:numId w:val="21"/>
        </w:numPr>
        <w:bidi w:val="0"/>
        <w:spacing w:after="0" w:line="276" w:lineRule="auto"/>
        <w:ind w:left="2127" w:hanging="851"/>
        <w:rPr>
          <w:rFonts w:ascii="Times New Roman" w:hAnsi="Times New Roman" w:cs="Times New Roman"/>
          <w:b w:val="0"/>
          <w:bCs w:val="0"/>
          <w:sz w:val="24"/>
          <w:szCs w:val="24"/>
        </w:rPr>
      </w:pPr>
      <w:r w:rsidRPr="00DA4F3E">
        <w:rPr>
          <w:rFonts w:ascii="Times New Roman" w:eastAsiaTheme="minorHAnsi" w:hAnsi="Times New Roman" w:cs="Times New Roman"/>
          <w:b w:val="0"/>
          <w:bCs w:val="0"/>
          <w:sz w:val="24"/>
          <w:szCs w:val="24"/>
        </w:rPr>
        <w:t>For the purposes of the ASA, total loans and advances in the retail banking business line consists of the total drawn amounts in the following credit portfolios: retail, SMEs treated as retail, and purchased retail receivables. For commercial banking, total loans and advances consists of the drawn amounts in the following credit portfolios: corporate, sovereign, bank, specialized lending, SMEs treated as corporate and purchased corporate receivables. The book value of securities held in the banking book should also be included.</w:t>
      </w:r>
    </w:p>
    <w:p w:rsidR="000858F9" w:rsidRPr="00DA4F3E" w:rsidRDefault="000858F9" w:rsidP="00FD34A1">
      <w:pPr>
        <w:pStyle w:val="ListParagraph"/>
        <w:numPr>
          <w:ilvl w:val="2"/>
          <w:numId w:val="21"/>
        </w:numPr>
        <w:bidi w:val="0"/>
        <w:spacing w:after="0" w:line="276" w:lineRule="auto"/>
        <w:ind w:left="2127" w:hanging="851"/>
        <w:rPr>
          <w:rFonts w:ascii="Times New Roman" w:hAnsi="Times New Roman" w:cs="Times New Roman"/>
          <w:b w:val="0"/>
          <w:bCs w:val="0"/>
          <w:sz w:val="24"/>
          <w:szCs w:val="24"/>
        </w:rPr>
      </w:pPr>
      <w:r w:rsidRPr="00DA4F3E">
        <w:rPr>
          <w:rFonts w:ascii="Times New Roman" w:eastAsiaTheme="minorHAnsi" w:hAnsi="Times New Roman" w:cs="Times New Roman"/>
          <w:b w:val="0"/>
          <w:bCs w:val="0"/>
          <w:sz w:val="24"/>
          <w:szCs w:val="24"/>
        </w:rPr>
        <w:t xml:space="preserve">Under the ASA, banks may aggregate retail and commercial banking (if they wish to) using a beta of 15%. Similarly, those banks that are unable to disaggregate their gross income into the other six business lines can aggregate the gross income for these six business lines using a beta of 18%, with negative gross income treated. </w:t>
      </w:r>
    </w:p>
    <w:p w:rsidR="000858F9" w:rsidRPr="00DA4F3E" w:rsidRDefault="000858F9" w:rsidP="00AA2027">
      <w:pPr>
        <w:pStyle w:val="ListParagraph"/>
        <w:numPr>
          <w:ilvl w:val="2"/>
          <w:numId w:val="21"/>
        </w:numPr>
        <w:bidi w:val="0"/>
        <w:spacing w:after="0" w:line="276" w:lineRule="auto"/>
        <w:ind w:left="2127" w:hanging="851"/>
        <w:rPr>
          <w:rFonts w:ascii="Times New Roman" w:hAnsi="Times New Roman" w:cs="Times New Roman"/>
          <w:b w:val="0"/>
          <w:bCs w:val="0"/>
          <w:sz w:val="24"/>
          <w:szCs w:val="24"/>
        </w:rPr>
      </w:pPr>
      <w:r w:rsidRPr="00DA4F3E">
        <w:rPr>
          <w:rFonts w:ascii="Times New Roman" w:eastAsiaTheme="minorHAnsi" w:hAnsi="Times New Roman" w:cs="Times New Roman"/>
          <w:b w:val="0"/>
          <w:bCs w:val="0"/>
          <w:sz w:val="24"/>
          <w:szCs w:val="24"/>
        </w:rPr>
        <w:t>As under the Standardised Approach, the total capital charge for the ASA is calculated as the simple summation of the regulatory capital charges across each of the eight business lines.</w:t>
      </w:r>
    </w:p>
    <w:p w:rsidR="00BD5776" w:rsidRPr="00DA4F3E" w:rsidRDefault="00D87C8A" w:rsidP="00AA2027">
      <w:pPr>
        <w:pStyle w:val="ListParagraph"/>
        <w:numPr>
          <w:ilvl w:val="1"/>
          <w:numId w:val="21"/>
        </w:numPr>
        <w:bidi w:val="0"/>
        <w:spacing w:after="0" w:line="276" w:lineRule="auto"/>
        <w:ind w:left="1276" w:hanging="567"/>
        <w:rPr>
          <w:rFonts w:ascii="Times New Roman" w:hAnsi="Times New Roman" w:cs="Times New Roman"/>
          <w:b w:val="0"/>
          <w:bCs w:val="0"/>
          <w:sz w:val="24"/>
          <w:szCs w:val="24"/>
        </w:rPr>
      </w:pPr>
      <w:r w:rsidRPr="00DA4F3E">
        <w:rPr>
          <w:rFonts w:ascii="Times New Roman" w:eastAsiaTheme="minorHAnsi" w:hAnsi="Times New Roman" w:cs="Times New Roman"/>
          <w:b w:val="0"/>
          <w:bCs w:val="0"/>
          <w:sz w:val="24"/>
          <w:szCs w:val="24"/>
        </w:rPr>
        <w:t>Qualifying criteria</w:t>
      </w:r>
    </w:p>
    <w:p w:rsidR="00D87C8A" w:rsidRPr="00DA4F3E" w:rsidRDefault="00F6121D" w:rsidP="00430FF7">
      <w:pPr>
        <w:pStyle w:val="ListParagraph"/>
        <w:numPr>
          <w:ilvl w:val="2"/>
          <w:numId w:val="21"/>
        </w:numPr>
        <w:bidi w:val="0"/>
        <w:spacing w:after="0" w:line="276" w:lineRule="auto"/>
        <w:ind w:left="2127" w:hanging="851"/>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 xml:space="preserve">A bank must develop specific policies and have documented criteria for mapping gross income for current business lines and activities into the standardised framework. </w:t>
      </w:r>
      <w:r w:rsidRPr="00DA4F3E">
        <w:rPr>
          <w:rFonts w:ascii="Times New Roman" w:hAnsi="Times New Roman" w:cs="Times New Roman"/>
          <w:b w:val="0"/>
          <w:bCs w:val="0"/>
          <w:color w:val="202124"/>
          <w:sz w:val="24"/>
          <w:szCs w:val="24"/>
          <w:lang w:val="en"/>
        </w:rPr>
        <w:t xml:space="preserve">And it must be able qualitatively and quantitatively to fulfill the requirements of this method, and it has to explain the reasons for this mapping in accordance with the requirements of the Central Bank of Jordan. The </w:t>
      </w:r>
      <w:r w:rsidRPr="00DA4F3E">
        <w:rPr>
          <w:rFonts w:ascii="Times New Roman" w:eastAsiaTheme="minorHAnsi" w:hAnsi="Times New Roman" w:cs="Times New Roman"/>
          <w:b w:val="0"/>
          <w:bCs w:val="0"/>
          <w:sz w:val="24"/>
          <w:szCs w:val="24"/>
        </w:rPr>
        <w:t>criteria must be reviewed and adjusted for new or changing business activities as appropriate.</w:t>
      </w:r>
    </w:p>
    <w:p w:rsidR="00F6121D" w:rsidRPr="00DA4F3E" w:rsidRDefault="005023BC" w:rsidP="00AA2027">
      <w:pPr>
        <w:pStyle w:val="ListParagraph"/>
        <w:numPr>
          <w:ilvl w:val="2"/>
          <w:numId w:val="21"/>
        </w:numPr>
        <w:bidi w:val="0"/>
        <w:spacing w:after="0" w:line="276" w:lineRule="auto"/>
        <w:ind w:left="2127" w:hanging="851"/>
        <w:rPr>
          <w:rFonts w:ascii="Times New Roman" w:hAnsi="Times New Roman" w:cs="Times New Roman"/>
          <w:b w:val="0"/>
          <w:bCs w:val="0"/>
          <w:sz w:val="24"/>
          <w:szCs w:val="24"/>
        </w:rPr>
      </w:pPr>
      <w:r w:rsidRPr="00DA4F3E">
        <w:rPr>
          <w:rFonts w:ascii="Times New Roman" w:hAnsi="Times New Roman" w:cs="Times New Roman"/>
          <w:b w:val="0"/>
          <w:bCs w:val="0"/>
          <w:color w:val="202124"/>
          <w:sz w:val="24"/>
          <w:szCs w:val="24"/>
          <w:lang w:val="en"/>
        </w:rPr>
        <w:t xml:space="preserve">The approach used by the bank to define its activities into eight </w:t>
      </w:r>
      <w:r w:rsidRPr="00DA4F3E">
        <w:rPr>
          <w:rFonts w:ascii="Times New Roman" w:eastAsiaTheme="minorHAnsi" w:hAnsi="Times New Roman" w:cs="Times New Roman"/>
          <w:b w:val="0"/>
          <w:bCs w:val="0"/>
          <w:sz w:val="24"/>
          <w:szCs w:val="24"/>
        </w:rPr>
        <w:t>business lines</w:t>
      </w:r>
      <w:r w:rsidRPr="00DA4F3E">
        <w:rPr>
          <w:rFonts w:ascii="Times New Roman" w:hAnsi="Times New Roman" w:cs="Times New Roman"/>
          <w:b w:val="0"/>
          <w:bCs w:val="0"/>
          <w:color w:val="202124"/>
          <w:sz w:val="24"/>
          <w:szCs w:val="24"/>
          <w:lang w:val="en"/>
        </w:rPr>
        <w:t xml:space="preserve"> must meet the following requirements:</w:t>
      </w:r>
    </w:p>
    <w:p w:rsidR="005023BC" w:rsidRPr="00DA4F3E" w:rsidRDefault="005023BC" w:rsidP="000344BD">
      <w:pPr>
        <w:pStyle w:val="ListParagraph"/>
        <w:numPr>
          <w:ilvl w:val="0"/>
          <w:numId w:val="49"/>
        </w:numPr>
        <w:bidi w:val="0"/>
        <w:spacing w:after="0" w:line="276" w:lineRule="auto"/>
        <w:ind w:left="2610" w:hanging="450"/>
        <w:rPr>
          <w:rFonts w:ascii="Times New Roman" w:hAnsi="Times New Roman" w:cs="Times New Roman"/>
          <w:b w:val="0"/>
          <w:bCs w:val="0"/>
          <w:sz w:val="24"/>
          <w:szCs w:val="24"/>
        </w:rPr>
      </w:pPr>
      <w:r w:rsidRPr="00DA4F3E">
        <w:rPr>
          <w:rFonts w:ascii="Times New Roman" w:eastAsiaTheme="minorHAnsi" w:hAnsi="Times New Roman" w:cs="Times New Roman"/>
          <w:b w:val="0"/>
          <w:bCs w:val="0"/>
          <w:sz w:val="24"/>
          <w:szCs w:val="24"/>
        </w:rPr>
        <w:t xml:space="preserve">Its </w:t>
      </w:r>
      <w:r w:rsidR="00D94462">
        <w:rPr>
          <w:rFonts w:ascii="Times New Roman" w:eastAsiaTheme="minorHAnsi" w:hAnsi="Times New Roman" w:cs="Times New Roman"/>
          <w:b w:val="0"/>
          <w:bCs w:val="0"/>
          <w:sz w:val="24"/>
          <w:szCs w:val="24"/>
        </w:rPr>
        <w:t xml:space="preserve">senior management </w:t>
      </w:r>
      <w:r w:rsidRPr="00DA4F3E">
        <w:rPr>
          <w:rFonts w:ascii="Times New Roman" w:eastAsiaTheme="minorHAnsi" w:hAnsi="Times New Roman" w:cs="Times New Roman"/>
          <w:b w:val="0"/>
          <w:bCs w:val="0"/>
          <w:sz w:val="24"/>
          <w:szCs w:val="24"/>
        </w:rPr>
        <w:t>are actively involved in the oversight of the operational risk management framework</w:t>
      </w:r>
      <w:r w:rsidR="00D94462">
        <w:rPr>
          <w:rFonts w:ascii="Times New Roman" w:eastAsiaTheme="minorHAnsi" w:hAnsi="Times New Roman" w:cs="Times New Roman"/>
          <w:b w:val="0"/>
          <w:bCs w:val="0"/>
          <w:sz w:val="24"/>
          <w:szCs w:val="24"/>
        </w:rPr>
        <w:t xml:space="preserve"> which must approved by</w:t>
      </w:r>
      <w:r w:rsidR="00D94462" w:rsidRPr="00D94462">
        <w:rPr>
          <w:rFonts w:ascii="Times New Roman" w:eastAsiaTheme="minorHAnsi" w:hAnsi="Times New Roman" w:cs="Times New Roman"/>
          <w:b w:val="0"/>
          <w:bCs w:val="0"/>
          <w:sz w:val="24"/>
          <w:szCs w:val="24"/>
        </w:rPr>
        <w:t xml:space="preserve"> </w:t>
      </w:r>
      <w:r w:rsidR="00D94462" w:rsidRPr="00DA4F3E">
        <w:rPr>
          <w:rFonts w:ascii="Times New Roman" w:eastAsiaTheme="minorHAnsi" w:hAnsi="Times New Roman" w:cs="Times New Roman"/>
          <w:b w:val="0"/>
          <w:bCs w:val="0"/>
          <w:sz w:val="24"/>
          <w:szCs w:val="24"/>
        </w:rPr>
        <w:t>board of directors</w:t>
      </w:r>
      <w:r w:rsidR="00D94462">
        <w:rPr>
          <w:rFonts w:ascii="Times New Roman" w:eastAsiaTheme="minorHAnsi" w:hAnsi="Times New Roman" w:cs="Times New Roman"/>
          <w:b w:val="0"/>
          <w:bCs w:val="0"/>
          <w:sz w:val="24"/>
          <w:szCs w:val="24"/>
        </w:rPr>
        <w:t>.</w:t>
      </w:r>
    </w:p>
    <w:p w:rsidR="005023BC" w:rsidRPr="00DA4F3E" w:rsidRDefault="005023BC" w:rsidP="000344BD">
      <w:pPr>
        <w:pStyle w:val="ListParagraph"/>
        <w:numPr>
          <w:ilvl w:val="0"/>
          <w:numId w:val="49"/>
        </w:numPr>
        <w:bidi w:val="0"/>
        <w:spacing w:after="0" w:line="276" w:lineRule="auto"/>
        <w:ind w:left="2610" w:hanging="450"/>
        <w:rPr>
          <w:rFonts w:ascii="Times New Roman" w:hAnsi="Times New Roman" w:cs="Times New Roman"/>
          <w:b w:val="0"/>
          <w:bCs w:val="0"/>
          <w:sz w:val="24"/>
          <w:szCs w:val="24"/>
        </w:rPr>
      </w:pPr>
      <w:r w:rsidRPr="00DA4F3E">
        <w:rPr>
          <w:rFonts w:ascii="Times New Roman" w:eastAsiaTheme="minorHAnsi" w:hAnsi="Times New Roman" w:cs="Times New Roman"/>
          <w:b w:val="0"/>
          <w:bCs w:val="0"/>
          <w:sz w:val="24"/>
          <w:szCs w:val="24"/>
        </w:rPr>
        <w:t>It has sufficient resources in the use of the approach in the major business lines as well as the control and audit areas.</w:t>
      </w:r>
    </w:p>
    <w:p w:rsidR="005023BC" w:rsidRPr="00DA4F3E" w:rsidRDefault="005023BC" w:rsidP="000344BD">
      <w:pPr>
        <w:pStyle w:val="ListParagraph"/>
        <w:numPr>
          <w:ilvl w:val="0"/>
          <w:numId w:val="49"/>
        </w:numPr>
        <w:bidi w:val="0"/>
        <w:spacing w:after="0" w:line="276" w:lineRule="auto"/>
        <w:ind w:left="2610" w:hanging="450"/>
        <w:rPr>
          <w:rFonts w:ascii="Times New Roman" w:hAnsi="Times New Roman" w:cs="Times New Roman"/>
          <w:b w:val="0"/>
          <w:bCs w:val="0"/>
          <w:sz w:val="24"/>
          <w:szCs w:val="24"/>
        </w:rPr>
      </w:pPr>
      <w:r w:rsidRPr="00DA4F3E">
        <w:rPr>
          <w:rFonts w:ascii="Times New Roman" w:hAnsi="Times New Roman" w:cs="Times New Roman"/>
          <w:b w:val="0"/>
          <w:bCs w:val="0"/>
          <w:color w:val="202124"/>
          <w:sz w:val="24"/>
          <w:szCs w:val="24"/>
          <w:lang w:val="en"/>
        </w:rPr>
        <w:lastRenderedPageBreak/>
        <w:t xml:space="preserve">All activities of </w:t>
      </w:r>
      <w:r w:rsidR="0081546B" w:rsidRPr="00DA4F3E">
        <w:rPr>
          <w:rFonts w:ascii="Times New Roman" w:hAnsi="Times New Roman" w:cs="Times New Roman"/>
          <w:b w:val="0"/>
          <w:bCs w:val="0"/>
          <w:color w:val="202124"/>
          <w:sz w:val="24"/>
          <w:szCs w:val="24"/>
          <w:lang w:val="en"/>
        </w:rPr>
        <w:t>the</w:t>
      </w:r>
      <w:r w:rsidRPr="00DA4F3E">
        <w:rPr>
          <w:rFonts w:ascii="Times New Roman" w:hAnsi="Times New Roman" w:cs="Times New Roman"/>
          <w:b w:val="0"/>
          <w:bCs w:val="0"/>
          <w:color w:val="202124"/>
          <w:sz w:val="24"/>
          <w:szCs w:val="24"/>
          <w:lang w:val="en"/>
        </w:rPr>
        <w:t xml:space="preserve"> licensed bank must be defined in the form of eight business </w:t>
      </w:r>
      <w:r w:rsidR="0081546B" w:rsidRPr="00DA4F3E">
        <w:rPr>
          <w:rFonts w:ascii="Times New Roman" w:hAnsi="Times New Roman" w:cs="Times New Roman"/>
          <w:b w:val="0"/>
          <w:bCs w:val="0"/>
          <w:color w:val="202124"/>
          <w:sz w:val="24"/>
          <w:szCs w:val="24"/>
          <w:lang w:val="en"/>
        </w:rPr>
        <w:t>lines</w:t>
      </w:r>
      <w:r w:rsidRPr="00DA4F3E">
        <w:rPr>
          <w:rFonts w:ascii="Times New Roman" w:hAnsi="Times New Roman" w:cs="Times New Roman"/>
          <w:b w:val="0"/>
          <w:bCs w:val="0"/>
          <w:color w:val="202124"/>
          <w:sz w:val="24"/>
          <w:szCs w:val="24"/>
          <w:lang w:val="en"/>
        </w:rPr>
        <w:t xml:space="preserve"> of the first level in a comprehensive and exclusive manner</w:t>
      </w:r>
      <w:r w:rsidR="0081546B" w:rsidRPr="00DA4F3E">
        <w:rPr>
          <w:rFonts w:ascii="Times New Roman" w:hAnsi="Times New Roman" w:cs="Times New Roman"/>
          <w:b w:val="0"/>
          <w:bCs w:val="0"/>
          <w:color w:val="202124"/>
          <w:sz w:val="24"/>
          <w:szCs w:val="24"/>
          <w:lang w:val="en"/>
        </w:rPr>
        <w:t>.</w:t>
      </w:r>
    </w:p>
    <w:p w:rsidR="0081546B" w:rsidRPr="00DA4F3E" w:rsidRDefault="0081546B" w:rsidP="000344BD">
      <w:pPr>
        <w:pStyle w:val="ListParagraph"/>
        <w:numPr>
          <w:ilvl w:val="0"/>
          <w:numId w:val="49"/>
        </w:numPr>
        <w:bidi w:val="0"/>
        <w:spacing w:after="0" w:line="276" w:lineRule="auto"/>
        <w:ind w:left="2610" w:hanging="450"/>
        <w:rPr>
          <w:rFonts w:ascii="Times New Roman" w:hAnsi="Times New Roman" w:cs="Times New Roman"/>
          <w:b w:val="0"/>
          <w:bCs w:val="0"/>
          <w:sz w:val="24"/>
          <w:szCs w:val="24"/>
        </w:rPr>
      </w:pPr>
      <w:r w:rsidRPr="00DA4F3E">
        <w:rPr>
          <w:rFonts w:ascii="Times New Roman" w:hAnsi="Times New Roman" w:cs="Times New Roman"/>
          <w:b w:val="0"/>
          <w:bCs w:val="0"/>
          <w:color w:val="202124"/>
          <w:sz w:val="24"/>
          <w:szCs w:val="24"/>
          <w:lang w:val="en"/>
        </w:rPr>
        <w:t>Any banking or non-banking activities that cannot be easily identified within the framework of business activities and that represent an activity attached to the original activity, must be assigned to the business</w:t>
      </w:r>
      <w:r w:rsidR="00D94462">
        <w:rPr>
          <w:rFonts w:ascii="Times New Roman" w:hAnsi="Times New Roman" w:cs="Times New Roman"/>
          <w:b w:val="0"/>
          <w:bCs w:val="0"/>
          <w:color w:val="202124"/>
          <w:sz w:val="24"/>
          <w:szCs w:val="24"/>
          <w:lang w:val="en"/>
        </w:rPr>
        <w:t xml:space="preserve"> lines</w:t>
      </w:r>
      <w:r w:rsidRPr="00DA4F3E">
        <w:rPr>
          <w:rFonts w:ascii="Times New Roman" w:hAnsi="Times New Roman" w:cs="Times New Roman"/>
          <w:b w:val="0"/>
          <w:bCs w:val="0"/>
          <w:color w:val="202124"/>
          <w:sz w:val="24"/>
          <w:szCs w:val="24"/>
          <w:lang w:val="en"/>
        </w:rPr>
        <w:t xml:space="preserve"> that supports it (including it to the nearest business line).</w:t>
      </w:r>
    </w:p>
    <w:p w:rsidR="0081546B" w:rsidRPr="00DA4F3E" w:rsidRDefault="006B250B" w:rsidP="000344BD">
      <w:pPr>
        <w:pStyle w:val="ListParagraph"/>
        <w:numPr>
          <w:ilvl w:val="0"/>
          <w:numId w:val="49"/>
        </w:numPr>
        <w:bidi w:val="0"/>
        <w:spacing w:after="0" w:line="276" w:lineRule="auto"/>
        <w:ind w:left="2610" w:hanging="450"/>
        <w:rPr>
          <w:rFonts w:ascii="Times New Roman" w:hAnsi="Times New Roman" w:cs="Times New Roman"/>
          <w:b w:val="0"/>
          <w:bCs w:val="0"/>
          <w:sz w:val="24"/>
          <w:szCs w:val="24"/>
        </w:rPr>
      </w:pPr>
      <w:r w:rsidRPr="00DA4F3E">
        <w:rPr>
          <w:rFonts w:ascii="Times New Roman" w:hAnsi="Times New Roman" w:cs="Times New Roman"/>
          <w:b w:val="0"/>
          <w:bCs w:val="0"/>
          <w:color w:val="202124"/>
          <w:sz w:val="24"/>
          <w:szCs w:val="24"/>
          <w:lang w:val="en"/>
        </w:rPr>
        <w:t xml:space="preserve">When </w:t>
      </w:r>
      <w:r w:rsidR="00E62D68" w:rsidRPr="00DA4F3E">
        <w:rPr>
          <w:rFonts w:ascii="Times New Roman" w:hAnsi="Times New Roman" w:cs="Times New Roman"/>
          <w:b w:val="0"/>
          <w:bCs w:val="0"/>
          <w:color w:val="202124"/>
          <w:sz w:val="24"/>
          <w:szCs w:val="24"/>
          <w:lang w:val="en"/>
        </w:rPr>
        <w:t>identify</w:t>
      </w:r>
      <w:r w:rsidRPr="00DA4F3E">
        <w:rPr>
          <w:rFonts w:ascii="Times New Roman" w:hAnsi="Times New Roman" w:cs="Times New Roman"/>
          <w:b w:val="0"/>
          <w:bCs w:val="0"/>
          <w:color w:val="202124"/>
          <w:sz w:val="24"/>
          <w:szCs w:val="24"/>
          <w:lang w:val="en"/>
        </w:rPr>
        <w:t xml:space="preserve"> the </w:t>
      </w:r>
      <w:r w:rsidR="00E62D68" w:rsidRPr="00DA4F3E">
        <w:rPr>
          <w:rFonts w:ascii="Times New Roman" w:hAnsi="Times New Roman" w:cs="Times New Roman"/>
          <w:b w:val="0"/>
          <w:bCs w:val="0"/>
          <w:color w:val="202124"/>
          <w:sz w:val="24"/>
          <w:szCs w:val="24"/>
        </w:rPr>
        <w:t>gross</w:t>
      </w:r>
      <w:r w:rsidRPr="00DA4F3E">
        <w:rPr>
          <w:rFonts w:ascii="Times New Roman" w:hAnsi="Times New Roman" w:cs="Times New Roman"/>
          <w:b w:val="0"/>
          <w:bCs w:val="0"/>
          <w:color w:val="202124"/>
          <w:sz w:val="24"/>
          <w:szCs w:val="24"/>
          <w:lang w:val="en"/>
        </w:rPr>
        <w:t xml:space="preserve"> income and if it is not possible to specify an activity in a specific activity plan,</w:t>
      </w:r>
      <w:r w:rsidR="00E62D68" w:rsidRPr="00DA4F3E">
        <w:rPr>
          <w:rFonts w:ascii="Times New Roman" w:hAnsi="Times New Roman" w:cs="Times New Roman"/>
          <w:b w:val="0"/>
          <w:bCs w:val="0"/>
          <w:color w:val="202124"/>
          <w:sz w:val="24"/>
          <w:szCs w:val="24"/>
          <w:lang w:val="en"/>
        </w:rPr>
        <w:t xml:space="preserve"> the bank activity that meets the highest percentage of the capital requirement must be used (18%), and any ancillary and accompanying activities will b</w:t>
      </w:r>
      <w:r w:rsidR="00D94462">
        <w:rPr>
          <w:rFonts w:ascii="Times New Roman" w:hAnsi="Times New Roman" w:cs="Times New Roman"/>
          <w:b w:val="0"/>
          <w:bCs w:val="0"/>
          <w:color w:val="202124"/>
          <w:sz w:val="24"/>
          <w:szCs w:val="24"/>
          <w:lang w:val="en"/>
        </w:rPr>
        <w:t>e subject to the same treatment.</w:t>
      </w:r>
    </w:p>
    <w:p w:rsidR="0081546B" w:rsidRPr="00DA4F3E" w:rsidRDefault="0081546B" w:rsidP="000344BD">
      <w:pPr>
        <w:pStyle w:val="ListParagraph"/>
        <w:numPr>
          <w:ilvl w:val="0"/>
          <w:numId w:val="49"/>
        </w:numPr>
        <w:bidi w:val="0"/>
        <w:spacing w:after="0" w:line="276" w:lineRule="auto"/>
        <w:ind w:left="2610" w:hanging="450"/>
        <w:rPr>
          <w:rFonts w:ascii="Times New Roman" w:hAnsi="Times New Roman" w:cs="Times New Roman"/>
          <w:b w:val="0"/>
          <w:bCs w:val="0"/>
          <w:sz w:val="24"/>
          <w:szCs w:val="24"/>
        </w:rPr>
      </w:pPr>
      <w:r w:rsidRPr="00DA4F3E">
        <w:rPr>
          <w:rFonts w:ascii="Times New Roman" w:eastAsiaTheme="minorHAnsi" w:hAnsi="Times New Roman" w:cs="Times New Roman"/>
          <w:b w:val="0"/>
          <w:bCs w:val="0"/>
          <w:sz w:val="24"/>
          <w:szCs w:val="24"/>
        </w:rPr>
        <w:t xml:space="preserve">The bank’s operational risk management system must be well documented. The bank must have a routine in place for ensuring compliance with a documented set of internal policies, controls and procedures concerning the operational risk management system, which must include policies for the treatment of non-compliance issues. </w:t>
      </w:r>
    </w:p>
    <w:p w:rsidR="00C30E5A" w:rsidRPr="00DA4F3E" w:rsidRDefault="00C30E5A" w:rsidP="000344BD">
      <w:pPr>
        <w:pStyle w:val="ListParagraph"/>
        <w:numPr>
          <w:ilvl w:val="0"/>
          <w:numId w:val="49"/>
        </w:numPr>
        <w:bidi w:val="0"/>
        <w:spacing w:after="0" w:line="276" w:lineRule="auto"/>
        <w:ind w:left="2610" w:hanging="450"/>
        <w:rPr>
          <w:rFonts w:ascii="Times New Roman" w:hAnsi="Times New Roman" w:cs="Times New Roman"/>
          <w:b w:val="0"/>
          <w:bCs w:val="0"/>
          <w:sz w:val="24"/>
          <w:szCs w:val="24"/>
        </w:rPr>
      </w:pPr>
      <w:r w:rsidRPr="00DA4F3E">
        <w:rPr>
          <w:rFonts w:ascii="Times New Roman" w:hAnsi="Times New Roman" w:cs="Times New Roman"/>
          <w:b w:val="0"/>
          <w:bCs w:val="0"/>
          <w:color w:val="202124"/>
          <w:sz w:val="24"/>
          <w:szCs w:val="24"/>
          <w:lang w:val="en"/>
        </w:rPr>
        <w:t>There must be procedures for defining any new activities or products.</w:t>
      </w:r>
    </w:p>
    <w:p w:rsidR="00C30E5A" w:rsidRPr="00DA4F3E" w:rsidRDefault="00C30E5A" w:rsidP="000344BD">
      <w:pPr>
        <w:pStyle w:val="ListParagraph"/>
        <w:numPr>
          <w:ilvl w:val="0"/>
          <w:numId w:val="49"/>
        </w:numPr>
        <w:bidi w:val="0"/>
        <w:spacing w:after="0" w:line="276" w:lineRule="auto"/>
        <w:ind w:left="2610" w:hanging="450"/>
        <w:rPr>
          <w:rFonts w:ascii="Times New Roman" w:hAnsi="Times New Roman" w:cs="Times New Roman"/>
          <w:b w:val="0"/>
          <w:bCs w:val="0"/>
          <w:sz w:val="24"/>
          <w:szCs w:val="24"/>
        </w:rPr>
      </w:pPr>
      <w:r w:rsidRPr="00DA4F3E">
        <w:rPr>
          <w:rFonts w:ascii="Times New Roman" w:eastAsiaTheme="minorHAnsi" w:hAnsi="Times New Roman" w:cs="Times New Roman"/>
          <w:b w:val="0"/>
          <w:bCs w:val="0"/>
          <w:sz w:val="24"/>
          <w:szCs w:val="24"/>
        </w:rPr>
        <w:t>The bank’s operational risk management processes and assessment system must be subject to validation and regular independent review</w:t>
      </w:r>
      <w:r w:rsidRPr="00DA4F3E">
        <w:rPr>
          <w:rFonts w:ascii="Times New Roman" w:hAnsi="Times New Roman" w:cs="Times New Roman"/>
          <w:b w:val="0"/>
          <w:bCs w:val="0"/>
          <w:color w:val="202124"/>
          <w:sz w:val="24"/>
          <w:szCs w:val="24"/>
          <w:lang w:val="en"/>
        </w:rPr>
        <w:t xml:space="preserve"> by the Risk Management Department and internal and external auditors.</w:t>
      </w:r>
    </w:p>
    <w:p w:rsidR="00C30E5A" w:rsidRPr="000344BD" w:rsidRDefault="00E62D68" w:rsidP="000344BD">
      <w:pPr>
        <w:pStyle w:val="ListParagraph"/>
        <w:numPr>
          <w:ilvl w:val="0"/>
          <w:numId w:val="49"/>
        </w:numPr>
        <w:bidi w:val="0"/>
        <w:spacing w:after="0" w:line="276" w:lineRule="auto"/>
        <w:ind w:left="2610" w:hanging="450"/>
        <w:rPr>
          <w:rFonts w:ascii="Times New Roman" w:hAnsi="Times New Roman" w:cs="Times New Roman"/>
          <w:b w:val="0"/>
          <w:bCs w:val="0"/>
          <w:sz w:val="24"/>
          <w:szCs w:val="24"/>
        </w:rPr>
      </w:pPr>
      <w:r w:rsidRPr="000344BD">
        <w:rPr>
          <w:rFonts w:ascii="Times New Roman" w:hAnsi="Times New Roman" w:cs="Times New Roman"/>
          <w:b w:val="0"/>
          <w:bCs w:val="0"/>
          <w:color w:val="202124"/>
          <w:sz w:val="24"/>
          <w:szCs w:val="24"/>
          <w:lang w:val="en"/>
        </w:rPr>
        <w:t xml:space="preserve">The Central Bank of Jordan has the right, and before permanently adopting this approach for the purposes of calculating the </w:t>
      </w:r>
      <w:r w:rsidR="00D94462" w:rsidRPr="000344BD">
        <w:rPr>
          <w:rFonts w:ascii="Times New Roman" w:hAnsi="Times New Roman" w:cs="Times New Roman"/>
          <w:b w:val="0"/>
          <w:bCs w:val="0"/>
          <w:color w:val="202124"/>
          <w:sz w:val="24"/>
          <w:szCs w:val="24"/>
          <w:lang w:val="en"/>
        </w:rPr>
        <w:t xml:space="preserve">operational risks </w:t>
      </w:r>
      <w:r w:rsidRPr="000344BD">
        <w:rPr>
          <w:rFonts w:ascii="Times New Roman" w:hAnsi="Times New Roman" w:cs="Times New Roman"/>
          <w:b w:val="0"/>
          <w:bCs w:val="0"/>
          <w:color w:val="202124"/>
          <w:sz w:val="24"/>
          <w:szCs w:val="24"/>
          <w:lang w:val="en"/>
        </w:rPr>
        <w:t xml:space="preserve">capital </w:t>
      </w:r>
      <w:r w:rsidR="00D94462" w:rsidRPr="000344BD">
        <w:rPr>
          <w:rFonts w:ascii="Times New Roman" w:hAnsi="Times New Roman" w:cs="Times New Roman"/>
          <w:b w:val="0"/>
          <w:bCs w:val="0"/>
          <w:color w:val="202124"/>
          <w:sz w:val="24"/>
          <w:szCs w:val="24"/>
          <w:lang w:val="en"/>
        </w:rPr>
        <w:t>charge</w:t>
      </w:r>
      <w:r w:rsidRPr="000344BD">
        <w:rPr>
          <w:rFonts w:ascii="Times New Roman" w:hAnsi="Times New Roman" w:cs="Times New Roman"/>
          <w:b w:val="0"/>
          <w:bCs w:val="0"/>
          <w:color w:val="202124"/>
          <w:sz w:val="24"/>
          <w:szCs w:val="24"/>
          <w:lang w:val="en"/>
        </w:rPr>
        <w:t>, monitor</w:t>
      </w:r>
      <w:r w:rsidR="000344BD" w:rsidRPr="000344BD">
        <w:rPr>
          <w:rFonts w:ascii="Times New Roman" w:hAnsi="Times New Roman" w:cs="Times New Roman"/>
          <w:b w:val="0"/>
          <w:bCs w:val="0"/>
          <w:color w:val="202124"/>
          <w:sz w:val="24"/>
          <w:szCs w:val="24"/>
          <w:lang w:val="en"/>
        </w:rPr>
        <w:t>ing</w:t>
      </w:r>
      <w:r w:rsidRPr="000344BD">
        <w:rPr>
          <w:rFonts w:ascii="Times New Roman" w:hAnsi="Times New Roman" w:cs="Times New Roman"/>
          <w:b w:val="0"/>
          <w:bCs w:val="0"/>
          <w:color w:val="202124"/>
          <w:sz w:val="24"/>
          <w:szCs w:val="24"/>
          <w:lang w:val="en"/>
        </w:rPr>
        <w:t xml:space="preserve"> the bank's experience in the application for a period of time and </w:t>
      </w:r>
      <w:r w:rsidR="000344BD" w:rsidRPr="000344BD">
        <w:rPr>
          <w:rFonts w:ascii="Times New Roman" w:hAnsi="Times New Roman" w:cs="Times New Roman"/>
          <w:b w:val="0"/>
          <w:bCs w:val="0"/>
          <w:color w:val="202124"/>
          <w:sz w:val="24"/>
          <w:szCs w:val="24"/>
          <w:lang w:val="en"/>
        </w:rPr>
        <w:t>ensuring</w:t>
      </w:r>
      <w:r w:rsidRPr="000344BD">
        <w:rPr>
          <w:rFonts w:ascii="Times New Roman" w:hAnsi="Times New Roman" w:cs="Times New Roman"/>
          <w:b w:val="0"/>
          <w:bCs w:val="0"/>
          <w:color w:val="202124"/>
          <w:sz w:val="24"/>
          <w:szCs w:val="24"/>
          <w:lang w:val="en"/>
        </w:rPr>
        <w:t xml:space="preserve"> its commitment to quantitative and qualitative standards</w:t>
      </w:r>
      <w:r w:rsidRPr="000344BD">
        <w:rPr>
          <w:rFonts w:ascii="Times New Roman" w:hAnsi="Times New Roman" w:cs="Times New Roman"/>
          <w:b w:val="0"/>
          <w:bCs w:val="0"/>
          <w:color w:val="202124"/>
          <w:sz w:val="24"/>
          <w:szCs w:val="24"/>
        </w:rPr>
        <w:t xml:space="preserve">. </w:t>
      </w:r>
      <w:r w:rsidRPr="000344BD">
        <w:rPr>
          <w:rFonts w:ascii="Times New Roman" w:hAnsi="Times New Roman" w:cs="Times New Roman"/>
          <w:b w:val="0"/>
          <w:bCs w:val="0"/>
          <w:color w:val="202124"/>
          <w:sz w:val="24"/>
          <w:szCs w:val="24"/>
          <w:lang w:val="en"/>
        </w:rPr>
        <w:t xml:space="preserve">In the event that the bank does not meet the requirements, it will not be permitted to convert to this </w:t>
      </w:r>
      <w:r w:rsidR="00591C77" w:rsidRPr="000344BD">
        <w:rPr>
          <w:rFonts w:ascii="Times New Roman" w:hAnsi="Times New Roman" w:cs="Times New Roman"/>
          <w:b w:val="0"/>
          <w:bCs w:val="0"/>
          <w:color w:val="202124"/>
          <w:sz w:val="24"/>
          <w:szCs w:val="24"/>
          <w:lang w:val="en"/>
        </w:rPr>
        <w:t>approach</w:t>
      </w:r>
      <w:r w:rsidRPr="000344BD">
        <w:rPr>
          <w:rFonts w:ascii="Times New Roman" w:hAnsi="Times New Roman" w:cs="Times New Roman"/>
          <w:b w:val="0"/>
          <w:bCs w:val="0"/>
          <w:color w:val="202124"/>
          <w:sz w:val="24"/>
          <w:szCs w:val="24"/>
          <w:lang w:val="en"/>
        </w:rPr>
        <w:t>.</w:t>
      </w:r>
    </w:p>
    <w:p w:rsidR="00D87C8A" w:rsidRPr="000344BD" w:rsidRDefault="00E24174" w:rsidP="00AA2027">
      <w:pPr>
        <w:pStyle w:val="ListParagraph"/>
        <w:numPr>
          <w:ilvl w:val="1"/>
          <w:numId w:val="21"/>
        </w:numPr>
        <w:bidi w:val="0"/>
        <w:spacing w:after="0" w:line="276" w:lineRule="auto"/>
        <w:ind w:left="1276" w:hanging="556"/>
        <w:rPr>
          <w:rFonts w:ascii="Times New Roman" w:hAnsi="Times New Roman" w:cs="Times New Roman"/>
          <w:b w:val="0"/>
          <w:bCs w:val="0"/>
          <w:sz w:val="24"/>
          <w:szCs w:val="24"/>
        </w:rPr>
      </w:pPr>
      <w:r w:rsidRPr="000344BD">
        <w:rPr>
          <w:rFonts w:ascii="Times New Roman" w:hAnsi="Times New Roman" w:cs="Times New Roman"/>
          <w:b w:val="0"/>
          <w:bCs w:val="0"/>
          <w:sz w:val="24"/>
          <w:szCs w:val="24"/>
        </w:rPr>
        <w:t>Operational risk-weighted assets</w:t>
      </w:r>
    </w:p>
    <w:p w:rsidR="00E24174" w:rsidRPr="00DA4F3E" w:rsidRDefault="00E24174" w:rsidP="00AA2027">
      <w:pPr>
        <w:pStyle w:val="ListParagraph"/>
        <w:bidi w:val="0"/>
        <w:spacing w:after="0" w:line="276" w:lineRule="auto"/>
        <w:ind w:left="1276"/>
        <w:rPr>
          <w:rFonts w:ascii="Times New Roman" w:hAnsi="Times New Roman" w:cs="Times New Roman"/>
          <w:b w:val="0"/>
          <w:bCs w:val="0"/>
          <w:color w:val="202124"/>
          <w:sz w:val="24"/>
          <w:szCs w:val="24"/>
          <w:lang w:val="en"/>
        </w:rPr>
      </w:pPr>
      <w:r w:rsidRPr="000344BD">
        <w:rPr>
          <w:rFonts w:ascii="Times New Roman" w:hAnsi="Times New Roman" w:cs="Times New Roman"/>
          <w:b w:val="0"/>
          <w:bCs w:val="0"/>
          <w:color w:val="202124"/>
          <w:sz w:val="24"/>
          <w:szCs w:val="24"/>
          <w:lang w:val="en"/>
        </w:rPr>
        <w:t>The total exposures weighted for operational risk is determined by multiplying the capital requirements for operational risk by (12.5) and adding the result to the total credit and market risk-weighted assets, to obtain the total risk weighted exposures that will be used to calculate the capital adequacy ratio (CAR).</w:t>
      </w:r>
    </w:p>
    <w:p w:rsidR="00AA2027" w:rsidRDefault="00AA2027" w:rsidP="00AA2027">
      <w:pPr>
        <w:pStyle w:val="ListParagraph"/>
        <w:bidi w:val="0"/>
        <w:spacing w:after="0" w:line="276" w:lineRule="auto"/>
        <w:ind w:left="1276"/>
        <w:rPr>
          <w:rFonts w:ascii="Times New Roman" w:hAnsi="Times New Roman" w:cs="Times New Roman"/>
          <w:b w:val="0"/>
          <w:bCs w:val="0"/>
          <w:color w:val="202124"/>
          <w:lang w:val="en"/>
        </w:rPr>
      </w:pPr>
    </w:p>
    <w:p w:rsidR="00C77C3A" w:rsidRDefault="00C77C3A" w:rsidP="00C77C3A">
      <w:pPr>
        <w:pStyle w:val="ListParagraph"/>
        <w:bidi w:val="0"/>
        <w:spacing w:after="0" w:line="276" w:lineRule="auto"/>
        <w:ind w:left="1276"/>
        <w:rPr>
          <w:rFonts w:ascii="Times New Roman" w:hAnsi="Times New Roman" w:cs="Times New Roman"/>
          <w:b w:val="0"/>
          <w:bCs w:val="0"/>
          <w:color w:val="202124"/>
          <w:lang w:val="en"/>
        </w:rPr>
      </w:pPr>
    </w:p>
    <w:p w:rsidR="00C77C3A" w:rsidRDefault="00C77C3A" w:rsidP="00C77C3A">
      <w:pPr>
        <w:pStyle w:val="ListParagraph"/>
        <w:bidi w:val="0"/>
        <w:spacing w:after="0" w:line="276" w:lineRule="auto"/>
        <w:ind w:left="1276"/>
        <w:rPr>
          <w:rFonts w:ascii="Times New Roman" w:hAnsi="Times New Roman" w:cs="Times New Roman"/>
          <w:b w:val="0"/>
          <w:bCs w:val="0"/>
          <w:color w:val="202124"/>
          <w:lang w:val="en"/>
        </w:rPr>
      </w:pPr>
    </w:p>
    <w:p w:rsidR="00C77C3A" w:rsidRDefault="00C77C3A" w:rsidP="00C77C3A">
      <w:pPr>
        <w:pStyle w:val="ListParagraph"/>
        <w:bidi w:val="0"/>
        <w:spacing w:after="0" w:line="276" w:lineRule="auto"/>
        <w:ind w:left="1276"/>
        <w:rPr>
          <w:rFonts w:ascii="Times New Roman" w:hAnsi="Times New Roman" w:cs="Times New Roman"/>
          <w:b w:val="0"/>
          <w:bCs w:val="0"/>
          <w:color w:val="202124"/>
          <w:lang w:val="en"/>
        </w:rPr>
      </w:pPr>
    </w:p>
    <w:p w:rsidR="00393C31" w:rsidRPr="00AA2027" w:rsidRDefault="00E24174" w:rsidP="00DA4F3E">
      <w:pPr>
        <w:pStyle w:val="Heading2"/>
        <w:bidi w:val="0"/>
      </w:pPr>
      <w:bookmarkStart w:id="55" w:name="_Toc65354407"/>
      <w:r w:rsidRPr="00AA2027">
        <w:rPr>
          <w:lang w:bidi="ar-JO"/>
        </w:rPr>
        <w:lastRenderedPageBreak/>
        <w:t xml:space="preserve">Fourth: </w:t>
      </w:r>
      <w:r w:rsidRPr="00AA2027">
        <w:t>Market Risk – Standardized Approach</w:t>
      </w:r>
      <w:bookmarkEnd w:id="55"/>
    </w:p>
    <w:p w:rsidR="00E24174" w:rsidRPr="00DA4F3E" w:rsidRDefault="00FD34A2" w:rsidP="000344BD">
      <w:pPr>
        <w:bidi w:val="0"/>
        <w:spacing w:after="0" w:line="276" w:lineRule="auto"/>
        <w:rPr>
          <w:rFonts w:ascii="Times New Roman" w:hAnsi="Times New Roman" w:cs="Times New Roman"/>
          <w:b w:val="0"/>
          <w:bCs w:val="0"/>
          <w:color w:val="202124"/>
          <w:sz w:val="24"/>
          <w:szCs w:val="24"/>
          <w:lang w:val="en"/>
        </w:rPr>
      </w:pPr>
      <w:r w:rsidRPr="0039339A">
        <w:rPr>
          <w:rFonts w:ascii="Times New Roman" w:hAnsi="Times New Roman" w:cs="Times New Roman"/>
          <w:b w:val="0"/>
          <w:bCs w:val="0"/>
          <w:color w:val="202124"/>
          <w:sz w:val="24"/>
          <w:szCs w:val="24"/>
          <w:lang w:val="en"/>
        </w:rPr>
        <w:t xml:space="preserve">This clause </w:t>
      </w:r>
      <w:r w:rsidR="0039339A" w:rsidRPr="0039339A">
        <w:rPr>
          <w:rFonts w:ascii="Times New Roman" w:hAnsi="Times New Roman" w:cs="Times New Roman"/>
          <w:b w:val="0"/>
          <w:bCs w:val="0"/>
          <w:color w:val="202124"/>
          <w:sz w:val="24"/>
          <w:szCs w:val="24"/>
          <w:lang w:val="en"/>
        </w:rPr>
        <w:t xml:space="preserve">of instructions </w:t>
      </w:r>
      <w:r w:rsidRPr="0039339A">
        <w:rPr>
          <w:rFonts w:ascii="Times New Roman" w:hAnsi="Times New Roman" w:cs="Times New Roman"/>
          <w:b w:val="0"/>
          <w:bCs w:val="0"/>
          <w:color w:val="202124"/>
          <w:sz w:val="24"/>
          <w:szCs w:val="24"/>
          <w:lang w:val="en"/>
        </w:rPr>
        <w:t xml:space="preserve">aims to ensure that all banks operating in the Kingdom that </w:t>
      </w:r>
      <w:r w:rsidR="000344BD" w:rsidRPr="0039339A">
        <w:rPr>
          <w:rFonts w:ascii="Times New Roman" w:hAnsi="Times New Roman" w:cs="Times New Roman"/>
          <w:b w:val="0"/>
          <w:bCs w:val="0"/>
          <w:color w:val="202124"/>
          <w:sz w:val="24"/>
          <w:szCs w:val="24"/>
          <w:lang w:val="en"/>
        </w:rPr>
        <w:t xml:space="preserve">exercise </w:t>
      </w:r>
      <w:r w:rsidRPr="0039339A">
        <w:rPr>
          <w:rFonts w:ascii="Times New Roman" w:hAnsi="Times New Roman" w:cs="Times New Roman"/>
          <w:b w:val="0"/>
          <w:bCs w:val="0"/>
          <w:color w:val="202124"/>
          <w:sz w:val="24"/>
          <w:szCs w:val="24"/>
          <w:lang w:val="en"/>
        </w:rPr>
        <w:t>activities that entail risks associated with potential changes in market prices apply</w:t>
      </w:r>
      <w:r w:rsidR="00435470" w:rsidRPr="0039339A">
        <w:rPr>
          <w:rFonts w:ascii="Times New Roman" w:hAnsi="Times New Roman" w:cs="Times New Roman"/>
          <w:b w:val="0"/>
          <w:bCs w:val="0"/>
          <w:color w:val="202124"/>
          <w:sz w:val="24"/>
          <w:szCs w:val="24"/>
          <w:lang w:val="en"/>
        </w:rPr>
        <w:t>ing the</w:t>
      </w:r>
      <w:r w:rsidRPr="0039339A">
        <w:rPr>
          <w:rFonts w:ascii="Times New Roman" w:hAnsi="Times New Roman" w:cs="Times New Roman"/>
          <w:b w:val="0"/>
          <w:bCs w:val="0"/>
          <w:color w:val="202124"/>
          <w:sz w:val="24"/>
          <w:szCs w:val="24"/>
          <w:lang w:val="en"/>
        </w:rPr>
        <w:t xml:space="preserve"> minimum administrative and supervisory requirements, and continuously adheres to the regulatory capital requirements in proportion to these risks.</w:t>
      </w:r>
    </w:p>
    <w:p w:rsidR="00FD34A2" w:rsidRPr="00DA4F3E" w:rsidRDefault="00FD34A2" w:rsidP="007058D2">
      <w:pPr>
        <w:pStyle w:val="ListParagraph"/>
        <w:numPr>
          <w:ilvl w:val="0"/>
          <w:numId w:val="23"/>
        </w:numPr>
        <w:bidi w:val="0"/>
        <w:spacing w:after="0" w:line="276" w:lineRule="auto"/>
        <w:ind w:hanging="578"/>
        <w:rPr>
          <w:rFonts w:ascii="Times New Roman" w:hAnsi="Times New Roman" w:cs="Times New Roman"/>
          <w:sz w:val="24"/>
          <w:szCs w:val="24"/>
          <w:lang w:bidi="ar-JO"/>
        </w:rPr>
      </w:pPr>
      <w:r w:rsidRPr="00DA4F3E">
        <w:rPr>
          <w:rFonts w:ascii="Times New Roman" w:hAnsi="Times New Roman" w:cs="Times New Roman"/>
          <w:sz w:val="24"/>
          <w:szCs w:val="24"/>
          <w:lang w:bidi="ar-JO"/>
        </w:rPr>
        <w:t xml:space="preserve">Definitions: </w:t>
      </w:r>
    </w:p>
    <w:p w:rsidR="00FD34A2" w:rsidRPr="00DA4F3E" w:rsidRDefault="00FD34A2" w:rsidP="00435470">
      <w:pPr>
        <w:pStyle w:val="ListParagraph"/>
        <w:bidi w:val="0"/>
        <w:spacing w:after="0" w:line="276" w:lineRule="auto"/>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Market risk is defined as the losses</w:t>
      </w:r>
      <w:r w:rsidR="00435470" w:rsidRPr="00435470">
        <w:rPr>
          <w:rFonts w:ascii="Times New Roman" w:eastAsiaTheme="minorHAnsi" w:hAnsi="Times New Roman" w:cs="Times New Roman"/>
          <w:b w:val="0"/>
          <w:bCs w:val="0"/>
          <w:sz w:val="24"/>
          <w:szCs w:val="24"/>
        </w:rPr>
        <w:t xml:space="preserve"> that the bank may suffer as a result of maintaining any </w:t>
      </w:r>
      <w:r w:rsidR="00435470" w:rsidRPr="00DA4F3E">
        <w:rPr>
          <w:rFonts w:ascii="Times New Roman" w:eastAsiaTheme="minorHAnsi" w:hAnsi="Times New Roman" w:cs="Times New Roman"/>
          <w:b w:val="0"/>
          <w:bCs w:val="0"/>
          <w:sz w:val="24"/>
          <w:szCs w:val="24"/>
        </w:rPr>
        <w:t xml:space="preserve">on and off-balance-sheet </w:t>
      </w:r>
      <w:r w:rsidR="00435470" w:rsidRPr="00435470">
        <w:rPr>
          <w:rFonts w:ascii="Times New Roman" w:eastAsiaTheme="minorHAnsi" w:hAnsi="Times New Roman" w:cs="Times New Roman"/>
          <w:b w:val="0"/>
          <w:bCs w:val="0"/>
          <w:sz w:val="24"/>
          <w:szCs w:val="24"/>
        </w:rPr>
        <w:t>financial positions</w:t>
      </w:r>
      <w:r w:rsidR="00435470">
        <w:rPr>
          <w:rFonts w:ascii="Times New Roman" w:eastAsiaTheme="minorHAnsi" w:hAnsi="Times New Roman" w:cs="Times New Roman"/>
          <w:b w:val="0"/>
          <w:bCs w:val="0"/>
          <w:sz w:val="24"/>
          <w:szCs w:val="24"/>
        </w:rPr>
        <w:t xml:space="preserve"> </w:t>
      </w:r>
      <w:r w:rsidRPr="00DA4F3E">
        <w:rPr>
          <w:rFonts w:ascii="Times New Roman" w:eastAsiaTheme="minorHAnsi" w:hAnsi="Times New Roman" w:cs="Times New Roman"/>
          <w:b w:val="0"/>
          <w:bCs w:val="0"/>
          <w:sz w:val="24"/>
          <w:szCs w:val="24"/>
        </w:rPr>
        <w:t>arising from movements in market prices.</w:t>
      </w:r>
    </w:p>
    <w:p w:rsidR="00FD34A2" w:rsidRPr="00DA4F3E" w:rsidRDefault="009D6004" w:rsidP="007058D2">
      <w:pPr>
        <w:pStyle w:val="ListParagraph"/>
        <w:numPr>
          <w:ilvl w:val="1"/>
          <w:numId w:val="23"/>
        </w:numPr>
        <w:bidi w:val="0"/>
        <w:spacing w:after="0" w:line="276" w:lineRule="auto"/>
        <w:ind w:left="1276" w:hanging="556"/>
        <w:rPr>
          <w:rFonts w:ascii="Times New Roman" w:hAnsi="Times New Roman" w:cs="Times New Roman"/>
          <w:b w:val="0"/>
          <w:bCs w:val="0"/>
          <w:color w:val="202124"/>
          <w:sz w:val="24"/>
          <w:szCs w:val="24"/>
          <w:rtl/>
          <w:lang w:val="en"/>
        </w:rPr>
      </w:pPr>
      <w:r w:rsidRPr="00DA4F3E">
        <w:rPr>
          <w:rFonts w:ascii="Times New Roman" w:hAnsi="Times New Roman" w:cs="Times New Roman"/>
          <w:b w:val="0"/>
          <w:bCs w:val="0"/>
          <w:color w:val="202124"/>
          <w:sz w:val="24"/>
          <w:szCs w:val="24"/>
          <w:lang w:val="en"/>
        </w:rPr>
        <w:t>Included within the definition are any actual financial positions or any financial positions resulting from financial derivatives</w:t>
      </w:r>
    </w:p>
    <w:p w:rsidR="009D6004" w:rsidRPr="00DA4F3E" w:rsidRDefault="009D6004" w:rsidP="007058D2">
      <w:pPr>
        <w:pStyle w:val="ListParagraph"/>
        <w:numPr>
          <w:ilvl w:val="1"/>
          <w:numId w:val="23"/>
        </w:numPr>
        <w:bidi w:val="0"/>
        <w:spacing w:after="0" w:line="276" w:lineRule="auto"/>
        <w:ind w:left="1276" w:hanging="556"/>
        <w:rPr>
          <w:rFonts w:ascii="Times New Roman" w:hAnsi="Times New Roman" w:cs="Times New Roman"/>
          <w:b w:val="0"/>
          <w:bCs w:val="0"/>
          <w:sz w:val="24"/>
          <w:szCs w:val="24"/>
          <w:lang w:bidi="ar-JO"/>
        </w:rPr>
      </w:pPr>
      <w:r w:rsidRPr="00DA4F3E">
        <w:rPr>
          <w:rFonts w:ascii="Times New Roman" w:hAnsi="Times New Roman" w:cs="Times New Roman"/>
          <w:b w:val="0"/>
          <w:bCs w:val="0"/>
          <w:color w:val="202124"/>
          <w:sz w:val="24"/>
          <w:szCs w:val="24"/>
          <w:lang w:val="en"/>
        </w:rPr>
        <w:t>Market risk is divided into four main categories</w:t>
      </w:r>
      <w:r w:rsidRPr="00DA4F3E">
        <w:rPr>
          <w:rFonts w:ascii="Times New Roman" w:hAnsi="Times New Roman" w:cs="Times New Roman"/>
          <w:b w:val="0"/>
          <w:bCs w:val="0"/>
          <w:color w:val="202124"/>
          <w:sz w:val="24"/>
          <w:szCs w:val="24"/>
          <w:rtl/>
          <w:lang w:val="en"/>
        </w:rPr>
        <w:t>:</w:t>
      </w:r>
    </w:p>
    <w:p w:rsidR="009D6004" w:rsidRPr="00DA4F3E" w:rsidRDefault="009D6004" w:rsidP="007058D2">
      <w:pPr>
        <w:pStyle w:val="ListParagraph"/>
        <w:numPr>
          <w:ilvl w:val="2"/>
          <w:numId w:val="23"/>
        </w:numPr>
        <w:bidi w:val="0"/>
        <w:spacing w:after="0" w:line="276" w:lineRule="auto"/>
        <w:ind w:left="2127" w:hanging="851"/>
        <w:rPr>
          <w:rFonts w:ascii="Times New Roman" w:hAnsi="Times New Roman" w:cs="Times New Roman"/>
          <w:b w:val="0"/>
          <w:bCs w:val="0"/>
          <w:color w:val="202124"/>
          <w:sz w:val="24"/>
          <w:szCs w:val="24"/>
          <w:lang w:val="en"/>
        </w:rPr>
      </w:pPr>
      <w:r w:rsidRPr="00DA4F3E">
        <w:rPr>
          <w:rFonts w:ascii="Times New Roman" w:hAnsi="Times New Roman" w:cs="Times New Roman"/>
          <w:b w:val="0"/>
          <w:bCs w:val="0"/>
          <w:color w:val="202124"/>
          <w:sz w:val="24"/>
          <w:szCs w:val="24"/>
          <w:lang w:val="en"/>
        </w:rPr>
        <w:t>Interest rate risk.</w:t>
      </w:r>
    </w:p>
    <w:p w:rsidR="009D6004" w:rsidRPr="00DA4F3E" w:rsidRDefault="009D6004" w:rsidP="007058D2">
      <w:pPr>
        <w:pStyle w:val="ListParagraph"/>
        <w:numPr>
          <w:ilvl w:val="2"/>
          <w:numId w:val="23"/>
        </w:numPr>
        <w:bidi w:val="0"/>
        <w:spacing w:after="0" w:line="276" w:lineRule="auto"/>
        <w:ind w:left="2127" w:hanging="851"/>
        <w:rPr>
          <w:rFonts w:ascii="Times New Roman" w:hAnsi="Times New Roman" w:cs="Times New Roman"/>
          <w:b w:val="0"/>
          <w:bCs w:val="0"/>
          <w:sz w:val="24"/>
          <w:szCs w:val="24"/>
          <w:lang w:bidi="ar-JO"/>
        </w:rPr>
      </w:pPr>
      <w:r w:rsidRPr="00DA4F3E">
        <w:rPr>
          <w:rFonts w:ascii="Times New Roman" w:hAnsi="Times New Roman" w:cs="Times New Roman"/>
          <w:b w:val="0"/>
          <w:bCs w:val="0"/>
          <w:color w:val="202124"/>
          <w:sz w:val="24"/>
          <w:szCs w:val="24"/>
          <w:lang w:val="en"/>
        </w:rPr>
        <w:t>Exchange rate risk.</w:t>
      </w:r>
    </w:p>
    <w:p w:rsidR="009D6004" w:rsidRPr="00DA4F3E" w:rsidRDefault="009D6004" w:rsidP="007058D2">
      <w:pPr>
        <w:pStyle w:val="ListParagraph"/>
        <w:numPr>
          <w:ilvl w:val="2"/>
          <w:numId w:val="23"/>
        </w:numPr>
        <w:bidi w:val="0"/>
        <w:spacing w:after="0" w:line="276" w:lineRule="auto"/>
        <w:ind w:left="2127" w:hanging="851"/>
        <w:rPr>
          <w:rFonts w:ascii="Times New Roman" w:hAnsi="Times New Roman" w:cs="Times New Roman"/>
          <w:b w:val="0"/>
          <w:bCs w:val="0"/>
          <w:sz w:val="24"/>
          <w:szCs w:val="24"/>
          <w:lang w:bidi="ar-JO"/>
        </w:rPr>
      </w:pPr>
      <w:r w:rsidRPr="00DA4F3E">
        <w:rPr>
          <w:rFonts w:ascii="Times New Roman" w:hAnsi="Times New Roman" w:cs="Times New Roman"/>
          <w:b w:val="0"/>
          <w:bCs w:val="0"/>
          <w:color w:val="202124"/>
          <w:sz w:val="24"/>
          <w:szCs w:val="24"/>
          <w:lang w:val="en"/>
        </w:rPr>
        <w:t xml:space="preserve">Equity </w:t>
      </w:r>
      <w:r w:rsidR="00107AAE" w:rsidRPr="00DA4F3E">
        <w:rPr>
          <w:rFonts w:ascii="Times New Roman" w:hAnsi="Times New Roman" w:cs="Times New Roman"/>
          <w:b w:val="0"/>
          <w:bCs w:val="0"/>
          <w:sz w:val="24"/>
          <w:szCs w:val="24"/>
        </w:rPr>
        <w:t xml:space="preserve">position </w:t>
      </w:r>
      <w:r w:rsidRPr="00DA4F3E">
        <w:rPr>
          <w:rFonts w:ascii="Times New Roman" w:hAnsi="Times New Roman" w:cs="Times New Roman"/>
          <w:b w:val="0"/>
          <w:bCs w:val="0"/>
          <w:color w:val="202124"/>
          <w:sz w:val="24"/>
          <w:szCs w:val="24"/>
          <w:lang w:val="en"/>
        </w:rPr>
        <w:t>risk.</w:t>
      </w:r>
    </w:p>
    <w:p w:rsidR="009D6004" w:rsidRPr="00DA4F3E" w:rsidRDefault="009D6004" w:rsidP="007058D2">
      <w:pPr>
        <w:pStyle w:val="ListParagraph"/>
        <w:numPr>
          <w:ilvl w:val="2"/>
          <w:numId w:val="23"/>
        </w:numPr>
        <w:bidi w:val="0"/>
        <w:spacing w:after="0" w:line="276" w:lineRule="auto"/>
        <w:ind w:left="2127" w:hanging="851"/>
        <w:rPr>
          <w:rFonts w:ascii="Times New Roman" w:hAnsi="Times New Roman" w:cs="Times New Roman"/>
          <w:b w:val="0"/>
          <w:bCs w:val="0"/>
          <w:sz w:val="24"/>
          <w:szCs w:val="24"/>
          <w:lang w:bidi="ar-JO"/>
        </w:rPr>
      </w:pPr>
      <w:r w:rsidRPr="00DA4F3E">
        <w:rPr>
          <w:rFonts w:ascii="Times New Roman" w:eastAsiaTheme="minorHAnsi" w:hAnsi="Times New Roman" w:cs="Times New Roman"/>
          <w:b w:val="0"/>
          <w:bCs w:val="0"/>
          <w:sz w:val="24"/>
          <w:szCs w:val="24"/>
        </w:rPr>
        <w:t xml:space="preserve">Commodities </w:t>
      </w:r>
      <w:r w:rsidRPr="00DA4F3E">
        <w:rPr>
          <w:rFonts w:ascii="Times New Roman" w:hAnsi="Times New Roman" w:cs="Times New Roman"/>
          <w:b w:val="0"/>
          <w:bCs w:val="0"/>
          <w:color w:val="202124"/>
          <w:sz w:val="24"/>
          <w:szCs w:val="24"/>
          <w:lang w:val="en"/>
        </w:rPr>
        <w:t>risk.</w:t>
      </w:r>
    </w:p>
    <w:p w:rsidR="009D6004" w:rsidRPr="00DA4F3E" w:rsidRDefault="00107AAE" w:rsidP="007058D2">
      <w:pPr>
        <w:pStyle w:val="ListParagraph"/>
        <w:numPr>
          <w:ilvl w:val="1"/>
          <w:numId w:val="23"/>
        </w:numPr>
        <w:bidi w:val="0"/>
        <w:spacing w:after="0" w:line="276" w:lineRule="auto"/>
        <w:ind w:left="1276" w:hanging="556"/>
        <w:rPr>
          <w:rFonts w:ascii="Times New Roman" w:hAnsi="Times New Roman" w:cs="Times New Roman"/>
          <w:b w:val="0"/>
          <w:bCs w:val="0"/>
          <w:sz w:val="24"/>
          <w:szCs w:val="24"/>
          <w:lang w:bidi="ar-JO"/>
        </w:rPr>
      </w:pPr>
      <w:r w:rsidRPr="00DA4F3E">
        <w:rPr>
          <w:rFonts w:ascii="Times New Roman" w:hAnsi="Times New Roman" w:cs="Times New Roman"/>
          <w:b w:val="0"/>
          <w:bCs w:val="0"/>
          <w:color w:val="202124"/>
          <w:sz w:val="24"/>
          <w:szCs w:val="24"/>
          <w:lang w:val="en"/>
        </w:rPr>
        <w:t>Market risk consists of two main types:</w:t>
      </w:r>
    </w:p>
    <w:p w:rsidR="00107AAE" w:rsidRPr="00DA4F3E" w:rsidRDefault="00107AAE" w:rsidP="007058D2">
      <w:pPr>
        <w:pStyle w:val="ListParagraph"/>
        <w:numPr>
          <w:ilvl w:val="2"/>
          <w:numId w:val="23"/>
        </w:numPr>
        <w:bidi w:val="0"/>
        <w:spacing w:after="0" w:line="276" w:lineRule="auto"/>
        <w:ind w:left="2127" w:hanging="851"/>
        <w:rPr>
          <w:rFonts w:ascii="Times New Roman" w:hAnsi="Times New Roman" w:cs="Times New Roman"/>
          <w:b w:val="0"/>
          <w:bCs w:val="0"/>
          <w:sz w:val="24"/>
          <w:szCs w:val="24"/>
        </w:rPr>
      </w:pPr>
      <w:r w:rsidRPr="00DA4F3E">
        <w:rPr>
          <w:rFonts w:ascii="Times New Roman" w:hAnsi="Times New Roman" w:cs="Times New Roman"/>
          <w:b w:val="0"/>
          <w:bCs w:val="0"/>
          <w:sz w:val="24"/>
          <w:szCs w:val="24"/>
        </w:rPr>
        <w:t>General Market Risk:</w:t>
      </w:r>
    </w:p>
    <w:p w:rsidR="00107AAE" w:rsidRPr="00DA4F3E" w:rsidRDefault="007058D2" w:rsidP="007058D2">
      <w:pPr>
        <w:pStyle w:val="ListParagraph"/>
        <w:bidi w:val="0"/>
        <w:spacing w:after="0" w:line="276" w:lineRule="auto"/>
        <w:ind w:left="2127"/>
        <w:rPr>
          <w:rFonts w:ascii="Times New Roman" w:hAnsi="Times New Roman" w:cs="Times New Roman"/>
          <w:b w:val="0"/>
          <w:bCs w:val="0"/>
          <w:sz w:val="24"/>
          <w:szCs w:val="24"/>
        </w:rPr>
      </w:pPr>
      <w:r w:rsidRPr="00DA4F3E">
        <w:rPr>
          <w:rFonts w:ascii="Times New Roman" w:hAnsi="Times New Roman" w:cs="Times New Roman"/>
          <w:b w:val="0"/>
          <w:bCs w:val="0"/>
          <w:sz w:val="24"/>
          <w:szCs w:val="24"/>
        </w:rPr>
        <w:t>T</w:t>
      </w:r>
      <w:r w:rsidR="00107AAE" w:rsidRPr="00DA4F3E">
        <w:rPr>
          <w:rFonts w:ascii="Times New Roman" w:hAnsi="Times New Roman" w:cs="Times New Roman"/>
          <w:b w:val="0"/>
          <w:bCs w:val="0"/>
          <w:sz w:val="24"/>
          <w:szCs w:val="24"/>
        </w:rPr>
        <w:t xml:space="preserve">he risk of loss arising from </w:t>
      </w:r>
      <w:r w:rsidR="00023E8A" w:rsidRPr="00DA4F3E">
        <w:rPr>
          <w:rFonts w:ascii="Times New Roman" w:hAnsi="Times New Roman" w:cs="Times New Roman"/>
          <w:b w:val="0"/>
          <w:bCs w:val="0"/>
          <w:sz w:val="24"/>
          <w:szCs w:val="24"/>
        </w:rPr>
        <w:t xml:space="preserve">changes in market prices or in interest rates, </w:t>
      </w:r>
      <w:r w:rsidR="00023E8A" w:rsidRPr="00DA4F3E">
        <w:rPr>
          <w:rFonts w:ascii="Times New Roman" w:hAnsi="Times New Roman" w:cs="Times New Roman"/>
          <w:b w:val="0"/>
          <w:bCs w:val="0"/>
          <w:color w:val="202124"/>
          <w:sz w:val="24"/>
          <w:szCs w:val="24"/>
          <w:lang w:val="en"/>
        </w:rPr>
        <w:t>which affects the value of financial positions related to interest rates, equity positions, exchange rates and commodities.</w:t>
      </w:r>
    </w:p>
    <w:p w:rsidR="00107AAE" w:rsidRPr="00DA4F3E" w:rsidRDefault="00023E8A" w:rsidP="007058D2">
      <w:pPr>
        <w:pStyle w:val="ListParagraph"/>
        <w:numPr>
          <w:ilvl w:val="2"/>
          <w:numId w:val="23"/>
        </w:numPr>
        <w:bidi w:val="0"/>
        <w:spacing w:after="0" w:line="276" w:lineRule="auto"/>
        <w:ind w:left="2127" w:hanging="851"/>
        <w:rPr>
          <w:rFonts w:ascii="Times New Roman" w:hAnsi="Times New Roman" w:cs="Times New Roman"/>
          <w:b w:val="0"/>
          <w:bCs w:val="0"/>
          <w:sz w:val="24"/>
          <w:szCs w:val="24"/>
          <w:lang w:bidi="ar-JO"/>
        </w:rPr>
      </w:pPr>
      <w:r w:rsidRPr="00DA4F3E">
        <w:rPr>
          <w:rFonts w:ascii="Times New Roman" w:hAnsi="Times New Roman" w:cs="Times New Roman"/>
          <w:b w:val="0"/>
          <w:bCs w:val="0"/>
          <w:sz w:val="24"/>
          <w:szCs w:val="24"/>
        </w:rPr>
        <w:t>Specific Risk:</w:t>
      </w:r>
    </w:p>
    <w:p w:rsidR="00023E8A" w:rsidRPr="00DA4F3E" w:rsidRDefault="007058D2" w:rsidP="007058D2">
      <w:pPr>
        <w:pStyle w:val="ListParagraph"/>
        <w:bidi w:val="0"/>
        <w:spacing w:after="0" w:line="276" w:lineRule="auto"/>
        <w:ind w:left="2127"/>
        <w:rPr>
          <w:rFonts w:ascii="Times New Roman" w:hAnsi="Times New Roman" w:cs="Times New Roman"/>
          <w:b w:val="0"/>
          <w:bCs w:val="0"/>
          <w:sz w:val="24"/>
          <w:szCs w:val="24"/>
        </w:rPr>
      </w:pPr>
      <w:r w:rsidRPr="00DA4F3E">
        <w:rPr>
          <w:rFonts w:ascii="Times New Roman" w:hAnsi="Times New Roman" w:cs="Times New Roman"/>
          <w:b w:val="0"/>
          <w:bCs w:val="0"/>
          <w:sz w:val="24"/>
          <w:szCs w:val="24"/>
        </w:rPr>
        <w:t>T</w:t>
      </w:r>
      <w:r w:rsidR="00023E8A" w:rsidRPr="00DA4F3E">
        <w:rPr>
          <w:rFonts w:ascii="Times New Roman" w:hAnsi="Times New Roman" w:cs="Times New Roman"/>
          <w:b w:val="0"/>
          <w:bCs w:val="0"/>
          <w:sz w:val="24"/>
          <w:szCs w:val="24"/>
        </w:rPr>
        <w:t>he risk of</w:t>
      </w:r>
      <w:r w:rsidR="00023E8A" w:rsidRPr="00DA4F3E">
        <w:rPr>
          <w:rFonts w:ascii="Times New Roman" w:hAnsi="Times New Roman" w:cs="Times New Roman"/>
          <w:b w:val="0"/>
          <w:bCs w:val="0"/>
          <w:color w:val="202124"/>
          <w:sz w:val="24"/>
          <w:szCs w:val="24"/>
          <w:lang w:val="en"/>
        </w:rPr>
        <w:t xml:space="preserve"> changing the price of a financial instrument </w:t>
      </w:r>
      <w:r w:rsidR="00023E8A" w:rsidRPr="00DA4F3E">
        <w:rPr>
          <w:rFonts w:ascii="Times New Roman" w:hAnsi="Times New Roman" w:cs="Times New Roman"/>
          <w:b w:val="0"/>
          <w:bCs w:val="0"/>
          <w:sz w:val="24"/>
          <w:szCs w:val="24"/>
        </w:rPr>
        <w:t>due to factors related to the issuer,</w:t>
      </w:r>
      <w:r w:rsidR="00023E8A" w:rsidRPr="00DA4F3E">
        <w:rPr>
          <w:rFonts w:ascii="Times New Roman" w:hAnsi="Times New Roman" w:cs="Times New Roman"/>
          <w:b w:val="0"/>
          <w:bCs w:val="0"/>
          <w:color w:val="202124"/>
          <w:sz w:val="24"/>
          <w:szCs w:val="24"/>
          <w:lang w:val="en"/>
        </w:rPr>
        <w:t xml:space="preserve"> it applies to financial positions related to interest rates and equity instruments issued by this entity.</w:t>
      </w:r>
      <w:r w:rsidR="00023E8A" w:rsidRPr="00DA4F3E">
        <w:rPr>
          <w:rFonts w:ascii="Times New Roman" w:hAnsi="Times New Roman" w:cs="Times New Roman"/>
          <w:b w:val="0"/>
          <w:bCs w:val="0"/>
          <w:sz w:val="24"/>
          <w:szCs w:val="24"/>
        </w:rPr>
        <w:t xml:space="preserve"> </w:t>
      </w:r>
    </w:p>
    <w:p w:rsidR="00FD34A2" w:rsidRPr="00DA4F3E" w:rsidRDefault="00023E8A" w:rsidP="007058D2">
      <w:pPr>
        <w:pStyle w:val="ListParagraph"/>
        <w:numPr>
          <w:ilvl w:val="0"/>
          <w:numId w:val="23"/>
        </w:numPr>
        <w:bidi w:val="0"/>
        <w:spacing w:after="0" w:line="276" w:lineRule="auto"/>
        <w:ind w:hanging="578"/>
        <w:rPr>
          <w:rFonts w:ascii="Times New Roman" w:hAnsi="Times New Roman" w:cs="Times New Roman"/>
          <w:sz w:val="24"/>
          <w:szCs w:val="24"/>
          <w:lang w:bidi="ar-JO"/>
        </w:rPr>
      </w:pPr>
      <w:r w:rsidRPr="00DA4F3E">
        <w:rPr>
          <w:rFonts w:ascii="Times New Roman" w:hAnsi="Times New Roman" w:cs="Times New Roman"/>
          <w:sz w:val="24"/>
          <w:szCs w:val="24"/>
        </w:rPr>
        <w:t>Key Principles:</w:t>
      </w:r>
    </w:p>
    <w:p w:rsidR="00023E8A" w:rsidRPr="00DA4F3E" w:rsidRDefault="00023E8A" w:rsidP="00F26C75">
      <w:pPr>
        <w:pStyle w:val="ListParagraph"/>
        <w:numPr>
          <w:ilvl w:val="1"/>
          <w:numId w:val="23"/>
        </w:numPr>
        <w:bidi w:val="0"/>
        <w:spacing w:after="0" w:line="276" w:lineRule="auto"/>
        <w:ind w:left="1276" w:hanging="556"/>
        <w:rPr>
          <w:rFonts w:ascii="Times New Roman" w:hAnsi="Times New Roman" w:cs="Times New Roman"/>
          <w:b w:val="0"/>
          <w:bCs w:val="0"/>
          <w:color w:val="202124"/>
          <w:sz w:val="24"/>
          <w:szCs w:val="24"/>
          <w:lang w:val="en"/>
        </w:rPr>
      </w:pPr>
      <w:r w:rsidRPr="00DA4F3E">
        <w:rPr>
          <w:rFonts w:ascii="Times New Roman" w:hAnsi="Times New Roman" w:cs="Times New Roman"/>
          <w:b w:val="0"/>
          <w:bCs w:val="0"/>
          <w:color w:val="202124"/>
          <w:sz w:val="24"/>
          <w:szCs w:val="24"/>
          <w:lang w:val="en"/>
        </w:rPr>
        <w:t xml:space="preserve">Banks are required to provide the Central Bank with a trading book policy that specifically states all financial activities and positions that fall within this </w:t>
      </w:r>
      <w:r w:rsidR="00F26C75">
        <w:rPr>
          <w:rFonts w:ascii="Times New Roman" w:hAnsi="Times New Roman" w:cs="Times New Roman"/>
          <w:b w:val="0"/>
          <w:bCs w:val="0"/>
          <w:color w:val="202124"/>
          <w:sz w:val="24"/>
          <w:szCs w:val="24"/>
          <w:lang w:val="en"/>
        </w:rPr>
        <w:t>book</w:t>
      </w:r>
      <w:r w:rsidR="00A62E78" w:rsidRPr="00DA4F3E">
        <w:rPr>
          <w:rFonts w:ascii="Times New Roman" w:hAnsi="Times New Roman" w:cs="Times New Roman"/>
          <w:b w:val="0"/>
          <w:bCs w:val="0"/>
          <w:color w:val="202124"/>
          <w:sz w:val="24"/>
          <w:szCs w:val="24"/>
          <w:lang w:val="en"/>
        </w:rPr>
        <w:t>.</w:t>
      </w:r>
    </w:p>
    <w:p w:rsidR="00A62E78" w:rsidRPr="00DA4F3E" w:rsidRDefault="00A62E78" w:rsidP="007058D2">
      <w:pPr>
        <w:pStyle w:val="ListParagraph"/>
        <w:numPr>
          <w:ilvl w:val="1"/>
          <w:numId w:val="23"/>
        </w:numPr>
        <w:bidi w:val="0"/>
        <w:spacing w:after="0" w:line="276" w:lineRule="auto"/>
        <w:ind w:left="1276" w:hanging="556"/>
        <w:rPr>
          <w:rFonts w:ascii="Times New Roman" w:hAnsi="Times New Roman" w:cs="Times New Roman"/>
          <w:b w:val="0"/>
          <w:bCs w:val="0"/>
          <w:sz w:val="24"/>
          <w:szCs w:val="24"/>
          <w:lang w:bidi="ar-JO"/>
        </w:rPr>
      </w:pPr>
      <w:r w:rsidRPr="00DA4F3E">
        <w:rPr>
          <w:rFonts w:ascii="Times New Roman" w:hAnsi="Times New Roman" w:cs="Times New Roman"/>
          <w:b w:val="0"/>
          <w:bCs w:val="0"/>
          <w:color w:val="202124"/>
          <w:sz w:val="24"/>
          <w:szCs w:val="24"/>
          <w:lang w:val="en"/>
        </w:rPr>
        <w:t>The bank must have prudent policies and procedures for evaluating positions within the trading book, in addition to having effective systems for measuring and managing market risks.</w:t>
      </w:r>
    </w:p>
    <w:p w:rsidR="00A62E78" w:rsidRPr="00DA4F3E" w:rsidRDefault="00A62E78" w:rsidP="007058D2">
      <w:pPr>
        <w:pStyle w:val="ListParagraph"/>
        <w:numPr>
          <w:ilvl w:val="1"/>
          <w:numId w:val="23"/>
        </w:numPr>
        <w:bidi w:val="0"/>
        <w:spacing w:after="0" w:line="276" w:lineRule="auto"/>
        <w:ind w:left="1276" w:hanging="556"/>
        <w:rPr>
          <w:rFonts w:ascii="Times New Roman" w:hAnsi="Times New Roman" w:cs="Times New Roman"/>
          <w:b w:val="0"/>
          <w:bCs w:val="0"/>
          <w:sz w:val="24"/>
          <w:szCs w:val="24"/>
          <w:lang w:bidi="ar-JO"/>
        </w:rPr>
      </w:pPr>
      <w:r w:rsidRPr="00DA4F3E">
        <w:rPr>
          <w:rFonts w:ascii="Times New Roman" w:hAnsi="Times New Roman" w:cs="Times New Roman"/>
          <w:b w:val="0"/>
          <w:bCs w:val="0"/>
          <w:color w:val="202124"/>
          <w:sz w:val="24"/>
          <w:szCs w:val="24"/>
          <w:lang w:val="en"/>
        </w:rPr>
        <w:t>Market risk is calculated at the end of each business day, and the values ​​of the calculation process must be included in the quarterly report on all business days during that period.</w:t>
      </w:r>
    </w:p>
    <w:p w:rsidR="00023E8A" w:rsidRPr="00DA4F3E" w:rsidRDefault="00A62E78" w:rsidP="007058D2">
      <w:pPr>
        <w:pStyle w:val="ListParagraph"/>
        <w:numPr>
          <w:ilvl w:val="0"/>
          <w:numId w:val="23"/>
        </w:numPr>
        <w:bidi w:val="0"/>
        <w:spacing w:after="0" w:line="276" w:lineRule="auto"/>
        <w:ind w:hanging="578"/>
        <w:rPr>
          <w:rFonts w:ascii="Times New Roman" w:hAnsi="Times New Roman" w:cs="Times New Roman"/>
          <w:sz w:val="24"/>
          <w:szCs w:val="24"/>
          <w:lang w:bidi="ar-JO"/>
        </w:rPr>
      </w:pPr>
      <w:r w:rsidRPr="00DA4F3E">
        <w:rPr>
          <w:rFonts w:ascii="Times New Roman" w:hAnsi="Times New Roman" w:cs="Times New Roman"/>
          <w:color w:val="202124"/>
          <w:sz w:val="24"/>
          <w:szCs w:val="24"/>
          <w:lang w:val="en"/>
        </w:rPr>
        <w:t>Responsibilities of the Board of Directors and Executive Management:</w:t>
      </w:r>
    </w:p>
    <w:p w:rsidR="00A62E78" w:rsidRPr="00DA4F3E" w:rsidRDefault="00A62E78" w:rsidP="007058D2">
      <w:pPr>
        <w:pStyle w:val="ListParagraph"/>
        <w:numPr>
          <w:ilvl w:val="1"/>
          <w:numId w:val="23"/>
        </w:numPr>
        <w:bidi w:val="0"/>
        <w:spacing w:after="0" w:line="276" w:lineRule="auto"/>
        <w:ind w:left="1276" w:hanging="556"/>
        <w:rPr>
          <w:rFonts w:ascii="Times New Roman" w:hAnsi="Times New Roman" w:cs="Times New Roman"/>
          <w:b w:val="0"/>
          <w:bCs w:val="0"/>
          <w:color w:val="202124"/>
          <w:sz w:val="24"/>
          <w:szCs w:val="24"/>
          <w:lang w:val="en"/>
        </w:rPr>
      </w:pPr>
      <w:r w:rsidRPr="00DA4F3E">
        <w:rPr>
          <w:rFonts w:ascii="Times New Roman" w:hAnsi="Times New Roman" w:cs="Times New Roman"/>
          <w:b w:val="0"/>
          <w:bCs w:val="0"/>
          <w:color w:val="202124"/>
          <w:sz w:val="24"/>
          <w:szCs w:val="24"/>
          <w:lang w:val="en"/>
        </w:rPr>
        <w:t>The Board of Directors shall approve strategies and policies related to market risks and ensure that the executive management takes all necessary steps to monitor and control these risks.</w:t>
      </w:r>
    </w:p>
    <w:p w:rsidR="00A62E78" w:rsidRPr="00DA4F3E" w:rsidRDefault="00A62E78" w:rsidP="007058D2">
      <w:pPr>
        <w:pStyle w:val="ListParagraph"/>
        <w:numPr>
          <w:ilvl w:val="1"/>
          <w:numId w:val="23"/>
        </w:numPr>
        <w:bidi w:val="0"/>
        <w:spacing w:after="0" w:line="276" w:lineRule="auto"/>
        <w:ind w:left="1276" w:hanging="556"/>
        <w:rPr>
          <w:rFonts w:ascii="Times New Roman" w:hAnsi="Times New Roman" w:cs="Times New Roman"/>
          <w:b w:val="0"/>
          <w:bCs w:val="0"/>
          <w:sz w:val="24"/>
          <w:szCs w:val="24"/>
          <w:lang w:bidi="ar-JO"/>
        </w:rPr>
      </w:pPr>
      <w:r w:rsidRPr="00DA4F3E">
        <w:rPr>
          <w:rFonts w:ascii="Times New Roman" w:hAnsi="Times New Roman" w:cs="Times New Roman"/>
          <w:b w:val="0"/>
          <w:bCs w:val="0"/>
          <w:color w:val="202124"/>
          <w:sz w:val="24"/>
          <w:szCs w:val="24"/>
          <w:lang w:val="en"/>
        </w:rPr>
        <w:t>The board of directors should ensure that the bank has adequate systems in place to identify, measure, monitor and control market risks, including specifying responsibilities, separating tasks and avoiding any conflict of interest. The bank must also inform the Central Bank of any material changes that occur to these systems, as well as to its market risk profile.</w:t>
      </w:r>
    </w:p>
    <w:p w:rsidR="00A62E78" w:rsidRPr="00DA4F3E" w:rsidRDefault="00A62E78" w:rsidP="007058D2">
      <w:pPr>
        <w:pStyle w:val="ListParagraph"/>
        <w:numPr>
          <w:ilvl w:val="1"/>
          <w:numId w:val="23"/>
        </w:numPr>
        <w:bidi w:val="0"/>
        <w:spacing w:after="0" w:line="276" w:lineRule="auto"/>
        <w:ind w:left="1276" w:hanging="556"/>
        <w:rPr>
          <w:rFonts w:ascii="Times New Roman" w:hAnsi="Times New Roman" w:cs="Times New Roman"/>
          <w:b w:val="0"/>
          <w:bCs w:val="0"/>
          <w:sz w:val="24"/>
          <w:szCs w:val="24"/>
          <w:lang w:bidi="ar-JO"/>
        </w:rPr>
      </w:pPr>
      <w:r w:rsidRPr="00DA4F3E">
        <w:rPr>
          <w:rFonts w:ascii="Times New Roman" w:hAnsi="Times New Roman" w:cs="Times New Roman"/>
          <w:b w:val="0"/>
          <w:bCs w:val="0"/>
          <w:color w:val="202124"/>
          <w:sz w:val="24"/>
          <w:szCs w:val="24"/>
          <w:lang w:val="en"/>
        </w:rPr>
        <w:lastRenderedPageBreak/>
        <w:t>The board of directors should ensure that the bank adheres to capital adequacy requirements to continuously face market risks, while not exaggerating daytime positions.</w:t>
      </w:r>
    </w:p>
    <w:p w:rsidR="00A62E78" w:rsidRPr="00DA4F3E" w:rsidRDefault="00A62E78" w:rsidP="007058D2">
      <w:pPr>
        <w:pStyle w:val="ListParagraph"/>
        <w:numPr>
          <w:ilvl w:val="0"/>
          <w:numId w:val="23"/>
        </w:numPr>
        <w:bidi w:val="0"/>
        <w:spacing w:after="0" w:line="276" w:lineRule="auto"/>
        <w:ind w:hanging="578"/>
        <w:rPr>
          <w:rFonts w:ascii="Times New Roman" w:hAnsi="Times New Roman" w:cs="Times New Roman"/>
          <w:sz w:val="24"/>
          <w:szCs w:val="24"/>
          <w:lang w:bidi="ar-JO"/>
        </w:rPr>
      </w:pPr>
      <w:r w:rsidRPr="00DA4F3E">
        <w:rPr>
          <w:rFonts w:ascii="Times New Roman" w:hAnsi="Times New Roman" w:cs="Times New Roman"/>
          <w:sz w:val="24"/>
          <w:szCs w:val="24"/>
        </w:rPr>
        <w:t>Trading Book:</w:t>
      </w:r>
    </w:p>
    <w:p w:rsidR="007B28B2" w:rsidRPr="00DA4F3E" w:rsidRDefault="00F26C75" w:rsidP="008A3E42">
      <w:pPr>
        <w:pStyle w:val="ListParagraph"/>
        <w:numPr>
          <w:ilvl w:val="1"/>
          <w:numId w:val="23"/>
        </w:numPr>
        <w:bidi w:val="0"/>
        <w:spacing w:after="0" w:line="276" w:lineRule="auto"/>
        <w:ind w:left="1276" w:hanging="556"/>
        <w:rPr>
          <w:rFonts w:ascii="Times New Roman" w:hAnsi="Times New Roman" w:cs="Times New Roman"/>
          <w:b w:val="0"/>
          <w:bCs w:val="0"/>
          <w:color w:val="202124"/>
          <w:sz w:val="24"/>
          <w:szCs w:val="24"/>
          <w:lang w:val="en"/>
        </w:rPr>
      </w:pPr>
      <w:r>
        <w:rPr>
          <w:rFonts w:ascii="Times New Roman" w:eastAsiaTheme="minorHAnsi" w:hAnsi="Times New Roman" w:cs="Times New Roman"/>
          <w:b w:val="0"/>
          <w:bCs w:val="0"/>
          <w:sz w:val="24"/>
          <w:szCs w:val="24"/>
        </w:rPr>
        <w:t>T</w:t>
      </w:r>
      <w:r w:rsidR="006B089C" w:rsidRPr="00DA4F3E">
        <w:rPr>
          <w:rFonts w:ascii="Times New Roman" w:eastAsiaTheme="minorHAnsi" w:hAnsi="Times New Roman" w:cs="Times New Roman"/>
          <w:b w:val="0"/>
          <w:bCs w:val="0"/>
          <w:sz w:val="24"/>
          <w:szCs w:val="24"/>
        </w:rPr>
        <w:t>rading book consists of positions in financial</w:t>
      </w:r>
      <w:r>
        <w:rPr>
          <w:rFonts w:ascii="Times New Roman" w:eastAsiaTheme="minorHAnsi" w:hAnsi="Times New Roman" w:cs="Times New Roman"/>
          <w:b w:val="0"/>
          <w:bCs w:val="0"/>
          <w:sz w:val="24"/>
          <w:szCs w:val="24"/>
        </w:rPr>
        <w:t xml:space="preserve"> instruments, commodities, and </w:t>
      </w:r>
      <w:r w:rsidR="006B089C" w:rsidRPr="00DA4F3E">
        <w:rPr>
          <w:rFonts w:ascii="Times New Roman" w:hAnsi="Times New Roman" w:cs="Times New Roman"/>
          <w:b w:val="0"/>
          <w:bCs w:val="0"/>
          <w:color w:val="202124"/>
          <w:sz w:val="24"/>
          <w:szCs w:val="24"/>
          <w:lang w:val="en"/>
        </w:rPr>
        <w:t xml:space="preserve">derivatives held </w:t>
      </w:r>
      <w:r w:rsidR="006B089C" w:rsidRPr="00DA4F3E">
        <w:rPr>
          <w:rFonts w:ascii="Times New Roman" w:eastAsiaTheme="minorHAnsi" w:hAnsi="Times New Roman" w:cs="Times New Roman"/>
          <w:b w:val="0"/>
          <w:bCs w:val="0"/>
          <w:sz w:val="24"/>
          <w:szCs w:val="24"/>
        </w:rPr>
        <w:t>either with trading intent or in order to hedge other elements of the trading book.</w:t>
      </w:r>
      <w:r w:rsidR="006B089C" w:rsidRPr="00DA4F3E">
        <w:rPr>
          <w:rFonts w:ascii="Times New Roman" w:hAnsi="Times New Roman" w:cs="Times New Roman"/>
          <w:b w:val="0"/>
          <w:bCs w:val="0"/>
          <w:color w:val="202124"/>
          <w:sz w:val="24"/>
          <w:szCs w:val="24"/>
          <w:lang w:val="en"/>
        </w:rPr>
        <w:t xml:space="preserve"> Note that the positions taken with </w:t>
      </w:r>
      <w:r w:rsidR="007B28B2" w:rsidRPr="00DA4F3E">
        <w:rPr>
          <w:rFonts w:ascii="Times New Roman" w:eastAsiaTheme="minorHAnsi" w:hAnsi="Times New Roman" w:cs="Times New Roman"/>
          <w:b w:val="0"/>
          <w:bCs w:val="0"/>
          <w:sz w:val="24"/>
          <w:szCs w:val="24"/>
        </w:rPr>
        <w:t xml:space="preserve">trading intent </w:t>
      </w:r>
      <w:r w:rsidR="006B089C" w:rsidRPr="00DA4F3E">
        <w:rPr>
          <w:rFonts w:ascii="Times New Roman" w:hAnsi="Times New Roman" w:cs="Times New Roman"/>
          <w:b w:val="0"/>
          <w:bCs w:val="0"/>
          <w:color w:val="202124"/>
          <w:sz w:val="24"/>
          <w:szCs w:val="24"/>
          <w:lang w:val="en"/>
        </w:rPr>
        <w:t>are those that meet any of the following conditions</w:t>
      </w:r>
      <w:r w:rsidR="007B28B2" w:rsidRPr="00DA4F3E">
        <w:rPr>
          <w:rFonts w:ascii="Times New Roman" w:hAnsi="Times New Roman" w:cs="Times New Roman"/>
          <w:b w:val="0"/>
          <w:bCs w:val="0"/>
          <w:color w:val="202124"/>
          <w:sz w:val="24"/>
          <w:szCs w:val="24"/>
          <w:lang w:val="en"/>
        </w:rPr>
        <w:t>:</w:t>
      </w:r>
    </w:p>
    <w:p w:rsidR="007B28B2" w:rsidRPr="00DA4F3E" w:rsidRDefault="008A3E42" w:rsidP="008A3E42">
      <w:pPr>
        <w:pStyle w:val="ListParagraph"/>
        <w:numPr>
          <w:ilvl w:val="2"/>
          <w:numId w:val="23"/>
        </w:numPr>
        <w:bidi w:val="0"/>
        <w:spacing w:after="0" w:line="276" w:lineRule="auto"/>
        <w:ind w:left="2127" w:hanging="851"/>
        <w:rPr>
          <w:rFonts w:ascii="Times New Roman" w:hAnsi="Times New Roman" w:cs="Times New Roman"/>
          <w:b w:val="0"/>
          <w:bCs w:val="0"/>
          <w:color w:val="202124"/>
          <w:sz w:val="24"/>
          <w:szCs w:val="24"/>
          <w:lang w:val="en"/>
        </w:rPr>
      </w:pPr>
      <w:r w:rsidRPr="00DA4F3E">
        <w:rPr>
          <w:rFonts w:ascii="Times New Roman" w:hAnsi="Times New Roman" w:cs="Times New Roman"/>
          <w:b w:val="0"/>
          <w:bCs w:val="0"/>
          <w:color w:val="202124"/>
          <w:sz w:val="24"/>
          <w:szCs w:val="24"/>
          <w:lang w:val="en"/>
        </w:rPr>
        <w:t>H</w:t>
      </w:r>
      <w:r w:rsidR="007B28B2" w:rsidRPr="00DA4F3E">
        <w:rPr>
          <w:rFonts w:ascii="Times New Roman" w:hAnsi="Times New Roman" w:cs="Times New Roman"/>
          <w:b w:val="0"/>
          <w:bCs w:val="0"/>
          <w:color w:val="202124"/>
          <w:sz w:val="24"/>
          <w:szCs w:val="24"/>
          <w:lang w:val="en"/>
        </w:rPr>
        <w:t xml:space="preserve">eld </w:t>
      </w:r>
      <w:r w:rsidR="007B28B2" w:rsidRPr="00DA4F3E">
        <w:rPr>
          <w:rFonts w:ascii="Times New Roman" w:eastAsiaTheme="minorHAnsi" w:hAnsi="Times New Roman" w:cs="Times New Roman"/>
          <w:b w:val="0"/>
          <w:bCs w:val="0"/>
          <w:sz w:val="24"/>
          <w:szCs w:val="24"/>
        </w:rPr>
        <w:t>intentionally for short-term resale</w:t>
      </w:r>
      <w:r w:rsidR="007B28B2" w:rsidRPr="00DA4F3E">
        <w:rPr>
          <w:rFonts w:ascii="Times New Roman" w:hAnsi="Times New Roman" w:cs="Times New Roman"/>
          <w:b w:val="0"/>
          <w:bCs w:val="0"/>
          <w:color w:val="202124"/>
          <w:sz w:val="24"/>
          <w:szCs w:val="24"/>
          <w:lang w:val="en"/>
        </w:rPr>
        <w:t xml:space="preserve"> (The short term for this purpose is known as a period not exceeding 90 days).</w:t>
      </w:r>
    </w:p>
    <w:p w:rsidR="007B28B2" w:rsidRPr="00DA4F3E" w:rsidRDefault="007B28B2" w:rsidP="008A3E42">
      <w:pPr>
        <w:pStyle w:val="ListParagraph"/>
        <w:numPr>
          <w:ilvl w:val="2"/>
          <w:numId w:val="23"/>
        </w:numPr>
        <w:bidi w:val="0"/>
        <w:spacing w:after="0" w:line="276" w:lineRule="auto"/>
        <w:ind w:left="2127" w:hanging="851"/>
        <w:rPr>
          <w:rFonts w:ascii="Times New Roman" w:hAnsi="Times New Roman" w:cs="Times New Roman"/>
          <w:b w:val="0"/>
          <w:bCs w:val="0"/>
          <w:color w:val="202124"/>
          <w:sz w:val="24"/>
          <w:szCs w:val="24"/>
          <w:lang w:val="en"/>
        </w:rPr>
      </w:pPr>
      <w:r w:rsidRPr="00DA4F3E">
        <w:rPr>
          <w:rFonts w:ascii="Times New Roman" w:eastAsiaTheme="minorHAnsi" w:hAnsi="Times New Roman" w:cs="Times New Roman"/>
          <w:b w:val="0"/>
          <w:bCs w:val="0"/>
          <w:sz w:val="24"/>
          <w:szCs w:val="24"/>
        </w:rPr>
        <w:t>Held with the intent of benefiting from actual or expected short-term price movements.</w:t>
      </w:r>
    </w:p>
    <w:p w:rsidR="007B28B2" w:rsidRPr="00DA4F3E" w:rsidRDefault="007B28B2" w:rsidP="008A3E42">
      <w:pPr>
        <w:pStyle w:val="ListParagraph"/>
        <w:numPr>
          <w:ilvl w:val="2"/>
          <w:numId w:val="23"/>
        </w:numPr>
        <w:bidi w:val="0"/>
        <w:spacing w:after="0" w:line="276" w:lineRule="auto"/>
        <w:ind w:left="2127" w:hanging="851"/>
        <w:rPr>
          <w:rFonts w:ascii="Times New Roman" w:hAnsi="Times New Roman" w:cs="Times New Roman"/>
          <w:b w:val="0"/>
          <w:bCs w:val="0"/>
          <w:color w:val="202124"/>
          <w:sz w:val="24"/>
          <w:szCs w:val="24"/>
          <w:lang w:val="en"/>
        </w:rPr>
      </w:pPr>
      <w:r w:rsidRPr="00DA4F3E">
        <w:rPr>
          <w:rFonts w:ascii="Times New Roman" w:hAnsi="Times New Roman" w:cs="Times New Roman"/>
          <w:b w:val="0"/>
          <w:bCs w:val="0"/>
          <w:color w:val="202124"/>
          <w:sz w:val="24"/>
          <w:szCs w:val="24"/>
          <w:lang w:val="en"/>
        </w:rPr>
        <w:t>Resulted from brokerage and market making processes.</w:t>
      </w:r>
    </w:p>
    <w:p w:rsidR="007B28B2" w:rsidRPr="00DA4F3E" w:rsidRDefault="007B28B2" w:rsidP="008A3E42">
      <w:pPr>
        <w:pStyle w:val="ListParagraph"/>
        <w:numPr>
          <w:ilvl w:val="1"/>
          <w:numId w:val="23"/>
        </w:numPr>
        <w:bidi w:val="0"/>
        <w:spacing w:after="0" w:line="276" w:lineRule="auto"/>
        <w:ind w:left="1276" w:hanging="556"/>
        <w:rPr>
          <w:rFonts w:ascii="Times New Roman" w:hAnsi="Times New Roman" w:cs="Times New Roman"/>
          <w:b w:val="0"/>
          <w:bCs w:val="0"/>
          <w:sz w:val="24"/>
          <w:szCs w:val="24"/>
          <w:lang w:bidi="ar-JO"/>
        </w:rPr>
      </w:pPr>
      <w:r w:rsidRPr="00DA4F3E">
        <w:rPr>
          <w:rFonts w:ascii="Times New Roman" w:eastAsiaTheme="minorHAnsi" w:hAnsi="Times New Roman" w:cs="Times New Roman"/>
          <w:b w:val="0"/>
          <w:bCs w:val="0"/>
          <w:sz w:val="24"/>
          <w:szCs w:val="24"/>
        </w:rPr>
        <w:t>The following will be the basic requirements for positions eligible to receive trading book capital treatment:</w:t>
      </w:r>
    </w:p>
    <w:p w:rsidR="007B28B2" w:rsidRPr="00DA4F3E" w:rsidRDefault="007B28B2" w:rsidP="008A3E42">
      <w:pPr>
        <w:pStyle w:val="ListParagraph"/>
        <w:numPr>
          <w:ilvl w:val="2"/>
          <w:numId w:val="23"/>
        </w:numPr>
        <w:bidi w:val="0"/>
        <w:spacing w:after="0" w:line="276" w:lineRule="auto"/>
        <w:ind w:left="2127" w:hanging="851"/>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Clearly documented trading strategy for the position</w:t>
      </w:r>
      <w:r w:rsidR="00F26C75">
        <w:rPr>
          <w:rFonts w:ascii="Times New Roman" w:eastAsiaTheme="minorHAnsi" w:hAnsi="Times New Roman" w:cs="Times New Roman"/>
          <w:b w:val="0"/>
          <w:bCs w:val="0"/>
          <w:sz w:val="24"/>
          <w:szCs w:val="24"/>
        </w:rPr>
        <w:t>s</w:t>
      </w:r>
      <w:r w:rsidRPr="00DA4F3E">
        <w:rPr>
          <w:rFonts w:ascii="Times New Roman" w:eastAsiaTheme="minorHAnsi" w:hAnsi="Times New Roman" w:cs="Times New Roman"/>
          <w:b w:val="0"/>
          <w:bCs w:val="0"/>
          <w:sz w:val="24"/>
          <w:szCs w:val="24"/>
        </w:rPr>
        <w:t xml:space="preserve"> and/or </w:t>
      </w:r>
      <w:r w:rsidR="00F26C75">
        <w:rPr>
          <w:rFonts w:ascii="Times New Roman" w:eastAsiaTheme="minorHAnsi" w:hAnsi="Times New Roman" w:cs="Times New Roman"/>
          <w:b w:val="0"/>
          <w:bCs w:val="0"/>
          <w:sz w:val="24"/>
          <w:szCs w:val="24"/>
        </w:rPr>
        <w:t xml:space="preserve">financial </w:t>
      </w:r>
      <w:r w:rsidRPr="00DA4F3E">
        <w:rPr>
          <w:rFonts w:ascii="Times New Roman" w:eastAsiaTheme="minorHAnsi" w:hAnsi="Times New Roman" w:cs="Times New Roman"/>
          <w:b w:val="0"/>
          <w:bCs w:val="0"/>
          <w:sz w:val="24"/>
          <w:szCs w:val="24"/>
        </w:rPr>
        <w:t>instrument and/or portfolios, approved by senior management (which would include expected holding horizon).</w:t>
      </w:r>
    </w:p>
    <w:p w:rsidR="007B28B2" w:rsidRPr="00DA4F3E" w:rsidRDefault="007B28B2" w:rsidP="00F26C75">
      <w:pPr>
        <w:pStyle w:val="ListParagraph"/>
        <w:numPr>
          <w:ilvl w:val="2"/>
          <w:numId w:val="23"/>
        </w:numPr>
        <w:bidi w:val="0"/>
        <w:spacing w:after="0" w:line="276" w:lineRule="auto"/>
        <w:ind w:left="2127" w:hanging="851"/>
        <w:rPr>
          <w:rFonts w:ascii="Times New Roman" w:hAnsi="Times New Roman" w:cs="Times New Roman"/>
          <w:b w:val="0"/>
          <w:bCs w:val="0"/>
          <w:sz w:val="24"/>
          <w:szCs w:val="24"/>
          <w:lang w:bidi="ar-JO"/>
        </w:rPr>
      </w:pPr>
      <w:r w:rsidRPr="00DA4F3E">
        <w:rPr>
          <w:rFonts w:ascii="Times New Roman" w:eastAsiaTheme="minorHAnsi" w:hAnsi="Times New Roman" w:cs="Times New Roman"/>
          <w:b w:val="0"/>
          <w:bCs w:val="0"/>
          <w:sz w:val="24"/>
          <w:szCs w:val="24"/>
        </w:rPr>
        <w:t xml:space="preserve">Clearly defined policies and procedures </w:t>
      </w:r>
      <w:r w:rsidR="00F26C75">
        <w:rPr>
          <w:rFonts w:ascii="Times New Roman" w:eastAsiaTheme="minorHAnsi" w:hAnsi="Times New Roman" w:cs="Times New Roman"/>
          <w:b w:val="0"/>
          <w:bCs w:val="0"/>
          <w:sz w:val="24"/>
          <w:szCs w:val="24"/>
        </w:rPr>
        <w:t>to</w:t>
      </w:r>
      <w:r w:rsidRPr="00DA4F3E">
        <w:rPr>
          <w:rFonts w:ascii="Times New Roman" w:eastAsiaTheme="minorHAnsi" w:hAnsi="Times New Roman" w:cs="Times New Roman"/>
          <w:b w:val="0"/>
          <w:bCs w:val="0"/>
          <w:sz w:val="24"/>
          <w:szCs w:val="24"/>
        </w:rPr>
        <w:t xml:space="preserve"> manage the position</w:t>
      </w:r>
      <w:r w:rsidR="00F26C75">
        <w:rPr>
          <w:rFonts w:ascii="Times New Roman" w:eastAsiaTheme="minorHAnsi" w:hAnsi="Times New Roman" w:cs="Times New Roman"/>
          <w:b w:val="0"/>
          <w:bCs w:val="0"/>
          <w:sz w:val="24"/>
          <w:szCs w:val="24"/>
        </w:rPr>
        <w:t>s</w:t>
      </w:r>
      <w:r w:rsidRPr="00DA4F3E">
        <w:rPr>
          <w:rFonts w:ascii="Times New Roman" w:eastAsiaTheme="minorHAnsi" w:hAnsi="Times New Roman" w:cs="Times New Roman"/>
          <w:b w:val="0"/>
          <w:bCs w:val="0"/>
          <w:sz w:val="24"/>
          <w:szCs w:val="24"/>
        </w:rPr>
        <w:t>, which must include:</w:t>
      </w:r>
    </w:p>
    <w:p w:rsidR="007B28B2" w:rsidRPr="00DA4F3E" w:rsidRDefault="008A3E42" w:rsidP="00F26C75">
      <w:pPr>
        <w:pStyle w:val="ListParagraph"/>
        <w:numPr>
          <w:ilvl w:val="0"/>
          <w:numId w:val="47"/>
        </w:numPr>
        <w:bidi w:val="0"/>
        <w:spacing w:after="0" w:line="276" w:lineRule="auto"/>
        <w:ind w:left="2410" w:hanging="283"/>
        <w:rPr>
          <w:rFonts w:ascii="Times New Roman" w:hAnsi="Times New Roman" w:cs="Times New Roman"/>
          <w:b w:val="0"/>
          <w:bCs w:val="0"/>
          <w:sz w:val="24"/>
          <w:szCs w:val="24"/>
          <w:lang w:bidi="ar-JO"/>
        </w:rPr>
      </w:pPr>
      <w:r w:rsidRPr="00DA4F3E">
        <w:rPr>
          <w:rFonts w:ascii="Times New Roman" w:eastAsiaTheme="minorHAnsi" w:hAnsi="Times New Roman" w:cs="Times New Roman"/>
          <w:b w:val="0"/>
          <w:bCs w:val="0"/>
          <w:sz w:val="24"/>
          <w:szCs w:val="24"/>
        </w:rPr>
        <w:t>P</w:t>
      </w:r>
      <w:r w:rsidR="007B28B2" w:rsidRPr="00DA4F3E">
        <w:rPr>
          <w:rFonts w:ascii="Times New Roman" w:eastAsiaTheme="minorHAnsi" w:hAnsi="Times New Roman" w:cs="Times New Roman"/>
          <w:b w:val="0"/>
          <w:bCs w:val="0"/>
          <w:sz w:val="24"/>
          <w:szCs w:val="24"/>
        </w:rPr>
        <w:t>ositions are managed on a trading desk.</w:t>
      </w:r>
    </w:p>
    <w:p w:rsidR="007B28B2" w:rsidRPr="00DA4F3E" w:rsidRDefault="008A3E42" w:rsidP="00F26C75">
      <w:pPr>
        <w:pStyle w:val="ListParagraph"/>
        <w:numPr>
          <w:ilvl w:val="0"/>
          <w:numId w:val="47"/>
        </w:numPr>
        <w:bidi w:val="0"/>
        <w:spacing w:after="0" w:line="276" w:lineRule="auto"/>
        <w:ind w:left="2410" w:hanging="283"/>
        <w:rPr>
          <w:rFonts w:ascii="Times New Roman" w:hAnsi="Times New Roman" w:cs="Times New Roman"/>
          <w:b w:val="0"/>
          <w:bCs w:val="0"/>
          <w:sz w:val="24"/>
          <w:szCs w:val="24"/>
          <w:lang w:bidi="ar-JO"/>
        </w:rPr>
      </w:pPr>
      <w:r w:rsidRPr="00DA4F3E">
        <w:rPr>
          <w:rFonts w:ascii="Times New Roman" w:eastAsiaTheme="minorHAnsi" w:hAnsi="Times New Roman" w:cs="Times New Roman"/>
          <w:b w:val="0"/>
          <w:bCs w:val="0"/>
          <w:sz w:val="24"/>
          <w:szCs w:val="24"/>
        </w:rPr>
        <w:t>P</w:t>
      </w:r>
      <w:r w:rsidR="007B28B2" w:rsidRPr="00DA4F3E">
        <w:rPr>
          <w:rFonts w:ascii="Times New Roman" w:eastAsiaTheme="minorHAnsi" w:hAnsi="Times New Roman" w:cs="Times New Roman"/>
          <w:b w:val="0"/>
          <w:bCs w:val="0"/>
          <w:sz w:val="24"/>
          <w:szCs w:val="24"/>
        </w:rPr>
        <w:t>osition limits are set and monitored for appropriateness.</w:t>
      </w:r>
    </w:p>
    <w:p w:rsidR="007B28B2" w:rsidRPr="00DA4F3E" w:rsidRDefault="008A3E42" w:rsidP="00F26C75">
      <w:pPr>
        <w:pStyle w:val="ListParagraph"/>
        <w:numPr>
          <w:ilvl w:val="0"/>
          <w:numId w:val="47"/>
        </w:numPr>
        <w:bidi w:val="0"/>
        <w:spacing w:after="0" w:line="276" w:lineRule="auto"/>
        <w:ind w:left="2410" w:hanging="283"/>
        <w:rPr>
          <w:rFonts w:ascii="Times New Roman" w:hAnsi="Times New Roman" w:cs="Times New Roman"/>
          <w:b w:val="0"/>
          <w:bCs w:val="0"/>
          <w:sz w:val="24"/>
          <w:szCs w:val="24"/>
          <w:lang w:bidi="ar-JO"/>
        </w:rPr>
      </w:pPr>
      <w:r w:rsidRPr="00DA4F3E">
        <w:rPr>
          <w:rFonts w:ascii="Times New Roman" w:eastAsiaTheme="minorHAnsi" w:hAnsi="Times New Roman" w:cs="Times New Roman"/>
          <w:b w:val="0"/>
          <w:bCs w:val="0"/>
          <w:sz w:val="24"/>
          <w:szCs w:val="24"/>
        </w:rPr>
        <w:t>D</w:t>
      </w:r>
      <w:r w:rsidR="00651E9B" w:rsidRPr="00DA4F3E">
        <w:rPr>
          <w:rFonts w:ascii="Times New Roman" w:eastAsiaTheme="minorHAnsi" w:hAnsi="Times New Roman" w:cs="Times New Roman"/>
          <w:b w:val="0"/>
          <w:bCs w:val="0"/>
          <w:sz w:val="24"/>
          <w:szCs w:val="24"/>
        </w:rPr>
        <w:t>ealers have the autonomy to manage the position</w:t>
      </w:r>
      <w:r w:rsidR="00F26C75">
        <w:rPr>
          <w:rFonts w:ascii="Times New Roman" w:eastAsiaTheme="minorHAnsi" w:hAnsi="Times New Roman" w:cs="Times New Roman"/>
          <w:b w:val="0"/>
          <w:bCs w:val="0"/>
          <w:sz w:val="24"/>
          <w:szCs w:val="24"/>
        </w:rPr>
        <w:t>s</w:t>
      </w:r>
      <w:r w:rsidR="00651E9B" w:rsidRPr="00DA4F3E">
        <w:rPr>
          <w:rFonts w:ascii="Times New Roman" w:eastAsiaTheme="minorHAnsi" w:hAnsi="Times New Roman" w:cs="Times New Roman"/>
          <w:b w:val="0"/>
          <w:bCs w:val="0"/>
          <w:sz w:val="24"/>
          <w:szCs w:val="24"/>
        </w:rPr>
        <w:t xml:space="preserve"> within agreed limits and according to the agreed strategy.</w:t>
      </w:r>
    </w:p>
    <w:p w:rsidR="00651E9B" w:rsidRPr="00DA4F3E" w:rsidRDefault="008A3E42" w:rsidP="00F26C75">
      <w:pPr>
        <w:pStyle w:val="ListParagraph"/>
        <w:numPr>
          <w:ilvl w:val="0"/>
          <w:numId w:val="47"/>
        </w:numPr>
        <w:bidi w:val="0"/>
        <w:spacing w:after="0" w:line="276" w:lineRule="auto"/>
        <w:ind w:left="2410" w:hanging="283"/>
        <w:rPr>
          <w:rFonts w:ascii="Times New Roman" w:hAnsi="Times New Roman" w:cs="Times New Roman"/>
          <w:b w:val="0"/>
          <w:bCs w:val="0"/>
          <w:sz w:val="24"/>
          <w:szCs w:val="24"/>
          <w:lang w:bidi="ar-JO"/>
        </w:rPr>
      </w:pPr>
      <w:r w:rsidRPr="00DA4F3E">
        <w:rPr>
          <w:rFonts w:ascii="Times New Roman" w:eastAsiaTheme="minorHAnsi" w:hAnsi="Times New Roman" w:cs="Times New Roman"/>
          <w:b w:val="0"/>
          <w:bCs w:val="0"/>
          <w:sz w:val="24"/>
          <w:szCs w:val="24"/>
        </w:rPr>
        <w:t>P</w:t>
      </w:r>
      <w:r w:rsidR="00651E9B" w:rsidRPr="00DA4F3E">
        <w:rPr>
          <w:rFonts w:ascii="Times New Roman" w:eastAsiaTheme="minorHAnsi" w:hAnsi="Times New Roman" w:cs="Times New Roman"/>
          <w:b w:val="0"/>
          <w:bCs w:val="0"/>
          <w:sz w:val="24"/>
          <w:szCs w:val="24"/>
        </w:rPr>
        <w:t>ositions are marked to market</w:t>
      </w:r>
      <w:r w:rsidR="00F26C75">
        <w:rPr>
          <w:rFonts w:ascii="Times New Roman" w:eastAsiaTheme="minorHAnsi" w:hAnsi="Times New Roman" w:cs="Times New Roman"/>
          <w:b w:val="0"/>
          <w:bCs w:val="0"/>
          <w:sz w:val="24"/>
          <w:szCs w:val="24"/>
        </w:rPr>
        <w:t xml:space="preserve"> at least daily and when marked</w:t>
      </w:r>
      <w:r w:rsidR="00651E9B" w:rsidRPr="00DA4F3E">
        <w:rPr>
          <w:rFonts w:ascii="Times New Roman" w:eastAsiaTheme="minorHAnsi" w:hAnsi="Times New Roman" w:cs="Times New Roman"/>
          <w:b w:val="0"/>
          <w:bCs w:val="0"/>
          <w:sz w:val="24"/>
          <w:szCs w:val="24"/>
        </w:rPr>
        <w:t xml:space="preserve"> to model the parameters must be assessed on a daily basis.</w:t>
      </w:r>
    </w:p>
    <w:p w:rsidR="00651E9B" w:rsidRPr="00DA4F3E" w:rsidRDefault="008A3E42" w:rsidP="00F26C75">
      <w:pPr>
        <w:pStyle w:val="ListParagraph"/>
        <w:numPr>
          <w:ilvl w:val="0"/>
          <w:numId w:val="47"/>
        </w:numPr>
        <w:bidi w:val="0"/>
        <w:spacing w:after="0" w:line="276" w:lineRule="auto"/>
        <w:ind w:left="2410" w:hanging="283"/>
        <w:rPr>
          <w:rFonts w:ascii="Times New Roman" w:hAnsi="Times New Roman" w:cs="Times New Roman"/>
          <w:b w:val="0"/>
          <w:bCs w:val="0"/>
          <w:sz w:val="24"/>
          <w:szCs w:val="24"/>
          <w:lang w:bidi="ar-JO"/>
        </w:rPr>
      </w:pPr>
      <w:r w:rsidRPr="00DA4F3E">
        <w:rPr>
          <w:rFonts w:ascii="Times New Roman" w:eastAsiaTheme="minorHAnsi" w:hAnsi="Times New Roman" w:cs="Times New Roman"/>
          <w:b w:val="0"/>
          <w:bCs w:val="0"/>
          <w:sz w:val="24"/>
          <w:szCs w:val="24"/>
        </w:rPr>
        <w:t>P</w:t>
      </w:r>
      <w:r w:rsidR="00651E9B" w:rsidRPr="00DA4F3E">
        <w:rPr>
          <w:rFonts w:ascii="Times New Roman" w:eastAsiaTheme="minorHAnsi" w:hAnsi="Times New Roman" w:cs="Times New Roman"/>
          <w:b w:val="0"/>
          <w:bCs w:val="0"/>
          <w:sz w:val="24"/>
          <w:szCs w:val="24"/>
        </w:rPr>
        <w:t>ositions are reported to senior management as an integral part of the institution’s risk management process.</w:t>
      </w:r>
    </w:p>
    <w:p w:rsidR="00651E9B" w:rsidRPr="00DA4F3E" w:rsidRDefault="008A3E42" w:rsidP="00F26C75">
      <w:pPr>
        <w:pStyle w:val="ListParagraph"/>
        <w:numPr>
          <w:ilvl w:val="0"/>
          <w:numId w:val="47"/>
        </w:numPr>
        <w:bidi w:val="0"/>
        <w:spacing w:after="0" w:line="276" w:lineRule="auto"/>
        <w:ind w:left="2410" w:hanging="283"/>
        <w:rPr>
          <w:rFonts w:ascii="Times New Roman" w:hAnsi="Times New Roman" w:cs="Times New Roman"/>
          <w:b w:val="0"/>
          <w:bCs w:val="0"/>
          <w:sz w:val="24"/>
          <w:szCs w:val="24"/>
          <w:lang w:bidi="ar-JO"/>
        </w:rPr>
      </w:pPr>
      <w:r w:rsidRPr="00DA4F3E">
        <w:rPr>
          <w:rFonts w:ascii="Times New Roman" w:eastAsiaTheme="minorHAnsi" w:hAnsi="Times New Roman" w:cs="Times New Roman"/>
          <w:b w:val="0"/>
          <w:bCs w:val="0"/>
          <w:sz w:val="24"/>
          <w:szCs w:val="24"/>
        </w:rPr>
        <w:t>P</w:t>
      </w:r>
      <w:r w:rsidR="00651E9B" w:rsidRPr="00DA4F3E">
        <w:rPr>
          <w:rFonts w:ascii="Times New Roman" w:eastAsiaTheme="minorHAnsi" w:hAnsi="Times New Roman" w:cs="Times New Roman"/>
          <w:b w:val="0"/>
          <w:bCs w:val="0"/>
          <w:sz w:val="24"/>
          <w:szCs w:val="24"/>
        </w:rPr>
        <w:t xml:space="preserve">ositions are actively monitored with reference to market information sources (assessment should be made of the market liquidity </w:t>
      </w:r>
      <w:r w:rsidR="00F26C75">
        <w:rPr>
          <w:rFonts w:ascii="Times New Roman" w:eastAsiaTheme="minorHAnsi" w:hAnsi="Times New Roman" w:cs="Times New Roman"/>
          <w:b w:val="0"/>
          <w:bCs w:val="0"/>
          <w:sz w:val="24"/>
          <w:szCs w:val="24"/>
        </w:rPr>
        <w:t>and/</w:t>
      </w:r>
      <w:r w:rsidR="00651E9B" w:rsidRPr="00DA4F3E">
        <w:rPr>
          <w:rFonts w:ascii="Times New Roman" w:eastAsiaTheme="minorHAnsi" w:hAnsi="Times New Roman" w:cs="Times New Roman"/>
          <w:b w:val="0"/>
          <w:bCs w:val="0"/>
          <w:sz w:val="24"/>
          <w:szCs w:val="24"/>
        </w:rPr>
        <w:t xml:space="preserve">or the ability to hedge positions </w:t>
      </w:r>
      <w:r w:rsidR="00F26C75">
        <w:rPr>
          <w:rFonts w:ascii="Times New Roman" w:eastAsiaTheme="minorHAnsi" w:hAnsi="Times New Roman" w:cs="Times New Roman"/>
          <w:b w:val="0"/>
          <w:bCs w:val="0"/>
          <w:sz w:val="24"/>
          <w:szCs w:val="24"/>
        </w:rPr>
        <w:t>and/</w:t>
      </w:r>
      <w:r w:rsidR="00651E9B" w:rsidRPr="00DA4F3E">
        <w:rPr>
          <w:rFonts w:ascii="Times New Roman" w:eastAsiaTheme="minorHAnsi" w:hAnsi="Times New Roman" w:cs="Times New Roman"/>
          <w:b w:val="0"/>
          <w:bCs w:val="0"/>
          <w:sz w:val="24"/>
          <w:szCs w:val="24"/>
        </w:rPr>
        <w:t>or the portfolio risk profiles).</w:t>
      </w:r>
    </w:p>
    <w:p w:rsidR="00651E9B" w:rsidRPr="00DA4F3E" w:rsidRDefault="00651E9B" w:rsidP="00F26C75">
      <w:pPr>
        <w:pStyle w:val="ListParagraph"/>
        <w:numPr>
          <w:ilvl w:val="0"/>
          <w:numId w:val="47"/>
        </w:numPr>
        <w:bidi w:val="0"/>
        <w:spacing w:after="0" w:line="276" w:lineRule="auto"/>
        <w:ind w:left="2410" w:hanging="283"/>
        <w:rPr>
          <w:rFonts w:ascii="Times New Roman" w:hAnsi="Times New Roman" w:cs="Times New Roman"/>
          <w:b w:val="0"/>
          <w:bCs w:val="0"/>
          <w:sz w:val="24"/>
          <w:szCs w:val="24"/>
          <w:lang w:bidi="ar-JO"/>
        </w:rPr>
      </w:pPr>
      <w:r w:rsidRPr="00DA4F3E">
        <w:rPr>
          <w:rFonts w:ascii="Times New Roman" w:hAnsi="Times New Roman" w:cs="Times New Roman"/>
          <w:b w:val="0"/>
          <w:bCs w:val="0"/>
          <w:color w:val="202124"/>
          <w:sz w:val="24"/>
          <w:szCs w:val="24"/>
          <w:lang w:val="en"/>
        </w:rPr>
        <w:t>The necessity to assess the</w:t>
      </w:r>
      <w:r w:rsidRPr="00DA4F3E">
        <w:rPr>
          <w:rFonts w:ascii="Times New Roman" w:eastAsiaTheme="minorHAnsi" w:hAnsi="Times New Roman" w:cs="Times New Roman"/>
          <w:b w:val="0"/>
          <w:bCs w:val="0"/>
          <w:sz w:val="24"/>
          <w:szCs w:val="24"/>
        </w:rPr>
        <w:t xml:space="preserve"> quality and availability of market inputs to the valuation process, level of market turnover, sizes of positions traded in the market (Market Depth Assessment).</w:t>
      </w:r>
    </w:p>
    <w:p w:rsidR="007B28B2" w:rsidRPr="00DA4F3E" w:rsidRDefault="006A4FAB" w:rsidP="00F26C75">
      <w:pPr>
        <w:pStyle w:val="ListParagraph"/>
        <w:numPr>
          <w:ilvl w:val="1"/>
          <w:numId w:val="23"/>
        </w:numPr>
        <w:bidi w:val="0"/>
        <w:spacing w:after="0" w:line="276" w:lineRule="auto"/>
        <w:ind w:left="1276" w:hanging="567"/>
        <w:rPr>
          <w:rFonts w:ascii="Times New Roman" w:hAnsi="Times New Roman" w:cs="Times New Roman"/>
          <w:b w:val="0"/>
          <w:bCs w:val="0"/>
          <w:sz w:val="24"/>
          <w:szCs w:val="24"/>
          <w:lang w:bidi="ar-JO"/>
        </w:rPr>
      </w:pPr>
      <w:r w:rsidRPr="00DA4F3E">
        <w:rPr>
          <w:rFonts w:ascii="Times New Roman" w:hAnsi="Times New Roman" w:cs="Times New Roman"/>
          <w:b w:val="0"/>
          <w:bCs w:val="0"/>
          <w:color w:val="202124"/>
          <w:sz w:val="24"/>
          <w:szCs w:val="24"/>
          <w:lang w:val="en"/>
        </w:rPr>
        <w:t>In the event that the bank finances its investments in financial positions through the issuance of securities, such securities are included in the trading book only if the provisions of</w:t>
      </w:r>
      <w:r w:rsidR="00F26C75">
        <w:rPr>
          <w:rFonts w:ascii="Times New Roman" w:hAnsi="Times New Roman" w:cs="Times New Roman"/>
          <w:b w:val="0"/>
          <w:bCs w:val="0"/>
          <w:color w:val="202124"/>
          <w:sz w:val="24"/>
          <w:szCs w:val="24"/>
          <w:lang w:val="en"/>
        </w:rPr>
        <w:t xml:space="preserve"> the trading book mentioned in c</w:t>
      </w:r>
      <w:r w:rsidRPr="00DA4F3E">
        <w:rPr>
          <w:rFonts w:ascii="Times New Roman" w:hAnsi="Times New Roman" w:cs="Times New Roman"/>
          <w:b w:val="0"/>
          <w:bCs w:val="0"/>
          <w:color w:val="202124"/>
          <w:sz w:val="24"/>
          <w:szCs w:val="24"/>
          <w:lang w:val="en"/>
        </w:rPr>
        <w:t xml:space="preserve">lause </w:t>
      </w:r>
      <w:r w:rsidR="00F26C75">
        <w:rPr>
          <w:rFonts w:ascii="Times New Roman" w:hAnsi="Times New Roman" w:cs="Times New Roman"/>
          <w:b w:val="0"/>
          <w:bCs w:val="0"/>
          <w:color w:val="202124"/>
          <w:sz w:val="24"/>
          <w:szCs w:val="24"/>
          <w:lang w:val="en"/>
        </w:rPr>
        <w:t>n</w:t>
      </w:r>
      <w:r w:rsidRPr="00DA4F3E">
        <w:rPr>
          <w:rFonts w:ascii="Times New Roman" w:hAnsi="Times New Roman" w:cs="Times New Roman"/>
          <w:b w:val="0"/>
          <w:bCs w:val="0"/>
          <w:color w:val="202124"/>
          <w:sz w:val="24"/>
          <w:szCs w:val="24"/>
          <w:lang w:val="en"/>
        </w:rPr>
        <w:t>o. (4) above apply to them.</w:t>
      </w:r>
    </w:p>
    <w:p w:rsidR="006A4FAB" w:rsidRPr="0039339A" w:rsidRDefault="009C20FE" w:rsidP="00923E57">
      <w:pPr>
        <w:pStyle w:val="ListParagraph"/>
        <w:numPr>
          <w:ilvl w:val="1"/>
          <w:numId w:val="23"/>
        </w:numPr>
        <w:bidi w:val="0"/>
        <w:spacing w:after="0" w:line="276" w:lineRule="auto"/>
        <w:ind w:left="1276" w:hanging="567"/>
        <w:rPr>
          <w:rFonts w:ascii="Times New Roman" w:hAnsi="Times New Roman" w:cs="Times New Roman"/>
          <w:b w:val="0"/>
          <w:bCs w:val="0"/>
          <w:sz w:val="24"/>
          <w:szCs w:val="24"/>
          <w:lang w:bidi="ar-JO"/>
        </w:rPr>
      </w:pPr>
      <w:r w:rsidRPr="00DA4F3E">
        <w:rPr>
          <w:rFonts w:ascii="Times New Roman" w:eastAsiaTheme="minorHAnsi" w:hAnsi="Times New Roman" w:cs="Times New Roman"/>
          <w:b w:val="0"/>
          <w:bCs w:val="0"/>
          <w:sz w:val="24"/>
          <w:szCs w:val="24"/>
        </w:rPr>
        <w:t>When a bank hedges a banking book credit risk exposure using a credit derivative booked in its trading book, the banking book exposure is not deemed to be hedged for capital purposes unless</w:t>
      </w:r>
      <w:r w:rsidRPr="00DA4F3E">
        <w:rPr>
          <w:rFonts w:ascii="Times New Roman" w:hAnsi="Times New Roman" w:cs="Times New Roman"/>
          <w:b w:val="0"/>
          <w:bCs w:val="0"/>
          <w:color w:val="202124"/>
          <w:sz w:val="24"/>
          <w:szCs w:val="24"/>
          <w:lang w:val="en"/>
        </w:rPr>
        <w:t xml:space="preserve"> this derivative fulfills all the condi</w:t>
      </w:r>
      <w:r w:rsidR="00923E57">
        <w:rPr>
          <w:rFonts w:ascii="Times New Roman" w:hAnsi="Times New Roman" w:cs="Times New Roman"/>
          <w:b w:val="0"/>
          <w:bCs w:val="0"/>
          <w:color w:val="202124"/>
          <w:sz w:val="24"/>
          <w:szCs w:val="24"/>
          <w:lang w:val="en"/>
        </w:rPr>
        <w:t xml:space="preserve">tions </w:t>
      </w:r>
      <w:r w:rsidR="00923E57">
        <w:rPr>
          <w:rFonts w:ascii="Times New Roman" w:hAnsi="Times New Roman" w:cs="Times New Roman"/>
          <w:b w:val="0"/>
          <w:bCs w:val="0"/>
          <w:color w:val="202124"/>
          <w:sz w:val="24"/>
          <w:szCs w:val="24"/>
          <w:lang w:val="en"/>
        </w:rPr>
        <w:lastRenderedPageBreak/>
        <w:t>stipulated in paragraphs n</w:t>
      </w:r>
      <w:r w:rsidRPr="00DA4F3E">
        <w:rPr>
          <w:rFonts w:ascii="Times New Roman" w:hAnsi="Times New Roman" w:cs="Times New Roman"/>
          <w:b w:val="0"/>
          <w:bCs w:val="0"/>
          <w:color w:val="202124"/>
          <w:sz w:val="24"/>
          <w:szCs w:val="24"/>
          <w:lang w:val="en"/>
        </w:rPr>
        <w:t xml:space="preserve">o. (15) and (17) </w:t>
      </w:r>
      <w:r w:rsidR="00923E57">
        <w:rPr>
          <w:rFonts w:ascii="Times New Roman" w:hAnsi="Times New Roman" w:cs="Times New Roman"/>
          <w:b w:val="0"/>
          <w:bCs w:val="0"/>
          <w:color w:val="202124"/>
          <w:sz w:val="24"/>
          <w:szCs w:val="24"/>
          <w:lang w:val="en"/>
        </w:rPr>
        <w:t>of clause two/c</w:t>
      </w:r>
      <w:r w:rsidRPr="00DA4F3E">
        <w:rPr>
          <w:rFonts w:ascii="Times New Roman" w:hAnsi="Times New Roman" w:cs="Times New Roman"/>
          <w:b w:val="0"/>
          <w:bCs w:val="0"/>
          <w:color w:val="202124"/>
          <w:sz w:val="24"/>
          <w:szCs w:val="24"/>
          <w:lang w:val="en"/>
        </w:rPr>
        <w:t xml:space="preserve">hapter </w:t>
      </w:r>
      <w:r w:rsidR="00923E57">
        <w:rPr>
          <w:rFonts w:ascii="Times New Roman" w:hAnsi="Times New Roman" w:cs="Times New Roman"/>
          <w:b w:val="0"/>
          <w:bCs w:val="0"/>
          <w:color w:val="202124"/>
          <w:sz w:val="24"/>
          <w:szCs w:val="24"/>
          <w:lang w:val="en"/>
        </w:rPr>
        <w:t xml:space="preserve">four. </w:t>
      </w:r>
      <w:r w:rsidRPr="0039339A">
        <w:rPr>
          <w:rFonts w:ascii="Times New Roman" w:hAnsi="Times New Roman" w:cs="Times New Roman"/>
          <w:b w:val="0"/>
          <w:bCs w:val="0"/>
          <w:color w:val="202124"/>
          <w:sz w:val="24"/>
          <w:szCs w:val="24"/>
          <w:lang w:val="en"/>
        </w:rPr>
        <w:t>Conversely, the derivative is included in the banking book.</w:t>
      </w:r>
    </w:p>
    <w:p w:rsidR="009C20FE" w:rsidRPr="0039339A" w:rsidRDefault="00923E57" w:rsidP="00923E57">
      <w:pPr>
        <w:pStyle w:val="ListParagraph"/>
        <w:numPr>
          <w:ilvl w:val="1"/>
          <w:numId w:val="23"/>
        </w:numPr>
        <w:bidi w:val="0"/>
        <w:spacing w:after="0" w:line="276" w:lineRule="auto"/>
        <w:ind w:left="1276" w:hanging="567"/>
        <w:rPr>
          <w:rFonts w:ascii="Times New Roman" w:hAnsi="Times New Roman" w:cs="Times New Roman"/>
          <w:b w:val="0"/>
          <w:bCs w:val="0"/>
          <w:sz w:val="24"/>
          <w:szCs w:val="24"/>
          <w:lang w:bidi="ar-JO"/>
        </w:rPr>
      </w:pPr>
      <w:r w:rsidRPr="0039339A">
        <w:rPr>
          <w:rFonts w:ascii="Times New Roman" w:eastAsiaTheme="minorHAnsi" w:hAnsi="Times New Roman" w:cs="Times New Roman"/>
          <w:b w:val="0"/>
          <w:bCs w:val="0"/>
          <w:sz w:val="24"/>
          <w:szCs w:val="24"/>
        </w:rPr>
        <w:t xml:space="preserve">The bank must include </w:t>
      </w:r>
      <w:r w:rsidR="00FC5A62" w:rsidRPr="0039339A">
        <w:rPr>
          <w:rFonts w:ascii="Times New Roman" w:eastAsiaTheme="minorHAnsi" w:hAnsi="Times New Roman" w:cs="Times New Roman"/>
          <w:b w:val="0"/>
          <w:bCs w:val="0"/>
          <w:sz w:val="24"/>
          <w:szCs w:val="24"/>
        </w:rPr>
        <w:t xml:space="preserve">repo-style </w:t>
      </w:r>
      <w:r w:rsidRPr="0039339A">
        <w:rPr>
          <w:rFonts w:ascii="Times New Roman" w:eastAsiaTheme="minorHAnsi" w:hAnsi="Times New Roman" w:cs="Times New Roman"/>
          <w:b w:val="0"/>
          <w:bCs w:val="0"/>
          <w:sz w:val="24"/>
          <w:szCs w:val="24"/>
        </w:rPr>
        <w:t>agreements classified within the banking book in the trading book</w:t>
      </w:r>
      <w:r w:rsidR="00FC5A62" w:rsidRPr="0039339A">
        <w:rPr>
          <w:rFonts w:ascii="Times New Roman" w:eastAsiaTheme="minorHAnsi" w:hAnsi="Times New Roman" w:cs="Times New Roman"/>
          <w:b w:val="0"/>
          <w:bCs w:val="0"/>
          <w:sz w:val="24"/>
          <w:szCs w:val="24"/>
        </w:rPr>
        <w:t xml:space="preserve"> for regulatory capital purposes so long as all such repo-style </w:t>
      </w:r>
      <w:r w:rsidRPr="0039339A">
        <w:rPr>
          <w:rFonts w:ascii="Times New Roman" w:eastAsiaTheme="minorHAnsi" w:hAnsi="Times New Roman" w:cs="Times New Roman"/>
          <w:b w:val="0"/>
          <w:bCs w:val="0"/>
          <w:sz w:val="24"/>
          <w:szCs w:val="24"/>
        </w:rPr>
        <w:t>agreements fulfill the provisions of the trading book</w:t>
      </w:r>
      <w:r w:rsidR="00FC5A62" w:rsidRPr="0039339A">
        <w:rPr>
          <w:rFonts w:ascii="Times New Roman" w:eastAsiaTheme="minorHAnsi" w:hAnsi="Times New Roman" w:cs="Times New Roman"/>
          <w:b w:val="0"/>
          <w:bCs w:val="0"/>
          <w:sz w:val="24"/>
          <w:szCs w:val="24"/>
        </w:rPr>
        <w:t>. For this purpose, trading-related repo-style transactions are in the form of either cash or securities includable in the trading book. Regardless of where they are booked, all repo-style transactions are subject to a banking book counterparty credit risk charge.</w:t>
      </w:r>
    </w:p>
    <w:p w:rsidR="00FC5A62" w:rsidRPr="00DA4F3E" w:rsidRDefault="00FC5A62" w:rsidP="008A3E42">
      <w:pPr>
        <w:pStyle w:val="ListParagraph"/>
        <w:numPr>
          <w:ilvl w:val="1"/>
          <w:numId w:val="23"/>
        </w:numPr>
        <w:bidi w:val="0"/>
        <w:spacing w:after="0" w:line="276" w:lineRule="auto"/>
        <w:ind w:left="1276" w:hanging="556"/>
        <w:rPr>
          <w:rFonts w:ascii="Times New Roman" w:hAnsi="Times New Roman" w:cs="Times New Roman"/>
          <w:b w:val="0"/>
          <w:bCs w:val="0"/>
          <w:sz w:val="24"/>
          <w:szCs w:val="24"/>
          <w:lang w:bidi="ar-JO"/>
        </w:rPr>
      </w:pPr>
      <w:r w:rsidRPr="00DA4F3E">
        <w:rPr>
          <w:rFonts w:ascii="Times New Roman" w:hAnsi="Times New Roman" w:cs="Times New Roman"/>
          <w:b w:val="0"/>
          <w:bCs w:val="0"/>
          <w:color w:val="202124"/>
          <w:sz w:val="24"/>
          <w:szCs w:val="24"/>
          <w:lang w:val="en"/>
        </w:rPr>
        <w:t>The bank shall subject the process of classifying any position or instrument within the banking book or trading book to internal auditing as soon as it arises, to ensure that it meets all the conditions mentioned in these instructions</w:t>
      </w:r>
    </w:p>
    <w:p w:rsidR="00A62E78" w:rsidRPr="00DA4F3E" w:rsidRDefault="00FC5A62" w:rsidP="008A3E42">
      <w:pPr>
        <w:pStyle w:val="ListParagraph"/>
        <w:numPr>
          <w:ilvl w:val="0"/>
          <w:numId w:val="23"/>
        </w:numPr>
        <w:bidi w:val="0"/>
        <w:spacing w:after="0" w:line="276" w:lineRule="auto"/>
        <w:ind w:hanging="578"/>
        <w:rPr>
          <w:rFonts w:ascii="Times New Roman" w:hAnsi="Times New Roman" w:cs="Times New Roman"/>
          <w:sz w:val="24"/>
          <w:szCs w:val="24"/>
          <w:lang w:bidi="ar-JO"/>
        </w:rPr>
      </w:pPr>
      <w:r w:rsidRPr="00DA4F3E">
        <w:rPr>
          <w:rFonts w:ascii="Times New Roman" w:hAnsi="Times New Roman" w:cs="Times New Roman"/>
          <w:sz w:val="24"/>
          <w:szCs w:val="24"/>
          <w:lang w:bidi="ar-JO"/>
        </w:rPr>
        <w:t>Trading book policy:</w:t>
      </w:r>
    </w:p>
    <w:p w:rsidR="00FC5A62" w:rsidRPr="00DA4F3E" w:rsidRDefault="00FC5A62" w:rsidP="00923E57">
      <w:pPr>
        <w:pStyle w:val="ListParagraph"/>
        <w:numPr>
          <w:ilvl w:val="1"/>
          <w:numId w:val="23"/>
        </w:numPr>
        <w:bidi w:val="0"/>
        <w:spacing w:after="0" w:line="276" w:lineRule="auto"/>
        <w:ind w:left="1276" w:hanging="556"/>
        <w:rPr>
          <w:rFonts w:ascii="Times New Roman" w:hAnsi="Times New Roman" w:cs="Times New Roman"/>
          <w:b w:val="0"/>
          <w:bCs w:val="0"/>
          <w:color w:val="202124"/>
          <w:sz w:val="24"/>
          <w:szCs w:val="24"/>
          <w:lang w:val="en"/>
        </w:rPr>
      </w:pPr>
      <w:r w:rsidRPr="00DA4F3E">
        <w:rPr>
          <w:rFonts w:ascii="Times New Roman" w:hAnsi="Times New Roman" w:cs="Times New Roman"/>
          <w:b w:val="0"/>
          <w:bCs w:val="0"/>
          <w:color w:val="202124"/>
          <w:sz w:val="24"/>
          <w:szCs w:val="24"/>
          <w:lang w:val="en"/>
        </w:rPr>
        <w:t xml:space="preserve">The </w:t>
      </w:r>
      <w:r w:rsidR="00923E57" w:rsidRPr="00DA4F3E">
        <w:rPr>
          <w:rFonts w:ascii="Times New Roman" w:hAnsi="Times New Roman" w:cs="Times New Roman"/>
          <w:b w:val="0"/>
          <w:bCs w:val="0"/>
          <w:color w:val="202124"/>
          <w:sz w:val="24"/>
          <w:szCs w:val="24"/>
          <w:lang w:val="en"/>
        </w:rPr>
        <w:t xml:space="preserve">trading book </w:t>
      </w:r>
      <w:r w:rsidRPr="00DA4F3E">
        <w:rPr>
          <w:rFonts w:ascii="Times New Roman" w:hAnsi="Times New Roman" w:cs="Times New Roman"/>
          <w:b w:val="0"/>
          <w:bCs w:val="0"/>
          <w:color w:val="202124"/>
          <w:sz w:val="24"/>
          <w:szCs w:val="24"/>
          <w:lang w:val="en"/>
        </w:rPr>
        <w:t>policy prepared by the bank should include the following:</w:t>
      </w:r>
    </w:p>
    <w:p w:rsidR="00FC5A62" w:rsidRPr="00DA4F3E" w:rsidRDefault="00453CD3" w:rsidP="008A3E42">
      <w:pPr>
        <w:pStyle w:val="ListParagraph"/>
        <w:numPr>
          <w:ilvl w:val="2"/>
          <w:numId w:val="23"/>
        </w:numPr>
        <w:bidi w:val="0"/>
        <w:spacing w:after="0" w:line="276" w:lineRule="auto"/>
        <w:ind w:left="2127" w:hanging="851"/>
        <w:rPr>
          <w:rFonts w:ascii="Times New Roman" w:hAnsi="Times New Roman" w:cs="Times New Roman"/>
          <w:b w:val="0"/>
          <w:bCs w:val="0"/>
          <w:color w:val="202124"/>
          <w:sz w:val="24"/>
          <w:szCs w:val="24"/>
        </w:rPr>
      </w:pPr>
      <w:r w:rsidRPr="00DA4F3E">
        <w:rPr>
          <w:rFonts w:ascii="Times New Roman" w:hAnsi="Times New Roman" w:cs="Times New Roman"/>
          <w:b w:val="0"/>
          <w:bCs w:val="0"/>
          <w:color w:val="202124"/>
          <w:sz w:val="24"/>
          <w:szCs w:val="24"/>
          <w:lang w:val="en"/>
        </w:rPr>
        <w:t>The department authorized to approve or amend the policy</w:t>
      </w:r>
      <w:r w:rsidRPr="00DA4F3E">
        <w:rPr>
          <w:rFonts w:ascii="Times New Roman" w:hAnsi="Times New Roman" w:cs="Times New Roman"/>
          <w:b w:val="0"/>
          <w:bCs w:val="0"/>
          <w:color w:val="202124"/>
          <w:sz w:val="24"/>
          <w:szCs w:val="24"/>
        </w:rPr>
        <w:t>.</w:t>
      </w:r>
    </w:p>
    <w:p w:rsidR="00453CD3" w:rsidRPr="00DA4F3E" w:rsidRDefault="00453CD3" w:rsidP="00C707F1">
      <w:pPr>
        <w:pStyle w:val="ListParagraph"/>
        <w:numPr>
          <w:ilvl w:val="2"/>
          <w:numId w:val="23"/>
        </w:numPr>
        <w:bidi w:val="0"/>
        <w:spacing w:after="0" w:line="276" w:lineRule="auto"/>
        <w:ind w:left="2127" w:hanging="851"/>
        <w:rPr>
          <w:rFonts w:ascii="Times New Roman" w:hAnsi="Times New Roman" w:cs="Times New Roman"/>
          <w:b w:val="0"/>
          <w:bCs w:val="0"/>
          <w:color w:val="202124"/>
          <w:sz w:val="24"/>
          <w:szCs w:val="24"/>
        </w:rPr>
      </w:pPr>
      <w:r w:rsidRPr="00DA4F3E">
        <w:rPr>
          <w:rFonts w:ascii="Times New Roman" w:eastAsiaTheme="minorHAnsi" w:hAnsi="Times New Roman" w:cs="Times New Roman"/>
          <w:b w:val="0"/>
          <w:bCs w:val="0"/>
          <w:sz w:val="24"/>
          <w:szCs w:val="24"/>
        </w:rPr>
        <w:t xml:space="preserve">The activities the bank considers to be </w:t>
      </w:r>
      <w:r w:rsidR="00C707F1">
        <w:rPr>
          <w:rFonts w:ascii="Times New Roman" w:eastAsiaTheme="minorHAnsi" w:hAnsi="Times New Roman" w:cs="Times New Roman"/>
          <w:b w:val="0"/>
          <w:bCs w:val="0"/>
          <w:sz w:val="24"/>
          <w:szCs w:val="24"/>
        </w:rPr>
        <w:t>within</w:t>
      </w:r>
      <w:r w:rsidRPr="00DA4F3E">
        <w:rPr>
          <w:rFonts w:ascii="Times New Roman" w:eastAsiaTheme="minorHAnsi" w:hAnsi="Times New Roman" w:cs="Times New Roman"/>
          <w:b w:val="0"/>
          <w:bCs w:val="0"/>
          <w:sz w:val="24"/>
          <w:szCs w:val="24"/>
        </w:rPr>
        <w:t xml:space="preserve"> the trading book for regulatory capital purposes.</w:t>
      </w:r>
    </w:p>
    <w:p w:rsidR="00453CD3" w:rsidRPr="00DA4F3E" w:rsidRDefault="00453CD3" w:rsidP="008A3E42">
      <w:pPr>
        <w:pStyle w:val="ListParagraph"/>
        <w:numPr>
          <w:ilvl w:val="2"/>
          <w:numId w:val="23"/>
        </w:numPr>
        <w:bidi w:val="0"/>
        <w:spacing w:after="0" w:line="276" w:lineRule="auto"/>
        <w:ind w:left="2127" w:hanging="851"/>
        <w:rPr>
          <w:rFonts w:ascii="Times New Roman" w:hAnsi="Times New Roman" w:cs="Times New Roman"/>
          <w:b w:val="0"/>
          <w:bCs w:val="0"/>
          <w:color w:val="202124"/>
          <w:sz w:val="24"/>
          <w:szCs w:val="24"/>
        </w:rPr>
      </w:pPr>
      <w:r w:rsidRPr="00DA4F3E">
        <w:rPr>
          <w:rFonts w:ascii="Times New Roman" w:hAnsi="Times New Roman" w:cs="Times New Roman"/>
          <w:b w:val="0"/>
          <w:bCs w:val="0"/>
          <w:color w:val="202124"/>
          <w:sz w:val="24"/>
          <w:szCs w:val="24"/>
          <w:lang w:val="en"/>
        </w:rPr>
        <w:t>The evaluation methodology for trading book positions includes the following:</w:t>
      </w:r>
    </w:p>
    <w:p w:rsidR="00453CD3" w:rsidRPr="005830BB" w:rsidRDefault="00453CD3" w:rsidP="00C707F1">
      <w:pPr>
        <w:pStyle w:val="ListParagraph"/>
        <w:numPr>
          <w:ilvl w:val="0"/>
          <w:numId w:val="47"/>
        </w:numPr>
        <w:bidi w:val="0"/>
        <w:spacing w:after="0" w:line="276" w:lineRule="auto"/>
        <w:ind w:left="2552" w:hanging="425"/>
        <w:rPr>
          <w:rFonts w:ascii="Times New Roman" w:hAnsi="Times New Roman" w:cs="Times New Roman"/>
          <w:b w:val="0"/>
          <w:bCs w:val="0"/>
          <w:color w:val="202124"/>
          <w:sz w:val="24"/>
          <w:szCs w:val="24"/>
        </w:rPr>
      </w:pPr>
      <w:r w:rsidRPr="00DA4F3E">
        <w:rPr>
          <w:rFonts w:ascii="Times New Roman" w:eastAsiaTheme="minorHAnsi" w:hAnsi="Times New Roman" w:cs="Times New Roman"/>
          <w:b w:val="0"/>
          <w:bCs w:val="0"/>
          <w:sz w:val="24"/>
          <w:szCs w:val="24"/>
        </w:rPr>
        <w:t xml:space="preserve">The extent to which an exposure can be marked-to-market daily by </w:t>
      </w:r>
      <w:r w:rsidRPr="005830BB">
        <w:rPr>
          <w:rFonts w:ascii="Times New Roman" w:eastAsiaTheme="minorHAnsi" w:hAnsi="Times New Roman" w:cs="Times New Roman"/>
          <w:b w:val="0"/>
          <w:bCs w:val="0"/>
          <w:sz w:val="24"/>
          <w:szCs w:val="24"/>
        </w:rPr>
        <w:t>reference to an active, liquid two-way market.</w:t>
      </w:r>
    </w:p>
    <w:p w:rsidR="00453CD3" w:rsidRPr="00DA4F3E" w:rsidRDefault="00453CD3" w:rsidP="00C707F1">
      <w:pPr>
        <w:pStyle w:val="ListParagraph"/>
        <w:numPr>
          <w:ilvl w:val="0"/>
          <w:numId w:val="47"/>
        </w:numPr>
        <w:bidi w:val="0"/>
        <w:spacing w:after="0" w:line="276" w:lineRule="auto"/>
        <w:ind w:left="2552" w:hanging="425"/>
        <w:rPr>
          <w:rFonts w:ascii="Times New Roman" w:hAnsi="Times New Roman" w:cs="Times New Roman"/>
          <w:b w:val="0"/>
          <w:bCs w:val="0"/>
          <w:color w:val="202124"/>
          <w:sz w:val="24"/>
          <w:szCs w:val="24"/>
        </w:rPr>
      </w:pPr>
      <w:r w:rsidRPr="00DA4F3E">
        <w:rPr>
          <w:rFonts w:ascii="Times New Roman" w:eastAsiaTheme="minorHAnsi" w:hAnsi="Times New Roman" w:cs="Times New Roman"/>
          <w:b w:val="0"/>
          <w:bCs w:val="0"/>
          <w:sz w:val="24"/>
          <w:szCs w:val="24"/>
        </w:rPr>
        <w:t>For exposures that are marked-to-model</w:t>
      </w:r>
      <w:r w:rsidRPr="00DA4F3E">
        <w:rPr>
          <w:rStyle w:val="FootnoteReference"/>
          <w:rFonts w:ascii="Times New Roman" w:eastAsiaTheme="minorHAnsi" w:hAnsi="Times New Roman" w:cs="Times New Roman"/>
          <w:b w:val="0"/>
          <w:bCs w:val="0"/>
          <w:sz w:val="24"/>
          <w:szCs w:val="24"/>
        </w:rPr>
        <w:footnoteReference w:id="20"/>
      </w:r>
      <w:r w:rsidRPr="00DA4F3E">
        <w:rPr>
          <w:rFonts w:ascii="Times New Roman" w:eastAsiaTheme="minorHAnsi" w:hAnsi="Times New Roman" w:cs="Times New Roman"/>
          <w:b w:val="0"/>
          <w:bCs w:val="0"/>
          <w:sz w:val="24"/>
          <w:szCs w:val="24"/>
        </w:rPr>
        <w:t>, the extent to which the bank can:</w:t>
      </w:r>
    </w:p>
    <w:p w:rsidR="00453CD3" w:rsidRPr="00DA4F3E" w:rsidRDefault="00453CD3" w:rsidP="008A3E42">
      <w:pPr>
        <w:pStyle w:val="ListParagraph"/>
        <w:numPr>
          <w:ilvl w:val="0"/>
          <w:numId w:val="31"/>
        </w:numPr>
        <w:bidi w:val="0"/>
        <w:spacing w:after="0" w:line="276" w:lineRule="auto"/>
        <w:ind w:left="2977" w:hanging="425"/>
        <w:rPr>
          <w:rFonts w:ascii="Times New Roman" w:hAnsi="Times New Roman" w:cs="Times New Roman"/>
          <w:b w:val="0"/>
          <w:bCs w:val="0"/>
          <w:color w:val="202124"/>
          <w:sz w:val="24"/>
          <w:szCs w:val="24"/>
        </w:rPr>
      </w:pPr>
      <w:r w:rsidRPr="00DA4F3E">
        <w:rPr>
          <w:rFonts w:ascii="Times New Roman" w:eastAsiaTheme="minorHAnsi" w:hAnsi="Times New Roman" w:cs="Times New Roman"/>
          <w:b w:val="0"/>
          <w:bCs w:val="0"/>
          <w:sz w:val="24"/>
          <w:szCs w:val="24"/>
        </w:rPr>
        <w:t>Identify the material risks of the exposure.</w:t>
      </w:r>
    </w:p>
    <w:p w:rsidR="00453CD3" w:rsidRPr="00DA4F3E" w:rsidRDefault="00453CD3" w:rsidP="008A3E42">
      <w:pPr>
        <w:pStyle w:val="ListParagraph"/>
        <w:numPr>
          <w:ilvl w:val="0"/>
          <w:numId w:val="31"/>
        </w:numPr>
        <w:bidi w:val="0"/>
        <w:spacing w:after="0" w:line="276" w:lineRule="auto"/>
        <w:ind w:left="2977" w:hanging="425"/>
        <w:rPr>
          <w:rFonts w:ascii="Times New Roman" w:hAnsi="Times New Roman" w:cs="Times New Roman"/>
          <w:b w:val="0"/>
          <w:bCs w:val="0"/>
          <w:color w:val="202124"/>
          <w:sz w:val="24"/>
          <w:szCs w:val="24"/>
        </w:rPr>
      </w:pPr>
      <w:r w:rsidRPr="00DA4F3E">
        <w:rPr>
          <w:rFonts w:ascii="Times New Roman" w:eastAsiaTheme="minorHAnsi" w:hAnsi="Times New Roman" w:cs="Times New Roman"/>
          <w:b w:val="0"/>
          <w:bCs w:val="0"/>
          <w:sz w:val="24"/>
          <w:szCs w:val="24"/>
        </w:rPr>
        <w:t>Hedge the material risks of the exposure and the extent to which hedging instruments would have an active, liquid two-way market.</w:t>
      </w:r>
    </w:p>
    <w:p w:rsidR="00453CD3" w:rsidRPr="00DA4F3E" w:rsidRDefault="005830BB" w:rsidP="008A3E42">
      <w:pPr>
        <w:pStyle w:val="ListParagraph"/>
        <w:numPr>
          <w:ilvl w:val="0"/>
          <w:numId w:val="31"/>
        </w:numPr>
        <w:bidi w:val="0"/>
        <w:spacing w:after="0" w:line="276" w:lineRule="auto"/>
        <w:ind w:left="2977" w:hanging="425"/>
        <w:rPr>
          <w:rFonts w:ascii="Times New Roman" w:hAnsi="Times New Roman" w:cs="Times New Roman"/>
          <w:b w:val="0"/>
          <w:bCs w:val="0"/>
          <w:color w:val="202124"/>
          <w:sz w:val="24"/>
          <w:szCs w:val="24"/>
        </w:rPr>
      </w:pPr>
      <w:r w:rsidRPr="005830BB">
        <w:rPr>
          <w:rFonts w:ascii="Times New Roman" w:eastAsiaTheme="minorHAnsi" w:hAnsi="Times New Roman" w:cs="Times New Roman"/>
          <w:b w:val="0"/>
          <w:bCs w:val="0"/>
          <w:sz w:val="24"/>
          <w:szCs w:val="24"/>
        </w:rPr>
        <w:t>Dependence on the correctness and reliability of the</w:t>
      </w:r>
      <w:r>
        <w:rPr>
          <w:color w:val="202124"/>
          <w:lang w:val="en"/>
        </w:rPr>
        <w:t xml:space="preserve"> </w:t>
      </w:r>
      <w:r w:rsidR="00453CD3" w:rsidRPr="00DA4F3E">
        <w:rPr>
          <w:rFonts w:ascii="Times New Roman" w:eastAsiaTheme="minorHAnsi" w:hAnsi="Times New Roman" w:cs="Times New Roman"/>
          <w:b w:val="0"/>
          <w:bCs w:val="0"/>
          <w:sz w:val="24"/>
          <w:szCs w:val="24"/>
        </w:rPr>
        <w:t>key assumptions and parameters used in the model.</w:t>
      </w:r>
    </w:p>
    <w:p w:rsidR="00453CD3" w:rsidRPr="00DA4F3E" w:rsidRDefault="00453CD3" w:rsidP="008A3E42">
      <w:pPr>
        <w:pStyle w:val="ListParagraph"/>
        <w:numPr>
          <w:ilvl w:val="2"/>
          <w:numId w:val="23"/>
        </w:numPr>
        <w:bidi w:val="0"/>
        <w:spacing w:after="0" w:line="276" w:lineRule="auto"/>
        <w:ind w:left="2127" w:hanging="851"/>
        <w:rPr>
          <w:rFonts w:ascii="Times New Roman" w:hAnsi="Times New Roman" w:cs="Times New Roman"/>
          <w:b w:val="0"/>
          <w:bCs w:val="0"/>
          <w:color w:val="202124"/>
          <w:sz w:val="24"/>
          <w:szCs w:val="24"/>
        </w:rPr>
      </w:pPr>
      <w:r w:rsidRPr="00DA4F3E">
        <w:rPr>
          <w:rFonts w:ascii="Times New Roman" w:hAnsi="Times New Roman" w:cs="Times New Roman"/>
          <w:b w:val="0"/>
          <w:bCs w:val="0"/>
          <w:color w:val="202124"/>
          <w:sz w:val="24"/>
          <w:szCs w:val="24"/>
          <w:lang w:val="en"/>
        </w:rPr>
        <w:t>In the event that there are Structural Foreign E</w:t>
      </w:r>
      <w:r w:rsidR="0007694B" w:rsidRPr="00DA4F3E">
        <w:rPr>
          <w:rFonts w:ascii="Times New Roman" w:hAnsi="Times New Roman" w:cs="Times New Roman"/>
          <w:b w:val="0"/>
          <w:bCs w:val="0"/>
          <w:color w:val="202124"/>
          <w:sz w:val="24"/>
          <w:szCs w:val="24"/>
          <w:lang w:val="en"/>
        </w:rPr>
        <w:t>xchange Positions</w:t>
      </w:r>
      <w:r w:rsidR="0007694B" w:rsidRPr="00DA4F3E">
        <w:rPr>
          <w:rStyle w:val="FootnoteReference"/>
          <w:rFonts w:ascii="Times New Roman" w:hAnsi="Times New Roman" w:cs="Times New Roman"/>
          <w:b w:val="0"/>
          <w:bCs w:val="0"/>
          <w:color w:val="202124"/>
          <w:sz w:val="24"/>
          <w:szCs w:val="24"/>
          <w:lang w:val="en"/>
        </w:rPr>
        <w:footnoteReference w:id="21"/>
      </w:r>
      <w:r w:rsidRPr="00DA4F3E">
        <w:rPr>
          <w:rFonts w:ascii="Times New Roman" w:hAnsi="Times New Roman" w:cs="Times New Roman"/>
          <w:b w:val="0"/>
          <w:bCs w:val="0"/>
          <w:color w:val="202124"/>
          <w:sz w:val="24"/>
          <w:szCs w:val="24"/>
          <w:lang w:val="en"/>
        </w:rPr>
        <w:t xml:space="preserve">, the bank is responsible for defining these </w:t>
      </w:r>
      <w:r w:rsidR="0007694B" w:rsidRPr="00DA4F3E">
        <w:rPr>
          <w:rFonts w:ascii="Times New Roman" w:hAnsi="Times New Roman" w:cs="Times New Roman"/>
          <w:b w:val="0"/>
          <w:bCs w:val="0"/>
          <w:color w:val="202124"/>
          <w:sz w:val="24"/>
          <w:szCs w:val="24"/>
          <w:lang w:val="en"/>
        </w:rPr>
        <w:t>positions</w:t>
      </w:r>
      <w:r w:rsidRPr="00DA4F3E">
        <w:rPr>
          <w:rFonts w:ascii="Times New Roman" w:hAnsi="Times New Roman" w:cs="Times New Roman"/>
          <w:b w:val="0"/>
          <w:bCs w:val="0"/>
          <w:color w:val="202124"/>
          <w:sz w:val="24"/>
          <w:szCs w:val="24"/>
          <w:lang w:val="en"/>
        </w:rPr>
        <w:t>, how they are managed</w:t>
      </w:r>
      <w:r w:rsidR="0007694B" w:rsidRPr="00DA4F3E">
        <w:rPr>
          <w:rFonts w:ascii="Times New Roman" w:hAnsi="Times New Roman" w:cs="Times New Roman"/>
          <w:b w:val="0"/>
          <w:bCs w:val="0"/>
          <w:color w:val="202124"/>
          <w:sz w:val="24"/>
          <w:szCs w:val="24"/>
          <w:lang w:val="en"/>
        </w:rPr>
        <w:t xml:space="preserve"> and the mechanism for separating them from foreign currency positions in the trading book.</w:t>
      </w:r>
    </w:p>
    <w:p w:rsidR="0007694B" w:rsidRPr="00DA4F3E" w:rsidRDefault="0007694B" w:rsidP="008A3E42">
      <w:pPr>
        <w:pStyle w:val="ListParagraph"/>
        <w:numPr>
          <w:ilvl w:val="2"/>
          <w:numId w:val="23"/>
        </w:numPr>
        <w:bidi w:val="0"/>
        <w:spacing w:after="0" w:line="276" w:lineRule="auto"/>
        <w:ind w:left="2127" w:hanging="851"/>
        <w:rPr>
          <w:rFonts w:ascii="Times New Roman" w:hAnsi="Times New Roman" w:cs="Times New Roman"/>
          <w:b w:val="0"/>
          <w:bCs w:val="0"/>
          <w:color w:val="202124"/>
          <w:sz w:val="24"/>
          <w:szCs w:val="24"/>
        </w:rPr>
      </w:pPr>
      <w:r w:rsidRPr="00DA4F3E">
        <w:rPr>
          <w:rFonts w:ascii="Times New Roman" w:hAnsi="Times New Roman" w:cs="Times New Roman"/>
          <w:b w:val="0"/>
          <w:bCs w:val="0"/>
          <w:color w:val="202124"/>
          <w:sz w:val="24"/>
          <w:szCs w:val="24"/>
          <w:lang w:val="en"/>
        </w:rPr>
        <w:t>That this policy be subjected to periodic review, no more than annually.</w:t>
      </w:r>
    </w:p>
    <w:p w:rsidR="0007694B" w:rsidRPr="00DA4F3E" w:rsidRDefault="0007694B" w:rsidP="008A3E42">
      <w:pPr>
        <w:pStyle w:val="ListParagraph"/>
        <w:numPr>
          <w:ilvl w:val="2"/>
          <w:numId w:val="23"/>
        </w:numPr>
        <w:bidi w:val="0"/>
        <w:spacing w:after="0" w:line="276" w:lineRule="auto"/>
        <w:ind w:left="2127" w:hanging="851"/>
        <w:rPr>
          <w:rFonts w:ascii="Times New Roman" w:hAnsi="Times New Roman" w:cs="Times New Roman"/>
          <w:b w:val="0"/>
          <w:bCs w:val="0"/>
          <w:color w:val="202124"/>
          <w:sz w:val="24"/>
          <w:szCs w:val="24"/>
        </w:rPr>
      </w:pPr>
      <w:r w:rsidRPr="00DA4F3E">
        <w:rPr>
          <w:rFonts w:ascii="Times New Roman" w:eastAsiaTheme="minorHAnsi" w:hAnsi="Times New Roman" w:cs="Times New Roman"/>
          <w:b w:val="0"/>
          <w:bCs w:val="0"/>
          <w:sz w:val="24"/>
          <w:szCs w:val="24"/>
        </w:rPr>
        <w:t xml:space="preserve">The extent to which legal restrictions </w:t>
      </w:r>
      <w:r w:rsidR="0048163B">
        <w:rPr>
          <w:rFonts w:ascii="Times New Roman" w:eastAsiaTheme="minorHAnsi" w:hAnsi="Times New Roman" w:cs="Times New Roman"/>
          <w:b w:val="0"/>
          <w:bCs w:val="0"/>
          <w:sz w:val="24"/>
          <w:szCs w:val="24"/>
        </w:rPr>
        <w:t>and/</w:t>
      </w:r>
      <w:r w:rsidRPr="00DA4F3E">
        <w:rPr>
          <w:rFonts w:ascii="Times New Roman" w:eastAsiaTheme="minorHAnsi" w:hAnsi="Times New Roman" w:cs="Times New Roman"/>
          <w:b w:val="0"/>
          <w:bCs w:val="0"/>
          <w:sz w:val="24"/>
          <w:szCs w:val="24"/>
        </w:rPr>
        <w:t>or other operational requirements would impede the bank’s ability to effect an immediate liquidation of the exposure.</w:t>
      </w:r>
    </w:p>
    <w:p w:rsidR="0007694B" w:rsidRPr="00DA4F3E" w:rsidRDefault="0007694B" w:rsidP="008A3E42">
      <w:pPr>
        <w:pStyle w:val="ListParagraph"/>
        <w:numPr>
          <w:ilvl w:val="2"/>
          <w:numId w:val="23"/>
        </w:numPr>
        <w:bidi w:val="0"/>
        <w:spacing w:after="0" w:line="276" w:lineRule="auto"/>
        <w:ind w:left="2127" w:hanging="851"/>
        <w:rPr>
          <w:rFonts w:ascii="Times New Roman" w:hAnsi="Times New Roman" w:cs="Times New Roman"/>
          <w:b w:val="0"/>
          <w:bCs w:val="0"/>
          <w:color w:val="202124"/>
          <w:sz w:val="24"/>
          <w:szCs w:val="24"/>
        </w:rPr>
      </w:pPr>
      <w:r w:rsidRPr="00DA4F3E">
        <w:rPr>
          <w:rFonts w:ascii="Times New Roman" w:hAnsi="Times New Roman" w:cs="Times New Roman"/>
          <w:b w:val="0"/>
          <w:bCs w:val="0"/>
          <w:color w:val="202124"/>
          <w:sz w:val="24"/>
          <w:szCs w:val="24"/>
          <w:lang w:val="en"/>
        </w:rPr>
        <w:t>With regard to internal transactions, whether at the bank or banking group level:</w:t>
      </w:r>
    </w:p>
    <w:p w:rsidR="0007694B" w:rsidRPr="00DA4F3E" w:rsidRDefault="0007694B" w:rsidP="00ED328C">
      <w:pPr>
        <w:pStyle w:val="ListParagraph"/>
        <w:numPr>
          <w:ilvl w:val="0"/>
          <w:numId w:val="47"/>
        </w:numPr>
        <w:bidi w:val="0"/>
        <w:spacing w:after="0" w:line="276" w:lineRule="auto"/>
        <w:ind w:left="2552" w:hanging="425"/>
        <w:rPr>
          <w:rFonts w:ascii="Times New Roman" w:hAnsi="Times New Roman" w:cs="Times New Roman"/>
          <w:b w:val="0"/>
          <w:bCs w:val="0"/>
          <w:color w:val="202124"/>
          <w:sz w:val="24"/>
          <w:szCs w:val="24"/>
        </w:rPr>
      </w:pPr>
      <w:r w:rsidRPr="00DA4F3E">
        <w:rPr>
          <w:rFonts w:ascii="Times New Roman" w:hAnsi="Times New Roman" w:cs="Times New Roman"/>
          <w:b w:val="0"/>
          <w:bCs w:val="0"/>
          <w:color w:val="202124"/>
          <w:sz w:val="24"/>
          <w:szCs w:val="24"/>
        </w:rPr>
        <w:t xml:space="preserve">The bank </w:t>
      </w:r>
      <w:r w:rsidRPr="00DA4F3E">
        <w:rPr>
          <w:rFonts w:ascii="Times New Roman" w:hAnsi="Times New Roman" w:cs="Times New Roman"/>
          <w:b w:val="0"/>
          <w:bCs w:val="0"/>
          <w:color w:val="202124"/>
          <w:sz w:val="24"/>
          <w:szCs w:val="24"/>
          <w:lang w:val="en"/>
        </w:rPr>
        <w:t xml:space="preserve">may neutralize the effect of all transactions between different portfolios within its trading </w:t>
      </w:r>
      <w:r w:rsidR="00D24082" w:rsidRPr="00DA4F3E">
        <w:rPr>
          <w:rFonts w:ascii="Times New Roman" w:hAnsi="Times New Roman" w:cs="Times New Roman"/>
          <w:b w:val="0"/>
          <w:bCs w:val="0"/>
          <w:color w:val="202124"/>
          <w:sz w:val="24"/>
          <w:szCs w:val="24"/>
          <w:lang w:val="en"/>
        </w:rPr>
        <w:t>book</w:t>
      </w:r>
      <w:r w:rsidRPr="00DA4F3E">
        <w:rPr>
          <w:rFonts w:ascii="Times New Roman" w:hAnsi="Times New Roman" w:cs="Times New Roman"/>
          <w:b w:val="0"/>
          <w:bCs w:val="0"/>
          <w:color w:val="202124"/>
          <w:sz w:val="24"/>
          <w:szCs w:val="24"/>
          <w:lang w:val="en"/>
        </w:rPr>
        <w:t xml:space="preserve"> before calculating the </w:t>
      </w:r>
      <w:r w:rsidRPr="00DA4F3E">
        <w:rPr>
          <w:rFonts w:ascii="Times New Roman" w:hAnsi="Times New Roman" w:cs="Times New Roman"/>
          <w:b w:val="0"/>
          <w:bCs w:val="0"/>
          <w:color w:val="202124"/>
          <w:sz w:val="24"/>
          <w:szCs w:val="24"/>
          <w:lang w:val="en"/>
        </w:rPr>
        <w:lastRenderedPageBreak/>
        <w:t>financial positions</w:t>
      </w:r>
      <w:r w:rsidR="00D24082" w:rsidRPr="00DA4F3E">
        <w:rPr>
          <w:rFonts w:ascii="Times New Roman" w:hAnsi="Times New Roman" w:cs="Times New Roman"/>
          <w:b w:val="0"/>
          <w:bCs w:val="0"/>
          <w:color w:val="202124"/>
          <w:sz w:val="24"/>
          <w:szCs w:val="24"/>
          <w:lang w:val="en"/>
        </w:rPr>
        <w:t xml:space="preserve"> exposed to market risks, or that any / or all internal transactions in the positions are included, provided that one of the two methods is consistently adhered to.</w:t>
      </w:r>
    </w:p>
    <w:p w:rsidR="00D24082" w:rsidRPr="00DA4F3E" w:rsidRDefault="00D24082" w:rsidP="00ED328C">
      <w:pPr>
        <w:pStyle w:val="ListParagraph"/>
        <w:numPr>
          <w:ilvl w:val="0"/>
          <w:numId w:val="47"/>
        </w:numPr>
        <w:bidi w:val="0"/>
        <w:spacing w:after="0" w:line="276" w:lineRule="auto"/>
        <w:ind w:left="2552" w:hanging="425"/>
        <w:rPr>
          <w:rFonts w:ascii="Times New Roman" w:hAnsi="Times New Roman" w:cs="Times New Roman"/>
          <w:b w:val="0"/>
          <w:bCs w:val="0"/>
          <w:color w:val="202124"/>
          <w:sz w:val="24"/>
          <w:szCs w:val="24"/>
        </w:rPr>
      </w:pPr>
      <w:r w:rsidRPr="00DA4F3E">
        <w:rPr>
          <w:rFonts w:ascii="Times New Roman" w:hAnsi="Times New Roman" w:cs="Times New Roman"/>
          <w:b w:val="0"/>
          <w:bCs w:val="0"/>
          <w:color w:val="202124"/>
          <w:sz w:val="24"/>
          <w:szCs w:val="24"/>
        </w:rPr>
        <w:t xml:space="preserve">The </w:t>
      </w:r>
      <w:r w:rsidRPr="00DA4F3E">
        <w:rPr>
          <w:rFonts w:ascii="Times New Roman" w:hAnsi="Times New Roman" w:cs="Times New Roman"/>
          <w:b w:val="0"/>
          <w:bCs w:val="0"/>
          <w:color w:val="202124"/>
          <w:sz w:val="24"/>
          <w:szCs w:val="24"/>
          <w:lang w:val="en"/>
        </w:rPr>
        <w:t xml:space="preserve">bank may not neutralize the impact of internal transactions between the trading book and the banking book when calculating the trading </w:t>
      </w:r>
      <w:r w:rsidR="00E65FCC">
        <w:rPr>
          <w:rFonts w:ascii="Times New Roman" w:hAnsi="Times New Roman" w:cs="Times New Roman"/>
          <w:b w:val="0"/>
          <w:bCs w:val="0"/>
          <w:color w:val="202124"/>
          <w:sz w:val="24"/>
          <w:szCs w:val="24"/>
          <w:lang w:val="en"/>
        </w:rPr>
        <w:t xml:space="preserve">book </w:t>
      </w:r>
      <w:r w:rsidRPr="00DA4F3E">
        <w:rPr>
          <w:rFonts w:ascii="Times New Roman" w:hAnsi="Times New Roman" w:cs="Times New Roman"/>
          <w:b w:val="0"/>
          <w:bCs w:val="0"/>
          <w:color w:val="202124"/>
          <w:sz w:val="24"/>
          <w:szCs w:val="24"/>
          <w:lang w:val="en"/>
        </w:rPr>
        <w:t xml:space="preserve">positions. </w:t>
      </w:r>
    </w:p>
    <w:p w:rsidR="0007694B" w:rsidRPr="00DA4F3E" w:rsidRDefault="00D24082" w:rsidP="008A3E42">
      <w:pPr>
        <w:pStyle w:val="ListParagraph"/>
        <w:numPr>
          <w:ilvl w:val="2"/>
          <w:numId w:val="23"/>
        </w:numPr>
        <w:bidi w:val="0"/>
        <w:spacing w:after="0" w:line="276" w:lineRule="auto"/>
        <w:ind w:left="2127" w:hanging="851"/>
        <w:rPr>
          <w:rFonts w:ascii="Times New Roman" w:hAnsi="Times New Roman" w:cs="Times New Roman"/>
          <w:b w:val="0"/>
          <w:bCs w:val="0"/>
          <w:color w:val="202124"/>
          <w:sz w:val="24"/>
          <w:szCs w:val="24"/>
        </w:rPr>
      </w:pPr>
      <w:r w:rsidRPr="00DA4F3E">
        <w:rPr>
          <w:rFonts w:ascii="Times New Roman" w:hAnsi="Times New Roman" w:cs="Times New Roman"/>
          <w:b w:val="0"/>
          <w:bCs w:val="0"/>
          <w:color w:val="202124"/>
          <w:sz w:val="24"/>
          <w:szCs w:val="24"/>
          <w:lang w:val="en"/>
        </w:rPr>
        <w:t>The extent of the bank's ability to effectively manage all the risks of the trading book positions.</w:t>
      </w:r>
    </w:p>
    <w:p w:rsidR="00D24082" w:rsidRPr="00DA4F3E" w:rsidRDefault="00D24082" w:rsidP="008A3E42">
      <w:pPr>
        <w:pStyle w:val="ListParagraph"/>
        <w:numPr>
          <w:ilvl w:val="2"/>
          <w:numId w:val="23"/>
        </w:numPr>
        <w:bidi w:val="0"/>
        <w:spacing w:after="0" w:line="276" w:lineRule="auto"/>
        <w:ind w:left="2127" w:hanging="851"/>
        <w:rPr>
          <w:rFonts w:ascii="Times New Roman" w:hAnsi="Times New Roman" w:cs="Times New Roman"/>
          <w:b w:val="0"/>
          <w:bCs w:val="0"/>
          <w:color w:val="202124"/>
          <w:sz w:val="24"/>
          <w:szCs w:val="24"/>
        </w:rPr>
      </w:pPr>
      <w:r w:rsidRPr="00DA4F3E">
        <w:rPr>
          <w:rFonts w:ascii="Times New Roman" w:hAnsi="Times New Roman" w:cs="Times New Roman"/>
          <w:b w:val="0"/>
          <w:bCs w:val="0"/>
          <w:color w:val="202124"/>
          <w:sz w:val="24"/>
          <w:szCs w:val="24"/>
          <w:lang w:val="en"/>
        </w:rPr>
        <w:t>The need to inform the Central Bank of Jordan immediately of any material changes that occur to it.</w:t>
      </w:r>
    </w:p>
    <w:p w:rsidR="00D24082" w:rsidRPr="00DA4F3E" w:rsidRDefault="00D24082" w:rsidP="008A3E42">
      <w:pPr>
        <w:pStyle w:val="ListParagraph"/>
        <w:numPr>
          <w:ilvl w:val="2"/>
          <w:numId w:val="23"/>
        </w:numPr>
        <w:bidi w:val="0"/>
        <w:spacing w:after="0" w:line="276" w:lineRule="auto"/>
        <w:ind w:left="2127" w:hanging="851"/>
        <w:rPr>
          <w:rFonts w:ascii="Times New Roman" w:hAnsi="Times New Roman" w:cs="Times New Roman"/>
          <w:b w:val="0"/>
          <w:bCs w:val="0"/>
          <w:color w:val="202124"/>
          <w:sz w:val="24"/>
          <w:szCs w:val="24"/>
        </w:rPr>
      </w:pPr>
      <w:r w:rsidRPr="00DA4F3E">
        <w:rPr>
          <w:rFonts w:ascii="Times New Roman" w:hAnsi="Times New Roman" w:cs="Times New Roman"/>
          <w:b w:val="0"/>
          <w:bCs w:val="0"/>
          <w:color w:val="202124"/>
          <w:sz w:val="24"/>
          <w:szCs w:val="24"/>
          <w:lang w:val="en"/>
        </w:rPr>
        <w:t>Description of the bank's market risk management system.</w:t>
      </w:r>
    </w:p>
    <w:p w:rsidR="00D24082" w:rsidRPr="00DA4F3E" w:rsidRDefault="00D24082" w:rsidP="008A3E42">
      <w:pPr>
        <w:pStyle w:val="ListParagraph"/>
        <w:numPr>
          <w:ilvl w:val="2"/>
          <w:numId w:val="23"/>
        </w:numPr>
        <w:bidi w:val="0"/>
        <w:spacing w:after="0" w:line="276" w:lineRule="auto"/>
        <w:ind w:left="2127" w:hanging="851"/>
        <w:rPr>
          <w:rFonts w:ascii="Times New Roman" w:hAnsi="Times New Roman" w:cs="Times New Roman"/>
          <w:b w:val="0"/>
          <w:bCs w:val="0"/>
          <w:color w:val="202124"/>
          <w:sz w:val="24"/>
          <w:szCs w:val="24"/>
        </w:rPr>
      </w:pPr>
      <w:r w:rsidRPr="00DA4F3E">
        <w:rPr>
          <w:rFonts w:ascii="Times New Roman" w:hAnsi="Times New Roman" w:cs="Times New Roman"/>
          <w:b w:val="0"/>
          <w:bCs w:val="0"/>
          <w:color w:val="202124"/>
          <w:sz w:val="24"/>
          <w:szCs w:val="24"/>
          <w:lang w:val="en"/>
        </w:rPr>
        <w:t>That this policy appears in the Annual Management Attestation.</w:t>
      </w:r>
    </w:p>
    <w:p w:rsidR="00FC5A62" w:rsidRPr="00C77C3A" w:rsidRDefault="00FC5A62" w:rsidP="00AA2027">
      <w:pPr>
        <w:pStyle w:val="ListParagraph"/>
        <w:bidi w:val="0"/>
        <w:spacing w:after="0" w:line="276" w:lineRule="auto"/>
        <w:ind w:left="1440"/>
        <w:rPr>
          <w:rFonts w:ascii="Times New Roman" w:hAnsi="Times New Roman" w:cs="Times New Roman"/>
          <w:b w:val="0"/>
          <w:bCs w:val="0"/>
          <w:sz w:val="12"/>
          <w:szCs w:val="12"/>
          <w:lang w:bidi="ar-JO"/>
        </w:rPr>
      </w:pPr>
    </w:p>
    <w:p w:rsidR="00FC5A62" w:rsidRPr="00DA4F3E" w:rsidRDefault="00D24082" w:rsidP="008A3E42">
      <w:pPr>
        <w:pStyle w:val="ListParagraph"/>
        <w:numPr>
          <w:ilvl w:val="0"/>
          <w:numId w:val="23"/>
        </w:numPr>
        <w:bidi w:val="0"/>
        <w:spacing w:after="0" w:line="276" w:lineRule="auto"/>
        <w:ind w:hanging="578"/>
        <w:rPr>
          <w:rFonts w:ascii="Times New Roman" w:hAnsi="Times New Roman" w:cs="Times New Roman"/>
          <w:sz w:val="24"/>
          <w:szCs w:val="24"/>
          <w:lang w:bidi="ar-JO"/>
        </w:rPr>
      </w:pPr>
      <w:r w:rsidRPr="00DA4F3E">
        <w:rPr>
          <w:rFonts w:ascii="Times New Roman" w:hAnsi="Times New Roman" w:cs="Times New Roman"/>
          <w:color w:val="202124"/>
          <w:sz w:val="24"/>
          <w:szCs w:val="24"/>
          <w:lang w:val="en"/>
        </w:rPr>
        <w:t>Valuation of the trading book:</w:t>
      </w:r>
    </w:p>
    <w:p w:rsidR="00AF1D40" w:rsidRPr="00DA4F3E" w:rsidRDefault="00AF1D40" w:rsidP="00AA2027">
      <w:pPr>
        <w:pStyle w:val="ListParagraph"/>
        <w:bidi w:val="0"/>
        <w:spacing w:after="0" w:line="276" w:lineRule="auto"/>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Banks must establish and maintain adequate systems and controls sufficient to give</w:t>
      </w:r>
      <w:r w:rsidR="004B4B15" w:rsidRPr="00DA4F3E">
        <w:rPr>
          <w:rFonts w:ascii="Times New Roman" w:eastAsiaTheme="minorHAnsi" w:hAnsi="Times New Roman" w:cs="Times New Roman"/>
          <w:b w:val="0"/>
          <w:bCs w:val="0"/>
          <w:sz w:val="24"/>
          <w:szCs w:val="24"/>
        </w:rPr>
        <w:t xml:space="preserve"> management and Central Bank the confidence that their valuation estimates are prudent and reliable. These systems must be integrated with other risk management systems within the organization. Such systems must include:</w:t>
      </w:r>
    </w:p>
    <w:p w:rsidR="004B4B15" w:rsidRPr="00DA4F3E" w:rsidRDefault="004B4B15" w:rsidP="008A3E42">
      <w:pPr>
        <w:pStyle w:val="ListParagraph"/>
        <w:numPr>
          <w:ilvl w:val="1"/>
          <w:numId w:val="23"/>
        </w:numPr>
        <w:bidi w:val="0"/>
        <w:spacing w:after="0" w:line="276" w:lineRule="auto"/>
        <w:ind w:left="1276" w:hanging="556"/>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Documented policies and procedures for the process of valuation. This includes:</w:t>
      </w:r>
    </w:p>
    <w:p w:rsidR="004B4B15" w:rsidRPr="00DA4F3E" w:rsidRDefault="004B4B15" w:rsidP="008A3E42">
      <w:pPr>
        <w:pStyle w:val="ListParagraph"/>
        <w:numPr>
          <w:ilvl w:val="2"/>
          <w:numId w:val="23"/>
        </w:numPr>
        <w:bidi w:val="0"/>
        <w:spacing w:after="0" w:line="276" w:lineRule="auto"/>
        <w:ind w:left="2127" w:hanging="851"/>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clearly defined responsibilities of the various areas involved in the determination of the valuation.</w:t>
      </w:r>
    </w:p>
    <w:p w:rsidR="004B4B15" w:rsidRPr="00DA4F3E" w:rsidRDefault="004B4B15" w:rsidP="008A3E42">
      <w:pPr>
        <w:pStyle w:val="ListParagraph"/>
        <w:numPr>
          <w:ilvl w:val="2"/>
          <w:numId w:val="23"/>
        </w:numPr>
        <w:bidi w:val="0"/>
        <w:spacing w:after="0" w:line="276" w:lineRule="auto"/>
        <w:ind w:left="2127" w:hanging="851"/>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sources of market information and review of their appropriateness.</w:t>
      </w:r>
    </w:p>
    <w:p w:rsidR="004B4B15" w:rsidRPr="00DA4F3E" w:rsidRDefault="004B4B15" w:rsidP="008A3E42">
      <w:pPr>
        <w:pStyle w:val="ListParagraph"/>
        <w:numPr>
          <w:ilvl w:val="2"/>
          <w:numId w:val="23"/>
        </w:numPr>
        <w:bidi w:val="0"/>
        <w:spacing w:after="0" w:line="276" w:lineRule="auto"/>
        <w:ind w:left="2127" w:hanging="851"/>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timing of closing prices.</w:t>
      </w:r>
    </w:p>
    <w:p w:rsidR="004B4B15" w:rsidRPr="00DA4F3E" w:rsidRDefault="004B4B15" w:rsidP="008A3E42">
      <w:pPr>
        <w:pStyle w:val="ListParagraph"/>
        <w:numPr>
          <w:ilvl w:val="2"/>
          <w:numId w:val="23"/>
        </w:numPr>
        <w:bidi w:val="0"/>
        <w:spacing w:after="0" w:line="276" w:lineRule="auto"/>
        <w:ind w:left="2127" w:hanging="851"/>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frequency of independent valuation.</w:t>
      </w:r>
    </w:p>
    <w:p w:rsidR="004B4B15" w:rsidRPr="00DA4F3E" w:rsidRDefault="004B4B15" w:rsidP="008A3E42">
      <w:pPr>
        <w:pStyle w:val="ListParagraph"/>
        <w:numPr>
          <w:ilvl w:val="2"/>
          <w:numId w:val="23"/>
        </w:numPr>
        <w:bidi w:val="0"/>
        <w:spacing w:after="0" w:line="276" w:lineRule="auto"/>
        <w:ind w:left="2127" w:hanging="851"/>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procedures for adjusting valuations.</w:t>
      </w:r>
    </w:p>
    <w:p w:rsidR="004B4B15" w:rsidRPr="00DA4F3E" w:rsidRDefault="004B4B15" w:rsidP="008A3E42">
      <w:pPr>
        <w:pStyle w:val="ListParagraph"/>
        <w:numPr>
          <w:ilvl w:val="2"/>
          <w:numId w:val="23"/>
        </w:numPr>
        <w:bidi w:val="0"/>
        <w:spacing w:after="0" w:line="276" w:lineRule="auto"/>
        <w:ind w:left="2127" w:hanging="851"/>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end of the month and ad-hoc verification procedures.</w:t>
      </w:r>
    </w:p>
    <w:p w:rsidR="004B4B15" w:rsidRPr="00DA4F3E" w:rsidRDefault="004B4B15" w:rsidP="008A3E42">
      <w:pPr>
        <w:pStyle w:val="ListParagraph"/>
        <w:numPr>
          <w:ilvl w:val="1"/>
          <w:numId w:val="23"/>
        </w:numPr>
        <w:bidi w:val="0"/>
        <w:spacing w:after="0" w:line="276" w:lineRule="auto"/>
        <w:ind w:left="1276" w:hanging="556"/>
        <w:rPr>
          <w:rFonts w:ascii="Times New Roman" w:hAnsi="Times New Roman" w:cs="Times New Roman"/>
          <w:b w:val="0"/>
          <w:bCs w:val="0"/>
          <w:sz w:val="24"/>
          <w:szCs w:val="24"/>
          <w:lang w:bidi="ar-JO"/>
        </w:rPr>
      </w:pPr>
      <w:r w:rsidRPr="00DA4F3E">
        <w:rPr>
          <w:rFonts w:ascii="Times New Roman" w:eastAsiaTheme="minorHAnsi" w:hAnsi="Times New Roman" w:cs="Times New Roman"/>
          <w:b w:val="0"/>
          <w:bCs w:val="0"/>
          <w:sz w:val="24"/>
          <w:szCs w:val="24"/>
        </w:rPr>
        <w:t>Clear and independent (i.e. independent of front office) reporting lines for the department accountable for the valuation process. The reporting line should ultimately be the board of directors.</w:t>
      </w:r>
    </w:p>
    <w:p w:rsidR="008A3E42" w:rsidRPr="00C77C3A" w:rsidRDefault="008A3E42" w:rsidP="008A3E42">
      <w:pPr>
        <w:pStyle w:val="ListParagraph"/>
        <w:bidi w:val="0"/>
        <w:spacing w:after="0" w:line="276" w:lineRule="auto"/>
        <w:ind w:left="1276"/>
        <w:rPr>
          <w:rFonts w:ascii="Times New Roman" w:hAnsi="Times New Roman" w:cs="Times New Roman"/>
          <w:b w:val="0"/>
          <w:bCs w:val="0"/>
          <w:sz w:val="10"/>
          <w:szCs w:val="10"/>
          <w:lang w:bidi="ar-JO"/>
        </w:rPr>
      </w:pPr>
    </w:p>
    <w:p w:rsidR="00AF1D40" w:rsidRPr="00DA4F3E" w:rsidRDefault="004B4B15" w:rsidP="008A3E42">
      <w:pPr>
        <w:pStyle w:val="ListParagraph"/>
        <w:numPr>
          <w:ilvl w:val="0"/>
          <w:numId w:val="23"/>
        </w:numPr>
        <w:bidi w:val="0"/>
        <w:spacing w:after="0" w:line="276" w:lineRule="auto"/>
        <w:ind w:hanging="578"/>
        <w:rPr>
          <w:rFonts w:ascii="Times New Roman" w:hAnsi="Times New Roman" w:cs="Times New Roman"/>
          <w:sz w:val="24"/>
          <w:szCs w:val="24"/>
          <w:lang w:bidi="ar-JO"/>
        </w:rPr>
      </w:pPr>
      <w:r w:rsidRPr="00DA4F3E">
        <w:rPr>
          <w:rFonts w:ascii="Times New Roman" w:eastAsiaTheme="minorHAnsi" w:hAnsi="Times New Roman" w:cs="Times New Roman"/>
          <w:sz w:val="24"/>
          <w:szCs w:val="24"/>
        </w:rPr>
        <w:t>Valuation methodologies:</w:t>
      </w:r>
    </w:p>
    <w:p w:rsidR="004B4B15" w:rsidRPr="00DA4F3E" w:rsidRDefault="004B4B15" w:rsidP="008A3E42">
      <w:pPr>
        <w:pStyle w:val="ListParagraph"/>
        <w:numPr>
          <w:ilvl w:val="1"/>
          <w:numId w:val="23"/>
        </w:numPr>
        <w:bidi w:val="0"/>
        <w:spacing w:after="0" w:line="276" w:lineRule="auto"/>
        <w:ind w:left="1276" w:hanging="556"/>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Marked to Market:</w:t>
      </w:r>
    </w:p>
    <w:p w:rsidR="004B4B15" w:rsidRPr="00DA4F3E" w:rsidRDefault="004B4B15" w:rsidP="005330E5">
      <w:pPr>
        <w:pStyle w:val="ListParagraph"/>
        <w:numPr>
          <w:ilvl w:val="2"/>
          <w:numId w:val="23"/>
        </w:numPr>
        <w:bidi w:val="0"/>
        <w:spacing w:after="0" w:line="276" w:lineRule="auto"/>
        <w:ind w:left="2127" w:hanging="851"/>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Marked-to-market is at least the daily valuation of positions at readily available close out prices that are sourced independently. Examples of readily available close out prices include exchange prices, screen prices, or quotes from several independent reputable brokers.</w:t>
      </w:r>
    </w:p>
    <w:p w:rsidR="004B4B15" w:rsidRPr="00DA4F3E" w:rsidRDefault="004B4B15" w:rsidP="005330E5">
      <w:pPr>
        <w:pStyle w:val="ListParagraph"/>
        <w:numPr>
          <w:ilvl w:val="2"/>
          <w:numId w:val="23"/>
        </w:numPr>
        <w:bidi w:val="0"/>
        <w:spacing w:after="0" w:line="276" w:lineRule="auto"/>
        <w:ind w:left="2127" w:hanging="851"/>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Banks must mark-to-market as much as possible. The more prudent side of bid/offer must be used unless the institution is a significant market maker in a particular position type and it can close out at mid-market.</w:t>
      </w:r>
    </w:p>
    <w:p w:rsidR="004B4B15" w:rsidRPr="00DA4F3E" w:rsidRDefault="004B4B15" w:rsidP="005330E5">
      <w:pPr>
        <w:pStyle w:val="ListParagraph"/>
        <w:numPr>
          <w:ilvl w:val="1"/>
          <w:numId w:val="23"/>
        </w:numPr>
        <w:bidi w:val="0"/>
        <w:spacing w:after="0" w:line="276" w:lineRule="auto"/>
        <w:ind w:left="1276" w:hanging="556"/>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Marked to Model:</w:t>
      </w:r>
    </w:p>
    <w:p w:rsidR="004B4B15" w:rsidRPr="00DA4F3E" w:rsidRDefault="00891CBB" w:rsidP="005330E5">
      <w:pPr>
        <w:pStyle w:val="ListParagraph"/>
        <w:numPr>
          <w:ilvl w:val="2"/>
          <w:numId w:val="23"/>
        </w:numPr>
        <w:bidi w:val="0"/>
        <w:spacing w:after="0" w:line="276" w:lineRule="auto"/>
        <w:ind w:left="2127" w:hanging="851"/>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Where marked-to-market is not possible, banks may mark-to-model.</w:t>
      </w:r>
    </w:p>
    <w:p w:rsidR="00891CBB" w:rsidRPr="00DA4F3E" w:rsidRDefault="00891CBB" w:rsidP="005330E5">
      <w:pPr>
        <w:pStyle w:val="ListParagraph"/>
        <w:numPr>
          <w:ilvl w:val="2"/>
          <w:numId w:val="23"/>
        </w:numPr>
        <w:bidi w:val="0"/>
        <w:spacing w:after="0" w:line="276" w:lineRule="auto"/>
        <w:ind w:left="2127" w:hanging="851"/>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Marked-to-model is defined as any valuation which has to be benchmarked, extrapolated or otherwise calculated from a market input.</w:t>
      </w:r>
    </w:p>
    <w:p w:rsidR="00891CBB" w:rsidRPr="00DA4F3E" w:rsidRDefault="00891CBB" w:rsidP="005330E5">
      <w:pPr>
        <w:pStyle w:val="ListParagraph"/>
        <w:numPr>
          <w:ilvl w:val="2"/>
          <w:numId w:val="23"/>
        </w:numPr>
        <w:bidi w:val="0"/>
        <w:spacing w:after="0" w:line="276" w:lineRule="auto"/>
        <w:ind w:left="2127" w:hanging="851"/>
        <w:rPr>
          <w:rFonts w:ascii="Times New Roman" w:eastAsiaTheme="minorHAnsi" w:hAnsi="Times New Roman" w:cs="Times New Roman"/>
          <w:b w:val="0"/>
          <w:bCs w:val="0"/>
          <w:sz w:val="24"/>
          <w:szCs w:val="24"/>
        </w:rPr>
      </w:pPr>
      <w:r w:rsidRPr="00DA4F3E">
        <w:rPr>
          <w:rFonts w:ascii="Times New Roman" w:hAnsi="Times New Roman" w:cs="Times New Roman"/>
          <w:b w:val="0"/>
          <w:bCs w:val="0"/>
          <w:color w:val="202124"/>
          <w:sz w:val="24"/>
          <w:szCs w:val="24"/>
          <w:lang w:val="en"/>
        </w:rPr>
        <w:lastRenderedPageBreak/>
        <w:t xml:space="preserve">If this </w:t>
      </w:r>
      <w:r w:rsidRPr="00DA4F3E">
        <w:rPr>
          <w:rFonts w:ascii="Times New Roman" w:eastAsiaTheme="minorHAnsi" w:hAnsi="Times New Roman" w:cs="Times New Roman"/>
          <w:b w:val="0"/>
          <w:bCs w:val="0"/>
          <w:sz w:val="24"/>
          <w:szCs w:val="24"/>
        </w:rPr>
        <w:t>methodology</w:t>
      </w:r>
      <w:r w:rsidRPr="00DA4F3E">
        <w:rPr>
          <w:rFonts w:ascii="Times New Roman" w:hAnsi="Times New Roman" w:cs="Times New Roman"/>
          <w:b w:val="0"/>
          <w:bCs w:val="0"/>
          <w:color w:val="202124"/>
          <w:sz w:val="24"/>
          <w:szCs w:val="24"/>
          <w:lang w:val="en"/>
        </w:rPr>
        <w:t xml:space="preserve"> is used, the Central Bank will consider </w:t>
      </w:r>
      <w:r w:rsidRPr="00DA4F3E">
        <w:rPr>
          <w:rFonts w:ascii="Times New Roman" w:eastAsiaTheme="minorHAnsi" w:hAnsi="Times New Roman" w:cs="Times New Roman"/>
          <w:b w:val="0"/>
          <w:bCs w:val="0"/>
          <w:sz w:val="24"/>
          <w:szCs w:val="24"/>
        </w:rPr>
        <w:t>the following in assessing</w:t>
      </w:r>
      <w:r w:rsidRPr="00DA4F3E">
        <w:rPr>
          <w:rFonts w:ascii="Times New Roman" w:hAnsi="Times New Roman" w:cs="Times New Roman"/>
          <w:b w:val="0"/>
          <w:bCs w:val="0"/>
          <w:color w:val="202124"/>
          <w:sz w:val="24"/>
          <w:szCs w:val="24"/>
        </w:rPr>
        <w:t>:</w:t>
      </w:r>
    </w:p>
    <w:p w:rsidR="00891CBB" w:rsidRPr="00DA4F3E" w:rsidRDefault="00812C16" w:rsidP="00C905CF">
      <w:pPr>
        <w:pStyle w:val="ListParagraph"/>
        <w:numPr>
          <w:ilvl w:val="0"/>
          <w:numId w:val="47"/>
        </w:numPr>
        <w:bidi w:val="0"/>
        <w:spacing w:after="0" w:line="276" w:lineRule="auto"/>
        <w:ind w:left="2552" w:hanging="425"/>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Senior management should be aware of the elements of the trading book which are subject to mark to model and should understand the materiality of the uncertainty this creates in the reporting of the risk/performance of the business.</w:t>
      </w:r>
    </w:p>
    <w:p w:rsidR="00812C16" w:rsidRPr="00DA4F3E" w:rsidRDefault="00812C16" w:rsidP="00C905CF">
      <w:pPr>
        <w:pStyle w:val="ListParagraph"/>
        <w:numPr>
          <w:ilvl w:val="0"/>
          <w:numId w:val="48"/>
        </w:numPr>
        <w:bidi w:val="0"/>
        <w:spacing w:after="0" w:line="276" w:lineRule="auto"/>
        <w:ind w:left="2552" w:hanging="425"/>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Market inputs should be sourced, to the extent possible, in line with market prices. The appropriateness of the market inputs for the particular position being valued sh</w:t>
      </w:r>
      <w:r w:rsidR="00C905CF">
        <w:rPr>
          <w:rFonts w:ascii="Times New Roman" w:eastAsiaTheme="minorHAnsi" w:hAnsi="Times New Roman" w:cs="Times New Roman"/>
          <w:b w:val="0"/>
          <w:bCs w:val="0"/>
          <w:sz w:val="24"/>
          <w:szCs w:val="24"/>
        </w:rPr>
        <w:t>ould be reviewed regularly (no more than one month).</w:t>
      </w:r>
    </w:p>
    <w:p w:rsidR="00812C16" w:rsidRPr="00DA4F3E" w:rsidRDefault="00812C16" w:rsidP="00C905CF">
      <w:pPr>
        <w:pStyle w:val="ListParagraph"/>
        <w:numPr>
          <w:ilvl w:val="0"/>
          <w:numId w:val="48"/>
        </w:numPr>
        <w:bidi w:val="0"/>
        <w:spacing w:after="0" w:line="276" w:lineRule="auto"/>
        <w:ind w:left="2552" w:hanging="425"/>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Where available, generally accepted valuation methodologies for particular products should be used as far as possible.</w:t>
      </w:r>
    </w:p>
    <w:p w:rsidR="00812C16" w:rsidRPr="00DA4F3E" w:rsidRDefault="00812C16" w:rsidP="00C905CF">
      <w:pPr>
        <w:pStyle w:val="ListParagraph"/>
        <w:numPr>
          <w:ilvl w:val="0"/>
          <w:numId w:val="48"/>
        </w:numPr>
        <w:bidi w:val="0"/>
        <w:spacing w:after="0" w:line="276" w:lineRule="auto"/>
        <w:ind w:left="2552" w:hanging="425"/>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Where the model is developed by the bank itself, it should be based on appropriate assumptions, which have been assessed and challenged by suitably qualified parties independent of the development process. The model should be developed or approved independently of the front office. It should be independently tested. This includes validating the mathematics, the assumptions and the software implementation.</w:t>
      </w:r>
    </w:p>
    <w:p w:rsidR="00812C16" w:rsidRPr="00DA4F3E" w:rsidRDefault="00812C16" w:rsidP="00C905CF">
      <w:pPr>
        <w:pStyle w:val="ListParagraph"/>
        <w:numPr>
          <w:ilvl w:val="0"/>
          <w:numId w:val="48"/>
        </w:numPr>
        <w:bidi w:val="0"/>
        <w:spacing w:after="0" w:line="276" w:lineRule="auto"/>
        <w:ind w:left="2552" w:hanging="425"/>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There should be formal change control procedures in place and a secure copy of the model should be held and periodically used</w:t>
      </w:r>
      <w:r w:rsidR="00EA2BC0" w:rsidRPr="00DA4F3E">
        <w:rPr>
          <w:rFonts w:ascii="Times New Roman" w:eastAsiaTheme="minorHAnsi" w:hAnsi="Times New Roman" w:cs="Times New Roman"/>
          <w:b w:val="0"/>
          <w:bCs w:val="0"/>
          <w:sz w:val="24"/>
          <w:szCs w:val="24"/>
        </w:rPr>
        <w:t xml:space="preserve"> (</w:t>
      </w:r>
      <w:r w:rsidR="00EA2BC0" w:rsidRPr="00DA4F3E">
        <w:rPr>
          <w:rFonts w:ascii="Times New Roman" w:hAnsi="Times New Roman" w:cs="Times New Roman"/>
          <w:b w:val="0"/>
          <w:bCs w:val="0"/>
          <w:color w:val="202124"/>
          <w:sz w:val="24"/>
          <w:szCs w:val="24"/>
          <w:lang w:val="en"/>
        </w:rPr>
        <w:t>Maximum monthly)</w:t>
      </w:r>
      <w:r w:rsidRPr="00DA4F3E">
        <w:rPr>
          <w:rFonts w:ascii="Times New Roman" w:eastAsiaTheme="minorHAnsi" w:hAnsi="Times New Roman" w:cs="Times New Roman"/>
          <w:b w:val="0"/>
          <w:bCs w:val="0"/>
          <w:sz w:val="24"/>
          <w:szCs w:val="24"/>
        </w:rPr>
        <w:t xml:space="preserve"> </w:t>
      </w:r>
      <w:r w:rsidR="00EA2BC0" w:rsidRPr="00DA4F3E">
        <w:rPr>
          <w:rFonts w:ascii="Times New Roman" w:eastAsiaTheme="minorHAnsi" w:hAnsi="Times New Roman" w:cs="Times New Roman"/>
          <w:b w:val="0"/>
          <w:bCs w:val="0"/>
          <w:sz w:val="24"/>
          <w:szCs w:val="24"/>
        </w:rPr>
        <w:t xml:space="preserve">to </w:t>
      </w:r>
      <w:r w:rsidR="00EA2BC0" w:rsidRPr="00DA4F3E">
        <w:rPr>
          <w:rFonts w:ascii="Times New Roman" w:hAnsi="Times New Roman" w:cs="Times New Roman"/>
          <w:b w:val="0"/>
          <w:bCs w:val="0"/>
          <w:color w:val="202124"/>
          <w:sz w:val="24"/>
          <w:szCs w:val="24"/>
          <w:lang w:val="en"/>
        </w:rPr>
        <w:t>check</w:t>
      </w:r>
      <w:r w:rsidRPr="00DA4F3E">
        <w:rPr>
          <w:rFonts w:ascii="Times New Roman" w:eastAsiaTheme="minorHAnsi" w:hAnsi="Times New Roman" w:cs="Times New Roman"/>
          <w:b w:val="0"/>
          <w:bCs w:val="0"/>
          <w:sz w:val="24"/>
          <w:szCs w:val="24"/>
        </w:rPr>
        <w:t xml:space="preserve"> valuations.</w:t>
      </w:r>
    </w:p>
    <w:p w:rsidR="00EA2BC0" w:rsidRPr="00DA4F3E" w:rsidRDefault="00EA2BC0" w:rsidP="00C905CF">
      <w:pPr>
        <w:pStyle w:val="ListParagraph"/>
        <w:numPr>
          <w:ilvl w:val="0"/>
          <w:numId w:val="48"/>
        </w:numPr>
        <w:bidi w:val="0"/>
        <w:spacing w:after="0" w:line="276" w:lineRule="auto"/>
        <w:ind w:left="2552" w:hanging="425"/>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Risk management should be aware of the weaknesses of the models used and how best to reflect those in the valuation output.</w:t>
      </w:r>
    </w:p>
    <w:p w:rsidR="00EA2BC0" w:rsidRPr="00DA4F3E" w:rsidRDefault="00EA2BC0" w:rsidP="00C905CF">
      <w:pPr>
        <w:pStyle w:val="ListParagraph"/>
        <w:numPr>
          <w:ilvl w:val="0"/>
          <w:numId w:val="48"/>
        </w:numPr>
        <w:bidi w:val="0"/>
        <w:spacing w:after="0" w:line="276" w:lineRule="auto"/>
        <w:ind w:left="2552" w:hanging="425"/>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The model should be subject to periodic review to determine the accuracy of its performance (e.g. assessing continued appropriateness of the assumptions, analysis of P&amp;L versus risk factors, comparison of actual close out values to model outputs).</w:t>
      </w:r>
    </w:p>
    <w:p w:rsidR="00EA2BC0" w:rsidRPr="00DA4F3E" w:rsidRDefault="00EA2BC0" w:rsidP="00C905CF">
      <w:pPr>
        <w:pStyle w:val="ListParagraph"/>
        <w:numPr>
          <w:ilvl w:val="0"/>
          <w:numId w:val="48"/>
        </w:numPr>
        <w:bidi w:val="0"/>
        <w:spacing w:after="0" w:line="276" w:lineRule="auto"/>
        <w:ind w:left="2552" w:hanging="425"/>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Valuation adjustments should be made as appropriate, for example, to cover the uncertainty of the model valuation.</w:t>
      </w:r>
    </w:p>
    <w:p w:rsidR="004B4B15" w:rsidRPr="00C77C3A" w:rsidRDefault="004B4B15" w:rsidP="00AA2027">
      <w:pPr>
        <w:pStyle w:val="ListParagraph"/>
        <w:bidi w:val="0"/>
        <w:spacing w:after="0" w:line="276" w:lineRule="auto"/>
        <w:ind w:left="1440"/>
        <w:rPr>
          <w:rFonts w:ascii="Times New Roman" w:hAnsi="Times New Roman" w:cs="Times New Roman"/>
          <w:b w:val="0"/>
          <w:bCs w:val="0"/>
          <w:sz w:val="8"/>
          <w:szCs w:val="8"/>
          <w:lang w:bidi="ar-JO"/>
        </w:rPr>
      </w:pPr>
    </w:p>
    <w:p w:rsidR="004B4B15" w:rsidRPr="00DA4F3E" w:rsidRDefault="00006378" w:rsidP="005330E5">
      <w:pPr>
        <w:pStyle w:val="ListParagraph"/>
        <w:numPr>
          <w:ilvl w:val="0"/>
          <w:numId w:val="23"/>
        </w:numPr>
        <w:bidi w:val="0"/>
        <w:spacing w:after="0" w:line="276" w:lineRule="auto"/>
        <w:ind w:hanging="578"/>
        <w:rPr>
          <w:rFonts w:ascii="Times New Roman" w:hAnsi="Times New Roman" w:cs="Times New Roman"/>
          <w:sz w:val="24"/>
          <w:szCs w:val="24"/>
          <w:lang w:bidi="ar-JO"/>
        </w:rPr>
      </w:pPr>
      <w:r w:rsidRPr="00DA4F3E">
        <w:rPr>
          <w:rFonts w:ascii="Times New Roman" w:eastAsiaTheme="minorHAnsi" w:hAnsi="Times New Roman" w:cs="Times New Roman"/>
          <w:sz w:val="24"/>
          <w:szCs w:val="24"/>
        </w:rPr>
        <w:t>Independent price verification:</w:t>
      </w:r>
    </w:p>
    <w:p w:rsidR="00006378" w:rsidRPr="00DA4F3E" w:rsidRDefault="00ED4BD8" w:rsidP="005330E5">
      <w:pPr>
        <w:pStyle w:val="ListParagraph"/>
        <w:numPr>
          <w:ilvl w:val="1"/>
          <w:numId w:val="23"/>
        </w:numPr>
        <w:bidi w:val="0"/>
        <w:spacing w:after="0" w:line="276" w:lineRule="auto"/>
        <w:ind w:left="1276" w:hanging="556"/>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Independent price verification is distinct from daily mark-to-market. It is the process by which market prices or model inputs are regularly verified for accuracy. While daily marking-to-market may be performed by dealers, verification of market prices or model inputs should be performed by a unit independent of the dealing room, at least monthly (or, depending on the nature of the market/trading activity, more frequently).</w:t>
      </w:r>
    </w:p>
    <w:p w:rsidR="00ED4BD8" w:rsidRPr="00DA4F3E" w:rsidRDefault="0078650F" w:rsidP="005330E5">
      <w:pPr>
        <w:pStyle w:val="ListParagraph"/>
        <w:numPr>
          <w:ilvl w:val="1"/>
          <w:numId w:val="23"/>
        </w:numPr>
        <w:bidi w:val="0"/>
        <w:spacing w:after="0" w:line="276" w:lineRule="auto"/>
        <w:ind w:left="1276" w:hanging="556"/>
        <w:rPr>
          <w:rFonts w:ascii="Times New Roman" w:hAnsi="Times New Roman" w:cs="Times New Roman"/>
          <w:b w:val="0"/>
          <w:bCs w:val="0"/>
          <w:sz w:val="24"/>
          <w:szCs w:val="24"/>
          <w:lang w:bidi="ar-JO"/>
        </w:rPr>
      </w:pPr>
      <w:r w:rsidRPr="00DA4F3E">
        <w:rPr>
          <w:rFonts w:ascii="Times New Roman" w:eastAsiaTheme="minorHAnsi" w:hAnsi="Times New Roman" w:cs="Times New Roman"/>
          <w:b w:val="0"/>
          <w:bCs w:val="0"/>
          <w:sz w:val="24"/>
          <w:szCs w:val="24"/>
        </w:rPr>
        <w:t xml:space="preserve">In cases that </w:t>
      </w:r>
      <w:r w:rsidR="00ED4BD8" w:rsidRPr="00DA4F3E">
        <w:rPr>
          <w:rFonts w:ascii="Times New Roman" w:eastAsiaTheme="minorHAnsi" w:hAnsi="Times New Roman" w:cs="Times New Roman"/>
          <w:b w:val="0"/>
          <w:bCs w:val="0"/>
          <w:sz w:val="24"/>
          <w:szCs w:val="24"/>
        </w:rPr>
        <w:t>Independent price verification entails a higher standard of accuracy</w:t>
      </w:r>
      <w:r w:rsidRPr="00DA4F3E">
        <w:rPr>
          <w:rFonts w:ascii="Times New Roman" w:eastAsiaTheme="minorHAnsi" w:hAnsi="Times New Roman" w:cs="Times New Roman"/>
          <w:b w:val="0"/>
          <w:bCs w:val="0"/>
          <w:sz w:val="24"/>
          <w:szCs w:val="24"/>
        </w:rPr>
        <w:t xml:space="preserve"> in that the market prices or model inputs are used to determine profit and loss figures,</w:t>
      </w:r>
      <w:r w:rsidR="00ED4BD8" w:rsidRPr="00DA4F3E">
        <w:rPr>
          <w:rFonts w:ascii="Times New Roman" w:eastAsiaTheme="minorHAnsi" w:hAnsi="Times New Roman" w:cs="Times New Roman"/>
          <w:b w:val="0"/>
          <w:bCs w:val="0"/>
          <w:sz w:val="24"/>
          <w:szCs w:val="24"/>
        </w:rPr>
        <w:t xml:space="preserve"> </w:t>
      </w:r>
      <w:r w:rsidRPr="00DA4F3E">
        <w:rPr>
          <w:rFonts w:ascii="Times New Roman" w:eastAsiaTheme="minorHAnsi" w:hAnsi="Times New Roman" w:cs="Times New Roman"/>
          <w:b w:val="0"/>
          <w:bCs w:val="0"/>
          <w:sz w:val="24"/>
          <w:szCs w:val="24"/>
        </w:rPr>
        <w:t>for independent price verification, where pricing sources are more subjective, e.g. only one available broker quote, prudent measures such as valuation adjustments may be appropriate.</w:t>
      </w:r>
    </w:p>
    <w:p w:rsidR="0078650F" w:rsidRPr="00DA4F3E" w:rsidRDefault="0078650F" w:rsidP="005330E5">
      <w:pPr>
        <w:pStyle w:val="ListParagraph"/>
        <w:numPr>
          <w:ilvl w:val="1"/>
          <w:numId w:val="23"/>
        </w:numPr>
        <w:bidi w:val="0"/>
        <w:spacing w:after="0" w:line="276" w:lineRule="auto"/>
        <w:ind w:left="1276" w:hanging="556"/>
        <w:rPr>
          <w:rFonts w:ascii="Times New Roman" w:hAnsi="Times New Roman" w:cs="Times New Roman"/>
          <w:b w:val="0"/>
          <w:bCs w:val="0"/>
          <w:sz w:val="24"/>
          <w:szCs w:val="24"/>
          <w:lang w:bidi="ar-JO"/>
        </w:rPr>
      </w:pPr>
      <w:r w:rsidRPr="00DA4F3E">
        <w:rPr>
          <w:rFonts w:ascii="Times New Roman" w:eastAsiaTheme="minorHAnsi" w:hAnsi="Times New Roman" w:cs="Times New Roman"/>
          <w:b w:val="0"/>
          <w:bCs w:val="0"/>
          <w:sz w:val="24"/>
          <w:szCs w:val="24"/>
        </w:rPr>
        <w:lastRenderedPageBreak/>
        <w:t xml:space="preserve">Banks must establish and maintain procedures for considering valuation adjustments/reserves. Banks using third-party valuations have to consider whether valuation adjustments are necessary. Such considerations </w:t>
      </w:r>
      <w:r w:rsidR="00C905CF">
        <w:rPr>
          <w:rFonts w:ascii="Times New Roman" w:eastAsiaTheme="minorHAnsi" w:hAnsi="Times New Roman" w:cs="Times New Roman"/>
          <w:b w:val="0"/>
          <w:bCs w:val="0"/>
          <w:sz w:val="24"/>
          <w:szCs w:val="24"/>
        </w:rPr>
        <w:t>are also necessary when marked-</w:t>
      </w:r>
      <w:r w:rsidRPr="00DA4F3E">
        <w:rPr>
          <w:rFonts w:ascii="Times New Roman" w:eastAsiaTheme="minorHAnsi" w:hAnsi="Times New Roman" w:cs="Times New Roman"/>
          <w:b w:val="0"/>
          <w:bCs w:val="0"/>
          <w:sz w:val="24"/>
          <w:szCs w:val="24"/>
        </w:rPr>
        <w:t>to</w:t>
      </w:r>
      <w:r w:rsidR="00C905CF">
        <w:rPr>
          <w:rFonts w:ascii="Times New Roman" w:eastAsiaTheme="minorHAnsi" w:hAnsi="Times New Roman" w:cs="Times New Roman"/>
          <w:b w:val="0"/>
          <w:bCs w:val="0"/>
          <w:sz w:val="24"/>
          <w:szCs w:val="24"/>
        </w:rPr>
        <w:t>-</w:t>
      </w:r>
      <w:r w:rsidRPr="00DA4F3E">
        <w:rPr>
          <w:rFonts w:ascii="Times New Roman" w:eastAsiaTheme="minorHAnsi" w:hAnsi="Times New Roman" w:cs="Times New Roman"/>
          <w:b w:val="0"/>
          <w:bCs w:val="0"/>
          <w:sz w:val="24"/>
          <w:szCs w:val="24"/>
        </w:rPr>
        <w:t>model.</w:t>
      </w:r>
    </w:p>
    <w:p w:rsidR="0078650F" w:rsidRPr="00DA4F3E" w:rsidRDefault="0078650F" w:rsidP="005330E5">
      <w:pPr>
        <w:pStyle w:val="ListParagraph"/>
        <w:numPr>
          <w:ilvl w:val="1"/>
          <w:numId w:val="23"/>
        </w:numPr>
        <w:bidi w:val="0"/>
        <w:spacing w:after="0" w:line="276" w:lineRule="auto"/>
        <w:ind w:left="1276" w:hanging="556"/>
        <w:rPr>
          <w:rFonts w:ascii="Times New Roman" w:hAnsi="Times New Roman" w:cs="Times New Roman"/>
          <w:b w:val="0"/>
          <w:bCs w:val="0"/>
          <w:sz w:val="24"/>
          <w:szCs w:val="24"/>
          <w:lang w:bidi="ar-JO"/>
        </w:rPr>
      </w:pPr>
      <w:r w:rsidRPr="00DA4F3E">
        <w:rPr>
          <w:rFonts w:ascii="Times New Roman" w:hAnsi="Times New Roman" w:cs="Times New Roman"/>
          <w:b w:val="0"/>
          <w:bCs w:val="0"/>
          <w:color w:val="202124"/>
          <w:sz w:val="24"/>
          <w:szCs w:val="24"/>
          <w:lang w:val="en"/>
        </w:rPr>
        <w:t xml:space="preserve">The bank should consider the </w:t>
      </w:r>
      <w:r w:rsidRPr="00DA4F3E">
        <w:rPr>
          <w:rFonts w:ascii="Times New Roman" w:eastAsiaTheme="minorHAnsi" w:hAnsi="Times New Roman" w:cs="Times New Roman"/>
          <w:b w:val="0"/>
          <w:bCs w:val="0"/>
          <w:sz w:val="24"/>
          <w:szCs w:val="24"/>
        </w:rPr>
        <w:t>following valuation adjustments/reserves to be formally considered at a minimum</w:t>
      </w:r>
      <w:r w:rsidRPr="00DA4F3E">
        <w:rPr>
          <w:rFonts w:ascii="Times New Roman" w:hAnsi="Times New Roman" w:cs="Times New Roman"/>
          <w:b w:val="0"/>
          <w:bCs w:val="0"/>
          <w:color w:val="202124"/>
          <w:sz w:val="24"/>
          <w:szCs w:val="24"/>
          <w:lang w:val="en"/>
        </w:rPr>
        <w:t xml:space="preserve"> wherever required:</w:t>
      </w:r>
    </w:p>
    <w:p w:rsidR="0078650F" w:rsidRPr="00DA4F3E" w:rsidRDefault="005330E5" w:rsidP="005330E5">
      <w:pPr>
        <w:pStyle w:val="ListParagraph"/>
        <w:numPr>
          <w:ilvl w:val="2"/>
          <w:numId w:val="23"/>
        </w:numPr>
        <w:bidi w:val="0"/>
        <w:spacing w:after="0" w:line="276" w:lineRule="auto"/>
        <w:ind w:left="2127" w:hanging="851"/>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U</w:t>
      </w:r>
      <w:r w:rsidR="0078650F" w:rsidRPr="00DA4F3E">
        <w:rPr>
          <w:rFonts w:ascii="Times New Roman" w:eastAsiaTheme="minorHAnsi" w:hAnsi="Times New Roman" w:cs="Times New Roman"/>
          <w:b w:val="0"/>
          <w:bCs w:val="0"/>
          <w:sz w:val="24"/>
          <w:szCs w:val="24"/>
        </w:rPr>
        <w:t>nearned credit spreads.</w:t>
      </w:r>
    </w:p>
    <w:p w:rsidR="0078650F" w:rsidRPr="00DA4F3E" w:rsidRDefault="005330E5" w:rsidP="005330E5">
      <w:pPr>
        <w:pStyle w:val="ListParagraph"/>
        <w:numPr>
          <w:ilvl w:val="2"/>
          <w:numId w:val="23"/>
        </w:numPr>
        <w:bidi w:val="0"/>
        <w:spacing w:after="0" w:line="276" w:lineRule="auto"/>
        <w:ind w:left="2127" w:hanging="851"/>
        <w:rPr>
          <w:rFonts w:ascii="Times New Roman" w:hAnsi="Times New Roman" w:cs="Times New Roman"/>
          <w:b w:val="0"/>
          <w:bCs w:val="0"/>
          <w:sz w:val="24"/>
          <w:szCs w:val="24"/>
          <w:lang w:bidi="ar-JO"/>
        </w:rPr>
      </w:pPr>
      <w:r w:rsidRPr="00DA4F3E">
        <w:rPr>
          <w:rFonts w:ascii="Times New Roman" w:eastAsiaTheme="minorHAnsi" w:hAnsi="Times New Roman" w:cs="Times New Roman"/>
          <w:b w:val="0"/>
          <w:bCs w:val="0"/>
          <w:sz w:val="24"/>
          <w:szCs w:val="24"/>
        </w:rPr>
        <w:t>C</w:t>
      </w:r>
      <w:r w:rsidR="0078650F" w:rsidRPr="00DA4F3E">
        <w:rPr>
          <w:rFonts w:ascii="Times New Roman" w:eastAsiaTheme="minorHAnsi" w:hAnsi="Times New Roman" w:cs="Times New Roman"/>
          <w:b w:val="0"/>
          <w:bCs w:val="0"/>
          <w:sz w:val="24"/>
          <w:szCs w:val="24"/>
        </w:rPr>
        <w:t>lose-out costs.</w:t>
      </w:r>
    </w:p>
    <w:p w:rsidR="0078650F" w:rsidRPr="00DA4F3E" w:rsidRDefault="0078650F" w:rsidP="005330E5">
      <w:pPr>
        <w:pStyle w:val="ListParagraph"/>
        <w:numPr>
          <w:ilvl w:val="2"/>
          <w:numId w:val="23"/>
        </w:numPr>
        <w:bidi w:val="0"/>
        <w:spacing w:after="0" w:line="276" w:lineRule="auto"/>
        <w:ind w:left="2127" w:hanging="851"/>
        <w:rPr>
          <w:rFonts w:ascii="Times New Roman" w:hAnsi="Times New Roman" w:cs="Times New Roman"/>
          <w:b w:val="0"/>
          <w:bCs w:val="0"/>
          <w:sz w:val="24"/>
          <w:szCs w:val="24"/>
          <w:lang w:bidi="ar-JO"/>
        </w:rPr>
      </w:pPr>
      <w:r w:rsidRPr="00DA4F3E">
        <w:rPr>
          <w:rFonts w:ascii="Times New Roman" w:eastAsiaTheme="minorHAnsi" w:hAnsi="Times New Roman" w:cs="Times New Roman"/>
          <w:b w:val="0"/>
          <w:bCs w:val="0"/>
          <w:sz w:val="24"/>
          <w:szCs w:val="24"/>
        </w:rPr>
        <w:t>Operational risks.</w:t>
      </w:r>
    </w:p>
    <w:p w:rsidR="0078650F" w:rsidRPr="00DA4F3E" w:rsidRDefault="005330E5" w:rsidP="005330E5">
      <w:pPr>
        <w:pStyle w:val="ListParagraph"/>
        <w:numPr>
          <w:ilvl w:val="2"/>
          <w:numId w:val="23"/>
        </w:numPr>
        <w:bidi w:val="0"/>
        <w:spacing w:after="0" w:line="276" w:lineRule="auto"/>
        <w:ind w:left="2127" w:hanging="851"/>
        <w:rPr>
          <w:rFonts w:ascii="Times New Roman" w:hAnsi="Times New Roman" w:cs="Times New Roman"/>
          <w:b w:val="0"/>
          <w:bCs w:val="0"/>
          <w:sz w:val="24"/>
          <w:szCs w:val="24"/>
          <w:lang w:bidi="ar-JO"/>
        </w:rPr>
      </w:pPr>
      <w:r w:rsidRPr="00DA4F3E">
        <w:rPr>
          <w:rFonts w:ascii="Times New Roman" w:eastAsiaTheme="minorHAnsi" w:hAnsi="Times New Roman" w:cs="Times New Roman"/>
          <w:b w:val="0"/>
          <w:bCs w:val="0"/>
          <w:sz w:val="24"/>
          <w:szCs w:val="24"/>
        </w:rPr>
        <w:t>E</w:t>
      </w:r>
      <w:r w:rsidR="0078650F" w:rsidRPr="00DA4F3E">
        <w:rPr>
          <w:rFonts w:ascii="Times New Roman" w:eastAsiaTheme="minorHAnsi" w:hAnsi="Times New Roman" w:cs="Times New Roman"/>
          <w:b w:val="0"/>
          <w:bCs w:val="0"/>
          <w:sz w:val="24"/>
          <w:szCs w:val="24"/>
        </w:rPr>
        <w:t>arly termination.</w:t>
      </w:r>
    </w:p>
    <w:p w:rsidR="0078650F" w:rsidRPr="00DA4F3E" w:rsidRDefault="005330E5" w:rsidP="005330E5">
      <w:pPr>
        <w:pStyle w:val="ListParagraph"/>
        <w:numPr>
          <w:ilvl w:val="2"/>
          <w:numId w:val="23"/>
        </w:numPr>
        <w:bidi w:val="0"/>
        <w:spacing w:after="0" w:line="276" w:lineRule="auto"/>
        <w:ind w:left="2127" w:hanging="851"/>
        <w:rPr>
          <w:rFonts w:ascii="Times New Roman" w:hAnsi="Times New Roman" w:cs="Times New Roman"/>
          <w:b w:val="0"/>
          <w:bCs w:val="0"/>
          <w:sz w:val="24"/>
          <w:szCs w:val="24"/>
          <w:lang w:bidi="ar-JO"/>
        </w:rPr>
      </w:pPr>
      <w:r w:rsidRPr="00DA4F3E">
        <w:rPr>
          <w:rFonts w:ascii="Times New Roman" w:eastAsiaTheme="minorHAnsi" w:hAnsi="Times New Roman" w:cs="Times New Roman"/>
          <w:b w:val="0"/>
          <w:bCs w:val="0"/>
          <w:sz w:val="24"/>
          <w:szCs w:val="24"/>
        </w:rPr>
        <w:t>I</w:t>
      </w:r>
      <w:r w:rsidR="0078650F" w:rsidRPr="00DA4F3E">
        <w:rPr>
          <w:rFonts w:ascii="Times New Roman" w:eastAsiaTheme="minorHAnsi" w:hAnsi="Times New Roman" w:cs="Times New Roman"/>
          <w:b w:val="0"/>
          <w:bCs w:val="0"/>
          <w:sz w:val="24"/>
          <w:szCs w:val="24"/>
        </w:rPr>
        <w:t>nvesting and funding costs.</w:t>
      </w:r>
    </w:p>
    <w:p w:rsidR="0078650F" w:rsidRPr="00DA4F3E" w:rsidRDefault="005330E5" w:rsidP="005330E5">
      <w:pPr>
        <w:pStyle w:val="ListParagraph"/>
        <w:numPr>
          <w:ilvl w:val="2"/>
          <w:numId w:val="23"/>
        </w:numPr>
        <w:bidi w:val="0"/>
        <w:spacing w:after="0" w:line="276" w:lineRule="auto"/>
        <w:ind w:left="2127" w:hanging="851"/>
        <w:rPr>
          <w:rFonts w:ascii="Times New Roman" w:hAnsi="Times New Roman" w:cs="Times New Roman"/>
          <w:b w:val="0"/>
          <w:bCs w:val="0"/>
          <w:sz w:val="24"/>
          <w:szCs w:val="24"/>
          <w:lang w:bidi="ar-JO"/>
        </w:rPr>
      </w:pPr>
      <w:r w:rsidRPr="00DA4F3E">
        <w:rPr>
          <w:rFonts w:ascii="Times New Roman" w:eastAsiaTheme="minorHAnsi" w:hAnsi="Times New Roman" w:cs="Times New Roman"/>
          <w:b w:val="0"/>
          <w:bCs w:val="0"/>
          <w:sz w:val="24"/>
          <w:szCs w:val="24"/>
        </w:rPr>
        <w:t>F</w:t>
      </w:r>
      <w:r w:rsidR="0078650F" w:rsidRPr="00DA4F3E">
        <w:rPr>
          <w:rFonts w:ascii="Times New Roman" w:eastAsiaTheme="minorHAnsi" w:hAnsi="Times New Roman" w:cs="Times New Roman"/>
          <w:b w:val="0"/>
          <w:bCs w:val="0"/>
          <w:sz w:val="24"/>
          <w:szCs w:val="24"/>
        </w:rPr>
        <w:t>uture administrative costs.</w:t>
      </w:r>
    </w:p>
    <w:p w:rsidR="0078650F" w:rsidRPr="00DA4F3E" w:rsidRDefault="005330E5" w:rsidP="005330E5">
      <w:pPr>
        <w:pStyle w:val="ListParagraph"/>
        <w:numPr>
          <w:ilvl w:val="2"/>
          <w:numId w:val="23"/>
        </w:numPr>
        <w:bidi w:val="0"/>
        <w:spacing w:after="0" w:line="276" w:lineRule="auto"/>
        <w:ind w:left="2127" w:hanging="851"/>
        <w:rPr>
          <w:rFonts w:ascii="Times New Roman" w:hAnsi="Times New Roman" w:cs="Times New Roman"/>
          <w:b w:val="0"/>
          <w:bCs w:val="0"/>
          <w:sz w:val="24"/>
          <w:szCs w:val="24"/>
          <w:lang w:bidi="ar-JO"/>
        </w:rPr>
      </w:pPr>
      <w:r w:rsidRPr="00DA4F3E">
        <w:rPr>
          <w:rFonts w:ascii="Times New Roman" w:eastAsiaTheme="minorHAnsi" w:hAnsi="Times New Roman" w:cs="Times New Roman"/>
          <w:b w:val="0"/>
          <w:bCs w:val="0"/>
          <w:sz w:val="24"/>
          <w:szCs w:val="24"/>
        </w:rPr>
        <w:t>M</w:t>
      </w:r>
      <w:r w:rsidR="0078650F" w:rsidRPr="00DA4F3E">
        <w:rPr>
          <w:rFonts w:ascii="Times New Roman" w:eastAsiaTheme="minorHAnsi" w:hAnsi="Times New Roman" w:cs="Times New Roman"/>
          <w:b w:val="0"/>
          <w:bCs w:val="0"/>
          <w:sz w:val="24"/>
          <w:szCs w:val="24"/>
        </w:rPr>
        <w:t>odel risk.</w:t>
      </w:r>
    </w:p>
    <w:p w:rsidR="0078650F" w:rsidRPr="00DA4F3E" w:rsidRDefault="00A71B1A" w:rsidP="005330E5">
      <w:pPr>
        <w:pStyle w:val="ListParagraph"/>
        <w:numPr>
          <w:ilvl w:val="1"/>
          <w:numId w:val="23"/>
        </w:numPr>
        <w:bidi w:val="0"/>
        <w:spacing w:after="0" w:line="276" w:lineRule="auto"/>
        <w:ind w:left="1276" w:hanging="556"/>
        <w:rPr>
          <w:rFonts w:ascii="Times New Roman" w:hAnsi="Times New Roman" w:cs="Times New Roman"/>
          <w:b w:val="0"/>
          <w:bCs w:val="0"/>
          <w:sz w:val="24"/>
          <w:szCs w:val="24"/>
          <w:lang w:bidi="ar-JO"/>
        </w:rPr>
      </w:pPr>
      <w:r w:rsidRPr="00DA4F3E">
        <w:rPr>
          <w:rFonts w:ascii="Times New Roman" w:eastAsiaTheme="minorHAnsi" w:hAnsi="Times New Roman" w:cs="Times New Roman"/>
          <w:b w:val="0"/>
          <w:bCs w:val="0"/>
          <w:sz w:val="24"/>
          <w:szCs w:val="24"/>
        </w:rPr>
        <w:t>Banks must make downward valuation adjustments/reserves for less liquid positions, and to review their continued appropriateness on an on-going basis. Banks must consider all relevant factors when determining the appropriateness of valuation adjustments/reserves for less liquid positions. These factors may include, but are not limited to:</w:t>
      </w:r>
    </w:p>
    <w:p w:rsidR="00A71B1A" w:rsidRPr="00DA4F3E" w:rsidRDefault="005330E5" w:rsidP="00585D20">
      <w:pPr>
        <w:pStyle w:val="ListParagraph"/>
        <w:numPr>
          <w:ilvl w:val="2"/>
          <w:numId w:val="23"/>
        </w:numPr>
        <w:bidi w:val="0"/>
        <w:spacing w:after="0" w:line="276" w:lineRule="auto"/>
        <w:ind w:left="2127" w:hanging="851"/>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T</w:t>
      </w:r>
      <w:r w:rsidR="00A71B1A" w:rsidRPr="00DA4F3E">
        <w:rPr>
          <w:rFonts w:ascii="Times New Roman" w:eastAsiaTheme="minorHAnsi" w:hAnsi="Times New Roman" w:cs="Times New Roman"/>
          <w:b w:val="0"/>
          <w:bCs w:val="0"/>
          <w:sz w:val="24"/>
          <w:szCs w:val="24"/>
        </w:rPr>
        <w:t xml:space="preserve">he time it would take to hedge out the </w:t>
      </w:r>
      <w:r w:rsidR="00585D20" w:rsidRPr="00DA4F3E">
        <w:rPr>
          <w:rFonts w:ascii="Times New Roman" w:eastAsiaTheme="minorHAnsi" w:hAnsi="Times New Roman" w:cs="Times New Roman"/>
          <w:b w:val="0"/>
          <w:bCs w:val="0"/>
          <w:sz w:val="24"/>
          <w:szCs w:val="24"/>
        </w:rPr>
        <w:t xml:space="preserve">risks </w:t>
      </w:r>
      <w:r w:rsidR="00A71B1A" w:rsidRPr="00DA4F3E">
        <w:rPr>
          <w:rFonts w:ascii="Times New Roman" w:eastAsiaTheme="minorHAnsi" w:hAnsi="Times New Roman" w:cs="Times New Roman"/>
          <w:b w:val="0"/>
          <w:bCs w:val="0"/>
          <w:sz w:val="24"/>
          <w:szCs w:val="24"/>
        </w:rPr>
        <w:t>position.</w:t>
      </w:r>
    </w:p>
    <w:p w:rsidR="00A71B1A" w:rsidRPr="00DA4F3E" w:rsidRDefault="005330E5" w:rsidP="005330E5">
      <w:pPr>
        <w:pStyle w:val="ListParagraph"/>
        <w:numPr>
          <w:ilvl w:val="2"/>
          <w:numId w:val="23"/>
        </w:numPr>
        <w:bidi w:val="0"/>
        <w:spacing w:after="0" w:line="276" w:lineRule="auto"/>
        <w:ind w:left="2127" w:hanging="851"/>
        <w:rPr>
          <w:rFonts w:ascii="Times New Roman" w:hAnsi="Times New Roman" w:cs="Times New Roman"/>
          <w:b w:val="0"/>
          <w:bCs w:val="0"/>
          <w:sz w:val="24"/>
          <w:szCs w:val="24"/>
          <w:lang w:bidi="ar-JO"/>
        </w:rPr>
      </w:pPr>
      <w:r w:rsidRPr="00DA4F3E">
        <w:rPr>
          <w:rFonts w:ascii="Times New Roman" w:eastAsiaTheme="minorHAnsi" w:hAnsi="Times New Roman" w:cs="Times New Roman"/>
          <w:b w:val="0"/>
          <w:bCs w:val="0"/>
          <w:sz w:val="24"/>
          <w:szCs w:val="24"/>
        </w:rPr>
        <w:t>T</w:t>
      </w:r>
      <w:r w:rsidR="00A71B1A" w:rsidRPr="00DA4F3E">
        <w:rPr>
          <w:rFonts w:ascii="Times New Roman" w:eastAsiaTheme="minorHAnsi" w:hAnsi="Times New Roman" w:cs="Times New Roman"/>
          <w:b w:val="0"/>
          <w:bCs w:val="0"/>
          <w:sz w:val="24"/>
          <w:szCs w:val="24"/>
        </w:rPr>
        <w:t>he average volatility of bid/offer spreads.</w:t>
      </w:r>
    </w:p>
    <w:p w:rsidR="00A71B1A" w:rsidRPr="00DA4F3E" w:rsidRDefault="005330E5" w:rsidP="005330E5">
      <w:pPr>
        <w:pStyle w:val="ListParagraph"/>
        <w:numPr>
          <w:ilvl w:val="2"/>
          <w:numId w:val="23"/>
        </w:numPr>
        <w:bidi w:val="0"/>
        <w:spacing w:after="0" w:line="276" w:lineRule="auto"/>
        <w:ind w:left="2127" w:hanging="851"/>
        <w:rPr>
          <w:rFonts w:ascii="Times New Roman" w:hAnsi="Times New Roman" w:cs="Times New Roman"/>
          <w:b w:val="0"/>
          <w:bCs w:val="0"/>
          <w:sz w:val="24"/>
          <w:szCs w:val="24"/>
          <w:lang w:bidi="ar-JO"/>
        </w:rPr>
      </w:pPr>
      <w:r w:rsidRPr="00DA4F3E">
        <w:rPr>
          <w:rFonts w:ascii="Times New Roman" w:eastAsiaTheme="minorHAnsi" w:hAnsi="Times New Roman" w:cs="Times New Roman"/>
          <w:b w:val="0"/>
          <w:bCs w:val="0"/>
          <w:sz w:val="24"/>
          <w:szCs w:val="24"/>
        </w:rPr>
        <w:t>T</w:t>
      </w:r>
      <w:r w:rsidR="00A71B1A" w:rsidRPr="00DA4F3E">
        <w:rPr>
          <w:rFonts w:ascii="Times New Roman" w:eastAsiaTheme="minorHAnsi" w:hAnsi="Times New Roman" w:cs="Times New Roman"/>
          <w:b w:val="0"/>
          <w:bCs w:val="0"/>
          <w:sz w:val="24"/>
          <w:szCs w:val="24"/>
        </w:rPr>
        <w:t>he availability of independent market quotes.</w:t>
      </w:r>
    </w:p>
    <w:p w:rsidR="00A71B1A" w:rsidRPr="00DA4F3E" w:rsidRDefault="005330E5" w:rsidP="005330E5">
      <w:pPr>
        <w:pStyle w:val="ListParagraph"/>
        <w:numPr>
          <w:ilvl w:val="2"/>
          <w:numId w:val="23"/>
        </w:numPr>
        <w:bidi w:val="0"/>
        <w:spacing w:after="0" w:line="276" w:lineRule="auto"/>
        <w:ind w:left="2127" w:hanging="851"/>
        <w:rPr>
          <w:rFonts w:ascii="Times New Roman" w:hAnsi="Times New Roman" w:cs="Times New Roman"/>
          <w:b w:val="0"/>
          <w:bCs w:val="0"/>
          <w:sz w:val="24"/>
          <w:szCs w:val="24"/>
          <w:lang w:bidi="ar-JO"/>
        </w:rPr>
      </w:pPr>
      <w:r w:rsidRPr="00DA4F3E">
        <w:rPr>
          <w:rFonts w:ascii="Times New Roman" w:eastAsiaTheme="minorHAnsi" w:hAnsi="Times New Roman" w:cs="Times New Roman"/>
          <w:b w:val="0"/>
          <w:bCs w:val="0"/>
          <w:sz w:val="24"/>
          <w:szCs w:val="24"/>
        </w:rPr>
        <w:t>T</w:t>
      </w:r>
      <w:r w:rsidR="00A71B1A" w:rsidRPr="00DA4F3E">
        <w:rPr>
          <w:rFonts w:ascii="Times New Roman" w:eastAsiaTheme="minorHAnsi" w:hAnsi="Times New Roman" w:cs="Times New Roman"/>
          <w:b w:val="0"/>
          <w:bCs w:val="0"/>
          <w:sz w:val="24"/>
          <w:szCs w:val="24"/>
        </w:rPr>
        <w:t>he average and volatility of trading volumes</w:t>
      </w:r>
    </w:p>
    <w:p w:rsidR="00A71B1A" w:rsidRPr="00DA4F3E" w:rsidRDefault="005330E5" w:rsidP="005330E5">
      <w:pPr>
        <w:pStyle w:val="ListParagraph"/>
        <w:numPr>
          <w:ilvl w:val="2"/>
          <w:numId w:val="23"/>
        </w:numPr>
        <w:bidi w:val="0"/>
        <w:spacing w:after="0" w:line="276" w:lineRule="auto"/>
        <w:ind w:left="2127" w:hanging="851"/>
        <w:rPr>
          <w:rFonts w:ascii="Times New Roman" w:hAnsi="Times New Roman" w:cs="Times New Roman"/>
          <w:b w:val="0"/>
          <w:bCs w:val="0"/>
          <w:sz w:val="24"/>
          <w:szCs w:val="24"/>
          <w:lang w:bidi="ar-JO"/>
        </w:rPr>
      </w:pPr>
      <w:r w:rsidRPr="00DA4F3E">
        <w:rPr>
          <w:rFonts w:ascii="Times New Roman" w:eastAsiaTheme="minorHAnsi" w:hAnsi="Times New Roman" w:cs="Times New Roman"/>
          <w:b w:val="0"/>
          <w:bCs w:val="0"/>
          <w:sz w:val="24"/>
          <w:szCs w:val="24"/>
        </w:rPr>
        <w:t>M</w:t>
      </w:r>
      <w:r w:rsidR="00A71B1A" w:rsidRPr="00DA4F3E">
        <w:rPr>
          <w:rFonts w:ascii="Times New Roman" w:eastAsiaTheme="minorHAnsi" w:hAnsi="Times New Roman" w:cs="Times New Roman"/>
          <w:b w:val="0"/>
          <w:bCs w:val="0"/>
          <w:sz w:val="24"/>
          <w:szCs w:val="24"/>
        </w:rPr>
        <w:t>arket concentrations.</w:t>
      </w:r>
    </w:p>
    <w:p w:rsidR="00A71B1A" w:rsidRPr="00DA4F3E" w:rsidRDefault="005330E5" w:rsidP="005330E5">
      <w:pPr>
        <w:pStyle w:val="ListParagraph"/>
        <w:numPr>
          <w:ilvl w:val="2"/>
          <w:numId w:val="23"/>
        </w:numPr>
        <w:bidi w:val="0"/>
        <w:spacing w:after="0" w:line="276" w:lineRule="auto"/>
        <w:ind w:left="2127" w:hanging="851"/>
        <w:rPr>
          <w:rFonts w:ascii="Times New Roman" w:hAnsi="Times New Roman" w:cs="Times New Roman"/>
          <w:b w:val="0"/>
          <w:bCs w:val="0"/>
          <w:sz w:val="24"/>
          <w:szCs w:val="24"/>
          <w:lang w:bidi="ar-JO"/>
        </w:rPr>
      </w:pPr>
      <w:r w:rsidRPr="00DA4F3E">
        <w:rPr>
          <w:rFonts w:ascii="Times New Roman" w:eastAsiaTheme="minorHAnsi" w:hAnsi="Times New Roman" w:cs="Times New Roman"/>
          <w:b w:val="0"/>
          <w:bCs w:val="0"/>
          <w:sz w:val="24"/>
          <w:szCs w:val="24"/>
        </w:rPr>
        <w:t>T</w:t>
      </w:r>
      <w:r w:rsidR="00A71B1A" w:rsidRPr="00DA4F3E">
        <w:rPr>
          <w:rFonts w:ascii="Times New Roman" w:eastAsiaTheme="minorHAnsi" w:hAnsi="Times New Roman" w:cs="Times New Roman"/>
          <w:b w:val="0"/>
          <w:bCs w:val="0"/>
          <w:sz w:val="24"/>
          <w:szCs w:val="24"/>
        </w:rPr>
        <w:t>he aging of positions.</w:t>
      </w:r>
    </w:p>
    <w:p w:rsidR="00A71B1A" w:rsidRPr="00DA4F3E" w:rsidRDefault="005330E5" w:rsidP="005330E5">
      <w:pPr>
        <w:pStyle w:val="ListParagraph"/>
        <w:numPr>
          <w:ilvl w:val="2"/>
          <w:numId w:val="23"/>
        </w:numPr>
        <w:bidi w:val="0"/>
        <w:spacing w:after="0" w:line="276" w:lineRule="auto"/>
        <w:ind w:left="2127" w:hanging="851"/>
        <w:rPr>
          <w:rFonts w:ascii="Times New Roman" w:hAnsi="Times New Roman" w:cs="Times New Roman"/>
          <w:b w:val="0"/>
          <w:bCs w:val="0"/>
          <w:sz w:val="24"/>
          <w:szCs w:val="24"/>
          <w:lang w:bidi="ar-JO"/>
        </w:rPr>
      </w:pPr>
      <w:r w:rsidRPr="00DA4F3E">
        <w:rPr>
          <w:rFonts w:ascii="Times New Roman" w:eastAsiaTheme="minorHAnsi" w:hAnsi="Times New Roman" w:cs="Times New Roman"/>
          <w:b w:val="0"/>
          <w:bCs w:val="0"/>
          <w:sz w:val="24"/>
          <w:szCs w:val="24"/>
        </w:rPr>
        <w:t>T</w:t>
      </w:r>
      <w:r w:rsidR="00A71B1A" w:rsidRPr="00DA4F3E">
        <w:rPr>
          <w:rFonts w:ascii="Times New Roman" w:eastAsiaTheme="minorHAnsi" w:hAnsi="Times New Roman" w:cs="Times New Roman"/>
          <w:b w:val="0"/>
          <w:bCs w:val="0"/>
          <w:sz w:val="24"/>
          <w:szCs w:val="24"/>
        </w:rPr>
        <w:t>he extent to which valuation relies on marked-to-model.</w:t>
      </w:r>
    </w:p>
    <w:p w:rsidR="00A71B1A" w:rsidRPr="00DA4F3E" w:rsidRDefault="005330E5" w:rsidP="005330E5">
      <w:pPr>
        <w:pStyle w:val="ListParagraph"/>
        <w:numPr>
          <w:ilvl w:val="2"/>
          <w:numId w:val="23"/>
        </w:numPr>
        <w:bidi w:val="0"/>
        <w:spacing w:after="0" w:line="276" w:lineRule="auto"/>
        <w:ind w:left="2127" w:hanging="851"/>
        <w:rPr>
          <w:rFonts w:ascii="Times New Roman" w:hAnsi="Times New Roman" w:cs="Times New Roman"/>
          <w:b w:val="0"/>
          <w:bCs w:val="0"/>
          <w:sz w:val="24"/>
          <w:szCs w:val="24"/>
          <w:lang w:bidi="ar-JO"/>
        </w:rPr>
      </w:pPr>
      <w:r w:rsidRPr="00DA4F3E">
        <w:rPr>
          <w:rFonts w:ascii="Times New Roman" w:eastAsiaTheme="minorHAnsi" w:hAnsi="Times New Roman" w:cs="Times New Roman"/>
          <w:b w:val="0"/>
          <w:bCs w:val="0"/>
          <w:sz w:val="24"/>
          <w:szCs w:val="24"/>
        </w:rPr>
        <w:t>T</w:t>
      </w:r>
      <w:r w:rsidR="00A71B1A" w:rsidRPr="00DA4F3E">
        <w:rPr>
          <w:rFonts w:ascii="Times New Roman" w:eastAsiaTheme="minorHAnsi" w:hAnsi="Times New Roman" w:cs="Times New Roman"/>
          <w:b w:val="0"/>
          <w:bCs w:val="0"/>
          <w:sz w:val="24"/>
          <w:szCs w:val="24"/>
        </w:rPr>
        <w:t>he impact of other model risks.</w:t>
      </w:r>
    </w:p>
    <w:p w:rsidR="005330E5" w:rsidRPr="00C77C3A" w:rsidRDefault="005330E5" w:rsidP="005330E5">
      <w:pPr>
        <w:pStyle w:val="ListParagraph"/>
        <w:bidi w:val="0"/>
        <w:spacing w:after="0" w:line="276" w:lineRule="auto"/>
        <w:ind w:left="2127"/>
        <w:rPr>
          <w:rFonts w:ascii="Times New Roman" w:hAnsi="Times New Roman" w:cs="Times New Roman"/>
          <w:b w:val="0"/>
          <w:bCs w:val="0"/>
          <w:sz w:val="12"/>
          <w:szCs w:val="12"/>
          <w:lang w:bidi="ar-JO"/>
        </w:rPr>
      </w:pPr>
    </w:p>
    <w:p w:rsidR="00006378" w:rsidRPr="00DA4F3E" w:rsidRDefault="00BD59D7" w:rsidP="005330E5">
      <w:pPr>
        <w:pStyle w:val="ListParagraph"/>
        <w:numPr>
          <w:ilvl w:val="0"/>
          <w:numId w:val="23"/>
        </w:numPr>
        <w:bidi w:val="0"/>
        <w:spacing w:after="0" w:line="276" w:lineRule="auto"/>
        <w:ind w:hanging="578"/>
        <w:rPr>
          <w:rFonts w:ascii="Times New Roman" w:hAnsi="Times New Roman" w:cs="Times New Roman"/>
          <w:sz w:val="24"/>
          <w:szCs w:val="24"/>
          <w:lang w:bidi="ar-JO"/>
        </w:rPr>
      </w:pPr>
      <w:r w:rsidRPr="00DA4F3E">
        <w:rPr>
          <w:rFonts w:ascii="Times New Roman" w:eastAsiaTheme="minorHAnsi" w:hAnsi="Times New Roman" w:cs="Times New Roman"/>
          <w:sz w:val="24"/>
          <w:szCs w:val="24"/>
        </w:rPr>
        <w:t xml:space="preserve">Market risk – The standardised </w:t>
      </w:r>
      <w:r w:rsidR="00942C5A">
        <w:rPr>
          <w:rFonts w:ascii="Times New Roman" w:hAnsi="Times New Roman" w:cs="Times New Roman"/>
          <w:sz w:val="24"/>
          <w:szCs w:val="24"/>
        </w:rPr>
        <w:t>a</w:t>
      </w:r>
      <w:r w:rsidRPr="00DA4F3E">
        <w:rPr>
          <w:rFonts w:ascii="Times New Roman" w:hAnsi="Times New Roman" w:cs="Times New Roman"/>
          <w:sz w:val="24"/>
          <w:szCs w:val="24"/>
        </w:rPr>
        <w:t>pproach</w:t>
      </w:r>
      <w:r w:rsidRPr="00DA4F3E">
        <w:rPr>
          <w:rFonts w:ascii="Times New Roman" w:eastAsiaTheme="minorHAnsi" w:hAnsi="Times New Roman" w:cs="Times New Roman"/>
          <w:sz w:val="24"/>
          <w:szCs w:val="24"/>
        </w:rPr>
        <w:t xml:space="preserve"> method:</w:t>
      </w:r>
    </w:p>
    <w:p w:rsidR="00BD59D7" w:rsidRPr="00DA4F3E" w:rsidRDefault="00BD59D7" w:rsidP="00AA2027">
      <w:pPr>
        <w:pStyle w:val="ListParagraph"/>
        <w:bidi w:val="0"/>
        <w:spacing w:after="0" w:line="276" w:lineRule="auto"/>
        <w:rPr>
          <w:rFonts w:ascii="Times New Roman" w:hAnsi="Times New Roman" w:cs="Times New Roman"/>
          <w:b w:val="0"/>
          <w:bCs w:val="0"/>
          <w:color w:val="202124"/>
          <w:sz w:val="24"/>
          <w:szCs w:val="24"/>
          <w:lang w:val="en"/>
        </w:rPr>
      </w:pPr>
      <w:r w:rsidRPr="00DA4F3E">
        <w:rPr>
          <w:rFonts w:ascii="Times New Roman" w:hAnsi="Times New Roman" w:cs="Times New Roman"/>
          <w:b w:val="0"/>
          <w:bCs w:val="0"/>
          <w:color w:val="202124"/>
          <w:sz w:val="24"/>
          <w:szCs w:val="24"/>
          <w:lang w:val="en"/>
        </w:rPr>
        <w:t>In this method, a ready-made form prepared by the Basel Committee is used in which various market risks are measured, and the following is an explanation of the measurement of these risks according to this method:</w:t>
      </w:r>
    </w:p>
    <w:p w:rsidR="00BD59D7" w:rsidRPr="00DA4F3E" w:rsidRDefault="00BD59D7" w:rsidP="005330E5">
      <w:pPr>
        <w:pStyle w:val="ListParagraph"/>
        <w:numPr>
          <w:ilvl w:val="1"/>
          <w:numId w:val="23"/>
        </w:numPr>
        <w:bidi w:val="0"/>
        <w:spacing w:after="0" w:line="276" w:lineRule="auto"/>
        <w:ind w:left="1276" w:hanging="556"/>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Interest rate risk:</w:t>
      </w:r>
    </w:p>
    <w:p w:rsidR="00BD59D7" w:rsidRPr="00DA4F3E" w:rsidRDefault="005330E5" w:rsidP="00C207DD">
      <w:pPr>
        <w:pStyle w:val="ListParagraph"/>
        <w:bidi w:val="0"/>
        <w:spacing w:after="0" w:line="276" w:lineRule="auto"/>
        <w:ind w:left="1276"/>
        <w:rPr>
          <w:rFonts w:ascii="Times New Roman" w:hAnsi="Times New Roman" w:cs="Times New Roman"/>
          <w:b w:val="0"/>
          <w:bCs w:val="0"/>
          <w:color w:val="202124"/>
          <w:sz w:val="24"/>
          <w:szCs w:val="24"/>
          <w:lang w:val="en"/>
        </w:rPr>
      </w:pPr>
      <w:r w:rsidRPr="00DA4F3E">
        <w:rPr>
          <w:rFonts w:ascii="Times New Roman" w:eastAsiaTheme="minorHAnsi" w:hAnsi="Times New Roman" w:cs="Times New Roman"/>
          <w:b w:val="0"/>
          <w:bCs w:val="0"/>
          <w:sz w:val="24"/>
          <w:szCs w:val="24"/>
        </w:rPr>
        <w:t>T</w:t>
      </w:r>
      <w:r w:rsidR="00BD59D7" w:rsidRPr="00DA4F3E">
        <w:rPr>
          <w:rFonts w:ascii="Times New Roman" w:eastAsiaTheme="minorHAnsi" w:hAnsi="Times New Roman" w:cs="Times New Roman"/>
          <w:b w:val="0"/>
          <w:bCs w:val="0"/>
          <w:sz w:val="24"/>
          <w:szCs w:val="24"/>
        </w:rPr>
        <w:t>he risk of holding or taking positions in debt securities and other interest rate related instruments in the trading book. The instruments covered include all fixed-rate and floating-rate debt securities (</w:t>
      </w:r>
      <w:r w:rsidR="00BD59D7" w:rsidRPr="00DA4F3E">
        <w:rPr>
          <w:rFonts w:ascii="Times New Roman" w:hAnsi="Times New Roman" w:cs="Times New Roman"/>
          <w:b w:val="0"/>
          <w:bCs w:val="0"/>
          <w:color w:val="202124"/>
          <w:sz w:val="24"/>
          <w:szCs w:val="24"/>
          <w:lang w:val="en"/>
        </w:rPr>
        <w:t xml:space="preserve">classified within </w:t>
      </w:r>
      <w:r w:rsidR="00C207DD">
        <w:rPr>
          <w:rFonts w:ascii="Times New Roman" w:hAnsi="Times New Roman" w:cs="Times New Roman"/>
          <w:b w:val="0"/>
          <w:bCs w:val="0"/>
          <w:color w:val="202124"/>
          <w:sz w:val="24"/>
          <w:szCs w:val="24"/>
          <w:lang w:val="en"/>
        </w:rPr>
        <w:t>the trading book as defined in c</w:t>
      </w:r>
      <w:r w:rsidR="00BD59D7" w:rsidRPr="00DA4F3E">
        <w:rPr>
          <w:rFonts w:ascii="Times New Roman" w:hAnsi="Times New Roman" w:cs="Times New Roman"/>
          <w:b w:val="0"/>
          <w:bCs w:val="0"/>
          <w:color w:val="202124"/>
          <w:sz w:val="24"/>
          <w:szCs w:val="24"/>
          <w:lang w:val="en"/>
        </w:rPr>
        <w:t xml:space="preserve">lause </w:t>
      </w:r>
      <w:r w:rsidR="00C207DD">
        <w:rPr>
          <w:rFonts w:ascii="Times New Roman" w:hAnsi="Times New Roman" w:cs="Times New Roman"/>
          <w:b w:val="0"/>
          <w:bCs w:val="0"/>
          <w:color w:val="202124"/>
          <w:sz w:val="24"/>
          <w:szCs w:val="24"/>
          <w:lang w:val="en"/>
        </w:rPr>
        <w:t>n</w:t>
      </w:r>
      <w:r w:rsidR="00BD59D7" w:rsidRPr="00DA4F3E">
        <w:rPr>
          <w:rFonts w:ascii="Times New Roman" w:hAnsi="Times New Roman" w:cs="Times New Roman"/>
          <w:b w:val="0"/>
          <w:bCs w:val="0"/>
          <w:color w:val="202124"/>
          <w:sz w:val="24"/>
          <w:szCs w:val="24"/>
          <w:lang w:val="en"/>
        </w:rPr>
        <w:t>o. (4) above)</w:t>
      </w:r>
      <w:r w:rsidR="00C207DD">
        <w:rPr>
          <w:rFonts w:ascii="Times New Roman" w:hAnsi="Times New Roman" w:cs="Times New Roman"/>
          <w:b w:val="0"/>
          <w:bCs w:val="0"/>
          <w:color w:val="202124"/>
          <w:sz w:val="24"/>
          <w:szCs w:val="24"/>
          <w:lang w:val="en"/>
        </w:rPr>
        <w:t>,</w:t>
      </w:r>
      <w:r w:rsidR="00AE0B60" w:rsidRPr="00DA4F3E">
        <w:rPr>
          <w:rFonts w:ascii="Times New Roman" w:hAnsi="Times New Roman" w:cs="Times New Roman"/>
          <w:b w:val="0"/>
          <w:bCs w:val="0"/>
          <w:color w:val="202124"/>
          <w:sz w:val="24"/>
          <w:szCs w:val="24"/>
          <w:lang w:val="en"/>
        </w:rPr>
        <w:t xml:space="preserve"> </w:t>
      </w:r>
      <w:r w:rsidR="00C207DD">
        <w:rPr>
          <w:rFonts w:ascii="Times New Roman" w:hAnsi="Times New Roman" w:cs="Times New Roman"/>
          <w:b w:val="0"/>
          <w:bCs w:val="0"/>
          <w:color w:val="202124"/>
          <w:sz w:val="24"/>
          <w:szCs w:val="24"/>
          <w:lang w:val="en"/>
        </w:rPr>
        <w:t>w</w:t>
      </w:r>
      <w:r w:rsidR="00AE0B60" w:rsidRPr="00DA4F3E">
        <w:rPr>
          <w:rFonts w:ascii="Times New Roman" w:hAnsi="Times New Roman" w:cs="Times New Roman"/>
          <w:b w:val="0"/>
          <w:bCs w:val="0"/>
          <w:color w:val="202124"/>
          <w:sz w:val="24"/>
          <w:szCs w:val="24"/>
          <w:lang w:val="en"/>
        </w:rPr>
        <w:t>hich includes the following:</w:t>
      </w:r>
    </w:p>
    <w:p w:rsidR="00AE0B60" w:rsidRPr="00DA4F3E" w:rsidRDefault="00AE0B60" w:rsidP="005330E5">
      <w:pPr>
        <w:pStyle w:val="ListParagraph"/>
        <w:numPr>
          <w:ilvl w:val="2"/>
          <w:numId w:val="23"/>
        </w:numPr>
        <w:bidi w:val="0"/>
        <w:spacing w:after="0" w:line="276" w:lineRule="auto"/>
        <w:ind w:left="2127" w:hanging="851"/>
        <w:rPr>
          <w:rFonts w:ascii="Times New Roman" w:hAnsi="Times New Roman" w:cs="Times New Roman"/>
          <w:b w:val="0"/>
          <w:bCs w:val="0"/>
          <w:color w:val="202124"/>
          <w:sz w:val="24"/>
          <w:szCs w:val="24"/>
          <w:lang w:val="en"/>
        </w:rPr>
      </w:pPr>
      <w:r w:rsidRPr="00DA4F3E">
        <w:rPr>
          <w:rFonts w:ascii="Times New Roman" w:hAnsi="Times New Roman" w:cs="Times New Roman"/>
          <w:b w:val="0"/>
          <w:bCs w:val="0"/>
          <w:color w:val="202124"/>
          <w:sz w:val="24"/>
          <w:szCs w:val="24"/>
          <w:lang w:val="en"/>
        </w:rPr>
        <w:t>Securities and bonds.</w:t>
      </w:r>
    </w:p>
    <w:p w:rsidR="00AE0B60" w:rsidRPr="00DA4F3E" w:rsidRDefault="005330E5" w:rsidP="00C207DD">
      <w:pPr>
        <w:pStyle w:val="ListParagraph"/>
        <w:numPr>
          <w:ilvl w:val="2"/>
          <w:numId w:val="23"/>
        </w:numPr>
        <w:bidi w:val="0"/>
        <w:spacing w:after="0" w:line="276" w:lineRule="auto"/>
        <w:ind w:left="2127" w:hanging="851"/>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N</w:t>
      </w:r>
      <w:r w:rsidR="00C207DD">
        <w:rPr>
          <w:rFonts w:ascii="Times New Roman" w:eastAsiaTheme="minorHAnsi" w:hAnsi="Times New Roman" w:cs="Times New Roman"/>
          <w:b w:val="0"/>
          <w:bCs w:val="0"/>
          <w:sz w:val="24"/>
          <w:szCs w:val="24"/>
        </w:rPr>
        <w:t>on-convertible preferr</w:t>
      </w:r>
      <w:r w:rsidR="00AE0B60" w:rsidRPr="00DA4F3E">
        <w:rPr>
          <w:rFonts w:ascii="Times New Roman" w:eastAsiaTheme="minorHAnsi" w:hAnsi="Times New Roman" w:cs="Times New Roman"/>
          <w:b w:val="0"/>
          <w:bCs w:val="0"/>
          <w:sz w:val="24"/>
          <w:szCs w:val="24"/>
        </w:rPr>
        <w:t>e</w:t>
      </w:r>
      <w:r w:rsidR="00C207DD">
        <w:rPr>
          <w:rFonts w:ascii="Times New Roman" w:eastAsiaTheme="minorHAnsi" w:hAnsi="Times New Roman" w:cs="Times New Roman"/>
          <w:b w:val="0"/>
          <w:bCs w:val="0"/>
          <w:sz w:val="24"/>
          <w:szCs w:val="24"/>
        </w:rPr>
        <w:t>d stocks.</w:t>
      </w:r>
    </w:p>
    <w:p w:rsidR="00AE0B60" w:rsidRPr="00DA4F3E" w:rsidRDefault="005330E5" w:rsidP="00C207DD">
      <w:pPr>
        <w:pStyle w:val="ListParagraph"/>
        <w:numPr>
          <w:ilvl w:val="2"/>
          <w:numId w:val="23"/>
        </w:numPr>
        <w:bidi w:val="0"/>
        <w:spacing w:after="0" w:line="276" w:lineRule="auto"/>
        <w:ind w:left="2127" w:hanging="851"/>
        <w:rPr>
          <w:rFonts w:ascii="Times New Roman" w:eastAsiaTheme="minorHAnsi" w:hAnsi="Times New Roman" w:cs="Times New Roman"/>
          <w:b w:val="0"/>
          <w:bCs w:val="0"/>
          <w:sz w:val="24"/>
          <w:szCs w:val="24"/>
        </w:rPr>
      </w:pPr>
      <w:r w:rsidRPr="00DA4F3E">
        <w:rPr>
          <w:rFonts w:ascii="Times New Roman" w:eastAsiaTheme="minorHAnsi" w:hAnsi="Times New Roman" w:cs="Times New Roman"/>
          <w:b w:val="0"/>
          <w:bCs w:val="0"/>
          <w:sz w:val="24"/>
          <w:szCs w:val="24"/>
        </w:rPr>
        <w:t>D</w:t>
      </w:r>
      <w:r w:rsidR="00AE0B60" w:rsidRPr="00DA4F3E">
        <w:rPr>
          <w:rFonts w:ascii="Times New Roman" w:eastAsiaTheme="minorHAnsi" w:hAnsi="Times New Roman" w:cs="Times New Roman"/>
          <w:b w:val="0"/>
          <w:bCs w:val="0"/>
          <w:sz w:val="24"/>
          <w:szCs w:val="24"/>
        </w:rPr>
        <w:t xml:space="preserve">ebt issues </w:t>
      </w:r>
      <w:r w:rsidR="00C207DD">
        <w:rPr>
          <w:rFonts w:ascii="Times New Roman" w:eastAsiaTheme="minorHAnsi" w:hAnsi="Times New Roman" w:cs="Times New Roman"/>
          <w:b w:val="0"/>
          <w:bCs w:val="0"/>
          <w:sz w:val="24"/>
          <w:szCs w:val="24"/>
        </w:rPr>
        <w:t>and</w:t>
      </w:r>
      <w:r w:rsidR="00AE0B60" w:rsidRPr="00DA4F3E">
        <w:rPr>
          <w:rFonts w:ascii="Times New Roman" w:eastAsiaTheme="minorHAnsi" w:hAnsi="Times New Roman" w:cs="Times New Roman"/>
          <w:b w:val="0"/>
          <w:bCs w:val="0"/>
          <w:sz w:val="24"/>
          <w:szCs w:val="24"/>
        </w:rPr>
        <w:t xml:space="preserve"> </w:t>
      </w:r>
      <w:r w:rsidR="00C207DD">
        <w:rPr>
          <w:rFonts w:ascii="Times New Roman" w:eastAsiaTheme="minorHAnsi" w:hAnsi="Times New Roman" w:cs="Times New Roman"/>
          <w:b w:val="0"/>
          <w:bCs w:val="0"/>
          <w:sz w:val="24"/>
          <w:szCs w:val="24"/>
        </w:rPr>
        <w:t>preferr</w:t>
      </w:r>
      <w:r w:rsidR="00C207DD" w:rsidRPr="00DA4F3E">
        <w:rPr>
          <w:rFonts w:ascii="Times New Roman" w:eastAsiaTheme="minorHAnsi" w:hAnsi="Times New Roman" w:cs="Times New Roman"/>
          <w:b w:val="0"/>
          <w:bCs w:val="0"/>
          <w:sz w:val="24"/>
          <w:szCs w:val="24"/>
        </w:rPr>
        <w:t>e</w:t>
      </w:r>
      <w:r w:rsidR="00C207DD">
        <w:rPr>
          <w:rFonts w:ascii="Times New Roman" w:eastAsiaTheme="minorHAnsi" w:hAnsi="Times New Roman" w:cs="Times New Roman"/>
          <w:b w:val="0"/>
          <w:bCs w:val="0"/>
          <w:sz w:val="24"/>
          <w:szCs w:val="24"/>
        </w:rPr>
        <w:t>d stocks</w:t>
      </w:r>
      <w:r w:rsidR="00C207DD" w:rsidRPr="00DA4F3E">
        <w:rPr>
          <w:rFonts w:ascii="Times New Roman" w:eastAsiaTheme="minorHAnsi" w:hAnsi="Times New Roman" w:cs="Times New Roman"/>
          <w:b w:val="0"/>
          <w:bCs w:val="0"/>
          <w:sz w:val="24"/>
          <w:szCs w:val="24"/>
        </w:rPr>
        <w:t xml:space="preserve"> </w:t>
      </w:r>
      <w:r w:rsidR="00AE0B60" w:rsidRPr="00DA4F3E">
        <w:rPr>
          <w:rFonts w:ascii="Times New Roman" w:eastAsiaTheme="minorHAnsi" w:hAnsi="Times New Roman" w:cs="Times New Roman"/>
          <w:b w:val="0"/>
          <w:bCs w:val="0"/>
          <w:sz w:val="24"/>
          <w:szCs w:val="24"/>
        </w:rPr>
        <w:t xml:space="preserve">that are convertible, at a stated price, into common shares, if </w:t>
      </w:r>
      <w:r w:rsidR="00C207DD">
        <w:rPr>
          <w:rFonts w:ascii="Times New Roman" w:hAnsi="Times New Roman" w:cs="Times New Roman"/>
          <w:b w:val="0"/>
          <w:bCs w:val="0"/>
          <w:color w:val="202124"/>
          <w:sz w:val="24"/>
          <w:szCs w:val="24"/>
        </w:rPr>
        <w:t>they are</w:t>
      </w:r>
      <w:r w:rsidR="00C207DD" w:rsidRPr="00DA4F3E">
        <w:rPr>
          <w:rFonts w:ascii="Times New Roman" w:hAnsi="Times New Roman" w:cs="Times New Roman"/>
          <w:b w:val="0"/>
          <w:bCs w:val="0"/>
          <w:color w:val="202124"/>
          <w:sz w:val="24"/>
          <w:szCs w:val="24"/>
          <w:lang w:val="en"/>
        </w:rPr>
        <w:t xml:space="preserve"> similar</w:t>
      </w:r>
      <w:r w:rsidR="00C207DD">
        <w:rPr>
          <w:rFonts w:ascii="Times New Roman" w:hAnsi="Times New Roman" w:cs="Times New Roman"/>
          <w:b w:val="0"/>
          <w:bCs w:val="0"/>
          <w:color w:val="202124"/>
          <w:sz w:val="24"/>
          <w:szCs w:val="24"/>
          <w:lang w:val="en"/>
        </w:rPr>
        <w:t xml:space="preserve"> in</w:t>
      </w:r>
      <w:r w:rsidR="00C207DD" w:rsidRPr="00DA4F3E">
        <w:rPr>
          <w:rFonts w:ascii="Times New Roman" w:hAnsi="Times New Roman" w:cs="Times New Roman"/>
          <w:b w:val="0"/>
          <w:bCs w:val="0"/>
          <w:color w:val="202124"/>
          <w:sz w:val="24"/>
          <w:szCs w:val="24"/>
          <w:lang w:val="en"/>
        </w:rPr>
        <w:t xml:space="preserve"> </w:t>
      </w:r>
      <w:r w:rsidR="00C207DD">
        <w:rPr>
          <w:rFonts w:ascii="Times New Roman" w:hAnsi="Times New Roman" w:cs="Times New Roman"/>
          <w:b w:val="0"/>
          <w:bCs w:val="0"/>
          <w:color w:val="202124"/>
          <w:sz w:val="24"/>
          <w:szCs w:val="24"/>
          <w:lang w:val="en"/>
        </w:rPr>
        <w:t>behavior</w:t>
      </w:r>
      <w:r w:rsidR="00C207DD" w:rsidRPr="00DA4F3E">
        <w:rPr>
          <w:rFonts w:ascii="Times New Roman" w:hAnsi="Times New Roman" w:cs="Times New Roman"/>
          <w:b w:val="0"/>
          <w:bCs w:val="0"/>
          <w:color w:val="202124"/>
          <w:sz w:val="24"/>
          <w:szCs w:val="24"/>
          <w:lang w:val="en"/>
        </w:rPr>
        <w:t xml:space="preserve"> to debt instruments</w:t>
      </w:r>
      <w:r w:rsidR="00AE0B60" w:rsidRPr="00DA4F3E">
        <w:rPr>
          <w:rFonts w:ascii="Times New Roman" w:eastAsiaTheme="minorHAnsi" w:hAnsi="Times New Roman" w:cs="Times New Roman"/>
          <w:b w:val="0"/>
          <w:bCs w:val="0"/>
          <w:sz w:val="24"/>
          <w:szCs w:val="24"/>
        </w:rPr>
        <w:t>.</w:t>
      </w:r>
    </w:p>
    <w:p w:rsidR="00AE0B60" w:rsidRPr="00DA4F3E" w:rsidRDefault="00AE0B60" w:rsidP="005330E5">
      <w:pPr>
        <w:pStyle w:val="ListParagraph"/>
        <w:numPr>
          <w:ilvl w:val="2"/>
          <w:numId w:val="23"/>
        </w:numPr>
        <w:bidi w:val="0"/>
        <w:spacing w:after="0" w:line="276" w:lineRule="auto"/>
        <w:ind w:left="2127" w:hanging="851"/>
        <w:rPr>
          <w:rFonts w:ascii="Times New Roman" w:eastAsiaTheme="minorHAnsi" w:hAnsi="Times New Roman" w:cs="Times New Roman"/>
          <w:b w:val="0"/>
          <w:bCs w:val="0"/>
          <w:sz w:val="24"/>
          <w:szCs w:val="24"/>
        </w:rPr>
      </w:pPr>
      <w:r w:rsidRPr="00DA4F3E">
        <w:rPr>
          <w:rFonts w:ascii="Times New Roman" w:hAnsi="Times New Roman" w:cs="Times New Roman"/>
          <w:b w:val="0"/>
          <w:bCs w:val="0"/>
          <w:color w:val="202124"/>
          <w:sz w:val="24"/>
          <w:szCs w:val="24"/>
          <w:lang w:val="en"/>
        </w:rPr>
        <w:t>Treasury bills.</w:t>
      </w:r>
    </w:p>
    <w:p w:rsidR="00AE0B60" w:rsidRPr="00DA4F3E" w:rsidRDefault="00AE0B60" w:rsidP="005330E5">
      <w:pPr>
        <w:pStyle w:val="ListParagraph"/>
        <w:numPr>
          <w:ilvl w:val="2"/>
          <w:numId w:val="23"/>
        </w:numPr>
        <w:bidi w:val="0"/>
        <w:spacing w:after="0" w:line="276" w:lineRule="auto"/>
        <w:ind w:left="2127" w:hanging="851"/>
        <w:rPr>
          <w:rFonts w:ascii="Times New Roman" w:eastAsiaTheme="minorHAnsi" w:hAnsi="Times New Roman" w:cs="Times New Roman"/>
          <w:b w:val="0"/>
          <w:bCs w:val="0"/>
          <w:sz w:val="24"/>
          <w:szCs w:val="24"/>
        </w:rPr>
      </w:pPr>
      <w:r w:rsidRPr="00DA4F3E">
        <w:rPr>
          <w:rFonts w:ascii="Times New Roman" w:hAnsi="Times New Roman" w:cs="Times New Roman"/>
          <w:b w:val="0"/>
          <w:bCs w:val="0"/>
          <w:color w:val="202124"/>
          <w:sz w:val="24"/>
          <w:szCs w:val="24"/>
          <w:lang w:val="en"/>
        </w:rPr>
        <w:t>Any other financial instruments that behave similar to debt instruments.</w:t>
      </w:r>
    </w:p>
    <w:p w:rsidR="00BD59D7" w:rsidRPr="00DA4F3E" w:rsidRDefault="00AE0B60" w:rsidP="005330E5">
      <w:pPr>
        <w:pStyle w:val="ListParagraph"/>
        <w:numPr>
          <w:ilvl w:val="1"/>
          <w:numId w:val="23"/>
        </w:numPr>
        <w:bidi w:val="0"/>
        <w:spacing w:after="0" w:line="276" w:lineRule="auto"/>
        <w:ind w:left="1276" w:hanging="556"/>
        <w:rPr>
          <w:rFonts w:ascii="Times New Roman" w:hAnsi="Times New Roman" w:cs="Times New Roman"/>
          <w:b w:val="0"/>
          <w:bCs w:val="0"/>
          <w:sz w:val="24"/>
          <w:szCs w:val="24"/>
          <w:lang w:bidi="ar-JO"/>
        </w:rPr>
      </w:pPr>
      <w:r w:rsidRPr="00DA4F3E">
        <w:rPr>
          <w:rFonts w:ascii="Times New Roman" w:eastAsiaTheme="minorHAnsi" w:hAnsi="Times New Roman" w:cs="Times New Roman"/>
          <w:b w:val="0"/>
          <w:bCs w:val="0"/>
          <w:sz w:val="24"/>
          <w:szCs w:val="24"/>
        </w:rPr>
        <w:t xml:space="preserve">The minimum capital requirement is expressed in terms of two separately calculated charges, one applying to the </w:t>
      </w:r>
      <w:r w:rsidRPr="00C207DD">
        <w:rPr>
          <w:rFonts w:ascii="Times New Roman" w:eastAsiaTheme="minorHAnsi" w:hAnsi="Times New Roman" w:cs="Times New Roman"/>
          <w:b w:val="0"/>
          <w:bCs w:val="0"/>
          <w:sz w:val="24"/>
          <w:szCs w:val="24"/>
        </w:rPr>
        <w:t xml:space="preserve">“specific risk” </w:t>
      </w:r>
      <w:r w:rsidRPr="00DA4F3E">
        <w:rPr>
          <w:rFonts w:ascii="Times New Roman" w:eastAsiaTheme="minorHAnsi" w:hAnsi="Times New Roman" w:cs="Times New Roman"/>
          <w:b w:val="0"/>
          <w:bCs w:val="0"/>
          <w:sz w:val="24"/>
          <w:szCs w:val="24"/>
        </w:rPr>
        <w:t xml:space="preserve">of each security, whether </w:t>
      </w:r>
      <w:r w:rsidRPr="00DA4F3E">
        <w:rPr>
          <w:rFonts w:ascii="Times New Roman" w:eastAsiaTheme="minorHAnsi" w:hAnsi="Times New Roman" w:cs="Times New Roman"/>
          <w:b w:val="0"/>
          <w:bCs w:val="0"/>
          <w:sz w:val="24"/>
          <w:szCs w:val="24"/>
        </w:rPr>
        <w:lastRenderedPageBreak/>
        <w:t xml:space="preserve">it is a short or a long position, and the other to the interest rate risk in the portfolio (termed </w:t>
      </w:r>
      <w:r w:rsidRPr="00C207DD">
        <w:rPr>
          <w:rFonts w:ascii="Times New Roman" w:eastAsiaTheme="minorHAnsi" w:hAnsi="Times New Roman" w:cs="Times New Roman"/>
          <w:b w:val="0"/>
          <w:bCs w:val="0"/>
          <w:sz w:val="24"/>
          <w:szCs w:val="24"/>
        </w:rPr>
        <w:t>“general market risk”</w:t>
      </w:r>
      <w:r w:rsidRPr="00DA4F3E">
        <w:rPr>
          <w:rFonts w:ascii="Times New Roman" w:eastAsiaTheme="minorHAnsi" w:hAnsi="Times New Roman" w:cs="Times New Roman"/>
          <w:b w:val="0"/>
          <w:bCs w:val="0"/>
          <w:sz w:val="24"/>
          <w:szCs w:val="24"/>
        </w:rPr>
        <w:t>) where long and short positions in different securities or instruments can be offset.</w:t>
      </w:r>
    </w:p>
    <w:p w:rsidR="00AE0B60" w:rsidRPr="00DA4F3E" w:rsidRDefault="00AE0B60" w:rsidP="005330E5">
      <w:pPr>
        <w:pStyle w:val="ListParagraph"/>
        <w:numPr>
          <w:ilvl w:val="2"/>
          <w:numId w:val="23"/>
        </w:numPr>
        <w:bidi w:val="0"/>
        <w:spacing w:after="0" w:line="276" w:lineRule="auto"/>
        <w:ind w:left="2127" w:hanging="851"/>
        <w:rPr>
          <w:rFonts w:ascii="Times New Roman" w:hAnsi="Times New Roman" w:cs="Times New Roman"/>
          <w:b w:val="0"/>
          <w:bCs w:val="0"/>
          <w:color w:val="202124"/>
          <w:sz w:val="24"/>
          <w:szCs w:val="24"/>
          <w:lang w:val="en"/>
        </w:rPr>
      </w:pPr>
      <w:r w:rsidRPr="00DA4F3E">
        <w:rPr>
          <w:rFonts w:ascii="Times New Roman" w:hAnsi="Times New Roman" w:cs="Times New Roman"/>
          <w:b w:val="0"/>
          <w:bCs w:val="0"/>
          <w:sz w:val="24"/>
          <w:szCs w:val="24"/>
        </w:rPr>
        <w:t xml:space="preserve">Specific Risk: </w:t>
      </w:r>
      <w:r w:rsidR="00C207DD">
        <w:rPr>
          <w:rFonts w:ascii="Times New Roman" w:hAnsi="Times New Roman" w:cs="Times New Roman"/>
          <w:b w:val="0"/>
          <w:bCs w:val="0"/>
          <w:color w:val="202124"/>
          <w:sz w:val="24"/>
          <w:szCs w:val="24"/>
          <w:lang w:val="en"/>
        </w:rPr>
        <w:t>t</w:t>
      </w:r>
      <w:r w:rsidR="004C39EF" w:rsidRPr="00DA4F3E">
        <w:rPr>
          <w:rFonts w:ascii="Times New Roman" w:hAnsi="Times New Roman" w:cs="Times New Roman"/>
          <w:b w:val="0"/>
          <w:bCs w:val="0"/>
          <w:color w:val="202124"/>
          <w:sz w:val="24"/>
          <w:szCs w:val="24"/>
          <w:lang w:val="en"/>
        </w:rPr>
        <w:t xml:space="preserve">he losses that may arise from adverse movements in the prices of any of the above-mentioned financial instruments due to factors related to the issuer of those instruments (credit risk). Where the capital requirements to meet the </w:t>
      </w:r>
      <w:r w:rsidR="007C0A3C" w:rsidRPr="00DA4F3E">
        <w:rPr>
          <w:rFonts w:ascii="Times New Roman" w:hAnsi="Times New Roman" w:cs="Times New Roman"/>
          <w:b w:val="0"/>
          <w:bCs w:val="0"/>
          <w:color w:val="202124"/>
          <w:sz w:val="24"/>
          <w:szCs w:val="24"/>
          <w:lang w:val="en"/>
        </w:rPr>
        <w:t xml:space="preserve">interest rates </w:t>
      </w:r>
      <w:r w:rsidR="004C39EF" w:rsidRPr="00DA4F3E">
        <w:rPr>
          <w:rFonts w:ascii="Times New Roman" w:hAnsi="Times New Roman" w:cs="Times New Roman"/>
          <w:b w:val="0"/>
          <w:bCs w:val="0"/>
          <w:color w:val="202124"/>
          <w:sz w:val="24"/>
          <w:szCs w:val="24"/>
          <w:lang w:val="en"/>
        </w:rPr>
        <w:t xml:space="preserve">risks are calculated as shown in the table below, noting that the method of calculation is shown in </w:t>
      </w:r>
      <w:r w:rsidR="007A0099" w:rsidRPr="00DA4F3E">
        <w:rPr>
          <w:rFonts w:ascii="Times New Roman" w:hAnsi="Times New Roman" w:cs="Times New Roman"/>
          <w:b w:val="0"/>
          <w:bCs w:val="0"/>
          <w:color w:val="202124"/>
          <w:sz w:val="24"/>
          <w:szCs w:val="24"/>
          <w:lang w:val="en"/>
        </w:rPr>
        <w:t>a</w:t>
      </w:r>
      <w:r w:rsidR="00D8293D" w:rsidRPr="00DA4F3E">
        <w:rPr>
          <w:rFonts w:ascii="Times New Roman" w:hAnsi="Times New Roman" w:cs="Times New Roman"/>
          <w:b w:val="0"/>
          <w:bCs w:val="0"/>
          <w:color w:val="202124"/>
          <w:sz w:val="24"/>
          <w:szCs w:val="24"/>
          <w:lang w:val="en"/>
        </w:rPr>
        <w:t>nnex</w:t>
      </w:r>
      <w:r w:rsidR="007A0099" w:rsidRPr="00DA4F3E">
        <w:rPr>
          <w:rFonts w:ascii="Times New Roman" w:hAnsi="Times New Roman" w:cs="Times New Roman"/>
          <w:b w:val="0"/>
          <w:bCs w:val="0"/>
          <w:color w:val="202124"/>
          <w:sz w:val="24"/>
          <w:szCs w:val="24"/>
          <w:lang w:val="en"/>
        </w:rPr>
        <w:t xml:space="preserve"> n</w:t>
      </w:r>
      <w:r w:rsidR="004C39EF" w:rsidRPr="00DA4F3E">
        <w:rPr>
          <w:rFonts w:ascii="Times New Roman" w:hAnsi="Times New Roman" w:cs="Times New Roman"/>
          <w:b w:val="0"/>
          <w:bCs w:val="0"/>
          <w:color w:val="202124"/>
          <w:sz w:val="24"/>
          <w:szCs w:val="24"/>
          <w:lang w:val="en"/>
        </w:rPr>
        <w:t>o. (15).</w:t>
      </w:r>
    </w:p>
    <w:p w:rsidR="004C39EF" w:rsidRPr="00DA4F3E" w:rsidRDefault="000E44F3" w:rsidP="000E44F3">
      <w:pPr>
        <w:pStyle w:val="ListParagraph"/>
        <w:numPr>
          <w:ilvl w:val="2"/>
          <w:numId w:val="23"/>
        </w:numPr>
        <w:bidi w:val="0"/>
        <w:spacing w:after="0" w:line="276" w:lineRule="auto"/>
        <w:ind w:left="2127" w:hanging="851"/>
        <w:rPr>
          <w:rFonts w:ascii="Times New Roman" w:hAnsi="Times New Roman" w:cs="Times New Roman"/>
          <w:b w:val="0"/>
          <w:bCs w:val="0"/>
          <w:sz w:val="24"/>
          <w:szCs w:val="24"/>
          <w:lang w:bidi="ar-JO"/>
        </w:rPr>
      </w:pPr>
      <w:r w:rsidRPr="00DA4F3E">
        <w:rPr>
          <w:rFonts w:ascii="Times New Roman" w:eastAsiaTheme="minorHAnsi" w:hAnsi="Times New Roman" w:cs="Times New Roman"/>
          <w:b w:val="0"/>
          <w:bCs w:val="0"/>
          <w:sz w:val="24"/>
          <w:szCs w:val="24"/>
        </w:rPr>
        <w:t>I</w:t>
      </w:r>
      <w:r w:rsidR="00D739CF" w:rsidRPr="00DA4F3E">
        <w:rPr>
          <w:rFonts w:ascii="Times New Roman" w:eastAsiaTheme="minorHAnsi" w:hAnsi="Times New Roman" w:cs="Times New Roman"/>
          <w:b w:val="0"/>
          <w:bCs w:val="0"/>
          <w:sz w:val="24"/>
          <w:szCs w:val="24"/>
        </w:rPr>
        <w:t>f the issuer is the same, no offsetting will be permitted,</w:t>
      </w:r>
      <w:r w:rsidR="00D739CF" w:rsidRPr="00DA4F3E">
        <w:rPr>
          <w:rFonts w:ascii="Times New Roman" w:hAnsi="Times New Roman" w:cs="Times New Roman"/>
          <w:b w:val="0"/>
          <w:bCs w:val="0"/>
          <w:color w:val="202124"/>
          <w:sz w:val="24"/>
          <w:szCs w:val="24"/>
          <w:lang w:val="en"/>
        </w:rPr>
        <w:t xml:space="preserve"> but it is permissible for long and short positions of the same issue, taking into account the following:</w:t>
      </w:r>
    </w:p>
    <w:p w:rsidR="00D739CF" w:rsidRPr="00DA4F3E" w:rsidRDefault="00D739CF" w:rsidP="00487876">
      <w:pPr>
        <w:pStyle w:val="ListParagraph"/>
        <w:numPr>
          <w:ilvl w:val="0"/>
          <w:numId w:val="48"/>
        </w:numPr>
        <w:bidi w:val="0"/>
        <w:spacing w:after="0" w:line="276" w:lineRule="auto"/>
        <w:ind w:left="2552" w:hanging="425"/>
        <w:rPr>
          <w:rFonts w:ascii="Times New Roman" w:hAnsi="Times New Roman" w:cs="Times New Roman"/>
          <w:b w:val="0"/>
          <w:bCs w:val="0"/>
          <w:sz w:val="24"/>
          <w:szCs w:val="24"/>
          <w:lang w:bidi="ar-JO"/>
        </w:rPr>
      </w:pPr>
      <w:r w:rsidRPr="00DA4F3E">
        <w:rPr>
          <w:rFonts w:ascii="Times New Roman" w:hAnsi="Times New Roman" w:cs="Times New Roman"/>
          <w:b w:val="0"/>
          <w:bCs w:val="0"/>
          <w:color w:val="202124"/>
          <w:sz w:val="24"/>
          <w:szCs w:val="24"/>
          <w:lang w:val="en"/>
        </w:rPr>
        <w:t>Government securities: are the securities issued by the Jordanian government or its guarantee in Jordanian dinars, provided that the sources of financing these securities are in Jordanian dinars, as these securities do not need capital requirements, but if they are issued in foreign currency, the capital requirements are determined according to the state's credit rating.</w:t>
      </w:r>
    </w:p>
    <w:p w:rsidR="00D739CF" w:rsidRPr="00DA4F3E" w:rsidRDefault="00D739CF" w:rsidP="00487876">
      <w:pPr>
        <w:pStyle w:val="ListParagraph"/>
        <w:numPr>
          <w:ilvl w:val="0"/>
          <w:numId w:val="48"/>
        </w:numPr>
        <w:bidi w:val="0"/>
        <w:spacing w:after="0" w:line="276" w:lineRule="auto"/>
        <w:ind w:left="2552" w:hanging="425"/>
        <w:rPr>
          <w:rFonts w:ascii="Times New Roman" w:hAnsi="Times New Roman" w:cs="Times New Roman"/>
          <w:b w:val="0"/>
          <w:bCs w:val="0"/>
          <w:sz w:val="24"/>
          <w:szCs w:val="24"/>
          <w:lang w:bidi="ar-JO"/>
        </w:rPr>
      </w:pPr>
      <w:r w:rsidRPr="00DA4F3E">
        <w:rPr>
          <w:rFonts w:ascii="Times New Roman" w:hAnsi="Times New Roman" w:cs="Times New Roman"/>
          <w:b w:val="0"/>
          <w:bCs w:val="0"/>
          <w:color w:val="202124"/>
          <w:sz w:val="24"/>
          <w:szCs w:val="24"/>
          <w:lang w:val="en"/>
        </w:rPr>
        <w:t xml:space="preserve">Qualifying securities, includes: </w:t>
      </w:r>
    </w:p>
    <w:p w:rsidR="00D739CF" w:rsidRPr="00DA4F3E" w:rsidRDefault="000E44F3" w:rsidP="00487876">
      <w:pPr>
        <w:pStyle w:val="ListParagraph"/>
        <w:numPr>
          <w:ilvl w:val="0"/>
          <w:numId w:val="24"/>
        </w:numPr>
        <w:bidi w:val="0"/>
        <w:spacing w:after="0" w:line="276" w:lineRule="auto"/>
        <w:ind w:left="2977" w:hanging="425"/>
        <w:rPr>
          <w:rFonts w:ascii="Times New Roman" w:hAnsi="Times New Roman" w:cs="Times New Roman"/>
          <w:b w:val="0"/>
          <w:bCs w:val="0"/>
          <w:sz w:val="24"/>
          <w:szCs w:val="24"/>
          <w:lang w:bidi="ar-JO"/>
        </w:rPr>
      </w:pPr>
      <w:r w:rsidRPr="00DA4F3E">
        <w:rPr>
          <w:rFonts w:ascii="Times New Roman" w:eastAsiaTheme="minorHAnsi" w:hAnsi="Times New Roman" w:cs="Times New Roman"/>
          <w:b w:val="0"/>
          <w:bCs w:val="0"/>
          <w:sz w:val="24"/>
          <w:szCs w:val="24"/>
        </w:rPr>
        <w:t>S</w:t>
      </w:r>
      <w:r w:rsidR="00D739CF" w:rsidRPr="00DA4F3E">
        <w:rPr>
          <w:rFonts w:ascii="Times New Roman" w:eastAsiaTheme="minorHAnsi" w:hAnsi="Times New Roman" w:cs="Times New Roman"/>
          <w:b w:val="0"/>
          <w:bCs w:val="0"/>
          <w:sz w:val="24"/>
          <w:szCs w:val="24"/>
        </w:rPr>
        <w:t>ecurities issued by public sector entities and multilateral development banks (</w:t>
      </w:r>
      <w:r w:rsidR="00487876">
        <w:rPr>
          <w:rFonts w:ascii="Times New Roman" w:eastAsiaTheme="minorHAnsi" w:hAnsi="Times New Roman" w:cs="Times New Roman"/>
          <w:b w:val="0"/>
          <w:bCs w:val="0"/>
          <w:sz w:val="24"/>
          <w:szCs w:val="24"/>
        </w:rPr>
        <w:t>a</w:t>
      </w:r>
      <w:r w:rsidR="00D739CF" w:rsidRPr="00DA4F3E">
        <w:rPr>
          <w:rFonts w:ascii="Times New Roman" w:hAnsi="Times New Roman" w:cs="Times New Roman"/>
          <w:b w:val="0"/>
          <w:bCs w:val="0"/>
          <w:color w:val="202124"/>
          <w:sz w:val="24"/>
          <w:szCs w:val="24"/>
          <w:lang w:val="en"/>
        </w:rPr>
        <w:t xml:space="preserve">s it is explained in first </w:t>
      </w:r>
      <w:r w:rsidR="00487876">
        <w:rPr>
          <w:rFonts w:ascii="Times New Roman" w:hAnsi="Times New Roman" w:cs="Times New Roman"/>
          <w:b w:val="0"/>
          <w:bCs w:val="0"/>
          <w:color w:val="202124"/>
          <w:sz w:val="24"/>
          <w:szCs w:val="24"/>
          <w:lang w:val="en"/>
        </w:rPr>
        <w:t>clause/</w:t>
      </w:r>
      <w:r w:rsidR="00D739CF" w:rsidRPr="00DA4F3E">
        <w:rPr>
          <w:rFonts w:ascii="Times New Roman" w:hAnsi="Times New Roman" w:cs="Times New Roman"/>
          <w:b w:val="0"/>
          <w:bCs w:val="0"/>
          <w:color w:val="202124"/>
          <w:sz w:val="24"/>
          <w:szCs w:val="24"/>
          <w:lang w:val="en"/>
        </w:rPr>
        <w:t>credit risk of this chapter).</w:t>
      </w:r>
    </w:p>
    <w:p w:rsidR="00D739CF" w:rsidRPr="00DA4F3E" w:rsidRDefault="00D739CF" w:rsidP="000E44F3">
      <w:pPr>
        <w:pStyle w:val="ListParagraph"/>
        <w:numPr>
          <w:ilvl w:val="0"/>
          <w:numId w:val="24"/>
        </w:numPr>
        <w:bidi w:val="0"/>
        <w:spacing w:after="0" w:line="276" w:lineRule="auto"/>
        <w:ind w:left="2977" w:hanging="425"/>
        <w:rPr>
          <w:rFonts w:ascii="Times New Roman" w:hAnsi="Times New Roman" w:cs="Times New Roman"/>
          <w:b w:val="0"/>
          <w:bCs w:val="0"/>
          <w:sz w:val="24"/>
          <w:szCs w:val="24"/>
          <w:lang w:bidi="ar-JO"/>
        </w:rPr>
      </w:pPr>
      <w:r w:rsidRPr="00DA4F3E">
        <w:rPr>
          <w:rFonts w:ascii="Times New Roman" w:hAnsi="Times New Roman" w:cs="Times New Roman"/>
          <w:b w:val="0"/>
          <w:bCs w:val="0"/>
          <w:color w:val="202124"/>
          <w:sz w:val="24"/>
          <w:szCs w:val="24"/>
          <w:lang w:val="en"/>
        </w:rPr>
        <w:t>Securities that meet one of the following conditions</w:t>
      </w:r>
      <w:r w:rsidR="004434C0" w:rsidRPr="00DA4F3E">
        <w:rPr>
          <w:rFonts w:ascii="Times New Roman" w:hAnsi="Times New Roman" w:cs="Times New Roman"/>
          <w:b w:val="0"/>
          <w:bCs w:val="0"/>
          <w:color w:val="202124"/>
          <w:sz w:val="24"/>
          <w:szCs w:val="24"/>
          <w:lang w:val="en"/>
        </w:rPr>
        <w:t>:</w:t>
      </w:r>
    </w:p>
    <w:p w:rsidR="004434C0" w:rsidRPr="00DA4F3E" w:rsidRDefault="000E44F3" w:rsidP="000E44F3">
      <w:pPr>
        <w:pStyle w:val="ListParagraph"/>
        <w:numPr>
          <w:ilvl w:val="0"/>
          <w:numId w:val="19"/>
        </w:numPr>
        <w:bidi w:val="0"/>
        <w:spacing w:after="0" w:line="276" w:lineRule="auto"/>
        <w:ind w:left="3402" w:hanging="425"/>
        <w:rPr>
          <w:rFonts w:ascii="Times New Roman" w:hAnsi="Times New Roman" w:cs="Times New Roman"/>
          <w:b w:val="0"/>
          <w:bCs w:val="0"/>
          <w:sz w:val="24"/>
          <w:szCs w:val="24"/>
          <w:lang w:bidi="ar-JO"/>
        </w:rPr>
      </w:pPr>
      <w:r w:rsidRPr="00DA4F3E">
        <w:rPr>
          <w:rFonts w:ascii="Times New Roman" w:eastAsiaTheme="minorHAnsi" w:hAnsi="Times New Roman" w:cs="Times New Roman"/>
          <w:b w:val="0"/>
          <w:bCs w:val="0"/>
          <w:sz w:val="24"/>
          <w:szCs w:val="24"/>
        </w:rPr>
        <w:t>R</w:t>
      </w:r>
      <w:r w:rsidR="004434C0" w:rsidRPr="00DA4F3E">
        <w:rPr>
          <w:rFonts w:ascii="Times New Roman" w:eastAsiaTheme="minorHAnsi" w:hAnsi="Times New Roman" w:cs="Times New Roman"/>
          <w:b w:val="0"/>
          <w:bCs w:val="0"/>
          <w:sz w:val="24"/>
          <w:szCs w:val="24"/>
        </w:rPr>
        <w:t>ated investment-grade by at least two credit rating agencies recognized by the Central Bank of Jordan.</w:t>
      </w:r>
    </w:p>
    <w:p w:rsidR="004434C0" w:rsidRPr="00DA4F3E" w:rsidRDefault="000E44F3" w:rsidP="00A155CC">
      <w:pPr>
        <w:pStyle w:val="ListParagraph"/>
        <w:numPr>
          <w:ilvl w:val="0"/>
          <w:numId w:val="19"/>
        </w:numPr>
        <w:bidi w:val="0"/>
        <w:spacing w:after="0" w:line="276" w:lineRule="auto"/>
        <w:ind w:left="3402" w:hanging="425"/>
        <w:rPr>
          <w:rFonts w:ascii="Times New Roman" w:hAnsi="Times New Roman" w:cs="Times New Roman"/>
          <w:b w:val="0"/>
          <w:bCs w:val="0"/>
          <w:sz w:val="24"/>
          <w:szCs w:val="24"/>
          <w:lang w:bidi="ar-JO"/>
        </w:rPr>
      </w:pPr>
      <w:r w:rsidRPr="00DA4F3E">
        <w:rPr>
          <w:rFonts w:ascii="Times New Roman" w:eastAsiaTheme="minorHAnsi" w:hAnsi="Times New Roman" w:cs="Times New Roman"/>
          <w:b w:val="0"/>
          <w:bCs w:val="0"/>
          <w:sz w:val="24"/>
          <w:szCs w:val="24"/>
        </w:rPr>
        <w:t>R</w:t>
      </w:r>
      <w:r w:rsidR="004434C0" w:rsidRPr="00DA4F3E">
        <w:rPr>
          <w:rFonts w:ascii="Times New Roman" w:eastAsiaTheme="minorHAnsi" w:hAnsi="Times New Roman" w:cs="Times New Roman"/>
          <w:b w:val="0"/>
          <w:bCs w:val="0"/>
          <w:sz w:val="24"/>
          <w:szCs w:val="24"/>
        </w:rPr>
        <w:t>ated investment-grade by one rating agency recognized by the Central Bank of Jordan. Or unrated, subject to CBJ approval, and</w:t>
      </w:r>
      <w:r w:rsidR="004434C0" w:rsidRPr="00DA4F3E">
        <w:rPr>
          <w:rFonts w:ascii="Times New Roman" w:eastAsiaTheme="minorHAnsi" w:hAnsi="Times New Roman" w:cs="Times New Roman"/>
          <w:b w:val="0"/>
          <w:bCs w:val="0"/>
          <w:i/>
          <w:iCs/>
          <w:sz w:val="24"/>
          <w:szCs w:val="24"/>
        </w:rPr>
        <w:t xml:space="preserve"> </w:t>
      </w:r>
      <w:r w:rsidR="004434C0" w:rsidRPr="00DA4F3E">
        <w:rPr>
          <w:rFonts w:ascii="Times New Roman" w:eastAsiaTheme="minorHAnsi" w:hAnsi="Times New Roman" w:cs="Times New Roman"/>
          <w:b w:val="0"/>
          <w:bCs w:val="0"/>
          <w:sz w:val="24"/>
          <w:szCs w:val="24"/>
        </w:rPr>
        <w:t xml:space="preserve">the issuer has securities listed on a recognised </w:t>
      </w:r>
      <w:r w:rsidR="00A155CC">
        <w:rPr>
          <w:rFonts w:ascii="Times New Roman" w:hAnsi="Times New Roman" w:cs="Times New Roman"/>
          <w:b w:val="0"/>
          <w:bCs w:val="0"/>
          <w:sz w:val="24"/>
          <w:szCs w:val="24"/>
        </w:rPr>
        <w:t>financial market</w:t>
      </w:r>
      <w:r w:rsidR="004434C0" w:rsidRPr="00DA4F3E">
        <w:rPr>
          <w:rFonts w:ascii="Times New Roman" w:eastAsiaTheme="minorHAnsi" w:hAnsi="Times New Roman" w:cs="Times New Roman"/>
          <w:b w:val="0"/>
          <w:bCs w:val="0"/>
          <w:sz w:val="24"/>
          <w:szCs w:val="24"/>
        </w:rPr>
        <w:t>.</w:t>
      </w:r>
    </w:p>
    <w:tbl>
      <w:tblPr>
        <w:tblStyle w:val="TableGrid"/>
        <w:tblW w:w="0" w:type="auto"/>
        <w:tblInd w:w="421" w:type="dxa"/>
        <w:tblLook w:val="04A0" w:firstRow="1" w:lastRow="0" w:firstColumn="1" w:lastColumn="0" w:noHBand="0" w:noVBand="1"/>
      </w:tblPr>
      <w:tblGrid>
        <w:gridCol w:w="1316"/>
        <w:gridCol w:w="2379"/>
        <w:gridCol w:w="2829"/>
        <w:gridCol w:w="1975"/>
      </w:tblGrid>
      <w:tr w:rsidR="004434C0" w:rsidRPr="00DA4F3E" w:rsidTr="00C77C3A">
        <w:tc>
          <w:tcPr>
            <w:tcW w:w="1316" w:type="dxa"/>
            <w:shd w:val="clear" w:color="auto" w:fill="E7E6E6" w:themeFill="background2"/>
          </w:tcPr>
          <w:p w:rsidR="004434C0" w:rsidRPr="00C77C3A" w:rsidRDefault="004434C0" w:rsidP="000E44F3">
            <w:pPr>
              <w:pStyle w:val="ListParagraph"/>
              <w:bidi w:val="0"/>
              <w:spacing w:after="0" w:line="276" w:lineRule="auto"/>
              <w:ind w:left="0"/>
              <w:jc w:val="center"/>
              <w:rPr>
                <w:rFonts w:ascii="Times New Roman" w:hAnsi="Times New Roman" w:cs="Times New Roman"/>
                <w:b w:val="0"/>
                <w:bCs w:val="0"/>
                <w:sz w:val="21"/>
                <w:szCs w:val="21"/>
                <w:lang w:bidi="ar-JO"/>
              </w:rPr>
            </w:pPr>
            <w:r w:rsidRPr="00C77C3A">
              <w:rPr>
                <w:rFonts w:ascii="Times New Roman" w:eastAsiaTheme="minorHAnsi" w:hAnsi="Times New Roman" w:cs="Times New Roman"/>
                <w:b w:val="0"/>
                <w:bCs w:val="0"/>
                <w:sz w:val="21"/>
                <w:szCs w:val="21"/>
              </w:rPr>
              <w:t>Categories</w:t>
            </w:r>
          </w:p>
        </w:tc>
        <w:tc>
          <w:tcPr>
            <w:tcW w:w="2379" w:type="dxa"/>
            <w:shd w:val="clear" w:color="auto" w:fill="E7E6E6" w:themeFill="background2"/>
          </w:tcPr>
          <w:p w:rsidR="004434C0" w:rsidRPr="00C77C3A" w:rsidRDefault="004434C0" w:rsidP="000E44F3">
            <w:pPr>
              <w:autoSpaceDE w:val="0"/>
              <w:autoSpaceDN w:val="0"/>
              <w:bidi w:val="0"/>
              <w:adjustRightInd w:val="0"/>
              <w:spacing w:after="0" w:line="276" w:lineRule="auto"/>
              <w:jc w:val="center"/>
              <w:rPr>
                <w:rFonts w:ascii="Times New Roman" w:eastAsiaTheme="minorHAnsi" w:hAnsi="Times New Roman" w:cs="Times New Roman"/>
                <w:b w:val="0"/>
                <w:bCs w:val="0"/>
                <w:sz w:val="21"/>
                <w:szCs w:val="21"/>
              </w:rPr>
            </w:pPr>
            <w:r w:rsidRPr="00C77C3A">
              <w:rPr>
                <w:rFonts w:ascii="Times New Roman" w:eastAsiaTheme="minorHAnsi" w:hAnsi="Times New Roman" w:cs="Times New Roman"/>
                <w:b w:val="0"/>
                <w:bCs w:val="0"/>
                <w:sz w:val="21"/>
                <w:szCs w:val="21"/>
              </w:rPr>
              <w:t>External credit</w:t>
            </w:r>
          </w:p>
          <w:p w:rsidR="004434C0" w:rsidRPr="00C77C3A" w:rsidRDefault="009F50C5" w:rsidP="000E44F3">
            <w:pPr>
              <w:pStyle w:val="ListParagraph"/>
              <w:bidi w:val="0"/>
              <w:spacing w:after="0" w:line="276" w:lineRule="auto"/>
              <w:ind w:left="0"/>
              <w:jc w:val="center"/>
              <w:rPr>
                <w:rFonts w:ascii="Times New Roman" w:hAnsi="Times New Roman" w:cs="Times New Roman"/>
                <w:b w:val="0"/>
                <w:bCs w:val="0"/>
                <w:sz w:val="21"/>
                <w:szCs w:val="21"/>
                <w:lang w:bidi="ar-JO"/>
              </w:rPr>
            </w:pPr>
            <w:r w:rsidRPr="00C77C3A">
              <w:rPr>
                <w:rFonts w:ascii="Times New Roman" w:eastAsiaTheme="minorHAnsi" w:hAnsi="Times New Roman" w:cs="Times New Roman"/>
                <w:b w:val="0"/>
                <w:bCs w:val="0"/>
                <w:sz w:val="21"/>
                <w:szCs w:val="21"/>
              </w:rPr>
              <w:t>rating</w:t>
            </w:r>
          </w:p>
        </w:tc>
        <w:tc>
          <w:tcPr>
            <w:tcW w:w="2829" w:type="dxa"/>
            <w:shd w:val="clear" w:color="auto" w:fill="E7E6E6" w:themeFill="background2"/>
          </w:tcPr>
          <w:p w:rsidR="004434C0" w:rsidRPr="00C77C3A" w:rsidRDefault="00700811" w:rsidP="000E44F3">
            <w:pPr>
              <w:pStyle w:val="ListParagraph"/>
              <w:bidi w:val="0"/>
              <w:spacing w:after="0" w:line="276" w:lineRule="auto"/>
              <w:ind w:left="0"/>
              <w:jc w:val="center"/>
              <w:rPr>
                <w:rFonts w:ascii="Times New Roman" w:hAnsi="Times New Roman" w:cs="Times New Roman"/>
                <w:b w:val="0"/>
                <w:bCs w:val="0"/>
                <w:sz w:val="21"/>
                <w:szCs w:val="21"/>
                <w:lang w:bidi="ar-JO"/>
              </w:rPr>
            </w:pPr>
            <w:r w:rsidRPr="00C77C3A">
              <w:rPr>
                <w:rFonts w:ascii="Times New Roman" w:eastAsiaTheme="minorHAnsi" w:hAnsi="Times New Roman" w:cs="Times New Roman"/>
                <w:b w:val="0"/>
                <w:bCs w:val="0"/>
                <w:sz w:val="21"/>
                <w:szCs w:val="21"/>
              </w:rPr>
              <w:t>residual term to final maturity</w:t>
            </w:r>
          </w:p>
        </w:tc>
        <w:tc>
          <w:tcPr>
            <w:tcW w:w="1975" w:type="dxa"/>
            <w:shd w:val="clear" w:color="auto" w:fill="E7E6E6" w:themeFill="background2"/>
          </w:tcPr>
          <w:p w:rsidR="004434C0" w:rsidRPr="00C77C3A" w:rsidRDefault="004434C0" w:rsidP="000E44F3">
            <w:pPr>
              <w:pStyle w:val="ListParagraph"/>
              <w:bidi w:val="0"/>
              <w:spacing w:after="0" w:line="276" w:lineRule="auto"/>
              <w:ind w:left="0"/>
              <w:jc w:val="center"/>
              <w:rPr>
                <w:rFonts w:ascii="Times New Roman" w:hAnsi="Times New Roman" w:cs="Times New Roman"/>
                <w:b w:val="0"/>
                <w:bCs w:val="0"/>
                <w:sz w:val="21"/>
                <w:szCs w:val="21"/>
                <w:lang w:bidi="ar-JO"/>
              </w:rPr>
            </w:pPr>
            <w:r w:rsidRPr="00C77C3A">
              <w:rPr>
                <w:rFonts w:ascii="Times New Roman" w:eastAsiaTheme="minorHAnsi" w:hAnsi="Times New Roman" w:cs="Times New Roman"/>
                <w:b w:val="0"/>
                <w:bCs w:val="0"/>
                <w:sz w:val="21"/>
                <w:szCs w:val="21"/>
              </w:rPr>
              <w:t>Specific risk capital charge %</w:t>
            </w:r>
          </w:p>
        </w:tc>
      </w:tr>
      <w:tr w:rsidR="004434C0" w:rsidRPr="00DA4F3E" w:rsidTr="00C77C3A">
        <w:trPr>
          <w:trHeight w:val="337"/>
        </w:trPr>
        <w:tc>
          <w:tcPr>
            <w:tcW w:w="1316" w:type="dxa"/>
            <w:vMerge w:val="restart"/>
            <w:vAlign w:val="center"/>
          </w:tcPr>
          <w:p w:rsidR="004434C0" w:rsidRPr="00C77C3A" w:rsidRDefault="004434C0" w:rsidP="000E44F3">
            <w:pPr>
              <w:pStyle w:val="ListParagraph"/>
              <w:bidi w:val="0"/>
              <w:spacing w:after="0" w:line="276" w:lineRule="auto"/>
              <w:ind w:left="0"/>
              <w:jc w:val="center"/>
              <w:rPr>
                <w:rFonts w:ascii="Times New Roman" w:hAnsi="Times New Roman" w:cs="Times New Roman"/>
                <w:sz w:val="21"/>
                <w:szCs w:val="21"/>
                <w:lang w:bidi="ar-JO"/>
              </w:rPr>
            </w:pPr>
            <w:r w:rsidRPr="00C77C3A">
              <w:rPr>
                <w:rFonts w:ascii="Times New Roman" w:eastAsiaTheme="minorHAnsi" w:hAnsi="Times New Roman" w:cs="Times New Roman"/>
                <w:b w:val="0"/>
                <w:bCs w:val="0"/>
                <w:sz w:val="21"/>
                <w:szCs w:val="21"/>
              </w:rPr>
              <w:t>Government</w:t>
            </w:r>
          </w:p>
        </w:tc>
        <w:tc>
          <w:tcPr>
            <w:tcW w:w="2379" w:type="dxa"/>
            <w:vAlign w:val="center"/>
          </w:tcPr>
          <w:p w:rsidR="004434C0" w:rsidRPr="00C77C3A" w:rsidRDefault="004434C0" w:rsidP="000E44F3">
            <w:pPr>
              <w:pStyle w:val="ListParagraph"/>
              <w:bidi w:val="0"/>
              <w:spacing w:after="0" w:line="276" w:lineRule="auto"/>
              <w:ind w:left="0"/>
              <w:jc w:val="center"/>
              <w:rPr>
                <w:rFonts w:ascii="Times New Roman" w:hAnsi="Times New Roman" w:cs="Times New Roman"/>
                <w:sz w:val="21"/>
                <w:szCs w:val="21"/>
                <w:lang w:bidi="ar-JO"/>
              </w:rPr>
            </w:pPr>
            <w:r w:rsidRPr="00C77C3A">
              <w:rPr>
                <w:rFonts w:ascii="Times New Roman" w:eastAsiaTheme="minorHAnsi" w:hAnsi="Times New Roman" w:cs="Times New Roman"/>
                <w:b w:val="0"/>
                <w:bCs w:val="0"/>
                <w:sz w:val="21"/>
                <w:szCs w:val="21"/>
              </w:rPr>
              <w:t>AAA to AA-</w:t>
            </w:r>
          </w:p>
        </w:tc>
        <w:tc>
          <w:tcPr>
            <w:tcW w:w="2829" w:type="dxa"/>
          </w:tcPr>
          <w:p w:rsidR="004434C0" w:rsidRPr="00C77C3A" w:rsidRDefault="004434C0" w:rsidP="000E44F3">
            <w:pPr>
              <w:pStyle w:val="ListParagraph"/>
              <w:bidi w:val="0"/>
              <w:spacing w:after="0" w:line="276" w:lineRule="auto"/>
              <w:ind w:left="0"/>
              <w:rPr>
                <w:rFonts w:ascii="Times New Roman" w:hAnsi="Times New Roman" w:cs="Times New Roman"/>
                <w:sz w:val="21"/>
                <w:szCs w:val="21"/>
                <w:lang w:bidi="ar-JO"/>
              </w:rPr>
            </w:pPr>
          </w:p>
        </w:tc>
        <w:tc>
          <w:tcPr>
            <w:tcW w:w="1975" w:type="dxa"/>
          </w:tcPr>
          <w:p w:rsidR="004434C0" w:rsidRPr="00C77C3A" w:rsidRDefault="004434C0" w:rsidP="000E44F3">
            <w:pPr>
              <w:pStyle w:val="ListParagraph"/>
              <w:bidi w:val="0"/>
              <w:spacing w:after="0" w:line="276" w:lineRule="auto"/>
              <w:ind w:left="0"/>
              <w:jc w:val="center"/>
              <w:rPr>
                <w:rFonts w:ascii="Times New Roman" w:hAnsi="Times New Roman" w:cs="Times New Roman"/>
                <w:b w:val="0"/>
                <w:bCs w:val="0"/>
                <w:sz w:val="21"/>
                <w:szCs w:val="21"/>
                <w:lang w:bidi="ar-JO"/>
              </w:rPr>
            </w:pPr>
            <w:r w:rsidRPr="00C77C3A">
              <w:rPr>
                <w:rFonts w:ascii="Times New Roman" w:hAnsi="Times New Roman" w:cs="Times New Roman"/>
                <w:b w:val="0"/>
                <w:bCs w:val="0"/>
                <w:sz w:val="21"/>
                <w:szCs w:val="21"/>
                <w:lang w:bidi="ar-JO"/>
              </w:rPr>
              <w:t>0</w:t>
            </w:r>
          </w:p>
        </w:tc>
      </w:tr>
      <w:tr w:rsidR="004434C0" w:rsidRPr="00DA4F3E" w:rsidTr="00C77C3A">
        <w:tc>
          <w:tcPr>
            <w:tcW w:w="1316" w:type="dxa"/>
            <w:vMerge/>
            <w:vAlign w:val="center"/>
          </w:tcPr>
          <w:p w:rsidR="004434C0" w:rsidRPr="00C77C3A" w:rsidRDefault="004434C0" w:rsidP="000E44F3">
            <w:pPr>
              <w:pStyle w:val="ListParagraph"/>
              <w:bidi w:val="0"/>
              <w:spacing w:after="0" w:line="276" w:lineRule="auto"/>
              <w:ind w:left="0"/>
              <w:jc w:val="center"/>
              <w:rPr>
                <w:rFonts w:ascii="Times New Roman" w:hAnsi="Times New Roman" w:cs="Times New Roman"/>
                <w:sz w:val="21"/>
                <w:szCs w:val="21"/>
                <w:lang w:bidi="ar-JO"/>
              </w:rPr>
            </w:pPr>
          </w:p>
        </w:tc>
        <w:tc>
          <w:tcPr>
            <w:tcW w:w="2379" w:type="dxa"/>
            <w:vAlign w:val="center"/>
          </w:tcPr>
          <w:p w:rsidR="004434C0" w:rsidRPr="00C77C3A" w:rsidRDefault="004434C0" w:rsidP="000E44F3">
            <w:pPr>
              <w:pStyle w:val="ListParagraph"/>
              <w:bidi w:val="0"/>
              <w:spacing w:after="0" w:line="276" w:lineRule="auto"/>
              <w:ind w:left="0"/>
              <w:jc w:val="center"/>
              <w:rPr>
                <w:rFonts w:ascii="Times New Roman" w:hAnsi="Times New Roman" w:cs="Times New Roman"/>
                <w:sz w:val="21"/>
                <w:szCs w:val="21"/>
                <w:lang w:bidi="ar-JO"/>
              </w:rPr>
            </w:pPr>
            <w:r w:rsidRPr="00C77C3A">
              <w:rPr>
                <w:rFonts w:ascii="Times New Roman" w:eastAsiaTheme="minorHAnsi" w:hAnsi="Times New Roman" w:cs="Times New Roman"/>
                <w:b w:val="0"/>
                <w:bCs w:val="0"/>
                <w:sz w:val="21"/>
                <w:szCs w:val="21"/>
              </w:rPr>
              <w:t>A+ to BBB-</w:t>
            </w:r>
          </w:p>
        </w:tc>
        <w:tc>
          <w:tcPr>
            <w:tcW w:w="2829" w:type="dxa"/>
          </w:tcPr>
          <w:p w:rsidR="004434C0" w:rsidRPr="00C77C3A" w:rsidRDefault="00700811" w:rsidP="000E44F3">
            <w:pPr>
              <w:pStyle w:val="ListParagraph"/>
              <w:bidi w:val="0"/>
              <w:spacing w:after="0" w:line="276" w:lineRule="auto"/>
              <w:ind w:left="0"/>
              <w:rPr>
                <w:rFonts w:ascii="Times New Roman" w:eastAsiaTheme="minorHAnsi" w:hAnsi="Times New Roman" w:cs="Times New Roman"/>
                <w:b w:val="0"/>
                <w:bCs w:val="0"/>
                <w:sz w:val="21"/>
                <w:szCs w:val="21"/>
              </w:rPr>
            </w:pPr>
            <w:r w:rsidRPr="00C77C3A">
              <w:rPr>
                <w:rFonts w:ascii="Times New Roman" w:eastAsiaTheme="minorHAnsi" w:hAnsi="Times New Roman" w:cs="Times New Roman"/>
                <w:b w:val="0"/>
                <w:bCs w:val="0"/>
                <w:sz w:val="21"/>
                <w:szCs w:val="21"/>
              </w:rPr>
              <w:t>6 months or less</w:t>
            </w:r>
          </w:p>
          <w:p w:rsidR="00700811" w:rsidRPr="00C77C3A" w:rsidRDefault="00487876" w:rsidP="00487876">
            <w:pPr>
              <w:pStyle w:val="ListParagraph"/>
              <w:bidi w:val="0"/>
              <w:spacing w:after="0" w:line="276" w:lineRule="auto"/>
              <w:ind w:left="0"/>
              <w:rPr>
                <w:rFonts w:ascii="Times New Roman" w:eastAsiaTheme="minorHAnsi" w:hAnsi="Times New Roman" w:cs="Times New Roman"/>
                <w:b w:val="0"/>
                <w:bCs w:val="0"/>
                <w:sz w:val="21"/>
                <w:szCs w:val="21"/>
              </w:rPr>
            </w:pPr>
            <w:r w:rsidRPr="00C77C3A">
              <w:rPr>
                <w:rFonts w:ascii="Times New Roman" w:eastAsiaTheme="minorHAnsi" w:hAnsi="Times New Roman" w:cs="Times New Roman"/>
                <w:b w:val="0"/>
                <w:bCs w:val="0"/>
                <w:sz w:val="21"/>
                <w:szCs w:val="21"/>
              </w:rPr>
              <w:t>more</w:t>
            </w:r>
            <w:r w:rsidR="00700811" w:rsidRPr="00C77C3A">
              <w:rPr>
                <w:rFonts w:ascii="Times New Roman" w:eastAsiaTheme="minorHAnsi" w:hAnsi="Times New Roman" w:cs="Times New Roman"/>
                <w:b w:val="0"/>
                <w:bCs w:val="0"/>
                <w:sz w:val="21"/>
                <w:szCs w:val="21"/>
              </w:rPr>
              <w:t xml:space="preserve"> than 6 and up to 24 months</w:t>
            </w:r>
          </w:p>
          <w:p w:rsidR="00700811" w:rsidRPr="00C77C3A" w:rsidRDefault="00487876" w:rsidP="000E44F3">
            <w:pPr>
              <w:pStyle w:val="ListParagraph"/>
              <w:bidi w:val="0"/>
              <w:spacing w:after="0" w:line="276" w:lineRule="auto"/>
              <w:ind w:left="0"/>
              <w:rPr>
                <w:rFonts w:ascii="Times New Roman" w:hAnsi="Times New Roman" w:cs="Times New Roman"/>
                <w:sz w:val="21"/>
                <w:szCs w:val="21"/>
                <w:lang w:bidi="ar-JO"/>
              </w:rPr>
            </w:pPr>
            <w:r w:rsidRPr="00C77C3A">
              <w:rPr>
                <w:rFonts w:ascii="Times New Roman" w:eastAsiaTheme="minorHAnsi" w:hAnsi="Times New Roman" w:cs="Times New Roman"/>
                <w:b w:val="0"/>
                <w:bCs w:val="0"/>
                <w:sz w:val="21"/>
                <w:szCs w:val="21"/>
              </w:rPr>
              <w:t>more than</w:t>
            </w:r>
            <w:r w:rsidR="00700811" w:rsidRPr="00C77C3A">
              <w:rPr>
                <w:rFonts w:ascii="Times New Roman" w:eastAsiaTheme="minorHAnsi" w:hAnsi="Times New Roman" w:cs="Times New Roman"/>
                <w:b w:val="0"/>
                <w:bCs w:val="0"/>
                <w:sz w:val="21"/>
                <w:szCs w:val="21"/>
              </w:rPr>
              <w:t xml:space="preserve"> 24 months</w:t>
            </w:r>
          </w:p>
        </w:tc>
        <w:tc>
          <w:tcPr>
            <w:tcW w:w="1975" w:type="dxa"/>
          </w:tcPr>
          <w:p w:rsidR="004434C0" w:rsidRPr="00C77C3A" w:rsidRDefault="00700811" w:rsidP="000E44F3">
            <w:pPr>
              <w:pStyle w:val="ListParagraph"/>
              <w:bidi w:val="0"/>
              <w:spacing w:after="0" w:line="276" w:lineRule="auto"/>
              <w:ind w:left="0"/>
              <w:jc w:val="center"/>
              <w:rPr>
                <w:rFonts w:ascii="Times New Roman" w:eastAsiaTheme="minorHAnsi" w:hAnsi="Times New Roman" w:cs="Times New Roman"/>
                <w:b w:val="0"/>
                <w:bCs w:val="0"/>
                <w:sz w:val="21"/>
                <w:szCs w:val="21"/>
              </w:rPr>
            </w:pPr>
            <w:r w:rsidRPr="00C77C3A">
              <w:rPr>
                <w:rFonts w:ascii="Times New Roman" w:eastAsiaTheme="minorHAnsi" w:hAnsi="Times New Roman" w:cs="Times New Roman"/>
                <w:b w:val="0"/>
                <w:bCs w:val="0"/>
                <w:sz w:val="21"/>
                <w:szCs w:val="21"/>
              </w:rPr>
              <w:t>0.25</w:t>
            </w:r>
          </w:p>
          <w:p w:rsidR="00700811" w:rsidRPr="00C77C3A" w:rsidRDefault="00700811" w:rsidP="000E44F3">
            <w:pPr>
              <w:pStyle w:val="ListParagraph"/>
              <w:bidi w:val="0"/>
              <w:spacing w:after="0" w:line="276" w:lineRule="auto"/>
              <w:ind w:left="0"/>
              <w:jc w:val="center"/>
              <w:rPr>
                <w:rFonts w:ascii="Times New Roman" w:eastAsiaTheme="minorHAnsi" w:hAnsi="Times New Roman" w:cs="Times New Roman"/>
                <w:b w:val="0"/>
                <w:bCs w:val="0"/>
                <w:sz w:val="21"/>
                <w:szCs w:val="21"/>
              </w:rPr>
            </w:pPr>
            <w:r w:rsidRPr="00C77C3A">
              <w:rPr>
                <w:rFonts w:ascii="Times New Roman" w:eastAsiaTheme="minorHAnsi" w:hAnsi="Times New Roman" w:cs="Times New Roman"/>
                <w:b w:val="0"/>
                <w:bCs w:val="0"/>
                <w:sz w:val="21"/>
                <w:szCs w:val="21"/>
              </w:rPr>
              <w:t>1.00</w:t>
            </w:r>
          </w:p>
          <w:p w:rsidR="00700811" w:rsidRPr="00C77C3A" w:rsidRDefault="00700811" w:rsidP="000E44F3">
            <w:pPr>
              <w:pStyle w:val="ListParagraph"/>
              <w:bidi w:val="0"/>
              <w:spacing w:after="0" w:line="276" w:lineRule="auto"/>
              <w:ind w:left="0"/>
              <w:jc w:val="center"/>
              <w:rPr>
                <w:rFonts w:ascii="Times New Roman" w:eastAsiaTheme="minorHAnsi" w:hAnsi="Times New Roman" w:cs="Times New Roman"/>
                <w:b w:val="0"/>
                <w:bCs w:val="0"/>
                <w:sz w:val="21"/>
                <w:szCs w:val="21"/>
              </w:rPr>
            </w:pPr>
          </w:p>
          <w:p w:rsidR="00700811" w:rsidRPr="00C77C3A" w:rsidRDefault="00700811" w:rsidP="000E44F3">
            <w:pPr>
              <w:pStyle w:val="ListParagraph"/>
              <w:bidi w:val="0"/>
              <w:spacing w:after="0" w:line="276" w:lineRule="auto"/>
              <w:ind w:left="0"/>
              <w:jc w:val="center"/>
              <w:rPr>
                <w:rFonts w:ascii="Times New Roman" w:eastAsiaTheme="minorHAnsi" w:hAnsi="Times New Roman" w:cs="Times New Roman"/>
                <w:b w:val="0"/>
                <w:bCs w:val="0"/>
                <w:sz w:val="21"/>
                <w:szCs w:val="21"/>
              </w:rPr>
            </w:pPr>
            <w:r w:rsidRPr="00C77C3A">
              <w:rPr>
                <w:rFonts w:ascii="Times New Roman" w:eastAsiaTheme="minorHAnsi" w:hAnsi="Times New Roman" w:cs="Times New Roman"/>
                <w:b w:val="0"/>
                <w:bCs w:val="0"/>
                <w:sz w:val="21"/>
                <w:szCs w:val="21"/>
              </w:rPr>
              <w:t>1.60</w:t>
            </w:r>
          </w:p>
        </w:tc>
      </w:tr>
      <w:tr w:rsidR="004434C0" w:rsidRPr="00DA4F3E" w:rsidTr="00C77C3A">
        <w:tc>
          <w:tcPr>
            <w:tcW w:w="1316" w:type="dxa"/>
            <w:vMerge/>
            <w:vAlign w:val="center"/>
          </w:tcPr>
          <w:p w:rsidR="004434C0" w:rsidRPr="00C77C3A" w:rsidRDefault="004434C0" w:rsidP="000E44F3">
            <w:pPr>
              <w:pStyle w:val="ListParagraph"/>
              <w:bidi w:val="0"/>
              <w:spacing w:after="0" w:line="276" w:lineRule="auto"/>
              <w:ind w:left="0"/>
              <w:jc w:val="center"/>
              <w:rPr>
                <w:rFonts w:ascii="Times New Roman" w:hAnsi="Times New Roman" w:cs="Times New Roman"/>
                <w:sz w:val="21"/>
                <w:szCs w:val="21"/>
                <w:lang w:bidi="ar-JO"/>
              </w:rPr>
            </w:pPr>
          </w:p>
        </w:tc>
        <w:tc>
          <w:tcPr>
            <w:tcW w:w="2379" w:type="dxa"/>
            <w:vAlign w:val="center"/>
          </w:tcPr>
          <w:p w:rsidR="004434C0" w:rsidRPr="00C77C3A" w:rsidRDefault="004434C0" w:rsidP="00487876">
            <w:pPr>
              <w:pStyle w:val="ListParagraph"/>
              <w:bidi w:val="0"/>
              <w:spacing w:after="0" w:line="276" w:lineRule="auto"/>
              <w:ind w:left="0"/>
              <w:jc w:val="center"/>
              <w:rPr>
                <w:rFonts w:ascii="Times New Roman" w:hAnsi="Times New Roman" w:cs="Times New Roman"/>
                <w:sz w:val="21"/>
                <w:szCs w:val="21"/>
                <w:lang w:bidi="ar-JO"/>
              </w:rPr>
            </w:pPr>
            <w:r w:rsidRPr="00C77C3A">
              <w:rPr>
                <w:rFonts w:ascii="Times New Roman" w:eastAsiaTheme="minorHAnsi" w:hAnsi="Times New Roman" w:cs="Times New Roman"/>
                <w:b w:val="0"/>
                <w:bCs w:val="0"/>
                <w:sz w:val="21"/>
                <w:szCs w:val="21"/>
              </w:rPr>
              <w:t>BB to B- or Unrated</w:t>
            </w:r>
          </w:p>
        </w:tc>
        <w:tc>
          <w:tcPr>
            <w:tcW w:w="2829" w:type="dxa"/>
          </w:tcPr>
          <w:p w:rsidR="004434C0" w:rsidRPr="00C77C3A" w:rsidRDefault="004434C0" w:rsidP="000E44F3">
            <w:pPr>
              <w:pStyle w:val="ListParagraph"/>
              <w:bidi w:val="0"/>
              <w:spacing w:after="0" w:line="276" w:lineRule="auto"/>
              <w:ind w:left="0"/>
              <w:rPr>
                <w:rFonts w:ascii="Times New Roman" w:hAnsi="Times New Roman" w:cs="Times New Roman"/>
                <w:sz w:val="21"/>
                <w:szCs w:val="21"/>
                <w:lang w:bidi="ar-JO"/>
              </w:rPr>
            </w:pPr>
          </w:p>
        </w:tc>
        <w:tc>
          <w:tcPr>
            <w:tcW w:w="1975" w:type="dxa"/>
          </w:tcPr>
          <w:p w:rsidR="004434C0" w:rsidRPr="00C77C3A" w:rsidRDefault="00700811" w:rsidP="000E44F3">
            <w:pPr>
              <w:pStyle w:val="ListParagraph"/>
              <w:bidi w:val="0"/>
              <w:spacing w:after="0" w:line="276" w:lineRule="auto"/>
              <w:ind w:left="0"/>
              <w:jc w:val="center"/>
              <w:rPr>
                <w:rFonts w:ascii="Times New Roman" w:hAnsi="Times New Roman" w:cs="Times New Roman"/>
                <w:b w:val="0"/>
                <w:bCs w:val="0"/>
                <w:sz w:val="21"/>
                <w:szCs w:val="21"/>
                <w:lang w:bidi="ar-JO"/>
              </w:rPr>
            </w:pPr>
            <w:r w:rsidRPr="00C77C3A">
              <w:rPr>
                <w:rFonts w:ascii="Times New Roman" w:hAnsi="Times New Roman" w:cs="Times New Roman"/>
                <w:b w:val="0"/>
                <w:bCs w:val="0"/>
                <w:sz w:val="21"/>
                <w:szCs w:val="21"/>
                <w:lang w:bidi="ar-JO"/>
              </w:rPr>
              <w:t>8</w:t>
            </w:r>
          </w:p>
        </w:tc>
      </w:tr>
      <w:tr w:rsidR="004434C0" w:rsidRPr="00DA4F3E" w:rsidTr="00C77C3A">
        <w:tc>
          <w:tcPr>
            <w:tcW w:w="1316" w:type="dxa"/>
            <w:vMerge/>
            <w:vAlign w:val="center"/>
          </w:tcPr>
          <w:p w:rsidR="004434C0" w:rsidRPr="00C77C3A" w:rsidRDefault="004434C0" w:rsidP="000E44F3">
            <w:pPr>
              <w:pStyle w:val="ListParagraph"/>
              <w:bidi w:val="0"/>
              <w:spacing w:after="0" w:line="276" w:lineRule="auto"/>
              <w:ind w:left="0"/>
              <w:jc w:val="center"/>
              <w:rPr>
                <w:rFonts w:ascii="Times New Roman" w:hAnsi="Times New Roman" w:cs="Times New Roman"/>
                <w:sz w:val="21"/>
                <w:szCs w:val="21"/>
                <w:lang w:bidi="ar-JO"/>
              </w:rPr>
            </w:pPr>
          </w:p>
        </w:tc>
        <w:tc>
          <w:tcPr>
            <w:tcW w:w="2379" w:type="dxa"/>
            <w:vAlign w:val="center"/>
          </w:tcPr>
          <w:p w:rsidR="004434C0" w:rsidRPr="00C77C3A" w:rsidRDefault="004434C0" w:rsidP="000E44F3">
            <w:pPr>
              <w:pStyle w:val="ListParagraph"/>
              <w:bidi w:val="0"/>
              <w:spacing w:after="0" w:line="276" w:lineRule="auto"/>
              <w:ind w:left="0"/>
              <w:jc w:val="center"/>
              <w:rPr>
                <w:rFonts w:ascii="Times New Roman" w:hAnsi="Times New Roman" w:cs="Times New Roman"/>
                <w:sz w:val="21"/>
                <w:szCs w:val="21"/>
                <w:lang w:bidi="ar-JO"/>
              </w:rPr>
            </w:pPr>
            <w:r w:rsidRPr="00C77C3A">
              <w:rPr>
                <w:rFonts w:ascii="Times New Roman" w:eastAsiaTheme="minorHAnsi" w:hAnsi="Times New Roman" w:cs="Times New Roman"/>
                <w:b w:val="0"/>
                <w:bCs w:val="0"/>
                <w:sz w:val="21"/>
                <w:szCs w:val="21"/>
              </w:rPr>
              <w:t>Below B-</w:t>
            </w:r>
          </w:p>
        </w:tc>
        <w:tc>
          <w:tcPr>
            <w:tcW w:w="2829" w:type="dxa"/>
          </w:tcPr>
          <w:p w:rsidR="004434C0" w:rsidRPr="00C77C3A" w:rsidRDefault="004434C0" w:rsidP="000E44F3">
            <w:pPr>
              <w:pStyle w:val="ListParagraph"/>
              <w:bidi w:val="0"/>
              <w:spacing w:after="0" w:line="276" w:lineRule="auto"/>
              <w:ind w:left="0"/>
              <w:rPr>
                <w:rFonts w:ascii="Times New Roman" w:hAnsi="Times New Roman" w:cs="Times New Roman"/>
                <w:sz w:val="21"/>
                <w:szCs w:val="21"/>
                <w:lang w:bidi="ar-JO"/>
              </w:rPr>
            </w:pPr>
          </w:p>
        </w:tc>
        <w:tc>
          <w:tcPr>
            <w:tcW w:w="1975" w:type="dxa"/>
          </w:tcPr>
          <w:p w:rsidR="004434C0" w:rsidRPr="00C77C3A" w:rsidRDefault="00700811" w:rsidP="000E44F3">
            <w:pPr>
              <w:pStyle w:val="ListParagraph"/>
              <w:bidi w:val="0"/>
              <w:spacing w:after="0" w:line="276" w:lineRule="auto"/>
              <w:ind w:left="0"/>
              <w:jc w:val="center"/>
              <w:rPr>
                <w:rFonts w:ascii="Times New Roman" w:hAnsi="Times New Roman" w:cs="Times New Roman"/>
                <w:b w:val="0"/>
                <w:bCs w:val="0"/>
                <w:sz w:val="21"/>
                <w:szCs w:val="21"/>
                <w:lang w:bidi="ar-JO"/>
              </w:rPr>
            </w:pPr>
            <w:r w:rsidRPr="00C77C3A">
              <w:rPr>
                <w:rFonts w:ascii="Times New Roman" w:hAnsi="Times New Roman" w:cs="Times New Roman"/>
                <w:b w:val="0"/>
                <w:bCs w:val="0"/>
                <w:sz w:val="21"/>
                <w:szCs w:val="21"/>
                <w:lang w:bidi="ar-JO"/>
              </w:rPr>
              <w:t>12</w:t>
            </w:r>
          </w:p>
        </w:tc>
      </w:tr>
      <w:tr w:rsidR="00700811" w:rsidRPr="00DA4F3E" w:rsidTr="00C77C3A">
        <w:tc>
          <w:tcPr>
            <w:tcW w:w="1316" w:type="dxa"/>
            <w:vAlign w:val="center"/>
          </w:tcPr>
          <w:p w:rsidR="00700811" w:rsidRPr="00C77C3A" w:rsidRDefault="00700811" w:rsidP="000E44F3">
            <w:pPr>
              <w:pStyle w:val="ListParagraph"/>
              <w:bidi w:val="0"/>
              <w:spacing w:after="0" w:line="276" w:lineRule="auto"/>
              <w:ind w:left="0"/>
              <w:jc w:val="center"/>
              <w:rPr>
                <w:rFonts w:ascii="Times New Roman" w:hAnsi="Times New Roman" w:cs="Times New Roman"/>
                <w:sz w:val="21"/>
                <w:szCs w:val="21"/>
                <w:lang w:bidi="ar-JO"/>
              </w:rPr>
            </w:pPr>
            <w:r w:rsidRPr="00C77C3A">
              <w:rPr>
                <w:rFonts w:ascii="Times New Roman" w:eastAsiaTheme="minorHAnsi" w:hAnsi="Times New Roman" w:cs="Times New Roman"/>
                <w:b w:val="0"/>
                <w:bCs w:val="0"/>
                <w:sz w:val="21"/>
                <w:szCs w:val="21"/>
              </w:rPr>
              <w:t>Qualifying</w:t>
            </w:r>
          </w:p>
        </w:tc>
        <w:tc>
          <w:tcPr>
            <w:tcW w:w="2379" w:type="dxa"/>
            <w:vAlign w:val="center"/>
          </w:tcPr>
          <w:p w:rsidR="00700811" w:rsidRPr="00C77C3A" w:rsidRDefault="00700811" w:rsidP="000E44F3">
            <w:pPr>
              <w:pStyle w:val="ListParagraph"/>
              <w:bidi w:val="0"/>
              <w:spacing w:after="0" w:line="276" w:lineRule="auto"/>
              <w:ind w:left="0"/>
              <w:rPr>
                <w:rFonts w:ascii="Times New Roman" w:hAnsi="Times New Roman" w:cs="Times New Roman"/>
                <w:sz w:val="21"/>
                <w:szCs w:val="21"/>
                <w:lang w:bidi="ar-JO"/>
              </w:rPr>
            </w:pPr>
          </w:p>
        </w:tc>
        <w:tc>
          <w:tcPr>
            <w:tcW w:w="2829" w:type="dxa"/>
          </w:tcPr>
          <w:p w:rsidR="00700811" w:rsidRPr="00C77C3A" w:rsidRDefault="00700811" w:rsidP="000E44F3">
            <w:pPr>
              <w:pStyle w:val="ListParagraph"/>
              <w:bidi w:val="0"/>
              <w:spacing w:after="0" w:line="276" w:lineRule="auto"/>
              <w:ind w:left="0"/>
              <w:rPr>
                <w:rFonts w:ascii="Times New Roman" w:eastAsiaTheme="minorHAnsi" w:hAnsi="Times New Roman" w:cs="Times New Roman"/>
                <w:b w:val="0"/>
                <w:bCs w:val="0"/>
                <w:sz w:val="21"/>
                <w:szCs w:val="21"/>
              </w:rPr>
            </w:pPr>
            <w:r w:rsidRPr="00C77C3A">
              <w:rPr>
                <w:rFonts w:ascii="Times New Roman" w:eastAsiaTheme="minorHAnsi" w:hAnsi="Times New Roman" w:cs="Times New Roman"/>
                <w:b w:val="0"/>
                <w:bCs w:val="0"/>
                <w:sz w:val="21"/>
                <w:szCs w:val="21"/>
              </w:rPr>
              <w:t>6 months or less</w:t>
            </w:r>
          </w:p>
          <w:p w:rsidR="00700811" w:rsidRPr="00C77C3A" w:rsidRDefault="00487876" w:rsidP="00487876">
            <w:pPr>
              <w:pStyle w:val="ListParagraph"/>
              <w:bidi w:val="0"/>
              <w:spacing w:after="0" w:line="276" w:lineRule="auto"/>
              <w:ind w:left="0"/>
              <w:rPr>
                <w:rFonts w:ascii="Times New Roman" w:eastAsiaTheme="minorHAnsi" w:hAnsi="Times New Roman" w:cs="Times New Roman"/>
                <w:b w:val="0"/>
                <w:bCs w:val="0"/>
                <w:sz w:val="21"/>
                <w:szCs w:val="21"/>
              </w:rPr>
            </w:pPr>
            <w:r w:rsidRPr="00C77C3A">
              <w:rPr>
                <w:rFonts w:ascii="Times New Roman" w:eastAsiaTheme="minorHAnsi" w:hAnsi="Times New Roman" w:cs="Times New Roman"/>
                <w:b w:val="0"/>
                <w:bCs w:val="0"/>
                <w:sz w:val="21"/>
                <w:szCs w:val="21"/>
              </w:rPr>
              <w:t>more</w:t>
            </w:r>
            <w:r w:rsidR="00700811" w:rsidRPr="00C77C3A">
              <w:rPr>
                <w:rFonts w:ascii="Times New Roman" w:eastAsiaTheme="minorHAnsi" w:hAnsi="Times New Roman" w:cs="Times New Roman"/>
                <w:b w:val="0"/>
                <w:bCs w:val="0"/>
                <w:sz w:val="21"/>
                <w:szCs w:val="21"/>
              </w:rPr>
              <w:t xml:space="preserve"> than 6 and up to 24 months</w:t>
            </w:r>
          </w:p>
          <w:p w:rsidR="00700811" w:rsidRPr="00C77C3A" w:rsidRDefault="00487876" w:rsidP="000E44F3">
            <w:pPr>
              <w:pStyle w:val="ListParagraph"/>
              <w:bidi w:val="0"/>
              <w:spacing w:after="0" w:line="276" w:lineRule="auto"/>
              <w:ind w:left="0"/>
              <w:rPr>
                <w:rFonts w:ascii="Times New Roman" w:hAnsi="Times New Roman" w:cs="Times New Roman"/>
                <w:sz w:val="21"/>
                <w:szCs w:val="21"/>
                <w:lang w:bidi="ar-JO"/>
              </w:rPr>
            </w:pPr>
            <w:r w:rsidRPr="00C77C3A">
              <w:rPr>
                <w:rFonts w:ascii="Times New Roman" w:eastAsiaTheme="minorHAnsi" w:hAnsi="Times New Roman" w:cs="Times New Roman"/>
                <w:b w:val="0"/>
                <w:bCs w:val="0"/>
                <w:sz w:val="21"/>
                <w:szCs w:val="21"/>
              </w:rPr>
              <w:t>more than</w:t>
            </w:r>
            <w:r w:rsidR="00700811" w:rsidRPr="00C77C3A">
              <w:rPr>
                <w:rFonts w:ascii="Times New Roman" w:eastAsiaTheme="minorHAnsi" w:hAnsi="Times New Roman" w:cs="Times New Roman"/>
                <w:b w:val="0"/>
                <w:bCs w:val="0"/>
                <w:sz w:val="21"/>
                <w:szCs w:val="21"/>
              </w:rPr>
              <w:t xml:space="preserve"> 24 months</w:t>
            </w:r>
          </w:p>
        </w:tc>
        <w:tc>
          <w:tcPr>
            <w:tcW w:w="1975" w:type="dxa"/>
          </w:tcPr>
          <w:p w:rsidR="00700811" w:rsidRPr="00C77C3A" w:rsidRDefault="00700811" w:rsidP="000E44F3">
            <w:pPr>
              <w:pStyle w:val="ListParagraph"/>
              <w:bidi w:val="0"/>
              <w:spacing w:after="0" w:line="276" w:lineRule="auto"/>
              <w:ind w:left="0"/>
              <w:jc w:val="center"/>
              <w:rPr>
                <w:rFonts w:ascii="Times New Roman" w:eastAsiaTheme="minorHAnsi" w:hAnsi="Times New Roman" w:cs="Times New Roman"/>
                <w:b w:val="0"/>
                <w:bCs w:val="0"/>
                <w:sz w:val="21"/>
                <w:szCs w:val="21"/>
              </w:rPr>
            </w:pPr>
            <w:r w:rsidRPr="00C77C3A">
              <w:rPr>
                <w:rFonts w:ascii="Times New Roman" w:eastAsiaTheme="minorHAnsi" w:hAnsi="Times New Roman" w:cs="Times New Roman"/>
                <w:b w:val="0"/>
                <w:bCs w:val="0"/>
                <w:sz w:val="21"/>
                <w:szCs w:val="21"/>
              </w:rPr>
              <w:t>0.25</w:t>
            </w:r>
          </w:p>
          <w:p w:rsidR="00700811" w:rsidRPr="00C77C3A" w:rsidRDefault="00700811" w:rsidP="000E44F3">
            <w:pPr>
              <w:pStyle w:val="ListParagraph"/>
              <w:bidi w:val="0"/>
              <w:spacing w:after="0" w:line="276" w:lineRule="auto"/>
              <w:ind w:left="0"/>
              <w:jc w:val="center"/>
              <w:rPr>
                <w:rFonts w:ascii="Times New Roman" w:eastAsiaTheme="minorHAnsi" w:hAnsi="Times New Roman" w:cs="Times New Roman"/>
                <w:b w:val="0"/>
                <w:bCs w:val="0"/>
                <w:sz w:val="21"/>
                <w:szCs w:val="21"/>
              </w:rPr>
            </w:pPr>
            <w:r w:rsidRPr="00C77C3A">
              <w:rPr>
                <w:rFonts w:ascii="Times New Roman" w:eastAsiaTheme="minorHAnsi" w:hAnsi="Times New Roman" w:cs="Times New Roman"/>
                <w:b w:val="0"/>
                <w:bCs w:val="0"/>
                <w:sz w:val="21"/>
                <w:szCs w:val="21"/>
              </w:rPr>
              <w:t>1.00</w:t>
            </w:r>
          </w:p>
          <w:p w:rsidR="00700811" w:rsidRPr="00C77C3A" w:rsidRDefault="00700811" w:rsidP="000E44F3">
            <w:pPr>
              <w:pStyle w:val="ListParagraph"/>
              <w:bidi w:val="0"/>
              <w:spacing w:after="0" w:line="276" w:lineRule="auto"/>
              <w:ind w:left="0"/>
              <w:jc w:val="center"/>
              <w:rPr>
                <w:rFonts w:ascii="Times New Roman" w:eastAsiaTheme="minorHAnsi" w:hAnsi="Times New Roman" w:cs="Times New Roman"/>
                <w:b w:val="0"/>
                <w:bCs w:val="0"/>
                <w:sz w:val="21"/>
                <w:szCs w:val="21"/>
              </w:rPr>
            </w:pPr>
          </w:p>
          <w:p w:rsidR="00700811" w:rsidRPr="00C77C3A" w:rsidRDefault="00700811" w:rsidP="000E44F3">
            <w:pPr>
              <w:pStyle w:val="ListParagraph"/>
              <w:bidi w:val="0"/>
              <w:spacing w:after="0" w:line="276" w:lineRule="auto"/>
              <w:ind w:left="0"/>
              <w:jc w:val="center"/>
              <w:rPr>
                <w:rFonts w:ascii="Times New Roman" w:eastAsiaTheme="minorHAnsi" w:hAnsi="Times New Roman" w:cs="Times New Roman"/>
                <w:b w:val="0"/>
                <w:bCs w:val="0"/>
                <w:sz w:val="21"/>
                <w:szCs w:val="21"/>
              </w:rPr>
            </w:pPr>
            <w:r w:rsidRPr="00C77C3A">
              <w:rPr>
                <w:rFonts w:ascii="Times New Roman" w:eastAsiaTheme="minorHAnsi" w:hAnsi="Times New Roman" w:cs="Times New Roman"/>
                <w:b w:val="0"/>
                <w:bCs w:val="0"/>
                <w:sz w:val="21"/>
                <w:szCs w:val="21"/>
              </w:rPr>
              <w:t>1.60</w:t>
            </w:r>
          </w:p>
        </w:tc>
      </w:tr>
      <w:tr w:rsidR="00700811" w:rsidRPr="00DA4F3E" w:rsidTr="00C77C3A">
        <w:tc>
          <w:tcPr>
            <w:tcW w:w="1316" w:type="dxa"/>
            <w:vMerge w:val="restart"/>
            <w:vAlign w:val="center"/>
          </w:tcPr>
          <w:p w:rsidR="00700811" w:rsidRPr="00C77C3A" w:rsidRDefault="00700811" w:rsidP="000E44F3">
            <w:pPr>
              <w:pStyle w:val="ListParagraph"/>
              <w:bidi w:val="0"/>
              <w:spacing w:after="0" w:line="276" w:lineRule="auto"/>
              <w:ind w:left="0"/>
              <w:jc w:val="center"/>
              <w:rPr>
                <w:rFonts w:ascii="Times New Roman" w:hAnsi="Times New Roman" w:cs="Times New Roman"/>
                <w:sz w:val="21"/>
                <w:szCs w:val="21"/>
                <w:lang w:bidi="ar-JO"/>
              </w:rPr>
            </w:pPr>
            <w:r w:rsidRPr="00C77C3A">
              <w:rPr>
                <w:rFonts w:ascii="Times New Roman" w:eastAsiaTheme="minorHAnsi" w:hAnsi="Times New Roman" w:cs="Times New Roman"/>
                <w:b w:val="0"/>
                <w:bCs w:val="0"/>
                <w:sz w:val="21"/>
                <w:szCs w:val="21"/>
              </w:rPr>
              <w:t>Other</w:t>
            </w:r>
          </w:p>
        </w:tc>
        <w:tc>
          <w:tcPr>
            <w:tcW w:w="2379" w:type="dxa"/>
            <w:vAlign w:val="center"/>
          </w:tcPr>
          <w:p w:rsidR="00700811" w:rsidRPr="00C77C3A" w:rsidRDefault="00700811" w:rsidP="000E44F3">
            <w:pPr>
              <w:pStyle w:val="ListParagraph"/>
              <w:bidi w:val="0"/>
              <w:spacing w:after="0" w:line="276" w:lineRule="auto"/>
              <w:ind w:left="0"/>
              <w:jc w:val="center"/>
              <w:rPr>
                <w:rFonts w:ascii="Times New Roman" w:hAnsi="Times New Roman" w:cs="Times New Roman"/>
                <w:sz w:val="21"/>
                <w:szCs w:val="21"/>
                <w:lang w:bidi="ar-JO"/>
              </w:rPr>
            </w:pPr>
            <w:r w:rsidRPr="00C77C3A">
              <w:rPr>
                <w:rFonts w:ascii="Times New Roman" w:eastAsiaTheme="minorHAnsi" w:hAnsi="Times New Roman" w:cs="Times New Roman"/>
                <w:b w:val="0"/>
                <w:bCs w:val="0"/>
                <w:sz w:val="21"/>
                <w:szCs w:val="21"/>
              </w:rPr>
              <w:t>BB+ to BB- or Unrated</w:t>
            </w:r>
          </w:p>
        </w:tc>
        <w:tc>
          <w:tcPr>
            <w:tcW w:w="2829" w:type="dxa"/>
            <w:vMerge w:val="restart"/>
          </w:tcPr>
          <w:p w:rsidR="00700811" w:rsidRPr="00C77C3A" w:rsidRDefault="00700811" w:rsidP="000E44F3">
            <w:pPr>
              <w:pStyle w:val="ListParagraph"/>
              <w:bidi w:val="0"/>
              <w:spacing w:after="0" w:line="276" w:lineRule="auto"/>
              <w:ind w:left="0"/>
              <w:rPr>
                <w:rFonts w:ascii="Times New Roman" w:hAnsi="Times New Roman" w:cs="Times New Roman"/>
                <w:sz w:val="21"/>
                <w:szCs w:val="21"/>
                <w:lang w:bidi="ar-JO"/>
              </w:rPr>
            </w:pPr>
          </w:p>
        </w:tc>
        <w:tc>
          <w:tcPr>
            <w:tcW w:w="1975" w:type="dxa"/>
          </w:tcPr>
          <w:p w:rsidR="00700811" w:rsidRPr="00C77C3A" w:rsidRDefault="00700811" w:rsidP="000E44F3">
            <w:pPr>
              <w:pStyle w:val="ListParagraph"/>
              <w:bidi w:val="0"/>
              <w:spacing w:after="0" w:line="276" w:lineRule="auto"/>
              <w:ind w:left="0"/>
              <w:jc w:val="center"/>
              <w:rPr>
                <w:rFonts w:ascii="Times New Roman" w:hAnsi="Times New Roman" w:cs="Times New Roman"/>
                <w:b w:val="0"/>
                <w:bCs w:val="0"/>
                <w:sz w:val="21"/>
                <w:szCs w:val="21"/>
                <w:lang w:bidi="ar-JO"/>
              </w:rPr>
            </w:pPr>
            <w:r w:rsidRPr="00C77C3A">
              <w:rPr>
                <w:rFonts w:ascii="Times New Roman" w:hAnsi="Times New Roman" w:cs="Times New Roman"/>
                <w:b w:val="0"/>
                <w:bCs w:val="0"/>
                <w:sz w:val="21"/>
                <w:szCs w:val="21"/>
                <w:lang w:bidi="ar-JO"/>
              </w:rPr>
              <w:t>8</w:t>
            </w:r>
          </w:p>
        </w:tc>
      </w:tr>
      <w:tr w:rsidR="00700811" w:rsidRPr="00DA4F3E" w:rsidTr="00C77C3A">
        <w:tc>
          <w:tcPr>
            <w:tcW w:w="1316" w:type="dxa"/>
            <w:vMerge/>
          </w:tcPr>
          <w:p w:rsidR="00700811" w:rsidRPr="00DA4F3E" w:rsidRDefault="00700811" w:rsidP="000E44F3">
            <w:pPr>
              <w:pStyle w:val="ListParagraph"/>
              <w:bidi w:val="0"/>
              <w:spacing w:after="0" w:line="276" w:lineRule="auto"/>
              <w:ind w:left="0"/>
              <w:rPr>
                <w:rFonts w:ascii="Times New Roman" w:hAnsi="Times New Roman" w:cs="Times New Roman"/>
                <w:sz w:val="22"/>
                <w:szCs w:val="22"/>
                <w:lang w:bidi="ar-JO"/>
              </w:rPr>
            </w:pPr>
          </w:p>
        </w:tc>
        <w:tc>
          <w:tcPr>
            <w:tcW w:w="2379" w:type="dxa"/>
            <w:vAlign w:val="center"/>
          </w:tcPr>
          <w:p w:rsidR="00700811" w:rsidRPr="00F57744" w:rsidRDefault="00700811" w:rsidP="000E44F3">
            <w:pPr>
              <w:pStyle w:val="ListParagraph"/>
              <w:bidi w:val="0"/>
              <w:spacing w:after="0" w:line="276" w:lineRule="auto"/>
              <w:ind w:left="0"/>
              <w:jc w:val="center"/>
              <w:rPr>
                <w:rFonts w:ascii="Times New Roman" w:hAnsi="Times New Roman" w:cs="Times New Roman"/>
                <w:sz w:val="21"/>
                <w:szCs w:val="21"/>
                <w:lang w:bidi="ar-JO"/>
              </w:rPr>
            </w:pPr>
            <w:r w:rsidRPr="00F57744">
              <w:rPr>
                <w:rFonts w:ascii="Times New Roman" w:eastAsiaTheme="minorHAnsi" w:hAnsi="Times New Roman" w:cs="Times New Roman"/>
                <w:b w:val="0"/>
                <w:bCs w:val="0"/>
                <w:sz w:val="21"/>
                <w:szCs w:val="21"/>
              </w:rPr>
              <w:t>Below BB-</w:t>
            </w:r>
          </w:p>
        </w:tc>
        <w:tc>
          <w:tcPr>
            <w:tcW w:w="2829" w:type="dxa"/>
            <w:vMerge/>
          </w:tcPr>
          <w:p w:rsidR="00700811" w:rsidRPr="00DA4F3E" w:rsidRDefault="00700811" w:rsidP="000E44F3">
            <w:pPr>
              <w:pStyle w:val="ListParagraph"/>
              <w:bidi w:val="0"/>
              <w:spacing w:after="0" w:line="276" w:lineRule="auto"/>
              <w:ind w:left="0"/>
              <w:rPr>
                <w:rFonts w:ascii="Times New Roman" w:hAnsi="Times New Roman" w:cs="Times New Roman"/>
                <w:sz w:val="22"/>
                <w:szCs w:val="22"/>
                <w:lang w:bidi="ar-JO"/>
              </w:rPr>
            </w:pPr>
          </w:p>
        </w:tc>
        <w:tc>
          <w:tcPr>
            <w:tcW w:w="1975" w:type="dxa"/>
          </w:tcPr>
          <w:p w:rsidR="00700811" w:rsidRPr="00DA4F3E" w:rsidRDefault="00700811" w:rsidP="000E44F3">
            <w:pPr>
              <w:pStyle w:val="ListParagraph"/>
              <w:bidi w:val="0"/>
              <w:spacing w:after="0" w:line="276" w:lineRule="auto"/>
              <w:ind w:left="0"/>
              <w:jc w:val="center"/>
              <w:rPr>
                <w:rFonts w:ascii="Times New Roman" w:hAnsi="Times New Roman" w:cs="Times New Roman"/>
                <w:b w:val="0"/>
                <w:bCs w:val="0"/>
                <w:sz w:val="22"/>
                <w:szCs w:val="22"/>
                <w:lang w:bidi="ar-JO"/>
              </w:rPr>
            </w:pPr>
            <w:r w:rsidRPr="00DA4F3E">
              <w:rPr>
                <w:rFonts w:ascii="Times New Roman" w:hAnsi="Times New Roman" w:cs="Times New Roman"/>
                <w:b w:val="0"/>
                <w:bCs w:val="0"/>
                <w:sz w:val="22"/>
                <w:szCs w:val="22"/>
                <w:lang w:bidi="ar-JO"/>
              </w:rPr>
              <w:t>12</w:t>
            </w:r>
          </w:p>
        </w:tc>
      </w:tr>
    </w:tbl>
    <w:p w:rsidR="00DA4F3E" w:rsidRPr="00DA4F3E" w:rsidRDefault="00DA4F3E" w:rsidP="00DA4F3E">
      <w:pPr>
        <w:pStyle w:val="ListParagraph"/>
        <w:bidi w:val="0"/>
        <w:spacing w:after="0" w:line="276" w:lineRule="auto"/>
        <w:rPr>
          <w:rFonts w:ascii="Times New Roman" w:hAnsi="Times New Roman" w:cs="Times New Roman"/>
          <w:b w:val="0"/>
          <w:bCs w:val="0"/>
          <w:sz w:val="24"/>
          <w:szCs w:val="24"/>
          <w:lang w:bidi="ar-JO"/>
        </w:rPr>
      </w:pPr>
    </w:p>
    <w:p w:rsidR="00BD59D7" w:rsidRPr="00DA4F3E" w:rsidRDefault="00CA0373" w:rsidP="00DA4F3E">
      <w:pPr>
        <w:pStyle w:val="ListParagraph"/>
        <w:numPr>
          <w:ilvl w:val="0"/>
          <w:numId w:val="23"/>
        </w:numPr>
        <w:bidi w:val="0"/>
        <w:spacing w:after="0" w:line="276" w:lineRule="auto"/>
        <w:ind w:hanging="578"/>
        <w:rPr>
          <w:rFonts w:ascii="Times New Roman" w:hAnsi="Times New Roman" w:cs="Times New Roman"/>
          <w:b w:val="0"/>
          <w:bCs w:val="0"/>
          <w:sz w:val="24"/>
          <w:szCs w:val="24"/>
          <w:lang w:bidi="ar-JO"/>
        </w:rPr>
      </w:pPr>
      <w:r w:rsidRPr="00DA4F3E">
        <w:rPr>
          <w:rFonts w:ascii="Times New Roman" w:eastAsiaTheme="minorHAnsi" w:hAnsi="Times New Roman" w:cs="Times New Roman"/>
          <w:sz w:val="24"/>
          <w:szCs w:val="24"/>
        </w:rPr>
        <w:lastRenderedPageBreak/>
        <w:t>General market risk</w:t>
      </w:r>
      <w:r w:rsidRPr="00DA4F3E">
        <w:rPr>
          <w:rFonts w:ascii="Times New Roman" w:eastAsiaTheme="minorHAnsi" w:hAnsi="Times New Roman" w:cs="Times New Roman"/>
          <w:b w:val="0"/>
          <w:bCs w:val="0"/>
          <w:sz w:val="24"/>
          <w:szCs w:val="24"/>
        </w:rPr>
        <w:t>: The capital requirements for general market risk are designed to capture the risk of loss arising from changes in market interest rates</w:t>
      </w:r>
      <w:r w:rsidR="00F01F4B" w:rsidRPr="00DA4F3E">
        <w:rPr>
          <w:rFonts w:ascii="Times New Roman" w:eastAsiaTheme="minorHAnsi" w:hAnsi="Times New Roman" w:cs="Times New Roman"/>
          <w:b w:val="0"/>
          <w:bCs w:val="0"/>
          <w:sz w:val="24"/>
          <w:szCs w:val="24"/>
        </w:rPr>
        <w:t>.</w:t>
      </w:r>
    </w:p>
    <w:p w:rsidR="00F01F4B" w:rsidRPr="00DA4F3E" w:rsidRDefault="00F01F4B" w:rsidP="000E44F3">
      <w:pPr>
        <w:pStyle w:val="ListParagraph"/>
        <w:numPr>
          <w:ilvl w:val="1"/>
          <w:numId w:val="23"/>
        </w:numPr>
        <w:bidi w:val="0"/>
        <w:spacing w:after="0" w:line="276" w:lineRule="auto"/>
        <w:ind w:left="1276" w:hanging="556"/>
        <w:rPr>
          <w:rFonts w:ascii="Times New Roman" w:hAnsi="Times New Roman" w:cs="Times New Roman"/>
          <w:b w:val="0"/>
          <w:bCs w:val="0"/>
          <w:sz w:val="24"/>
          <w:szCs w:val="24"/>
          <w:lang w:val="en"/>
        </w:rPr>
      </w:pPr>
      <w:r w:rsidRPr="00DA4F3E">
        <w:rPr>
          <w:rFonts w:ascii="Times New Roman" w:hAnsi="Times New Roman" w:cs="Times New Roman"/>
          <w:b w:val="0"/>
          <w:bCs w:val="0"/>
          <w:sz w:val="24"/>
          <w:szCs w:val="24"/>
          <w:lang w:val="en"/>
        </w:rPr>
        <w:t xml:space="preserve">Maturity method will be adopted for the purposes of calculating general risks, in which positions that are exposed to interest rate risk are </w:t>
      </w:r>
      <w:r w:rsidRPr="00DA4F3E">
        <w:rPr>
          <w:rFonts w:ascii="Times New Roman" w:eastAsiaTheme="minorHAnsi" w:hAnsi="Times New Roman" w:cs="Times New Roman"/>
          <w:b w:val="0"/>
          <w:bCs w:val="0"/>
          <w:sz w:val="24"/>
          <w:szCs w:val="24"/>
        </w:rPr>
        <w:t>slotted into a maturity ladder comprising thirteen time-bands</w:t>
      </w:r>
      <w:r w:rsidRPr="00DA4F3E">
        <w:rPr>
          <w:rFonts w:ascii="Times New Roman" w:hAnsi="Times New Roman" w:cs="Times New Roman"/>
          <w:b w:val="0"/>
          <w:bCs w:val="0"/>
          <w:sz w:val="24"/>
          <w:szCs w:val="24"/>
          <w:lang w:val="en"/>
        </w:rPr>
        <w:t>.</w:t>
      </w:r>
    </w:p>
    <w:p w:rsidR="00F01F4B" w:rsidRPr="00DA4F3E" w:rsidRDefault="000C583B" w:rsidP="00062601">
      <w:pPr>
        <w:pStyle w:val="ListParagraph"/>
        <w:numPr>
          <w:ilvl w:val="2"/>
          <w:numId w:val="23"/>
        </w:numPr>
        <w:bidi w:val="0"/>
        <w:spacing w:after="0" w:line="276" w:lineRule="auto"/>
        <w:ind w:left="2127" w:hanging="851"/>
        <w:rPr>
          <w:rFonts w:ascii="Times New Roman" w:hAnsi="Times New Roman" w:cs="Times New Roman"/>
          <w:b w:val="0"/>
          <w:bCs w:val="0"/>
          <w:sz w:val="24"/>
          <w:szCs w:val="24"/>
          <w:lang w:val="en"/>
        </w:rPr>
      </w:pPr>
      <w:r w:rsidRPr="00DA4F3E">
        <w:rPr>
          <w:rFonts w:ascii="Times New Roman" w:hAnsi="Times New Roman" w:cs="Times New Roman"/>
          <w:b w:val="0"/>
          <w:bCs w:val="0"/>
          <w:sz w:val="24"/>
          <w:szCs w:val="24"/>
          <w:lang w:val="en"/>
        </w:rPr>
        <w:t>Debt instruments are divided according to the interest rate into two categories</w:t>
      </w:r>
      <w:r w:rsidR="00062601">
        <w:rPr>
          <w:rFonts w:ascii="Times New Roman" w:hAnsi="Times New Roman" w:cs="Times New Roman"/>
          <w:b w:val="0"/>
          <w:bCs w:val="0"/>
          <w:sz w:val="24"/>
          <w:szCs w:val="24"/>
          <w:lang w:val="en"/>
        </w:rPr>
        <w:t>,</w:t>
      </w:r>
      <w:r w:rsidRPr="00DA4F3E">
        <w:rPr>
          <w:rFonts w:ascii="Times New Roman" w:hAnsi="Times New Roman" w:cs="Times New Roman"/>
          <w:b w:val="0"/>
          <w:bCs w:val="0"/>
          <w:sz w:val="24"/>
          <w:szCs w:val="24"/>
          <w:lang w:val="en"/>
        </w:rPr>
        <w:t xml:space="preserve"> first: debt instruments with an interest rate of more than (3%), and the second: debt instruments with an interest rate of less than (3%). As shown in </w:t>
      </w:r>
      <w:r w:rsidR="00062601">
        <w:rPr>
          <w:rFonts w:ascii="Times New Roman" w:hAnsi="Times New Roman" w:cs="Times New Roman"/>
          <w:b w:val="0"/>
          <w:bCs w:val="0"/>
          <w:sz w:val="24"/>
          <w:szCs w:val="24"/>
          <w:lang w:val="en"/>
        </w:rPr>
        <w:t>annex</w:t>
      </w:r>
      <w:r w:rsidRPr="00DA4F3E">
        <w:rPr>
          <w:rFonts w:ascii="Times New Roman" w:hAnsi="Times New Roman" w:cs="Times New Roman"/>
          <w:b w:val="0"/>
          <w:bCs w:val="0"/>
          <w:sz w:val="24"/>
          <w:szCs w:val="24"/>
          <w:lang w:val="en"/>
        </w:rPr>
        <w:t xml:space="preserve"> </w:t>
      </w:r>
      <w:r w:rsidR="00062601">
        <w:rPr>
          <w:rFonts w:ascii="Times New Roman" w:hAnsi="Times New Roman" w:cs="Times New Roman"/>
          <w:b w:val="0"/>
          <w:bCs w:val="0"/>
          <w:sz w:val="24"/>
          <w:szCs w:val="24"/>
          <w:lang w:val="en"/>
        </w:rPr>
        <w:t>n</w:t>
      </w:r>
      <w:r w:rsidRPr="00DA4F3E">
        <w:rPr>
          <w:rFonts w:ascii="Times New Roman" w:hAnsi="Times New Roman" w:cs="Times New Roman"/>
          <w:b w:val="0"/>
          <w:bCs w:val="0"/>
          <w:sz w:val="24"/>
          <w:szCs w:val="24"/>
          <w:lang w:val="en"/>
        </w:rPr>
        <w:t xml:space="preserve">o. (16) [noting that the method of calculation is shown in </w:t>
      </w:r>
      <w:r w:rsidR="00062601">
        <w:rPr>
          <w:rFonts w:ascii="Times New Roman" w:hAnsi="Times New Roman" w:cs="Times New Roman"/>
          <w:b w:val="0"/>
          <w:bCs w:val="0"/>
          <w:sz w:val="24"/>
          <w:szCs w:val="24"/>
          <w:lang w:val="en"/>
        </w:rPr>
        <w:t>annexes</w:t>
      </w:r>
      <w:r w:rsidRPr="00DA4F3E">
        <w:rPr>
          <w:rFonts w:ascii="Times New Roman" w:hAnsi="Times New Roman" w:cs="Times New Roman"/>
          <w:b w:val="0"/>
          <w:bCs w:val="0"/>
          <w:sz w:val="24"/>
          <w:szCs w:val="24"/>
          <w:lang w:val="en"/>
        </w:rPr>
        <w:t xml:space="preserve"> </w:t>
      </w:r>
      <w:r w:rsidR="00062601">
        <w:rPr>
          <w:rFonts w:ascii="Times New Roman" w:hAnsi="Times New Roman" w:cs="Times New Roman"/>
          <w:b w:val="0"/>
          <w:bCs w:val="0"/>
          <w:sz w:val="24"/>
          <w:szCs w:val="24"/>
          <w:lang w:val="en"/>
        </w:rPr>
        <w:t>n</w:t>
      </w:r>
      <w:r w:rsidRPr="00DA4F3E">
        <w:rPr>
          <w:rFonts w:ascii="Times New Roman" w:hAnsi="Times New Roman" w:cs="Times New Roman"/>
          <w:b w:val="0"/>
          <w:bCs w:val="0"/>
          <w:sz w:val="24"/>
          <w:szCs w:val="24"/>
          <w:lang w:val="en"/>
        </w:rPr>
        <w:t xml:space="preserve">o. (17 / A) and </w:t>
      </w:r>
      <w:r w:rsidR="00062601">
        <w:rPr>
          <w:rFonts w:ascii="Times New Roman" w:hAnsi="Times New Roman" w:cs="Times New Roman"/>
          <w:b w:val="0"/>
          <w:bCs w:val="0"/>
          <w:sz w:val="24"/>
          <w:szCs w:val="24"/>
          <w:lang w:val="en"/>
        </w:rPr>
        <w:t>no.</w:t>
      </w:r>
      <w:r w:rsidRPr="00DA4F3E">
        <w:rPr>
          <w:rFonts w:ascii="Times New Roman" w:hAnsi="Times New Roman" w:cs="Times New Roman"/>
          <w:b w:val="0"/>
          <w:bCs w:val="0"/>
          <w:sz w:val="24"/>
          <w:szCs w:val="24"/>
          <w:lang w:val="en"/>
        </w:rPr>
        <w:t xml:space="preserve"> (17 / B)</w:t>
      </w:r>
      <w:r w:rsidR="00062601">
        <w:rPr>
          <w:rFonts w:ascii="Times New Roman" w:hAnsi="Times New Roman" w:cs="Times New Roman"/>
          <w:b w:val="0"/>
          <w:bCs w:val="0"/>
          <w:sz w:val="24"/>
          <w:szCs w:val="24"/>
          <w:lang w:val="en"/>
        </w:rPr>
        <w:t>.</w:t>
      </w:r>
      <w:r w:rsidRPr="00DA4F3E">
        <w:rPr>
          <w:rFonts w:ascii="Times New Roman" w:hAnsi="Times New Roman" w:cs="Times New Roman"/>
          <w:b w:val="0"/>
          <w:bCs w:val="0"/>
          <w:sz w:val="24"/>
          <w:szCs w:val="24"/>
          <w:lang w:val="en"/>
        </w:rPr>
        <w:t xml:space="preserve"> </w:t>
      </w:r>
    </w:p>
    <w:p w:rsidR="00F01F4B" w:rsidRPr="0039339A" w:rsidRDefault="000C583B" w:rsidP="000E44F3">
      <w:pPr>
        <w:pStyle w:val="ListParagraph"/>
        <w:numPr>
          <w:ilvl w:val="2"/>
          <w:numId w:val="23"/>
        </w:numPr>
        <w:bidi w:val="0"/>
        <w:spacing w:after="0" w:line="276" w:lineRule="auto"/>
        <w:ind w:left="2127" w:hanging="851"/>
        <w:rPr>
          <w:rFonts w:ascii="Times New Roman" w:hAnsi="Times New Roman" w:cs="Times New Roman"/>
          <w:b w:val="0"/>
          <w:bCs w:val="0"/>
          <w:sz w:val="24"/>
          <w:szCs w:val="24"/>
          <w:lang w:val="en"/>
        </w:rPr>
      </w:pPr>
      <w:r w:rsidRPr="0039339A">
        <w:rPr>
          <w:rFonts w:ascii="Times New Roman" w:hAnsi="Times New Roman" w:cs="Times New Roman"/>
          <w:b w:val="0"/>
          <w:bCs w:val="0"/>
          <w:sz w:val="24"/>
          <w:szCs w:val="24"/>
          <w:lang w:val="en"/>
        </w:rPr>
        <w:t xml:space="preserve">Long and short positions are slotted according to maturities or re-pricing periods </w:t>
      </w:r>
      <w:r w:rsidRPr="0039339A">
        <w:rPr>
          <w:rFonts w:ascii="Times New Roman" w:eastAsiaTheme="minorHAnsi" w:hAnsi="Times New Roman" w:cs="Times New Roman"/>
          <w:b w:val="0"/>
          <w:bCs w:val="0"/>
          <w:sz w:val="24"/>
          <w:szCs w:val="24"/>
        </w:rPr>
        <w:t>with no offsetting</w:t>
      </w:r>
      <w:r w:rsidRPr="0039339A">
        <w:rPr>
          <w:rFonts w:ascii="Times New Roman" w:hAnsi="Times New Roman" w:cs="Times New Roman"/>
          <w:b w:val="0"/>
          <w:bCs w:val="0"/>
          <w:sz w:val="24"/>
          <w:szCs w:val="24"/>
          <w:lang w:val="en"/>
        </w:rPr>
        <w:t xml:space="preserve"> between different positions in different currencies, Whereas, </w:t>
      </w:r>
      <w:r w:rsidRPr="0039339A">
        <w:rPr>
          <w:rFonts w:ascii="Times New Roman" w:eastAsiaTheme="minorHAnsi" w:hAnsi="Times New Roman" w:cs="Times New Roman"/>
          <w:b w:val="0"/>
          <w:bCs w:val="0"/>
          <w:sz w:val="24"/>
          <w:szCs w:val="24"/>
        </w:rPr>
        <w:t>offsetting</w:t>
      </w:r>
      <w:r w:rsidRPr="0039339A">
        <w:rPr>
          <w:rFonts w:ascii="Times New Roman" w:hAnsi="Times New Roman" w:cs="Times New Roman"/>
          <w:b w:val="0"/>
          <w:bCs w:val="0"/>
          <w:sz w:val="24"/>
          <w:szCs w:val="24"/>
          <w:lang w:val="en"/>
        </w:rPr>
        <w:t xml:space="preserve"> is only allowed for positions for the same currency and for the same maturity date. </w:t>
      </w:r>
    </w:p>
    <w:p w:rsidR="00F01F4B" w:rsidRPr="00DA4F3E" w:rsidRDefault="00F01F4B" w:rsidP="000E44F3">
      <w:pPr>
        <w:pStyle w:val="ListParagraph"/>
        <w:numPr>
          <w:ilvl w:val="2"/>
          <w:numId w:val="23"/>
        </w:numPr>
        <w:bidi w:val="0"/>
        <w:spacing w:after="0" w:line="276" w:lineRule="auto"/>
        <w:ind w:left="2127" w:hanging="851"/>
        <w:rPr>
          <w:rFonts w:ascii="Times New Roman" w:hAnsi="Times New Roman" w:cs="Times New Roman"/>
          <w:b w:val="0"/>
          <w:bCs w:val="0"/>
          <w:sz w:val="24"/>
          <w:szCs w:val="24"/>
          <w:lang w:val="en"/>
        </w:rPr>
      </w:pPr>
      <w:r w:rsidRPr="00DA4F3E">
        <w:rPr>
          <w:rFonts w:ascii="Times New Roman" w:eastAsiaTheme="minorHAnsi" w:hAnsi="Times New Roman" w:cs="Times New Roman"/>
          <w:b w:val="0"/>
          <w:bCs w:val="0"/>
          <w:sz w:val="24"/>
          <w:szCs w:val="24"/>
        </w:rPr>
        <w:t>Fixed rate instruments should be allocated according to the residual term to maturity and floating-rate instruments according to the residual term to the next repricing date.</w:t>
      </w:r>
      <w:r w:rsidRPr="00DA4F3E">
        <w:rPr>
          <w:rFonts w:ascii="Times New Roman" w:hAnsi="Times New Roman" w:cs="Times New Roman"/>
          <w:b w:val="0"/>
          <w:bCs w:val="0"/>
          <w:sz w:val="24"/>
          <w:szCs w:val="24"/>
          <w:lang w:val="en"/>
        </w:rPr>
        <w:tab/>
      </w:r>
    </w:p>
    <w:p w:rsidR="000C583B" w:rsidRPr="00DA4F3E" w:rsidRDefault="00EF5B28" w:rsidP="000E44F3">
      <w:pPr>
        <w:pStyle w:val="ListParagraph"/>
        <w:numPr>
          <w:ilvl w:val="2"/>
          <w:numId w:val="23"/>
        </w:numPr>
        <w:bidi w:val="0"/>
        <w:spacing w:after="0" w:line="276" w:lineRule="auto"/>
        <w:ind w:left="2127" w:hanging="851"/>
        <w:rPr>
          <w:rFonts w:ascii="Times New Roman" w:hAnsi="Times New Roman" w:cs="Times New Roman"/>
          <w:b w:val="0"/>
          <w:bCs w:val="0"/>
          <w:sz w:val="24"/>
          <w:szCs w:val="24"/>
          <w:lang w:val="en"/>
        </w:rPr>
      </w:pPr>
      <w:r w:rsidRPr="00DA4F3E">
        <w:rPr>
          <w:rFonts w:ascii="Times New Roman" w:eastAsiaTheme="minorHAnsi" w:hAnsi="Times New Roman" w:cs="Times New Roman"/>
          <w:b w:val="0"/>
          <w:bCs w:val="0"/>
          <w:sz w:val="24"/>
          <w:szCs w:val="24"/>
        </w:rPr>
        <w:t>Futures and forward contracts, including forward rate agreements are treated as a combination of a long and a short position. The maturity of a future or a FRA will be the period until delivery or exercise of the contract, plus - where applicable - the life of the underlying instrument.</w:t>
      </w:r>
      <w:r w:rsidRPr="00DA4F3E">
        <w:rPr>
          <w:rFonts w:ascii="Times New Roman" w:hAnsi="Times New Roman" w:cs="Times New Roman"/>
          <w:b w:val="0"/>
          <w:bCs w:val="0"/>
          <w:sz w:val="24"/>
          <w:szCs w:val="24"/>
          <w:lang w:val="en"/>
        </w:rPr>
        <w:t xml:space="preserve"> The party receiving the interest is a long position and the party paying the interest is a short position.</w:t>
      </w:r>
    </w:p>
    <w:p w:rsidR="00F01F4B" w:rsidRPr="0039339A" w:rsidRDefault="00EF5B28" w:rsidP="000E44F3">
      <w:pPr>
        <w:pStyle w:val="ListParagraph"/>
        <w:numPr>
          <w:ilvl w:val="1"/>
          <w:numId w:val="23"/>
        </w:numPr>
        <w:bidi w:val="0"/>
        <w:spacing w:after="0" w:line="276" w:lineRule="auto"/>
        <w:ind w:left="1276" w:hanging="556"/>
        <w:rPr>
          <w:rFonts w:ascii="Times New Roman" w:hAnsi="Times New Roman" w:cs="Times New Roman"/>
          <w:b w:val="0"/>
          <w:bCs w:val="0"/>
          <w:sz w:val="24"/>
          <w:szCs w:val="24"/>
          <w:lang w:bidi="ar-JO"/>
        </w:rPr>
      </w:pPr>
      <w:r w:rsidRPr="0039339A">
        <w:rPr>
          <w:rFonts w:ascii="Times New Roman" w:eastAsiaTheme="minorHAnsi" w:hAnsi="Times New Roman" w:cs="Times New Roman"/>
          <w:b w:val="0"/>
          <w:bCs w:val="0"/>
          <w:sz w:val="24"/>
          <w:szCs w:val="24"/>
        </w:rPr>
        <w:t xml:space="preserve">Calculation </w:t>
      </w:r>
      <w:r w:rsidRPr="0039339A">
        <w:rPr>
          <w:rFonts w:ascii="Times New Roman" w:hAnsi="Times New Roman" w:cs="Times New Roman"/>
          <w:b w:val="0"/>
          <w:bCs w:val="0"/>
          <w:sz w:val="24"/>
          <w:szCs w:val="24"/>
          <w:lang w:val="en"/>
        </w:rPr>
        <w:t>mechanism</w:t>
      </w:r>
    </w:p>
    <w:p w:rsidR="00EF5B28" w:rsidRPr="0039339A" w:rsidRDefault="0039339A" w:rsidP="0039339A">
      <w:pPr>
        <w:pStyle w:val="ListParagraph"/>
        <w:numPr>
          <w:ilvl w:val="2"/>
          <w:numId w:val="23"/>
        </w:numPr>
        <w:bidi w:val="0"/>
        <w:spacing w:after="0" w:line="276" w:lineRule="auto"/>
        <w:ind w:left="2127" w:hanging="851"/>
        <w:rPr>
          <w:rFonts w:ascii="Times New Roman" w:eastAsiaTheme="minorHAnsi" w:hAnsi="Times New Roman" w:cs="Times New Roman"/>
          <w:b w:val="0"/>
          <w:bCs w:val="0"/>
          <w:sz w:val="24"/>
          <w:szCs w:val="24"/>
        </w:rPr>
      </w:pPr>
      <w:r w:rsidRPr="0039339A">
        <w:rPr>
          <w:rFonts w:ascii="Times New Roman" w:eastAsiaTheme="minorHAnsi" w:hAnsi="Times New Roman" w:cs="Times New Roman"/>
          <w:b w:val="0"/>
          <w:bCs w:val="0"/>
          <w:sz w:val="24"/>
          <w:szCs w:val="24"/>
        </w:rPr>
        <w:t>Positions are weighted according to the weights corresponding to the position type (long or short) and the appropriate time category</w:t>
      </w:r>
      <w:r w:rsidR="00A84CAA" w:rsidRPr="0039339A">
        <w:rPr>
          <w:rFonts w:ascii="Times New Roman" w:eastAsiaTheme="minorHAnsi" w:hAnsi="Times New Roman" w:cs="Times New Roman"/>
          <w:b w:val="0"/>
          <w:bCs w:val="0"/>
          <w:sz w:val="24"/>
          <w:szCs w:val="24"/>
        </w:rPr>
        <w:t>.</w:t>
      </w:r>
    </w:p>
    <w:p w:rsidR="00A84CAA" w:rsidRPr="0039339A" w:rsidRDefault="00A84CAA" w:rsidP="0039339A">
      <w:pPr>
        <w:pStyle w:val="ListParagraph"/>
        <w:numPr>
          <w:ilvl w:val="2"/>
          <w:numId w:val="23"/>
        </w:numPr>
        <w:bidi w:val="0"/>
        <w:spacing w:after="0" w:line="276" w:lineRule="auto"/>
        <w:ind w:left="2127" w:hanging="851"/>
        <w:rPr>
          <w:rFonts w:ascii="Times New Roman" w:hAnsi="Times New Roman" w:cs="Times New Roman"/>
          <w:b w:val="0"/>
          <w:bCs w:val="0"/>
          <w:sz w:val="24"/>
          <w:szCs w:val="24"/>
          <w:lang w:bidi="ar-JO"/>
        </w:rPr>
      </w:pPr>
      <w:r w:rsidRPr="0039339A">
        <w:rPr>
          <w:rFonts w:ascii="Times New Roman" w:hAnsi="Times New Roman" w:cs="Times New Roman"/>
          <w:b w:val="0"/>
          <w:bCs w:val="0"/>
          <w:sz w:val="24"/>
          <w:szCs w:val="24"/>
        </w:rPr>
        <w:t>Calculate t</w:t>
      </w:r>
      <w:r w:rsidRPr="0039339A">
        <w:rPr>
          <w:rFonts w:ascii="Times New Roman" w:eastAsiaTheme="minorHAnsi" w:hAnsi="Times New Roman" w:cs="Times New Roman"/>
          <w:b w:val="0"/>
          <w:bCs w:val="0"/>
          <w:sz w:val="24"/>
          <w:szCs w:val="24"/>
        </w:rPr>
        <w:t>he bank's net open position</w:t>
      </w:r>
      <w:r w:rsidRPr="0039339A">
        <w:rPr>
          <w:rFonts w:ascii="Times New Roman" w:hAnsi="Times New Roman" w:cs="Times New Roman"/>
          <w:b w:val="0"/>
          <w:bCs w:val="0"/>
          <w:sz w:val="24"/>
          <w:szCs w:val="24"/>
          <w:lang w:val="en"/>
        </w:rPr>
        <w:t>, regardless of sign.</w:t>
      </w:r>
      <w:r w:rsidR="0039339A" w:rsidRPr="0039339A">
        <w:rPr>
          <w:color w:val="202124"/>
          <w:lang w:val="en"/>
        </w:rPr>
        <w:t xml:space="preserve"> </w:t>
      </w:r>
    </w:p>
    <w:p w:rsidR="00A84CAA" w:rsidRPr="0039339A" w:rsidRDefault="0053458F" w:rsidP="000E44F3">
      <w:pPr>
        <w:pStyle w:val="ListParagraph"/>
        <w:numPr>
          <w:ilvl w:val="2"/>
          <w:numId w:val="23"/>
        </w:numPr>
        <w:bidi w:val="0"/>
        <w:spacing w:after="0" w:line="276" w:lineRule="auto"/>
        <w:ind w:left="2127" w:hanging="851"/>
        <w:rPr>
          <w:rFonts w:ascii="Times New Roman" w:hAnsi="Times New Roman" w:cs="Times New Roman"/>
          <w:b w:val="0"/>
          <w:bCs w:val="0"/>
          <w:sz w:val="24"/>
          <w:szCs w:val="24"/>
          <w:lang w:bidi="ar-JO"/>
        </w:rPr>
      </w:pPr>
      <w:r w:rsidRPr="0039339A">
        <w:rPr>
          <w:rFonts w:ascii="Times New Roman" w:hAnsi="Times New Roman" w:cs="Times New Roman"/>
          <w:b w:val="0"/>
          <w:bCs w:val="0"/>
          <w:sz w:val="24"/>
          <w:szCs w:val="24"/>
        </w:rPr>
        <w:t xml:space="preserve">Calculate </w:t>
      </w:r>
      <w:r w:rsidR="0015334A" w:rsidRPr="0039339A">
        <w:rPr>
          <w:rFonts w:ascii="Times New Roman" w:eastAsiaTheme="minorHAnsi" w:hAnsi="Times New Roman" w:cs="Times New Roman"/>
          <w:b w:val="0"/>
          <w:bCs w:val="0"/>
          <w:sz w:val="24"/>
          <w:szCs w:val="24"/>
        </w:rPr>
        <w:t>the weighted longs and shorts in each time-band, resulting in a single short or long position for each band. Since, however, each band would include different instruments and different maturities, a 10% capital charge to reflect basis risk and gap risk will be levied on the smaller of the offsetting positions, be it long or short.</w:t>
      </w:r>
      <w:r w:rsidR="0015334A" w:rsidRPr="0039339A">
        <w:rPr>
          <w:rFonts w:ascii="Times New Roman" w:hAnsi="Times New Roman" w:cs="Times New Roman"/>
          <w:b w:val="0"/>
          <w:bCs w:val="0"/>
          <w:sz w:val="24"/>
          <w:szCs w:val="24"/>
          <w:lang w:val="en"/>
        </w:rPr>
        <w:t xml:space="preserve"> This is called Vertical Disallowance.</w:t>
      </w:r>
    </w:p>
    <w:p w:rsidR="0015334A" w:rsidRPr="0039339A" w:rsidRDefault="0053458F" w:rsidP="000E44F3">
      <w:pPr>
        <w:pStyle w:val="ListParagraph"/>
        <w:numPr>
          <w:ilvl w:val="2"/>
          <w:numId w:val="23"/>
        </w:numPr>
        <w:bidi w:val="0"/>
        <w:spacing w:after="0" w:line="276" w:lineRule="auto"/>
        <w:ind w:left="2127" w:hanging="851"/>
        <w:rPr>
          <w:rFonts w:ascii="Times New Roman" w:hAnsi="Times New Roman" w:cs="Times New Roman"/>
          <w:b w:val="0"/>
          <w:bCs w:val="0"/>
          <w:sz w:val="24"/>
          <w:szCs w:val="24"/>
          <w:lang w:bidi="ar-JO"/>
        </w:rPr>
      </w:pPr>
      <w:r w:rsidRPr="0039339A">
        <w:rPr>
          <w:rFonts w:ascii="Times New Roman" w:hAnsi="Times New Roman" w:cs="Times New Roman"/>
          <w:b w:val="0"/>
          <w:bCs w:val="0"/>
          <w:sz w:val="24"/>
          <w:szCs w:val="24"/>
        </w:rPr>
        <w:t xml:space="preserve">Calculate </w:t>
      </w:r>
      <w:r w:rsidR="0015334A" w:rsidRPr="0039339A">
        <w:rPr>
          <w:rFonts w:ascii="Times New Roman" w:hAnsi="Times New Roman" w:cs="Times New Roman"/>
          <w:b w:val="0"/>
          <w:bCs w:val="0"/>
          <w:sz w:val="24"/>
          <w:szCs w:val="24"/>
          <w:lang w:val="en"/>
        </w:rPr>
        <w:t>the covered positions in the first, second and third zones, as follows</w:t>
      </w:r>
      <w:r w:rsidR="00456BC1" w:rsidRPr="0039339A">
        <w:rPr>
          <w:rFonts w:ascii="Times New Roman" w:eastAsiaTheme="minorHAnsi" w:hAnsi="Times New Roman" w:cs="Times New Roman"/>
          <w:b w:val="0"/>
          <w:bCs w:val="0"/>
          <w:sz w:val="24"/>
          <w:szCs w:val="24"/>
        </w:rPr>
        <w:t xml:space="preserve"> (Horizontal disallowances)</w:t>
      </w:r>
      <w:r w:rsidR="0015334A" w:rsidRPr="0039339A">
        <w:rPr>
          <w:rFonts w:ascii="Times New Roman" w:hAnsi="Times New Roman" w:cs="Times New Roman"/>
          <w:b w:val="0"/>
          <w:bCs w:val="0"/>
          <w:sz w:val="24"/>
          <w:szCs w:val="24"/>
          <w:lang w:val="en"/>
        </w:rPr>
        <w:t>:</w:t>
      </w:r>
    </w:p>
    <w:tbl>
      <w:tblPr>
        <w:tblStyle w:val="TableGrid"/>
        <w:tblW w:w="0" w:type="auto"/>
        <w:tblInd w:w="1800" w:type="dxa"/>
        <w:tblLook w:val="04A0" w:firstRow="1" w:lastRow="0" w:firstColumn="1" w:lastColumn="0" w:noHBand="0" w:noVBand="1"/>
      </w:tblPr>
      <w:tblGrid>
        <w:gridCol w:w="1737"/>
        <w:gridCol w:w="1746"/>
        <w:gridCol w:w="1827"/>
        <w:gridCol w:w="1810"/>
      </w:tblGrid>
      <w:tr w:rsidR="005338D7" w:rsidRPr="0039339A" w:rsidTr="00DA4F3E">
        <w:tc>
          <w:tcPr>
            <w:tcW w:w="1737" w:type="dxa"/>
            <w:shd w:val="clear" w:color="auto" w:fill="E7E6E6" w:themeFill="background2"/>
            <w:vAlign w:val="center"/>
          </w:tcPr>
          <w:p w:rsidR="005338D7" w:rsidRPr="0039339A" w:rsidRDefault="005338D7" w:rsidP="00BF6F1F">
            <w:pPr>
              <w:pStyle w:val="ListParagraph"/>
              <w:bidi w:val="0"/>
              <w:spacing w:after="0"/>
              <w:ind w:left="0"/>
              <w:jc w:val="center"/>
              <w:rPr>
                <w:rFonts w:ascii="Times New Roman" w:hAnsi="Times New Roman" w:cs="Times New Roman"/>
                <w:color w:val="202124"/>
                <w:sz w:val="22"/>
                <w:szCs w:val="22"/>
                <w:lang w:val="en"/>
              </w:rPr>
            </w:pPr>
            <w:r w:rsidRPr="0039339A">
              <w:rPr>
                <w:rFonts w:ascii="Times New Roman" w:hAnsi="Times New Roman" w:cs="Times New Roman"/>
                <w:color w:val="202124"/>
                <w:sz w:val="22"/>
                <w:szCs w:val="22"/>
                <w:lang w:val="en"/>
              </w:rPr>
              <w:t>Zones</w:t>
            </w:r>
          </w:p>
        </w:tc>
        <w:tc>
          <w:tcPr>
            <w:tcW w:w="1746" w:type="dxa"/>
            <w:shd w:val="clear" w:color="auto" w:fill="E7E6E6" w:themeFill="background2"/>
            <w:vAlign w:val="center"/>
          </w:tcPr>
          <w:p w:rsidR="005338D7" w:rsidRPr="0039339A" w:rsidRDefault="005338D7" w:rsidP="00BF6F1F">
            <w:pPr>
              <w:pStyle w:val="ListParagraph"/>
              <w:bidi w:val="0"/>
              <w:spacing w:after="0"/>
              <w:ind w:left="0"/>
              <w:jc w:val="center"/>
              <w:rPr>
                <w:rFonts w:ascii="Times New Roman" w:hAnsi="Times New Roman" w:cs="Times New Roman"/>
                <w:color w:val="202124"/>
                <w:sz w:val="22"/>
                <w:szCs w:val="22"/>
                <w:lang w:val="en"/>
              </w:rPr>
            </w:pPr>
            <w:r w:rsidRPr="0039339A">
              <w:rPr>
                <w:rFonts w:ascii="Times New Roman" w:hAnsi="Times New Roman" w:cs="Times New Roman"/>
                <w:color w:val="202124"/>
                <w:sz w:val="22"/>
                <w:szCs w:val="22"/>
                <w:lang w:val="en"/>
              </w:rPr>
              <w:t>Within the zone</w:t>
            </w:r>
          </w:p>
        </w:tc>
        <w:tc>
          <w:tcPr>
            <w:tcW w:w="1827" w:type="dxa"/>
            <w:shd w:val="clear" w:color="auto" w:fill="E7E6E6" w:themeFill="background2"/>
            <w:vAlign w:val="center"/>
          </w:tcPr>
          <w:p w:rsidR="005338D7" w:rsidRPr="0039339A" w:rsidRDefault="005338D7" w:rsidP="00BF6F1F">
            <w:pPr>
              <w:pStyle w:val="ListParagraph"/>
              <w:bidi w:val="0"/>
              <w:spacing w:after="0"/>
              <w:ind w:left="0"/>
              <w:jc w:val="center"/>
              <w:rPr>
                <w:rFonts w:ascii="Times New Roman" w:hAnsi="Times New Roman" w:cs="Times New Roman"/>
                <w:color w:val="202124"/>
                <w:sz w:val="22"/>
                <w:szCs w:val="22"/>
                <w:lang w:val="en"/>
              </w:rPr>
            </w:pPr>
            <w:r w:rsidRPr="0039339A">
              <w:rPr>
                <w:rFonts w:ascii="Times New Roman" w:hAnsi="Times New Roman" w:cs="Times New Roman"/>
                <w:color w:val="202124"/>
                <w:sz w:val="22"/>
                <w:szCs w:val="22"/>
                <w:lang w:val="en"/>
              </w:rPr>
              <w:t xml:space="preserve">Between </w:t>
            </w:r>
            <w:r w:rsidRPr="0039339A">
              <w:rPr>
                <w:rFonts w:ascii="Times New Roman" w:eastAsiaTheme="minorHAnsi" w:hAnsi="Times New Roman" w:cs="Times New Roman"/>
                <w:sz w:val="22"/>
                <w:szCs w:val="22"/>
              </w:rPr>
              <w:t>adjacent zones</w:t>
            </w:r>
          </w:p>
        </w:tc>
        <w:tc>
          <w:tcPr>
            <w:tcW w:w="1810" w:type="dxa"/>
            <w:shd w:val="clear" w:color="auto" w:fill="E7E6E6" w:themeFill="background2"/>
            <w:vAlign w:val="center"/>
          </w:tcPr>
          <w:p w:rsidR="005338D7" w:rsidRPr="0039339A" w:rsidRDefault="005338D7" w:rsidP="00BF6F1F">
            <w:pPr>
              <w:pStyle w:val="ListParagraph"/>
              <w:bidi w:val="0"/>
              <w:spacing w:after="0"/>
              <w:ind w:left="0"/>
              <w:jc w:val="center"/>
              <w:rPr>
                <w:rFonts w:ascii="Times New Roman" w:hAnsi="Times New Roman" w:cs="Times New Roman"/>
                <w:color w:val="202124"/>
                <w:sz w:val="22"/>
                <w:szCs w:val="22"/>
                <w:lang w:val="en"/>
              </w:rPr>
            </w:pPr>
            <w:r w:rsidRPr="0039339A">
              <w:rPr>
                <w:rFonts w:ascii="Times New Roman" w:eastAsiaTheme="minorHAnsi" w:hAnsi="Times New Roman" w:cs="Times New Roman"/>
                <w:sz w:val="22"/>
                <w:szCs w:val="22"/>
              </w:rPr>
              <w:t>between zones 1 and 3</w:t>
            </w:r>
          </w:p>
        </w:tc>
      </w:tr>
      <w:tr w:rsidR="005338D7" w:rsidRPr="0039339A" w:rsidTr="00BF6F1F">
        <w:tc>
          <w:tcPr>
            <w:tcW w:w="1737" w:type="dxa"/>
          </w:tcPr>
          <w:p w:rsidR="005338D7" w:rsidRPr="0039339A" w:rsidRDefault="005338D7" w:rsidP="00BF6F1F">
            <w:pPr>
              <w:bidi w:val="0"/>
              <w:spacing w:after="0"/>
              <w:jc w:val="center"/>
              <w:rPr>
                <w:rFonts w:ascii="Times New Roman" w:hAnsi="Times New Roman" w:cs="Times New Roman"/>
                <w:sz w:val="22"/>
                <w:szCs w:val="22"/>
              </w:rPr>
            </w:pPr>
            <w:r w:rsidRPr="0039339A">
              <w:rPr>
                <w:rFonts w:ascii="Times New Roman" w:eastAsiaTheme="minorHAnsi" w:hAnsi="Times New Roman" w:cs="Times New Roman"/>
                <w:b w:val="0"/>
                <w:bCs w:val="0"/>
                <w:sz w:val="22"/>
                <w:szCs w:val="22"/>
              </w:rPr>
              <w:t>Zone 1</w:t>
            </w:r>
          </w:p>
        </w:tc>
        <w:tc>
          <w:tcPr>
            <w:tcW w:w="1746" w:type="dxa"/>
          </w:tcPr>
          <w:p w:rsidR="005338D7" w:rsidRPr="0039339A" w:rsidRDefault="005338D7" w:rsidP="00BF6F1F">
            <w:pPr>
              <w:pStyle w:val="ListParagraph"/>
              <w:bidi w:val="0"/>
              <w:spacing w:after="0"/>
              <w:ind w:left="0"/>
              <w:jc w:val="center"/>
              <w:rPr>
                <w:rFonts w:ascii="Times New Roman" w:hAnsi="Times New Roman" w:cs="Times New Roman"/>
                <w:b w:val="0"/>
                <w:bCs w:val="0"/>
                <w:color w:val="202124"/>
                <w:sz w:val="22"/>
                <w:szCs w:val="22"/>
                <w:lang w:val="en"/>
              </w:rPr>
            </w:pPr>
            <w:r w:rsidRPr="0039339A">
              <w:rPr>
                <w:rFonts w:ascii="Times New Roman" w:hAnsi="Times New Roman" w:cs="Times New Roman"/>
                <w:b w:val="0"/>
                <w:bCs w:val="0"/>
                <w:color w:val="202124"/>
                <w:sz w:val="22"/>
                <w:szCs w:val="22"/>
                <w:lang w:val="en"/>
              </w:rPr>
              <w:t>40%</w:t>
            </w:r>
          </w:p>
        </w:tc>
        <w:tc>
          <w:tcPr>
            <w:tcW w:w="1827" w:type="dxa"/>
            <w:vMerge w:val="restart"/>
          </w:tcPr>
          <w:p w:rsidR="005338D7" w:rsidRPr="0039339A" w:rsidRDefault="005338D7" w:rsidP="00BF6F1F">
            <w:pPr>
              <w:pStyle w:val="ListParagraph"/>
              <w:bidi w:val="0"/>
              <w:spacing w:after="0"/>
              <w:ind w:left="0"/>
              <w:jc w:val="center"/>
              <w:rPr>
                <w:rFonts w:ascii="Times New Roman" w:hAnsi="Times New Roman" w:cs="Times New Roman"/>
                <w:b w:val="0"/>
                <w:bCs w:val="0"/>
                <w:color w:val="202124"/>
                <w:sz w:val="22"/>
                <w:szCs w:val="22"/>
                <w:lang w:val="en"/>
              </w:rPr>
            </w:pPr>
            <w:r w:rsidRPr="0039339A">
              <w:rPr>
                <w:rFonts w:ascii="Times New Roman" w:hAnsi="Times New Roman" w:cs="Times New Roman"/>
                <w:b w:val="0"/>
                <w:bCs w:val="0"/>
                <w:color w:val="202124"/>
                <w:sz w:val="22"/>
                <w:szCs w:val="22"/>
                <w:lang w:val="en"/>
              </w:rPr>
              <w:t>40%</w:t>
            </w:r>
          </w:p>
          <w:p w:rsidR="005338D7" w:rsidRPr="0039339A" w:rsidRDefault="005338D7" w:rsidP="00BF6F1F">
            <w:pPr>
              <w:pStyle w:val="ListParagraph"/>
              <w:bidi w:val="0"/>
              <w:spacing w:after="0"/>
              <w:ind w:left="0"/>
              <w:jc w:val="center"/>
              <w:rPr>
                <w:rFonts w:ascii="Times New Roman" w:hAnsi="Times New Roman" w:cs="Times New Roman"/>
                <w:b w:val="0"/>
                <w:bCs w:val="0"/>
                <w:color w:val="202124"/>
                <w:sz w:val="22"/>
                <w:szCs w:val="22"/>
                <w:lang w:val="en"/>
              </w:rPr>
            </w:pPr>
          </w:p>
          <w:p w:rsidR="005338D7" w:rsidRPr="0039339A" w:rsidRDefault="005338D7" w:rsidP="00BF6F1F">
            <w:pPr>
              <w:pStyle w:val="ListParagraph"/>
              <w:bidi w:val="0"/>
              <w:spacing w:after="0"/>
              <w:ind w:left="0"/>
              <w:jc w:val="center"/>
              <w:rPr>
                <w:rFonts w:ascii="Times New Roman" w:hAnsi="Times New Roman" w:cs="Times New Roman"/>
                <w:b w:val="0"/>
                <w:bCs w:val="0"/>
                <w:color w:val="202124"/>
                <w:sz w:val="22"/>
                <w:szCs w:val="22"/>
                <w:lang w:val="en"/>
              </w:rPr>
            </w:pPr>
            <w:r w:rsidRPr="0039339A">
              <w:rPr>
                <w:rFonts w:ascii="Times New Roman" w:hAnsi="Times New Roman" w:cs="Times New Roman"/>
                <w:b w:val="0"/>
                <w:bCs w:val="0"/>
                <w:color w:val="202124"/>
                <w:sz w:val="22"/>
                <w:szCs w:val="22"/>
                <w:lang w:val="en"/>
              </w:rPr>
              <w:t>40%</w:t>
            </w:r>
          </w:p>
          <w:p w:rsidR="005338D7" w:rsidRPr="0039339A" w:rsidRDefault="005338D7" w:rsidP="00BF6F1F">
            <w:pPr>
              <w:pStyle w:val="ListParagraph"/>
              <w:bidi w:val="0"/>
              <w:spacing w:after="0"/>
              <w:ind w:left="0"/>
              <w:jc w:val="center"/>
              <w:rPr>
                <w:rFonts w:ascii="Times New Roman" w:hAnsi="Times New Roman" w:cs="Times New Roman"/>
                <w:b w:val="0"/>
                <w:bCs w:val="0"/>
                <w:color w:val="202124"/>
                <w:sz w:val="22"/>
                <w:szCs w:val="22"/>
                <w:lang w:val="en"/>
              </w:rPr>
            </w:pPr>
          </w:p>
        </w:tc>
        <w:tc>
          <w:tcPr>
            <w:tcW w:w="1810" w:type="dxa"/>
            <w:vMerge w:val="restart"/>
            <w:vAlign w:val="center"/>
          </w:tcPr>
          <w:p w:rsidR="005338D7" w:rsidRPr="0039339A" w:rsidRDefault="005338D7" w:rsidP="00BF6F1F">
            <w:pPr>
              <w:pStyle w:val="ListParagraph"/>
              <w:bidi w:val="0"/>
              <w:spacing w:after="0"/>
              <w:ind w:left="0"/>
              <w:jc w:val="center"/>
              <w:rPr>
                <w:rFonts w:ascii="Times New Roman" w:hAnsi="Times New Roman" w:cs="Times New Roman"/>
                <w:b w:val="0"/>
                <w:bCs w:val="0"/>
                <w:color w:val="202124"/>
                <w:sz w:val="22"/>
                <w:szCs w:val="22"/>
                <w:lang w:val="en"/>
              </w:rPr>
            </w:pPr>
            <w:r w:rsidRPr="0039339A">
              <w:rPr>
                <w:rFonts w:ascii="Times New Roman" w:hAnsi="Times New Roman" w:cs="Times New Roman"/>
                <w:b w:val="0"/>
                <w:bCs w:val="0"/>
                <w:color w:val="202124"/>
                <w:sz w:val="22"/>
                <w:szCs w:val="22"/>
                <w:lang w:val="en"/>
              </w:rPr>
              <w:t>100%</w:t>
            </w:r>
          </w:p>
        </w:tc>
      </w:tr>
      <w:tr w:rsidR="005338D7" w:rsidRPr="0039339A" w:rsidTr="00BF6F1F">
        <w:tc>
          <w:tcPr>
            <w:tcW w:w="1737" w:type="dxa"/>
          </w:tcPr>
          <w:p w:rsidR="005338D7" w:rsidRPr="0039339A" w:rsidRDefault="005338D7" w:rsidP="00BF6F1F">
            <w:pPr>
              <w:bidi w:val="0"/>
              <w:spacing w:after="0"/>
              <w:jc w:val="center"/>
              <w:rPr>
                <w:rFonts w:ascii="Times New Roman" w:hAnsi="Times New Roman" w:cs="Times New Roman"/>
                <w:sz w:val="22"/>
                <w:szCs w:val="22"/>
              </w:rPr>
            </w:pPr>
            <w:r w:rsidRPr="0039339A">
              <w:rPr>
                <w:rFonts w:ascii="Times New Roman" w:eastAsiaTheme="minorHAnsi" w:hAnsi="Times New Roman" w:cs="Times New Roman"/>
                <w:b w:val="0"/>
                <w:bCs w:val="0"/>
                <w:sz w:val="22"/>
                <w:szCs w:val="22"/>
              </w:rPr>
              <w:t>Zone 2</w:t>
            </w:r>
          </w:p>
        </w:tc>
        <w:tc>
          <w:tcPr>
            <w:tcW w:w="1746" w:type="dxa"/>
          </w:tcPr>
          <w:p w:rsidR="005338D7" w:rsidRPr="0039339A" w:rsidRDefault="005338D7" w:rsidP="00BF6F1F">
            <w:pPr>
              <w:pStyle w:val="ListParagraph"/>
              <w:bidi w:val="0"/>
              <w:spacing w:after="0"/>
              <w:ind w:left="0"/>
              <w:jc w:val="center"/>
              <w:rPr>
                <w:rFonts w:ascii="Times New Roman" w:hAnsi="Times New Roman" w:cs="Times New Roman"/>
                <w:b w:val="0"/>
                <w:bCs w:val="0"/>
                <w:color w:val="202124"/>
                <w:sz w:val="22"/>
                <w:szCs w:val="22"/>
                <w:lang w:val="en"/>
              </w:rPr>
            </w:pPr>
            <w:r w:rsidRPr="0039339A">
              <w:rPr>
                <w:rFonts w:ascii="Times New Roman" w:hAnsi="Times New Roman" w:cs="Times New Roman"/>
                <w:b w:val="0"/>
                <w:bCs w:val="0"/>
                <w:color w:val="202124"/>
                <w:sz w:val="22"/>
                <w:szCs w:val="22"/>
                <w:lang w:val="en"/>
              </w:rPr>
              <w:t>30%</w:t>
            </w:r>
          </w:p>
        </w:tc>
        <w:tc>
          <w:tcPr>
            <w:tcW w:w="1827" w:type="dxa"/>
            <w:vMerge/>
          </w:tcPr>
          <w:p w:rsidR="005338D7" w:rsidRPr="0039339A" w:rsidRDefault="005338D7" w:rsidP="00BF6F1F">
            <w:pPr>
              <w:pStyle w:val="ListParagraph"/>
              <w:bidi w:val="0"/>
              <w:spacing w:after="0"/>
              <w:ind w:left="0"/>
              <w:rPr>
                <w:rFonts w:ascii="Times New Roman" w:hAnsi="Times New Roman" w:cs="Times New Roman"/>
                <w:b w:val="0"/>
                <w:bCs w:val="0"/>
                <w:color w:val="202124"/>
                <w:sz w:val="22"/>
                <w:szCs w:val="22"/>
                <w:lang w:val="en"/>
              </w:rPr>
            </w:pPr>
          </w:p>
        </w:tc>
        <w:tc>
          <w:tcPr>
            <w:tcW w:w="1810" w:type="dxa"/>
            <w:vMerge/>
          </w:tcPr>
          <w:p w:rsidR="005338D7" w:rsidRPr="0039339A" w:rsidRDefault="005338D7" w:rsidP="00BF6F1F">
            <w:pPr>
              <w:pStyle w:val="ListParagraph"/>
              <w:bidi w:val="0"/>
              <w:spacing w:after="0"/>
              <w:ind w:left="0"/>
              <w:rPr>
                <w:rFonts w:ascii="Times New Roman" w:hAnsi="Times New Roman" w:cs="Times New Roman"/>
                <w:b w:val="0"/>
                <w:bCs w:val="0"/>
                <w:color w:val="202124"/>
                <w:sz w:val="22"/>
                <w:szCs w:val="22"/>
                <w:lang w:val="en"/>
              </w:rPr>
            </w:pPr>
          </w:p>
        </w:tc>
      </w:tr>
      <w:tr w:rsidR="005338D7" w:rsidRPr="0039339A" w:rsidTr="00BF6F1F">
        <w:trPr>
          <w:trHeight w:val="328"/>
        </w:trPr>
        <w:tc>
          <w:tcPr>
            <w:tcW w:w="1737" w:type="dxa"/>
          </w:tcPr>
          <w:p w:rsidR="005338D7" w:rsidRPr="0039339A" w:rsidRDefault="005338D7" w:rsidP="00BF6F1F">
            <w:pPr>
              <w:bidi w:val="0"/>
              <w:spacing w:after="0"/>
              <w:jc w:val="center"/>
              <w:rPr>
                <w:rFonts w:ascii="Times New Roman" w:hAnsi="Times New Roman" w:cs="Times New Roman"/>
                <w:sz w:val="22"/>
                <w:szCs w:val="22"/>
              </w:rPr>
            </w:pPr>
            <w:r w:rsidRPr="0039339A">
              <w:rPr>
                <w:rFonts w:ascii="Times New Roman" w:eastAsiaTheme="minorHAnsi" w:hAnsi="Times New Roman" w:cs="Times New Roman"/>
                <w:b w:val="0"/>
                <w:bCs w:val="0"/>
                <w:sz w:val="22"/>
                <w:szCs w:val="22"/>
              </w:rPr>
              <w:t>Zone 3</w:t>
            </w:r>
          </w:p>
        </w:tc>
        <w:tc>
          <w:tcPr>
            <w:tcW w:w="1746" w:type="dxa"/>
          </w:tcPr>
          <w:p w:rsidR="005338D7" w:rsidRPr="0039339A" w:rsidRDefault="005338D7" w:rsidP="00BF6F1F">
            <w:pPr>
              <w:pStyle w:val="ListParagraph"/>
              <w:bidi w:val="0"/>
              <w:spacing w:after="0"/>
              <w:ind w:left="0"/>
              <w:jc w:val="center"/>
              <w:rPr>
                <w:rFonts w:ascii="Times New Roman" w:hAnsi="Times New Roman" w:cs="Times New Roman"/>
                <w:b w:val="0"/>
                <w:bCs w:val="0"/>
                <w:color w:val="202124"/>
                <w:sz w:val="22"/>
                <w:szCs w:val="22"/>
                <w:lang w:val="en"/>
              </w:rPr>
            </w:pPr>
            <w:r w:rsidRPr="0039339A">
              <w:rPr>
                <w:rFonts w:ascii="Times New Roman" w:hAnsi="Times New Roman" w:cs="Times New Roman"/>
                <w:b w:val="0"/>
                <w:bCs w:val="0"/>
                <w:color w:val="202124"/>
                <w:sz w:val="22"/>
                <w:szCs w:val="22"/>
                <w:lang w:val="en"/>
              </w:rPr>
              <w:t>30%</w:t>
            </w:r>
          </w:p>
        </w:tc>
        <w:tc>
          <w:tcPr>
            <w:tcW w:w="1827" w:type="dxa"/>
            <w:vMerge/>
          </w:tcPr>
          <w:p w:rsidR="005338D7" w:rsidRPr="0039339A" w:rsidRDefault="005338D7" w:rsidP="00BF6F1F">
            <w:pPr>
              <w:pStyle w:val="ListParagraph"/>
              <w:bidi w:val="0"/>
              <w:spacing w:after="0"/>
              <w:ind w:left="0"/>
              <w:rPr>
                <w:rFonts w:ascii="Times New Roman" w:hAnsi="Times New Roman" w:cs="Times New Roman"/>
                <w:b w:val="0"/>
                <w:bCs w:val="0"/>
                <w:color w:val="202124"/>
                <w:sz w:val="22"/>
                <w:szCs w:val="22"/>
                <w:lang w:val="en"/>
              </w:rPr>
            </w:pPr>
          </w:p>
        </w:tc>
        <w:tc>
          <w:tcPr>
            <w:tcW w:w="1810" w:type="dxa"/>
            <w:vMerge/>
          </w:tcPr>
          <w:p w:rsidR="005338D7" w:rsidRPr="0039339A" w:rsidRDefault="005338D7" w:rsidP="00BF6F1F">
            <w:pPr>
              <w:pStyle w:val="ListParagraph"/>
              <w:bidi w:val="0"/>
              <w:spacing w:after="0"/>
              <w:ind w:left="0"/>
              <w:rPr>
                <w:rFonts w:ascii="Times New Roman" w:hAnsi="Times New Roman" w:cs="Times New Roman"/>
                <w:b w:val="0"/>
                <w:bCs w:val="0"/>
                <w:color w:val="202124"/>
                <w:sz w:val="22"/>
                <w:szCs w:val="22"/>
                <w:lang w:val="en"/>
              </w:rPr>
            </w:pPr>
          </w:p>
        </w:tc>
      </w:tr>
    </w:tbl>
    <w:p w:rsidR="005338D7" w:rsidRPr="0039339A" w:rsidRDefault="005338D7" w:rsidP="005338D7">
      <w:pPr>
        <w:pStyle w:val="ListParagraph"/>
        <w:numPr>
          <w:ilvl w:val="2"/>
          <w:numId w:val="23"/>
        </w:numPr>
        <w:bidi w:val="0"/>
        <w:spacing w:after="0" w:line="276" w:lineRule="auto"/>
        <w:ind w:left="2127" w:hanging="851"/>
        <w:rPr>
          <w:rFonts w:ascii="Times New Roman" w:hAnsi="Times New Roman" w:cs="Times New Roman"/>
          <w:b w:val="0"/>
          <w:bCs w:val="0"/>
          <w:sz w:val="24"/>
          <w:szCs w:val="24"/>
          <w:lang w:bidi="ar-JO"/>
        </w:rPr>
      </w:pPr>
      <w:r w:rsidRPr="0039339A">
        <w:rPr>
          <w:rFonts w:ascii="Times New Roman" w:hAnsi="Times New Roman" w:cs="Times New Roman"/>
          <w:b w:val="0"/>
          <w:bCs w:val="0"/>
          <w:color w:val="202124"/>
          <w:sz w:val="24"/>
          <w:szCs w:val="24"/>
          <w:lang w:val="en"/>
        </w:rPr>
        <w:t xml:space="preserve">The capital required for general interest rate risk is the sum of capital from the above </w:t>
      </w:r>
      <w:r w:rsidRPr="0039339A">
        <w:rPr>
          <w:rFonts w:ascii="Times New Roman" w:hAnsi="Times New Roman" w:cs="Times New Roman"/>
          <w:b w:val="0"/>
          <w:bCs w:val="0"/>
          <w:color w:val="202124"/>
          <w:sz w:val="24"/>
          <w:szCs w:val="24"/>
        </w:rPr>
        <w:t>table</w:t>
      </w:r>
      <w:r w:rsidR="0039339A" w:rsidRPr="0039339A">
        <w:rPr>
          <w:rFonts w:ascii="Times New Roman" w:hAnsi="Times New Roman" w:cs="Times New Roman"/>
          <w:b w:val="0"/>
          <w:bCs w:val="0"/>
          <w:color w:val="202124"/>
          <w:sz w:val="24"/>
          <w:szCs w:val="24"/>
        </w:rPr>
        <w:t xml:space="preserve"> (within the zone</w:t>
      </w:r>
      <w:r w:rsidR="00766C1E">
        <w:rPr>
          <w:rFonts w:ascii="Times New Roman" w:hAnsi="Times New Roman" w:cs="Times New Roman"/>
          <w:b w:val="0"/>
          <w:bCs w:val="0"/>
          <w:color w:val="202124"/>
          <w:sz w:val="24"/>
          <w:szCs w:val="24"/>
        </w:rPr>
        <w:t xml:space="preserve">s </w:t>
      </w:r>
      <w:r w:rsidR="0039339A" w:rsidRPr="0039339A">
        <w:rPr>
          <w:rFonts w:ascii="Times New Roman" w:hAnsi="Times New Roman" w:cs="Times New Roman"/>
          <w:b w:val="0"/>
          <w:bCs w:val="0"/>
          <w:color w:val="202124"/>
          <w:sz w:val="24"/>
          <w:szCs w:val="24"/>
        </w:rPr>
        <w:t>+ between adjacent zones + between zones 1 and 3).</w:t>
      </w:r>
    </w:p>
    <w:p w:rsidR="005338D7" w:rsidRPr="00C0031B" w:rsidRDefault="005338D7" w:rsidP="005338D7">
      <w:pPr>
        <w:pStyle w:val="ListParagraph"/>
        <w:numPr>
          <w:ilvl w:val="2"/>
          <w:numId w:val="23"/>
        </w:numPr>
        <w:bidi w:val="0"/>
        <w:spacing w:after="0" w:line="276" w:lineRule="auto"/>
        <w:ind w:left="2127" w:hanging="851"/>
        <w:rPr>
          <w:rFonts w:ascii="Times New Roman" w:hAnsi="Times New Roman" w:cs="Times New Roman"/>
          <w:b w:val="0"/>
          <w:bCs w:val="0"/>
          <w:sz w:val="24"/>
          <w:szCs w:val="24"/>
          <w:lang w:bidi="ar-JO"/>
        </w:rPr>
      </w:pPr>
      <w:r w:rsidRPr="00C0031B">
        <w:rPr>
          <w:rFonts w:ascii="Times New Roman" w:hAnsi="Times New Roman" w:cs="Times New Roman"/>
          <w:b w:val="0"/>
          <w:bCs w:val="0"/>
          <w:color w:val="202124"/>
          <w:sz w:val="24"/>
          <w:szCs w:val="24"/>
          <w:lang w:val="en"/>
        </w:rPr>
        <w:lastRenderedPageBreak/>
        <w:t>The market risk for these instruments is calculated by multiplying the required capital by (12.5).</w:t>
      </w:r>
    </w:p>
    <w:p w:rsidR="0053458F" w:rsidRPr="00C0031B" w:rsidRDefault="0053458F" w:rsidP="0053458F">
      <w:pPr>
        <w:pStyle w:val="ListParagraph"/>
        <w:bidi w:val="0"/>
        <w:spacing w:after="0" w:line="276" w:lineRule="auto"/>
        <w:ind w:left="2127"/>
        <w:rPr>
          <w:rFonts w:ascii="Times New Roman" w:hAnsi="Times New Roman" w:cs="Times New Roman"/>
          <w:b w:val="0"/>
          <w:bCs w:val="0"/>
          <w:sz w:val="24"/>
          <w:szCs w:val="24"/>
          <w:lang w:bidi="ar-JO"/>
        </w:rPr>
      </w:pPr>
    </w:p>
    <w:p w:rsidR="00F01F4B" w:rsidRPr="00C0031B" w:rsidRDefault="005338D7" w:rsidP="005338D7">
      <w:pPr>
        <w:pStyle w:val="ListParagraph"/>
        <w:numPr>
          <w:ilvl w:val="0"/>
          <w:numId w:val="23"/>
        </w:numPr>
        <w:bidi w:val="0"/>
        <w:spacing w:before="240" w:after="240" w:line="276" w:lineRule="auto"/>
        <w:ind w:hanging="578"/>
        <w:rPr>
          <w:rFonts w:ascii="Times New Roman" w:hAnsi="Times New Roman" w:cs="Times New Roman"/>
          <w:sz w:val="24"/>
          <w:szCs w:val="24"/>
          <w:lang w:bidi="ar-JO"/>
        </w:rPr>
      </w:pPr>
      <w:r w:rsidRPr="00C0031B">
        <w:rPr>
          <w:rFonts w:ascii="Times New Roman" w:eastAsiaTheme="minorHAnsi" w:hAnsi="Times New Roman" w:cs="Times New Roman"/>
          <w:sz w:val="24"/>
          <w:szCs w:val="24"/>
        </w:rPr>
        <w:t>Equity Position Risk:</w:t>
      </w:r>
    </w:p>
    <w:p w:rsidR="00B378AB" w:rsidRPr="00C0031B" w:rsidRDefault="005338D7" w:rsidP="005338D7">
      <w:pPr>
        <w:pStyle w:val="ListParagraph"/>
        <w:numPr>
          <w:ilvl w:val="1"/>
          <w:numId w:val="23"/>
        </w:numPr>
        <w:bidi w:val="0"/>
        <w:spacing w:before="240" w:after="240" w:line="276" w:lineRule="auto"/>
        <w:ind w:left="1276" w:hanging="556"/>
        <w:rPr>
          <w:rFonts w:ascii="Times New Roman" w:hAnsi="Times New Roman" w:cs="Times New Roman"/>
          <w:b w:val="0"/>
          <w:bCs w:val="0"/>
          <w:sz w:val="24"/>
          <w:szCs w:val="24"/>
          <w:lang w:val="en"/>
        </w:rPr>
      </w:pPr>
      <w:r w:rsidRPr="00C0031B">
        <w:rPr>
          <w:rFonts w:ascii="Times New Roman" w:eastAsiaTheme="minorHAnsi" w:hAnsi="Times New Roman" w:cs="Times New Roman"/>
          <w:b w:val="0"/>
          <w:bCs w:val="0"/>
          <w:sz w:val="24"/>
          <w:szCs w:val="24"/>
        </w:rPr>
        <w:t>T</w:t>
      </w:r>
      <w:r w:rsidR="00B378AB" w:rsidRPr="00C0031B">
        <w:rPr>
          <w:rFonts w:ascii="Times New Roman" w:eastAsiaTheme="minorHAnsi" w:hAnsi="Times New Roman" w:cs="Times New Roman"/>
          <w:b w:val="0"/>
          <w:bCs w:val="0"/>
          <w:sz w:val="24"/>
          <w:szCs w:val="24"/>
        </w:rPr>
        <w:t xml:space="preserve">he risk of holding or taking positions in equities in the trading book. It applies to long and short positions. </w:t>
      </w:r>
      <w:r w:rsidR="00B378AB" w:rsidRPr="00C0031B">
        <w:rPr>
          <w:rFonts w:ascii="Times New Roman" w:hAnsi="Times New Roman" w:cs="Times New Roman"/>
          <w:b w:val="0"/>
          <w:bCs w:val="0"/>
          <w:sz w:val="24"/>
          <w:szCs w:val="24"/>
          <w:lang w:val="en"/>
        </w:rPr>
        <w:t>This includes:</w:t>
      </w:r>
    </w:p>
    <w:p w:rsidR="00B378AB" w:rsidRPr="00C0031B" w:rsidRDefault="005338D7" w:rsidP="005338D7">
      <w:pPr>
        <w:pStyle w:val="ListParagraph"/>
        <w:numPr>
          <w:ilvl w:val="2"/>
          <w:numId w:val="23"/>
        </w:numPr>
        <w:bidi w:val="0"/>
        <w:spacing w:before="240" w:after="240" w:line="276" w:lineRule="auto"/>
        <w:ind w:left="2127" w:hanging="851"/>
        <w:rPr>
          <w:rFonts w:ascii="Times New Roman" w:hAnsi="Times New Roman" w:cs="Times New Roman"/>
          <w:b w:val="0"/>
          <w:bCs w:val="0"/>
          <w:sz w:val="24"/>
          <w:szCs w:val="24"/>
          <w:lang w:val="en"/>
        </w:rPr>
      </w:pPr>
      <w:r w:rsidRPr="00C0031B">
        <w:rPr>
          <w:rFonts w:ascii="Times New Roman" w:eastAsiaTheme="minorHAnsi" w:hAnsi="Times New Roman" w:cs="Times New Roman"/>
          <w:b w:val="0"/>
          <w:bCs w:val="0"/>
          <w:sz w:val="24"/>
          <w:szCs w:val="24"/>
        </w:rPr>
        <w:t>C</w:t>
      </w:r>
      <w:r w:rsidR="00B378AB" w:rsidRPr="00C0031B">
        <w:rPr>
          <w:rFonts w:ascii="Times New Roman" w:eastAsiaTheme="minorHAnsi" w:hAnsi="Times New Roman" w:cs="Times New Roman"/>
          <w:b w:val="0"/>
          <w:bCs w:val="0"/>
          <w:sz w:val="24"/>
          <w:szCs w:val="24"/>
        </w:rPr>
        <w:t>ommon stocks</w:t>
      </w:r>
      <w:r w:rsidR="00B378AB" w:rsidRPr="00C0031B">
        <w:rPr>
          <w:rFonts w:ascii="Times New Roman" w:hAnsi="Times New Roman" w:cs="Times New Roman"/>
          <w:b w:val="0"/>
          <w:bCs w:val="0"/>
          <w:sz w:val="24"/>
          <w:szCs w:val="24"/>
          <w:lang w:val="en"/>
        </w:rPr>
        <w:t>.</w:t>
      </w:r>
    </w:p>
    <w:p w:rsidR="00B378AB" w:rsidRPr="00C0031B" w:rsidRDefault="005338D7" w:rsidP="005338D7">
      <w:pPr>
        <w:pStyle w:val="ListParagraph"/>
        <w:numPr>
          <w:ilvl w:val="2"/>
          <w:numId w:val="23"/>
        </w:numPr>
        <w:bidi w:val="0"/>
        <w:spacing w:before="240" w:after="240" w:line="276" w:lineRule="auto"/>
        <w:ind w:left="2127" w:hanging="851"/>
        <w:rPr>
          <w:rFonts w:ascii="Times New Roman" w:hAnsi="Times New Roman" w:cs="Times New Roman"/>
          <w:b w:val="0"/>
          <w:bCs w:val="0"/>
          <w:sz w:val="24"/>
          <w:szCs w:val="24"/>
          <w:lang w:val="en"/>
        </w:rPr>
      </w:pPr>
      <w:r w:rsidRPr="00C0031B">
        <w:rPr>
          <w:rFonts w:ascii="Times New Roman" w:eastAsiaTheme="minorHAnsi" w:hAnsi="Times New Roman" w:cs="Times New Roman"/>
          <w:b w:val="0"/>
          <w:bCs w:val="0"/>
          <w:sz w:val="24"/>
          <w:szCs w:val="24"/>
        </w:rPr>
        <w:t>C</w:t>
      </w:r>
      <w:r w:rsidR="00B378AB" w:rsidRPr="00C0031B">
        <w:rPr>
          <w:rFonts w:ascii="Times New Roman" w:eastAsiaTheme="minorHAnsi" w:hAnsi="Times New Roman" w:cs="Times New Roman"/>
          <w:b w:val="0"/>
          <w:bCs w:val="0"/>
          <w:sz w:val="24"/>
          <w:szCs w:val="24"/>
        </w:rPr>
        <w:t>onvertible securities that behave like equities</w:t>
      </w:r>
      <w:r w:rsidR="00B378AB" w:rsidRPr="00C0031B">
        <w:rPr>
          <w:rFonts w:ascii="Times New Roman" w:hAnsi="Times New Roman" w:cs="Times New Roman"/>
          <w:b w:val="0"/>
          <w:bCs w:val="0"/>
          <w:sz w:val="24"/>
          <w:szCs w:val="24"/>
          <w:lang w:val="en"/>
        </w:rPr>
        <w:t>.</w:t>
      </w:r>
    </w:p>
    <w:p w:rsidR="00B378AB" w:rsidRPr="00C0031B" w:rsidRDefault="005338D7" w:rsidP="005338D7">
      <w:pPr>
        <w:pStyle w:val="ListParagraph"/>
        <w:numPr>
          <w:ilvl w:val="2"/>
          <w:numId w:val="23"/>
        </w:numPr>
        <w:bidi w:val="0"/>
        <w:spacing w:before="240" w:after="240" w:line="276" w:lineRule="auto"/>
        <w:ind w:left="2127" w:hanging="851"/>
        <w:rPr>
          <w:rFonts w:ascii="Times New Roman" w:hAnsi="Times New Roman" w:cs="Times New Roman"/>
          <w:b w:val="0"/>
          <w:bCs w:val="0"/>
          <w:sz w:val="24"/>
          <w:szCs w:val="24"/>
          <w:lang w:val="en"/>
        </w:rPr>
      </w:pPr>
      <w:r w:rsidRPr="00C0031B">
        <w:rPr>
          <w:rFonts w:ascii="Times New Roman" w:eastAsiaTheme="minorHAnsi" w:hAnsi="Times New Roman" w:cs="Times New Roman"/>
          <w:b w:val="0"/>
          <w:bCs w:val="0"/>
          <w:sz w:val="24"/>
          <w:szCs w:val="24"/>
        </w:rPr>
        <w:t>C</w:t>
      </w:r>
      <w:r w:rsidR="00B378AB" w:rsidRPr="00C0031B">
        <w:rPr>
          <w:rFonts w:ascii="Times New Roman" w:eastAsiaTheme="minorHAnsi" w:hAnsi="Times New Roman" w:cs="Times New Roman"/>
          <w:b w:val="0"/>
          <w:bCs w:val="0"/>
          <w:sz w:val="24"/>
          <w:szCs w:val="24"/>
        </w:rPr>
        <w:t>ommitments to buy or sell equity securities.</w:t>
      </w:r>
    </w:p>
    <w:p w:rsidR="00B378AB" w:rsidRPr="00C0031B" w:rsidRDefault="00B378AB" w:rsidP="005338D7">
      <w:pPr>
        <w:pStyle w:val="ListParagraph"/>
        <w:numPr>
          <w:ilvl w:val="2"/>
          <w:numId w:val="23"/>
        </w:numPr>
        <w:bidi w:val="0"/>
        <w:spacing w:before="240" w:after="240" w:line="276" w:lineRule="auto"/>
        <w:ind w:left="2127" w:hanging="851"/>
        <w:rPr>
          <w:rFonts w:ascii="Times New Roman" w:hAnsi="Times New Roman" w:cs="Times New Roman"/>
          <w:b w:val="0"/>
          <w:bCs w:val="0"/>
          <w:sz w:val="24"/>
          <w:szCs w:val="24"/>
          <w:lang w:val="en"/>
        </w:rPr>
      </w:pPr>
      <w:r w:rsidRPr="00C0031B">
        <w:rPr>
          <w:rFonts w:ascii="Times New Roman" w:hAnsi="Times New Roman" w:cs="Times New Roman"/>
          <w:b w:val="0"/>
          <w:bCs w:val="0"/>
          <w:sz w:val="24"/>
          <w:szCs w:val="24"/>
          <w:lang w:val="en"/>
        </w:rPr>
        <w:t>Global stock indices.</w:t>
      </w:r>
    </w:p>
    <w:p w:rsidR="00B378AB" w:rsidRPr="00C0031B" w:rsidRDefault="00B378AB" w:rsidP="005338D7">
      <w:pPr>
        <w:pStyle w:val="ListParagraph"/>
        <w:numPr>
          <w:ilvl w:val="2"/>
          <w:numId w:val="23"/>
        </w:numPr>
        <w:bidi w:val="0"/>
        <w:spacing w:before="240" w:after="240" w:line="276" w:lineRule="auto"/>
        <w:ind w:left="2127" w:hanging="851"/>
        <w:rPr>
          <w:rFonts w:ascii="Times New Roman" w:hAnsi="Times New Roman" w:cs="Times New Roman"/>
          <w:b w:val="0"/>
          <w:bCs w:val="0"/>
          <w:sz w:val="24"/>
          <w:szCs w:val="24"/>
          <w:lang w:val="en"/>
        </w:rPr>
      </w:pPr>
      <w:r w:rsidRPr="00C0031B">
        <w:rPr>
          <w:rFonts w:ascii="Times New Roman" w:hAnsi="Times New Roman" w:cs="Times New Roman"/>
          <w:b w:val="0"/>
          <w:bCs w:val="0"/>
          <w:sz w:val="24"/>
          <w:szCs w:val="24"/>
        </w:rPr>
        <w:t>Preferred Stocks</w:t>
      </w:r>
      <w:r w:rsidRPr="00C0031B">
        <w:rPr>
          <w:rFonts w:ascii="Times New Roman" w:eastAsiaTheme="minorHAnsi" w:hAnsi="Times New Roman" w:cs="Times New Roman"/>
          <w:b w:val="0"/>
          <w:bCs w:val="0"/>
          <w:sz w:val="24"/>
          <w:szCs w:val="24"/>
        </w:rPr>
        <w:t xml:space="preserve"> that are convertible into common shares.</w:t>
      </w:r>
    </w:p>
    <w:p w:rsidR="00B378AB" w:rsidRPr="00C0031B" w:rsidRDefault="00B378AB" w:rsidP="005338D7">
      <w:pPr>
        <w:pStyle w:val="ListParagraph"/>
        <w:numPr>
          <w:ilvl w:val="2"/>
          <w:numId w:val="23"/>
        </w:numPr>
        <w:bidi w:val="0"/>
        <w:spacing w:before="240" w:after="240" w:line="276" w:lineRule="auto"/>
        <w:ind w:left="2127" w:hanging="851"/>
        <w:rPr>
          <w:rFonts w:ascii="Times New Roman" w:hAnsi="Times New Roman" w:cs="Times New Roman"/>
          <w:b w:val="0"/>
          <w:bCs w:val="0"/>
          <w:sz w:val="24"/>
          <w:szCs w:val="24"/>
          <w:lang w:val="en"/>
        </w:rPr>
      </w:pPr>
      <w:r w:rsidRPr="00C0031B">
        <w:rPr>
          <w:rFonts w:ascii="Times New Roman" w:hAnsi="Times New Roman" w:cs="Times New Roman"/>
          <w:b w:val="0"/>
          <w:bCs w:val="0"/>
          <w:sz w:val="24"/>
          <w:szCs w:val="24"/>
          <w:lang w:val="en"/>
        </w:rPr>
        <w:t>Derivatives based on the above instruments.</w:t>
      </w:r>
    </w:p>
    <w:p w:rsidR="00B378AB" w:rsidRPr="00C0031B" w:rsidRDefault="007C46BA" w:rsidP="005338D7">
      <w:pPr>
        <w:pStyle w:val="ListParagraph"/>
        <w:numPr>
          <w:ilvl w:val="2"/>
          <w:numId w:val="23"/>
        </w:numPr>
        <w:bidi w:val="0"/>
        <w:spacing w:before="240" w:after="240" w:line="276" w:lineRule="auto"/>
        <w:ind w:left="2127" w:hanging="851"/>
        <w:rPr>
          <w:rFonts w:ascii="Times New Roman" w:hAnsi="Times New Roman" w:cs="Times New Roman"/>
          <w:b w:val="0"/>
          <w:bCs w:val="0"/>
          <w:sz w:val="24"/>
          <w:szCs w:val="24"/>
          <w:lang w:val="en"/>
        </w:rPr>
      </w:pPr>
      <w:r w:rsidRPr="00C0031B">
        <w:rPr>
          <w:rFonts w:ascii="Times New Roman" w:hAnsi="Times New Roman" w:cs="Times New Roman"/>
          <w:b w:val="0"/>
          <w:bCs w:val="0"/>
          <w:sz w:val="24"/>
          <w:szCs w:val="24"/>
          <w:lang w:val="en"/>
        </w:rPr>
        <w:t>Contributions to investment funds that contain such aforementioned instruments, for the purposes of these instructions, investment funds that are fully formed or (at least 20%) of them from the above-mentioned instruments shall be treated as equity instruments.</w:t>
      </w:r>
    </w:p>
    <w:p w:rsidR="00B378AB" w:rsidRPr="0039339A" w:rsidRDefault="00133574" w:rsidP="0053458F">
      <w:pPr>
        <w:pStyle w:val="ListParagraph"/>
        <w:numPr>
          <w:ilvl w:val="1"/>
          <w:numId w:val="23"/>
        </w:numPr>
        <w:bidi w:val="0"/>
        <w:spacing w:before="240" w:after="240" w:line="276" w:lineRule="auto"/>
        <w:ind w:left="1276" w:hanging="556"/>
        <w:rPr>
          <w:rFonts w:ascii="Times New Roman" w:hAnsi="Times New Roman" w:cs="Times New Roman"/>
          <w:b w:val="0"/>
          <w:bCs w:val="0"/>
          <w:sz w:val="24"/>
          <w:szCs w:val="24"/>
          <w:lang w:bidi="ar-JO"/>
        </w:rPr>
      </w:pPr>
      <w:r w:rsidRPr="0039339A">
        <w:rPr>
          <w:rFonts w:ascii="Times New Roman" w:eastAsiaTheme="minorHAnsi" w:hAnsi="Times New Roman" w:cs="Times New Roman"/>
          <w:b w:val="0"/>
          <w:bCs w:val="0"/>
          <w:sz w:val="24"/>
          <w:szCs w:val="24"/>
        </w:rPr>
        <w:t>Specific and general market risks are</w:t>
      </w:r>
      <w:r w:rsidRPr="0039339A">
        <w:rPr>
          <w:rFonts w:ascii="Times New Roman" w:hAnsi="Times New Roman" w:cs="Times New Roman"/>
          <w:b w:val="0"/>
          <w:bCs w:val="0"/>
          <w:sz w:val="24"/>
          <w:szCs w:val="24"/>
          <w:lang w:val="en"/>
        </w:rPr>
        <w:t xml:space="preserve"> calculated as shown in </w:t>
      </w:r>
      <w:r w:rsidR="0053458F" w:rsidRPr="0039339A">
        <w:rPr>
          <w:rFonts w:ascii="Times New Roman" w:hAnsi="Times New Roman" w:cs="Times New Roman"/>
          <w:b w:val="0"/>
          <w:bCs w:val="0"/>
          <w:sz w:val="24"/>
          <w:szCs w:val="24"/>
          <w:lang w:val="en"/>
        </w:rPr>
        <w:t>annex n</w:t>
      </w:r>
      <w:r w:rsidRPr="0039339A">
        <w:rPr>
          <w:rFonts w:ascii="Times New Roman" w:hAnsi="Times New Roman" w:cs="Times New Roman"/>
          <w:b w:val="0"/>
          <w:bCs w:val="0"/>
          <w:sz w:val="24"/>
          <w:szCs w:val="24"/>
          <w:lang w:val="en"/>
        </w:rPr>
        <w:t>o. (18)</w:t>
      </w:r>
      <w:r w:rsidR="0039339A" w:rsidRPr="0039339A">
        <w:rPr>
          <w:rFonts w:ascii="Times New Roman" w:hAnsi="Times New Roman" w:cs="Times New Roman"/>
          <w:b w:val="0"/>
          <w:bCs w:val="0"/>
          <w:sz w:val="24"/>
          <w:szCs w:val="24"/>
          <w:lang w:val="en"/>
        </w:rPr>
        <w:t>, and</w:t>
      </w:r>
      <w:r w:rsidRPr="0039339A">
        <w:rPr>
          <w:rFonts w:ascii="Times New Roman" w:hAnsi="Times New Roman" w:cs="Times New Roman"/>
          <w:b w:val="0"/>
          <w:bCs w:val="0"/>
          <w:sz w:val="24"/>
          <w:szCs w:val="24"/>
          <w:lang w:val="en"/>
        </w:rPr>
        <w:t xml:space="preserve"> as follows:</w:t>
      </w:r>
    </w:p>
    <w:p w:rsidR="00133574" w:rsidRPr="0039339A" w:rsidRDefault="00133574" w:rsidP="0039339A">
      <w:pPr>
        <w:pStyle w:val="ListParagraph"/>
        <w:numPr>
          <w:ilvl w:val="2"/>
          <w:numId w:val="23"/>
        </w:numPr>
        <w:bidi w:val="0"/>
        <w:spacing w:before="240" w:after="240" w:line="276" w:lineRule="auto"/>
        <w:ind w:left="2127" w:hanging="851"/>
        <w:rPr>
          <w:rFonts w:ascii="Times New Roman" w:hAnsi="Times New Roman" w:cs="Times New Roman"/>
          <w:b w:val="0"/>
          <w:bCs w:val="0"/>
          <w:sz w:val="24"/>
          <w:szCs w:val="24"/>
          <w:lang w:val="en"/>
        </w:rPr>
      </w:pPr>
      <w:r w:rsidRPr="0039339A">
        <w:rPr>
          <w:rFonts w:ascii="Times New Roman" w:hAnsi="Times New Roman" w:cs="Times New Roman"/>
          <w:b w:val="0"/>
          <w:bCs w:val="0"/>
          <w:sz w:val="24"/>
          <w:szCs w:val="24"/>
          <w:lang w:val="en"/>
        </w:rPr>
        <w:t xml:space="preserve">Determine the </w:t>
      </w:r>
      <w:r w:rsidRPr="0039339A">
        <w:rPr>
          <w:rFonts w:ascii="Times New Roman" w:eastAsiaTheme="minorHAnsi" w:hAnsi="Times New Roman" w:cs="Times New Roman"/>
          <w:b w:val="0"/>
          <w:bCs w:val="0"/>
          <w:sz w:val="24"/>
          <w:szCs w:val="24"/>
        </w:rPr>
        <w:t xml:space="preserve">longs and shorts positions in each time-band. </w:t>
      </w:r>
      <w:r w:rsidRPr="0039339A">
        <w:rPr>
          <w:rFonts w:ascii="Times New Roman" w:hAnsi="Times New Roman" w:cs="Times New Roman"/>
          <w:b w:val="0"/>
          <w:bCs w:val="0"/>
          <w:sz w:val="24"/>
          <w:szCs w:val="24"/>
          <w:lang w:val="en"/>
        </w:rPr>
        <w:t xml:space="preserve">In this regard, it is permissible to </w:t>
      </w:r>
      <w:r w:rsidR="0039339A" w:rsidRPr="0039339A">
        <w:rPr>
          <w:rFonts w:ascii="Times New Roman" w:hAnsi="Times New Roman" w:cs="Times New Roman"/>
          <w:b w:val="0"/>
          <w:bCs w:val="0"/>
          <w:sz w:val="24"/>
          <w:szCs w:val="24"/>
          <w:lang w:val="en"/>
        </w:rPr>
        <w:t>offset</w:t>
      </w:r>
      <w:r w:rsidR="00873508" w:rsidRPr="0039339A">
        <w:rPr>
          <w:rFonts w:ascii="Times New Roman" w:hAnsi="Times New Roman" w:cs="Times New Roman"/>
          <w:b w:val="0"/>
          <w:bCs w:val="0"/>
          <w:sz w:val="24"/>
          <w:szCs w:val="24"/>
          <w:lang w:val="en"/>
        </w:rPr>
        <w:t xml:space="preserve"> </w:t>
      </w:r>
      <w:r w:rsidRPr="0039339A">
        <w:rPr>
          <w:rFonts w:ascii="Times New Roman" w:hAnsi="Times New Roman" w:cs="Times New Roman"/>
          <w:b w:val="0"/>
          <w:bCs w:val="0"/>
          <w:sz w:val="24"/>
          <w:szCs w:val="24"/>
          <w:lang w:val="en"/>
        </w:rPr>
        <w:t>between these positions if they belong to the same issuance only and regardless of sign.</w:t>
      </w:r>
    </w:p>
    <w:p w:rsidR="00133574" w:rsidRPr="0039339A" w:rsidRDefault="00133574" w:rsidP="007A0099">
      <w:pPr>
        <w:pStyle w:val="ListParagraph"/>
        <w:numPr>
          <w:ilvl w:val="2"/>
          <w:numId w:val="23"/>
        </w:numPr>
        <w:bidi w:val="0"/>
        <w:spacing w:before="240" w:after="240" w:line="276" w:lineRule="auto"/>
        <w:ind w:left="2127" w:hanging="851"/>
        <w:rPr>
          <w:rFonts w:ascii="Times New Roman" w:hAnsi="Times New Roman" w:cs="Times New Roman"/>
          <w:b w:val="0"/>
          <w:bCs w:val="0"/>
          <w:sz w:val="24"/>
          <w:szCs w:val="24"/>
          <w:lang w:bidi="ar-JO"/>
        </w:rPr>
      </w:pPr>
      <w:r w:rsidRPr="0039339A">
        <w:rPr>
          <w:rFonts w:ascii="Times New Roman" w:hAnsi="Times New Roman" w:cs="Times New Roman"/>
          <w:b w:val="0"/>
          <w:bCs w:val="0"/>
          <w:sz w:val="24"/>
          <w:szCs w:val="24"/>
          <w:lang w:val="en"/>
        </w:rPr>
        <w:t>Determine the total position of the bank, which represents the sum of long and short positions.</w:t>
      </w:r>
    </w:p>
    <w:p w:rsidR="00BD0300" w:rsidRPr="0039339A" w:rsidRDefault="00873508" w:rsidP="00873508">
      <w:pPr>
        <w:pStyle w:val="ListParagraph"/>
        <w:numPr>
          <w:ilvl w:val="2"/>
          <w:numId w:val="23"/>
        </w:numPr>
        <w:bidi w:val="0"/>
        <w:spacing w:before="240" w:after="240" w:line="276" w:lineRule="auto"/>
        <w:ind w:left="2127" w:hanging="851"/>
        <w:rPr>
          <w:rFonts w:ascii="Times New Roman" w:hAnsi="Times New Roman" w:cs="Times New Roman"/>
          <w:b w:val="0"/>
          <w:bCs w:val="0"/>
          <w:sz w:val="24"/>
          <w:szCs w:val="24"/>
          <w:lang w:bidi="ar-JO"/>
        </w:rPr>
      </w:pPr>
      <w:r w:rsidRPr="0039339A">
        <w:rPr>
          <w:rFonts w:ascii="Times New Roman" w:hAnsi="Times New Roman" w:cs="Times New Roman"/>
          <w:b w:val="0"/>
          <w:bCs w:val="0"/>
          <w:sz w:val="24"/>
          <w:szCs w:val="24"/>
          <w:lang w:val="en"/>
        </w:rPr>
        <w:t>Determine the</w:t>
      </w:r>
      <w:r w:rsidR="00BD0300" w:rsidRPr="0039339A">
        <w:rPr>
          <w:rFonts w:ascii="Times New Roman" w:eastAsiaTheme="minorHAnsi" w:hAnsi="Times New Roman" w:cs="Times New Roman"/>
          <w:b w:val="0"/>
          <w:bCs w:val="0"/>
          <w:sz w:val="24"/>
          <w:szCs w:val="24"/>
        </w:rPr>
        <w:t xml:space="preserve"> capital charge for specific risk </w:t>
      </w:r>
      <w:r w:rsidRPr="0039339A">
        <w:rPr>
          <w:rFonts w:ascii="Times New Roman" w:eastAsiaTheme="minorHAnsi" w:hAnsi="Times New Roman" w:cs="Times New Roman"/>
          <w:b w:val="0"/>
          <w:bCs w:val="0"/>
          <w:sz w:val="24"/>
          <w:szCs w:val="24"/>
        </w:rPr>
        <w:t>which represents the result of multiplying the total position</w:t>
      </w:r>
      <w:r w:rsidR="007438CA" w:rsidRPr="0039339A">
        <w:rPr>
          <w:rFonts w:ascii="Times New Roman" w:eastAsiaTheme="minorHAnsi" w:hAnsi="Times New Roman" w:cs="Times New Roman"/>
          <w:b w:val="0"/>
          <w:bCs w:val="0"/>
          <w:sz w:val="24"/>
          <w:szCs w:val="24"/>
        </w:rPr>
        <w:t>s</w:t>
      </w:r>
      <w:r w:rsidRPr="0039339A">
        <w:rPr>
          <w:rFonts w:ascii="Times New Roman" w:eastAsiaTheme="minorHAnsi" w:hAnsi="Times New Roman" w:cs="Times New Roman"/>
          <w:b w:val="0"/>
          <w:bCs w:val="0"/>
          <w:sz w:val="24"/>
          <w:szCs w:val="24"/>
        </w:rPr>
        <w:t xml:space="preserve"> by 8%.</w:t>
      </w:r>
    </w:p>
    <w:p w:rsidR="00BD0300" w:rsidRPr="0039339A" w:rsidRDefault="00BD0300" w:rsidP="0039339A">
      <w:pPr>
        <w:pStyle w:val="ListParagraph"/>
        <w:numPr>
          <w:ilvl w:val="2"/>
          <w:numId w:val="23"/>
        </w:numPr>
        <w:bidi w:val="0"/>
        <w:spacing w:before="240" w:after="240" w:line="276" w:lineRule="auto"/>
        <w:ind w:left="2127" w:hanging="851"/>
        <w:rPr>
          <w:rFonts w:ascii="Times New Roman" w:hAnsi="Times New Roman" w:cs="Times New Roman"/>
          <w:b w:val="0"/>
          <w:bCs w:val="0"/>
          <w:sz w:val="24"/>
          <w:szCs w:val="24"/>
          <w:lang w:bidi="ar-JO"/>
        </w:rPr>
      </w:pPr>
      <w:r w:rsidRPr="0039339A">
        <w:rPr>
          <w:rFonts w:ascii="Times New Roman" w:hAnsi="Times New Roman" w:cs="Times New Roman"/>
          <w:b w:val="0"/>
          <w:bCs w:val="0"/>
          <w:sz w:val="24"/>
          <w:szCs w:val="24"/>
          <w:lang w:val="en"/>
        </w:rPr>
        <w:t xml:space="preserve">Determine the net positions of the bank, which represents the </w:t>
      </w:r>
      <w:r w:rsidR="0039339A" w:rsidRPr="0039339A">
        <w:rPr>
          <w:rFonts w:ascii="Times New Roman" w:hAnsi="Times New Roman" w:cs="Times New Roman"/>
          <w:b w:val="0"/>
          <w:bCs w:val="0"/>
          <w:sz w:val="24"/>
          <w:szCs w:val="24"/>
          <w:lang w:val="en"/>
        </w:rPr>
        <w:t>offset</w:t>
      </w:r>
      <w:r w:rsidRPr="0039339A">
        <w:rPr>
          <w:rFonts w:ascii="Times New Roman" w:hAnsi="Times New Roman" w:cs="Times New Roman"/>
          <w:b w:val="0"/>
          <w:bCs w:val="0"/>
          <w:sz w:val="24"/>
          <w:szCs w:val="24"/>
          <w:lang w:val="en"/>
        </w:rPr>
        <w:t xml:space="preserve"> between long and short positions.</w:t>
      </w:r>
    </w:p>
    <w:p w:rsidR="00873508" w:rsidRPr="0039339A" w:rsidRDefault="00873508" w:rsidP="007438CA">
      <w:pPr>
        <w:pStyle w:val="ListParagraph"/>
        <w:numPr>
          <w:ilvl w:val="2"/>
          <w:numId w:val="23"/>
        </w:numPr>
        <w:bidi w:val="0"/>
        <w:spacing w:before="240" w:after="240" w:line="276" w:lineRule="auto"/>
        <w:ind w:left="2127" w:hanging="851"/>
        <w:rPr>
          <w:rFonts w:ascii="Times New Roman" w:hAnsi="Times New Roman" w:cs="Times New Roman"/>
          <w:b w:val="0"/>
          <w:bCs w:val="0"/>
          <w:sz w:val="24"/>
          <w:szCs w:val="24"/>
          <w:lang w:bidi="ar-JO"/>
        </w:rPr>
      </w:pPr>
      <w:r w:rsidRPr="0039339A">
        <w:rPr>
          <w:rFonts w:ascii="Times New Roman" w:hAnsi="Times New Roman" w:cs="Times New Roman"/>
          <w:b w:val="0"/>
          <w:bCs w:val="0"/>
          <w:sz w:val="24"/>
          <w:szCs w:val="24"/>
          <w:lang w:val="en"/>
        </w:rPr>
        <w:t>Determine the</w:t>
      </w:r>
      <w:r w:rsidRPr="0039339A">
        <w:rPr>
          <w:rFonts w:ascii="Times New Roman" w:eastAsiaTheme="minorHAnsi" w:hAnsi="Times New Roman" w:cs="Times New Roman"/>
          <w:b w:val="0"/>
          <w:bCs w:val="0"/>
          <w:sz w:val="24"/>
          <w:szCs w:val="24"/>
        </w:rPr>
        <w:t xml:space="preserve"> capital charge for </w:t>
      </w:r>
      <w:r w:rsidR="007438CA" w:rsidRPr="0039339A">
        <w:rPr>
          <w:rFonts w:ascii="Times New Roman" w:eastAsiaTheme="minorHAnsi" w:hAnsi="Times New Roman" w:cs="Times New Roman"/>
          <w:b w:val="0"/>
          <w:bCs w:val="0"/>
          <w:sz w:val="24"/>
          <w:szCs w:val="24"/>
        </w:rPr>
        <w:t xml:space="preserve">general market risk </w:t>
      </w:r>
      <w:r w:rsidRPr="0039339A">
        <w:rPr>
          <w:rFonts w:ascii="Times New Roman" w:eastAsiaTheme="minorHAnsi" w:hAnsi="Times New Roman" w:cs="Times New Roman"/>
          <w:b w:val="0"/>
          <w:bCs w:val="0"/>
          <w:sz w:val="24"/>
          <w:szCs w:val="24"/>
        </w:rPr>
        <w:t xml:space="preserve">which represents the result of multiplying the </w:t>
      </w:r>
      <w:r w:rsidR="007438CA" w:rsidRPr="0039339A">
        <w:rPr>
          <w:rFonts w:ascii="Times New Roman" w:eastAsiaTheme="minorHAnsi" w:hAnsi="Times New Roman" w:cs="Times New Roman"/>
          <w:b w:val="0"/>
          <w:bCs w:val="0"/>
          <w:sz w:val="24"/>
          <w:szCs w:val="24"/>
        </w:rPr>
        <w:t>net</w:t>
      </w:r>
      <w:r w:rsidRPr="0039339A">
        <w:rPr>
          <w:rFonts w:ascii="Times New Roman" w:eastAsiaTheme="minorHAnsi" w:hAnsi="Times New Roman" w:cs="Times New Roman"/>
          <w:b w:val="0"/>
          <w:bCs w:val="0"/>
          <w:sz w:val="24"/>
          <w:szCs w:val="24"/>
        </w:rPr>
        <w:t xml:space="preserve"> position</w:t>
      </w:r>
      <w:r w:rsidR="007438CA" w:rsidRPr="0039339A">
        <w:rPr>
          <w:rFonts w:ascii="Times New Roman" w:eastAsiaTheme="minorHAnsi" w:hAnsi="Times New Roman" w:cs="Times New Roman"/>
          <w:b w:val="0"/>
          <w:bCs w:val="0"/>
          <w:sz w:val="24"/>
          <w:szCs w:val="24"/>
        </w:rPr>
        <w:t>s</w:t>
      </w:r>
      <w:r w:rsidRPr="0039339A">
        <w:rPr>
          <w:rFonts w:ascii="Times New Roman" w:eastAsiaTheme="minorHAnsi" w:hAnsi="Times New Roman" w:cs="Times New Roman"/>
          <w:b w:val="0"/>
          <w:bCs w:val="0"/>
          <w:sz w:val="24"/>
          <w:szCs w:val="24"/>
        </w:rPr>
        <w:t xml:space="preserve"> by 8%.</w:t>
      </w:r>
    </w:p>
    <w:p w:rsidR="00BD0300" w:rsidRPr="0039339A" w:rsidRDefault="00BD0300" w:rsidP="007A0099">
      <w:pPr>
        <w:pStyle w:val="ListParagraph"/>
        <w:numPr>
          <w:ilvl w:val="2"/>
          <w:numId w:val="23"/>
        </w:numPr>
        <w:bidi w:val="0"/>
        <w:spacing w:before="240" w:after="240" w:line="276" w:lineRule="auto"/>
        <w:ind w:left="2127" w:hanging="851"/>
        <w:rPr>
          <w:rFonts w:ascii="Times New Roman" w:hAnsi="Times New Roman" w:cs="Times New Roman"/>
          <w:b w:val="0"/>
          <w:bCs w:val="0"/>
          <w:sz w:val="24"/>
          <w:szCs w:val="24"/>
          <w:lang w:bidi="ar-JO"/>
        </w:rPr>
      </w:pPr>
      <w:r w:rsidRPr="0039339A">
        <w:rPr>
          <w:rFonts w:ascii="Times New Roman" w:hAnsi="Times New Roman" w:cs="Times New Roman"/>
          <w:b w:val="0"/>
          <w:bCs w:val="0"/>
          <w:sz w:val="24"/>
          <w:szCs w:val="24"/>
          <w:lang w:val="en"/>
        </w:rPr>
        <w:t xml:space="preserve">Calculating the </w:t>
      </w:r>
      <w:r w:rsidRPr="0039339A">
        <w:rPr>
          <w:rFonts w:ascii="Times New Roman" w:eastAsiaTheme="minorHAnsi" w:hAnsi="Times New Roman" w:cs="Times New Roman"/>
          <w:b w:val="0"/>
          <w:bCs w:val="0"/>
          <w:sz w:val="24"/>
          <w:szCs w:val="24"/>
        </w:rPr>
        <w:t>specific and general market risk</w:t>
      </w:r>
      <w:r w:rsidRPr="0039339A">
        <w:rPr>
          <w:rFonts w:ascii="Times New Roman" w:hAnsi="Times New Roman" w:cs="Times New Roman"/>
          <w:b w:val="0"/>
          <w:bCs w:val="0"/>
          <w:sz w:val="24"/>
          <w:szCs w:val="24"/>
          <w:lang w:val="en"/>
        </w:rPr>
        <w:t xml:space="preserve">, which represents the outcome of </w:t>
      </w:r>
      <w:r w:rsidRPr="0039339A">
        <w:rPr>
          <w:rFonts w:ascii="Times New Roman" w:hAnsi="Times New Roman" w:cs="Times New Roman"/>
          <w:b w:val="0"/>
          <w:bCs w:val="0"/>
          <w:sz w:val="24"/>
          <w:szCs w:val="24"/>
        </w:rPr>
        <w:t>sum</w:t>
      </w:r>
      <w:r w:rsidRPr="0039339A">
        <w:rPr>
          <w:rFonts w:ascii="Times New Roman" w:hAnsi="Times New Roman" w:cs="Times New Roman"/>
          <w:b w:val="0"/>
          <w:bCs w:val="0"/>
          <w:sz w:val="24"/>
          <w:szCs w:val="24"/>
          <w:lang w:val="en"/>
        </w:rPr>
        <w:t xml:space="preserve"> the required capital for each of them.</w:t>
      </w:r>
    </w:p>
    <w:p w:rsidR="00751039" w:rsidRPr="0039339A" w:rsidRDefault="00751039" w:rsidP="007A0099">
      <w:pPr>
        <w:pStyle w:val="ListParagraph"/>
        <w:numPr>
          <w:ilvl w:val="2"/>
          <w:numId w:val="23"/>
        </w:numPr>
        <w:bidi w:val="0"/>
        <w:spacing w:before="240" w:after="240" w:line="276" w:lineRule="auto"/>
        <w:ind w:left="2127" w:hanging="851"/>
        <w:rPr>
          <w:rFonts w:ascii="Times New Roman" w:hAnsi="Times New Roman" w:cs="Times New Roman"/>
          <w:b w:val="0"/>
          <w:bCs w:val="0"/>
          <w:sz w:val="24"/>
          <w:szCs w:val="24"/>
          <w:lang w:bidi="ar-JO"/>
        </w:rPr>
      </w:pPr>
      <w:r w:rsidRPr="0039339A">
        <w:rPr>
          <w:rFonts w:ascii="Times New Roman" w:hAnsi="Times New Roman" w:cs="Times New Roman"/>
          <w:b w:val="0"/>
          <w:bCs w:val="0"/>
          <w:sz w:val="24"/>
          <w:szCs w:val="24"/>
          <w:lang w:val="en"/>
        </w:rPr>
        <w:t>The market risk for equity instruments is calculated by multiplying the required capital by (12.5).</w:t>
      </w:r>
    </w:p>
    <w:p w:rsidR="00133574" w:rsidRPr="00B66B27" w:rsidRDefault="00133574" w:rsidP="005338D7">
      <w:pPr>
        <w:pStyle w:val="ListParagraph"/>
        <w:bidi w:val="0"/>
        <w:spacing w:before="240" w:after="240" w:line="276" w:lineRule="auto"/>
        <w:ind w:left="1440"/>
        <w:rPr>
          <w:rFonts w:ascii="Times New Roman" w:hAnsi="Times New Roman" w:cs="Times New Roman"/>
          <w:b w:val="0"/>
          <w:bCs w:val="0"/>
          <w:sz w:val="16"/>
          <w:szCs w:val="16"/>
          <w:lang w:bidi="ar-JO"/>
        </w:rPr>
      </w:pPr>
    </w:p>
    <w:p w:rsidR="00BD0300" w:rsidRPr="00C0031B" w:rsidRDefault="001924BB" w:rsidP="007A0099">
      <w:pPr>
        <w:pStyle w:val="ListParagraph"/>
        <w:numPr>
          <w:ilvl w:val="0"/>
          <w:numId w:val="23"/>
        </w:numPr>
        <w:bidi w:val="0"/>
        <w:spacing w:before="240" w:after="240" w:line="276" w:lineRule="auto"/>
        <w:ind w:hanging="578"/>
        <w:rPr>
          <w:rFonts w:ascii="Times New Roman" w:hAnsi="Times New Roman" w:cs="Times New Roman"/>
          <w:sz w:val="24"/>
          <w:szCs w:val="24"/>
          <w:lang w:bidi="ar-JO"/>
        </w:rPr>
      </w:pPr>
      <w:r>
        <w:rPr>
          <w:rFonts w:ascii="Times New Roman" w:eastAsiaTheme="minorHAnsi" w:hAnsi="Times New Roman" w:cs="Times New Roman"/>
          <w:sz w:val="24"/>
          <w:szCs w:val="24"/>
        </w:rPr>
        <w:t>Foreign exchange and gold risk</w:t>
      </w:r>
      <w:r w:rsidR="00751039" w:rsidRPr="00C0031B">
        <w:rPr>
          <w:rFonts w:ascii="Times New Roman" w:eastAsiaTheme="minorHAnsi" w:hAnsi="Times New Roman" w:cs="Times New Roman"/>
          <w:sz w:val="24"/>
          <w:szCs w:val="24"/>
        </w:rPr>
        <w:t>:</w:t>
      </w:r>
    </w:p>
    <w:p w:rsidR="00751039" w:rsidRPr="00C0031B" w:rsidRDefault="007A0099" w:rsidP="005338D7">
      <w:pPr>
        <w:pStyle w:val="ListParagraph"/>
        <w:bidi w:val="0"/>
        <w:spacing w:before="240" w:after="240" w:line="276" w:lineRule="auto"/>
        <w:rPr>
          <w:rFonts w:ascii="Times New Roman" w:eastAsiaTheme="minorHAnsi" w:hAnsi="Times New Roman" w:cs="Times New Roman"/>
          <w:b w:val="0"/>
          <w:bCs w:val="0"/>
          <w:sz w:val="24"/>
          <w:szCs w:val="24"/>
        </w:rPr>
      </w:pPr>
      <w:r w:rsidRPr="00C0031B">
        <w:rPr>
          <w:rFonts w:ascii="Times New Roman" w:eastAsiaTheme="minorHAnsi" w:hAnsi="Times New Roman" w:cs="Times New Roman"/>
          <w:b w:val="0"/>
          <w:bCs w:val="0"/>
          <w:sz w:val="24"/>
          <w:szCs w:val="24"/>
        </w:rPr>
        <w:t>T</w:t>
      </w:r>
      <w:r w:rsidR="00751039" w:rsidRPr="00C0031B">
        <w:rPr>
          <w:rFonts w:ascii="Times New Roman" w:eastAsiaTheme="minorHAnsi" w:hAnsi="Times New Roman" w:cs="Times New Roman"/>
          <w:b w:val="0"/>
          <w:bCs w:val="0"/>
          <w:sz w:val="24"/>
          <w:szCs w:val="24"/>
        </w:rPr>
        <w:t>he risk of holding or taking positions in foreign currencies, including gold.</w:t>
      </w:r>
    </w:p>
    <w:p w:rsidR="00751039" w:rsidRPr="00C0031B" w:rsidRDefault="007A0099" w:rsidP="007A0099">
      <w:pPr>
        <w:pStyle w:val="ListParagraph"/>
        <w:numPr>
          <w:ilvl w:val="1"/>
          <w:numId w:val="23"/>
        </w:numPr>
        <w:bidi w:val="0"/>
        <w:spacing w:before="240" w:after="240" w:line="276" w:lineRule="auto"/>
        <w:ind w:left="1276" w:hanging="556"/>
        <w:rPr>
          <w:rFonts w:ascii="Times New Roman" w:eastAsiaTheme="minorHAnsi" w:hAnsi="Times New Roman" w:cs="Times New Roman"/>
          <w:b w:val="0"/>
          <w:bCs w:val="0"/>
          <w:sz w:val="24"/>
          <w:szCs w:val="24"/>
        </w:rPr>
      </w:pPr>
      <w:r w:rsidRPr="00C0031B">
        <w:rPr>
          <w:rFonts w:ascii="Times New Roman" w:hAnsi="Times New Roman" w:cs="Times New Roman"/>
          <w:b w:val="0"/>
          <w:bCs w:val="0"/>
          <w:sz w:val="24"/>
          <w:szCs w:val="24"/>
          <w:lang w:bidi="ar-JO"/>
        </w:rPr>
        <w:t>C</w:t>
      </w:r>
      <w:r w:rsidR="00751039" w:rsidRPr="00C0031B">
        <w:rPr>
          <w:rFonts w:ascii="Times New Roman" w:hAnsi="Times New Roman" w:cs="Times New Roman"/>
          <w:b w:val="0"/>
          <w:bCs w:val="0"/>
          <w:sz w:val="24"/>
          <w:szCs w:val="24"/>
          <w:lang w:bidi="ar-JO"/>
        </w:rPr>
        <w:t xml:space="preserve">alculate </w:t>
      </w:r>
      <w:r w:rsidR="00751039" w:rsidRPr="00C0031B">
        <w:rPr>
          <w:rFonts w:ascii="Times New Roman" w:eastAsiaTheme="minorHAnsi" w:hAnsi="Times New Roman" w:cs="Times New Roman"/>
          <w:b w:val="0"/>
          <w:bCs w:val="0"/>
          <w:sz w:val="24"/>
          <w:szCs w:val="24"/>
        </w:rPr>
        <w:t>the net spot position (i.e., all asset items less all liability items, including accrued interest).</w:t>
      </w:r>
    </w:p>
    <w:p w:rsidR="00751039" w:rsidRPr="00C0031B" w:rsidRDefault="007A0099" w:rsidP="007A0099">
      <w:pPr>
        <w:pStyle w:val="ListParagraph"/>
        <w:numPr>
          <w:ilvl w:val="1"/>
          <w:numId w:val="23"/>
        </w:numPr>
        <w:bidi w:val="0"/>
        <w:spacing w:before="240" w:after="240" w:line="276" w:lineRule="auto"/>
        <w:ind w:left="1276" w:hanging="556"/>
        <w:rPr>
          <w:rFonts w:ascii="Times New Roman" w:hAnsi="Times New Roman" w:cs="Times New Roman"/>
          <w:b w:val="0"/>
          <w:bCs w:val="0"/>
          <w:sz w:val="24"/>
          <w:szCs w:val="24"/>
          <w:lang w:bidi="ar-JO"/>
        </w:rPr>
      </w:pPr>
      <w:r w:rsidRPr="00C0031B">
        <w:rPr>
          <w:rFonts w:ascii="Times New Roman" w:hAnsi="Times New Roman" w:cs="Times New Roman"/>
          <w:b w:val="0"/>
          <w:bCs w:val="0"/>
          <w:sz w:val="24"/>
          <w:szCs w:val="24"/>
          <w:lang w:bidi="ar-JO"/>
        </w:rPr>
        <w:t>C</w:t>
      </w:r>
      <w:r w:rsidR="00751039" w:rsidRPr="00C0031B">
        <w:rPr>
          <w:rFonts w:ascii="Times New Roman" w:hAnsi="Times New Roman" w:cs="Times New Roman"/>
          <w:b w:val="0"/>
          <w:bCs w:val="0"/>
          <w:sz w:val="24"/>
          <w:szCs w:val="24"/>
          <w:lang w:bidi="ar-JO"/>
        </w:rPr>
        <w:t>alculate</w:t>
      </w:r>
      <w:r w:rsidR="00751039" w:rsidRPr="00C0031B">
        <w:rPr>
          <w:rFonts w:ascii="Times New Roman" w:eastAsiaTheme="minorHAnsi" w:hAnsi="Times New Roman" w:cs="Times New Roman"/>
          <w:b w:val="0"/>
          <w:bCs w:val="0"/>
          <w:sz w:val="24"/>
          <w:szCs w:val="24"/>
        </w:rPr>
        <w:t xml:space="preserve"> the net forward position (i.e., all amounts to be received less all amounts to be paid under forward foreign exchange transactions, including currency futures and the principal on currency swaps not included in the spot position).</w:t>
      </w:r>
    </w:p>
    <w:p w:rsidR="00751039" w:rsidRPr="00C0031B" w:rsidRDefault="00751039" w:rsidP="007A0099">
      <w:pPr>
        <w:pStyle w:val="ListParagraph"/>
        <w:numPr>
          <w:ilvl w:val="1"/>
          <w:numId w:val="23"/>
        </w:numPr>
        <w:bidi w:val="0"/>
        <w:spacing w:before="240" w:after="240" w:line="276" w:lineRule="auto"/>
        <w:ind w:left="1276" w:hanging="556"/>
        <w:rPr>
          <w:rFonts w:ascii="Times New Roman" w:hAnsi="Times New Roman" w:cs="Times New Roman"/>
          <w:b w:val="0"/>
          <w:bCs w:val="0"/>
          <w:sz w:val="24"/>
          <w:szCs w:val="24"/>
          <w:lang w:bidi="ar-JO"/>
        </w:rPr>
      </w:pPr>
      <w:r w:rsidRPr="00C0031B">
        <w:rPr>
          <w:rFonts w:ascii="Times New Roman" w:hAnsi="Times New Roman" w:cs="Times New Roman"/>
          <w:b w:val="0"/>
          <w:bCs w:val="0"/>
          <w:sz w:val="24"/>
          <w:szCs w:val="24"/>
          <w:lang w:val="en"/>
        </w:rPr>
        <w:t>Net positions in foreign currencies are calculated through the items below:</w:t>
      </w:r>
    </w:p>
    <w:p w:rsidR="00751039" w:rsidRPr="00C0031B" w:rsidRDefault="001924BB" w:rsidP="001924BB">
      <w:pPr>
        <w:pStyle w:val="ListParagraph"/>
        <w:numPr>
          <w:ilvl w:val="2"/>
          <w:numId w:val="23"/>
        </w:numPr>
        <w:bidi w:val="0"/>
        <w:spacing w:before="240" w:after="240" w:line="276" w:lineRule="auto"/>
        <w:ind w:left="2127" w:hanging="851"/>
        <w:rPr>
          <w:rFonts w:ascii="Times New Roman" w:eastAsiaTheme="minorHAnsi" w:hAnsi="Times New Roman" w:cs="Times New Roman"/>
          <w:b w:val="0"/>
          <w:bCs w:val="0"/>
          <w:sz w:val="24"/>
          <w:szCs w:val="24"/>
        </w:rPr>
      </w:pPr>
      <w:r>
        <w:rPr>
          <w:rFonts w:ascii="Times New Roman" w:eastAsiaTheme="minorHAnsi" w:hAnsi="Times New Roman" w:cs="Times New Roman"/>
          <w:b w:val="0"/>
          <w:bCs w:val="0"/>
          <w:sz w:val="24"/>
          <w:szCs w:val="24"/>
        </w:rPr>
        <w:lastRenderedPageBreak/>
        <w:t xml:space="preserve">Guarantees </w:t>
      </w:r>
      <w:r w:rsidR="0075550D" w:rsidRPr="00C0031B">
        <w:rPr>
          <w:rFonts w:ascii="Times New Roman" w:eastAsiaTheme="minorHAnsi" w:hAnsi="Times New Roman" w:cs="Times New Roman"/>
          <w:b w:val="0"/>
          <w:bCs w:val="0"/>
          <w:sz w:val="24"/>
          <w:szCs w:val="24"/>
        </w:rPr>
        <w:t>that are certain to be called and are likely to be irrecoverable.</w:t>
      </w:r>
    </w:p>
    <w:p w:rsidR="0075550D" w:rsidRPr="00C0031B" w:rsidRDefault="0075550D" w:rsidP="007A0099">
      <w:pPr>
        <w:pStyle w:val="ListParagraph"/>
        <w:numPr>
          <w:ilvl w:val="2"/>
          <w:numId w:val="23"/>
        </w:numPr>
        <w:bidi w:val="0"/>
        <w:spacing w:before="240" w:after="240" w:line="276" w:lineRule="auto"/>
        <w:ind w:left="2127" w:hanging="851"/>
        <w:rPr>
          <w:rFonts w:ascii="Times New Roman" w:hAnsi="Times New Roman" w:cs="Times New Roman"/>
          <w:b w:val="0"/>
          <w:bCs w:val="0"/>
          <w:sz w:val="24"/>
          <w:szCs w:val="24"/>
          <w:lang w:bidi="ar-JO"/>
        </w:rPr>
      </w:pPr>
      <w:r w:rsidRPr="00C0031B">
        <w:rPr>
          <w:rFonts w:ascii="Times New Roman" w:hAnsi="Times New Roman" w:cs="Times New Roman"/>
          <w:b w:val="0"/>
          <w:bCs w:val="0"/>
          <w:sz w:val="24"/>
          <w:szCs w:val="24"/>
          <w:lang w:val="en"/>
        </w:rPr>
        <w:t>Any item that represents a foreign currency gain or loss.</w:t>
      </w:r>
    </w:p>
    <w:p w:rsidR="0075550D" w:rsidRPr="00C0031B" w:rsidRDefault="001924BB" w:rsidP="007A0099">
      <w:pPr>
        <w:pStyle w:val="ListParagraph"/>
        <w:numPr>
          <w:ilvl w:val="2"/>
          <w:numId w:val="23"/>
        </w:numPr>
        <w:bidi w:val="0"/>
        <w:spacing w:before="240" w:after="240" w:line="276" w:lineRule="auto"/>
        <w:ind w:left="2127" w:hanging="851"/>
        <w:rPr>
          <w:rFonts w:ascii="Times New Roman" w:hAnsi="Times New Roman" w:cs="Times New Roman"/>
          <w:b w:val="0"/>
          <w:bCs w:val="0"/>
          <w:sz w:val="24"/>
          <w:szCs w:val="24"/>
          <w:lang w:bidi="ar-JO"/>
        </w:rPr>
      </w:pPr>
      <w:r>
        <w:rPr>
          <w:rFonts w:ascii="Times New Roman" w:eastAsiaTheme="minorHAnsi" w:hAnsi="Times New Roman" w:cs="Times New Roman"/>
          <w:b w:val="0"/>
          <w:bCs w:val="0"/>
          <w:sz w:val="24"/>
          <w:szCs w:val="24"/>
        </w:rPr>
        <w:t>T</w:t>
      </w:r>
      <w:r w:rsidR="0075550D" w:rsidRPr="00C0031B">
        <w:rPr>
          <w:rFonts w:ascii="Times New Roman" w:eastAsiaTheme="minorHAnsi" w:hAnsi="Times New Roman" w:cs="Times New Roman"/>
          <w:b w:val="0"/>
          <w:bCs w:val="0"/>
          <w:sz w:val="24"/>
          <w:szCs w:val="24"/>
        </w:rPr>
        <w:t>he net delta-based equivalent of the total book of foreign currency options.</w:t>
      </w:r>
    </w:p>
    <w:p w:rsidR="00751039" w:rsidRPr="00C0031B" w:rsidRDefault="00AF500D" w:rsidP="007A0099">
      <w:pPr>
        <w:pStyle w:val="ListParagraph"/>
        <w:numPr>
          <w:ilvl w:val="1"/>
          <w:numId w:val="23"/>
        </w:numPr>
        <w:bidi w:val="0"/>
        <w:spacing w:before="240" w:after="240" w:line="276" w:lineRule="auto"/>
        <w:ind w:left="1276" w:hanging="567"/>
        <w:rPr>
          <w:rFonts w:ascii="Times New Roman" w:hAnsi="Times New Roman" w:cs="Times New Roman"/>
          <w:b w:val="0"/>
          <w:bCs w:val="0"/>
          <w:sz w:val="24"/>
          <w:szCs w:val="24"/>
          <w:lang w:bidi="ar-JO"/>
        </w:rPr>
      </w:pPr>
      <w:r w:rsidRPr="00C0031B">
        <w:rPr>
          <w:rFonts w:ascii="Times New Roman" w:eastAsiaTheme="minorHAnsi" w:hAnsi="Times New Roman" w:cs="Times New Roman"/>
          <w:b w:val="0"/>
          <w:bCs w:val="0"/>
          <w:sz w:val="24"/>
          <w:szCs w:val="24"/>
        </w:rPr>
        <w:t>Measuring the foreign exchange</w:t>
      </w:r>
      <w:r w:rsidR="001924BB">
        <w:rPr>
          <w:rFonts w:ascii="Times New Roman" w:eastAsiaTheme="minorHAnsi" w:hAnsi="Times New Roman" w:cs="Times New Roman"/>
          <w:b w:val="0"/>
          <w:bCs w:val="0"/>
          <w:sz w:val="24"/>
          <w:szCs w:val="24"/>
        </w:rPr>
        <w:t xml:space="preserve"> and gold</w:t>
      </w:r>
      <w:r w:rsidRPr="00C0031B">
        <w:rPr>
          <w:rFonts w:ascii="Times New Roman" w:eastAsiaTheme="minorHAnsi" w:hAnsi="Times New Roman" w:cs="Times New Roman"/>
          <w:b w:val="0"/>
          <w:bCs w:val="0"/>
          <w:sz w:val="24"/>
          <w:szCs w:val="24"/>
        </w:rPr>
        <w:t xml:space="preserve"> risk in a portfolio of foreign currency positions and gold</w:t>
      </w:r>
      <w:r w:rsidRPr="00C0031B">
        <w:rPr>
          <w:rFonts w:ascii="Times New Roman" w:hAnsi="Times New Roman" w:cs="Times New Roman"/>
          <w:b w:val="0"/>
          <w:bCs w:val="0"/>
          <w:sz w:val="24"/>
          <w:szCs w:val="24"/>
          <w:lang w:val="en"/>
        </w:rPr>
        <w:t xml:space="preserve"> as shown in </w:t>
      </w:r>
      <w:r w:rsidR="007A0099" w:rsidRPr="00C0031B">
        <w:rPr>
          <w:rFonts w:ascii="Times New Roman" w:hAnsi="Times New Roman" w:cs="Times New Roman"/>
          <w:b w:val="0"/>
          <w:bCs w:val="0"/>
          <w:sz w:val="24"/>
          <w:szCs w:val="24"/>
          <w:lang w:val="en"/>
        </w:rPr>
        <w:t>annex n</w:t>
      </w:r>
      <w:r w:rsidRPr="00C0031B">
        <w:rPr>
          <w:rFonts w:ascii="Times New Roman" w:hAnsi="Times New Roman" w:cs="Times New Roman"/>
          <w:b w:val="0"/>
          <w:bCs w:val="0"/>
          <w:sz w:val="24"/>
          <w:szCs w:val="24"/>
          <w:lang w:val="en"/>
        </w:rPr>
        <w:t>o. (19) and as follows:</w:t>
      </w:r>
    </w:p>
    <w:p w:rsidR="00AF500D" w:rsidRPr="00C0031B" w:rsidRDefault="00AF500D" w:rsidP="007A0099">
      <w:pPr>
        <w:pStyle w:val="ListParagraph"/>
        <w:numPr>
          <w:ilvl w:val="2"/>
          <w:numId w:val="23"/>
        </w:numPr>
        <w:bidi w:val="0"/>
        <w:spacing w:before="240" w:after="240" w:line="276" w:lineRule="auto"/>
        <w:ind w:left="2127" w:hanging="851"/>
        <w:rPr>
          <w:rFonts w:ascii="Times New Roman" w:hAnsi="Times New Roman" w:cs="Times New Roman"/>
          <w:b w:val="0"/>
          <w:bCs w:val="0"/>
          <w:sz w:val="24"/>
          <w:szCs w:val="24"/>
          <w:lang w:val="en"/>
        </w:rPr>
      </w:pPr>
      <w:r w:rsidRPr="00C0031B">
        <w:rPr>
          <w:rFonts w:ascii="Times New Roman" w:hAnsi="Times New Roman" w:cs="Times New Roman"/>
          <w:b w:val="0"/>
          <w:bCs w:val="0"/>
          <w:sz w:val="24"/>
          <w:szCs w:val="24"/>
          <w:lang w:val="en"/>
        </w:rPr>
        <w:t>Determine the net open positions (long or short) for each currency separately.</w:t>
      </w:r>
    </w:p>
    <w:p w:rsidR="00AF500D" w:rsidRPr="00C0031B" w:rsidRDefault="00AF500D" w:rsidP="007A0099">
      <w:pPr>
        <w:pStyle w:val="ListParagraph"/>
        <w:numPr>
          <w:ilvl w:val="2"/>
          <w:numId w:val="23"/>
        </w:numPr>
        <w:bidi w:val="0"/>
        <w:spacing w:before="240" w:after="240" w:line="276" w:lineRule="auto"/>
        <w:ind w:left="2127" w:hanging="851"/>
        <w:rPr>
          <w:rFonts w:ascii="Times New Roman" w:hAnsi="Times New Roman" w:cs="Times New Roman"/>
          <w:b w:val="0"/>
          <w:bCs w:val="0"/>
          <w:sz w:val="24"/>
          <w:szCs w:val="24"/>
          <w:lang w:bidi="ar-JO"/>
        </w:rPr>
      </w:pPr>
      <w:r w:rsidRPr="00C0031B">
        <w:rPr>
          <w:rFonts w:ascii="Times New Roman" w:hAnsi="Times New Roman" w:cs="Times New Roman"/>
          <w:b w:val="0"/>
          <w:bCs w:val="0"/>
          <w:sz w:val="24"/>
          <w:szCs w:val="24"/>
          <w:lang w:val="en"/>
        </w:rPr>
        <w:t>Determine the total net open positions (long or short) for all currencies.</w:t>
      </w:r>
    </w:p>
    <w:p w:rsidR="00AF500D" w:rsidRPr="00C0031B" w:rsidRDefault="00AF500D" w:rsidP="007A0099">
      <w:pPr>
        <w:pStyle w:val="ListParagraph"/>
        <w:numPr>
          <w:ilvl w:val="2"/>
          <w:numId w:val="23"/>
        </w:numPr>
        <w:bidi w:val="0"/>
        <w:spacing w:before="240" w:after="240" w:line="276" w:lineRule="auto"/>
        <w:ind w:left="2127" w:hanging="851"/>
        <w:rPr>
          <w:rFonts w:ascii="Times New Roman" w:hAnsi="Times New Roman" w:cs="Times New Roman"/>
          <w:b w:val="0"/>
          <w:bCs w:val="0"/>
          <w:sz w:val="24"/>
          <w:szCs w:val="24"/>
          <w:lang w:bidi="ar-JO"/>
        </w:rPr>
      </w:pPr>
      <w:r w:rsidRPr="00C0031B">
        <w:rPr>
          <w:rFonts w:ascii="Times New Roman" w:hAnsi="Times New Roman" w:cs="Times New Roman"/>
          <w:b w:val="0"/>
          <w:bCs w:val="0"/>
          <w:sz w:val="24"/>
          <w:szCs w:val="24"/>
          <w:lang w:val="en"/>
        </w:rPr>
        <w:t>Determine the sum of long or short positions, whichever is greater.</w:t>
      </w:r>
    </w:p>
    <w:p w:rsidR="00AF500D" w:rsidRPr="00C0031B" w:rsidRDefault="00AF500D" w:rsidP="007A0099">
      <w:pPr>
        <w:pStyle w:val="ListParagraph"/>
        <w:numPr>
          <w:ilvl w:val="2"/>
          <w:numId w:val="23"/>
        </w:numPr>
        <w:bidi w:val="0"/>
        <w:spacing w:before="240" w:after="240" w:line="276" w:lineRule="auto"/>
        <w:ind w:left="2127" w:hanging="851"/>
        <w:rPr>
          <w:rFonts w:ascii="Times New Roman" w:hAnsi="Times New Roman" w:cs="Times New Roman"/>
          <w:b w:val="0"/>
          <w:bCs w:val="0"/>
          <w:sz w:val="24"/>
          <w:szCs w:val="24"/>
          <w:lang w:bidi="ar-JO"/>
        </w:rPr>
      </w:pPr>
      <w:r w:rsidRPr="00C0031B">
        <w:rPr>
          <w:rFonts w:ascii="Times New Roman" w:hAnsi="Times New Roman" w:cs="Times New Roman"/>
          <w:b w:val="0"/>
          <w:bCs w:val="0"/>
          <w:sz w:val="24"/>
          <w:szCs w:val="24"/>
          <w:lang w:val="en"/>
        </w:rPr>
        <w:t>Determine the net open position in gold (long or short).</w:t>
      </w:r>
    </w:p>
    <w:p w:rsidR="00AF500D" w:rsidRPr="00C0031B" w:rsidRDefault="00885294" w:rsidP="007A0099">
      <w:pPr>
        <w:pStyle w:val="ListParagraph"/>
        <w:numPr>
          <w:ilvl w:val="2"/>
          <w:numId w:val="23"/>
        </w:numPr>
        <w:bidi w:val="0"/>
        <w:spacing w:before="240" w:after="240" w:line="276" w:lineRule="auto"/>
        <w:ind w:left="2127" w:hanging="851"/>
        <w:rPr>
          <w:rFonts w:ascii="Times New Roman" w:hAnsi="Times New Roman" w:cs="Times New Roman"/>
          <w:b w:val="0"/>
          <w:bCs w:val="0"/>
          <w:sz w:val="24"/>
          <w:szCs w:val="24"/>
          <w:lang w:bidi="ar-JO"/>
        </w:rPr>
      </w:pPr>
      <w:r w:rsidRPr="00C0031B">
        <w:rPr>
          <w:rFonts w:ascii="Times New Roman" w:eastAsiaTheme="minorHAnsi" w:hAnsi="Times New Roman" w:cs="Times New Roman"/>
          <w:b w:val="0"/>
          <w:bCs w:val="0"/>
          <w:sz w:val="24"/>
          <w:szCs w:val="24"/>
        </w:rPr>
        <w:t>The capital charge will be 8% of the overall net open position (The overall net open position is measured by aggregating items (12.4.3) and (12.4.4)).</w:t>
      </w:r>
    </w:p>
    <w:p w:rsidR="00885294" w:rsidRPr="00C0031B" w:rsidRDefault="004931A1" w:rsidP="007A0099">
      <w:pPr>
        <w:pStyle w:val="ListParagraph"/>
        <w:numPr>
          <w:ilvl w:val="2"/>
          <w:numId w:val="23"/>
        </w:numPr>
        <w:bidi w:val="0"/>
        <w:spacing w:before="240" w:after="240" w:line="276" w:lineRule="auto"/>
        <w:ind w:left="2127" w:hanging="851"/>
        <w:rPr>
          <w:rFonts w:ascii="Times New Roman" w:hAnsi="Times New Roman" w:cs="Times New Roman"/>
          <w:b w:val="0"/>
          <w:bCs w:val="0"/>
          <w:sz w:val="24"/>
          <w:szCs w:val="24"/>
          <w:lang w:bidi="ar-JO"/>
        </w:rPr>
      </w:pPr>
      <w:r w:rsidRPr="00C0031B">
        <w:rPr>
          <w:rFonts w:ascii="Times New Roman" w:hAnsi="Times New Roman" w:cs="Times New Roman"/>
          <w:b w:val="0"/>
          <w:bCs w:val="0"/>
          <w:sz w:val="24"/>
          <w:szCs w:val="24"/>
          <w:lang w:val="en"/>
        </w:rPr>
        <w:t>The market risk for foreign exchange rates and gold is calculated by multiplying the required capital by (12.5).</w:t>
      </w:r>
    </w:p>
    <w:p w:rsidR="00751039" w:rsidRPr="00C0031B" w:rsidRDefault="001924BB" w:rsidP="007A0099">
      <w:pPr>
        <w:pStyle w:val="ListParagraph"/>
        <w:numPr>
          <w:ilvl w:val="0"/>
          <w:numId w:val="23"/>
        </w:numPr>
        <w:bidi w:val="0"/>
        <w:spacing w:before="240" w:after="240" w:line="276" w:lineRule="auto"/>
        <w:ind w:left="709" w:hanging="567"/>
        <w:rPr>
          <w:rFonts w:ascii="Times New Roman" w:hAnsi="Times New Roman" w:cs="Times New Roman"/>
          <w:sz w:val="24"/>
          <w:szCs w:val="24"/>
          <w:lang w:bidi="ar-JO"/>
        </w:rPr>
      </w:pPr>
      <w:r>
        <w:rPr>
          <w:rFonts w:ascii="Times New Roman" w:eastAsiaTheme="minorHAnsi" w:hAnsi="Times New Roman" w:cs="Times New Roman"/>
          <w:sz w:val="24"/>
          <w:szCs w:val="24"/>
        </w:rPr>
        <w:t>Commodities r</w:t>
      </w:r>
      <w:r w:rsidR="007A0099" w:rsidRPr="00C0031B">
        <w:rPr>
          <w:rFonts w:ascii="Times New Roman" w:eastAsiaTheme="minorHAnsi" w:hAnsi="Times New Roman" w:cs="Times New Roman"/>
          <w:sz w:val="24"/>
          <w:szCs w:val="24"/>
        </w:rPr>
        <w:t xml:space="preserve">isk: </w:t>
      </w:r>
    </w:p>
    <w:p w:rsidR="00303DA8" w:rsidRPr="00C0031B" w:rsidRDefault="007A0099" w:rsidP="007A0099">
      <w:pPr>
        <w:pStyle w:val="ListParagraph"/>
        <w:numPr>
          <w:ilvl w:val="1"/>
          <w:numId w:val="23"/>
        </w:numPr>
        <w:bidi w:val="0"/>
        <w:spacing w:before="240" w:after="240" w:line="276" w:lineRule="auto"/>
        <w:ind w:left="1276" w:hanging="556"/>
        <w:rPr>
          <w:rFonts w:ascii="Times New Roman" w:eastAsiaTheme="minorHAnsi" w:hAnsi="Times New Roman" w:cs="Times New Roman"/>
          <w:b w:val="0"/>
          <w:bCs w:val="0"/>
          <w:sz w:val="24"/>
          <w:szCs w:val="24"/>
        </w:rPr>
      </w:pPr>
      <w:r w:rsidRPr="00C0031B">
        <w:rPr>
          <w:rFonts w:ascii="Times New Roman" w:eastAsiaTheme="minorHAnsi" w:hAnsi="Times New Roman" w:cs="Times New Roman"/>
          <w:b w:val="0"/>
          <w:bCs w:val="0"/>
          <w:sz w:val="24"/>
          <w:szCs w:val="24"/>
        </w:rPr>
        <w:t>T</w:t>
      </w:r>
      <w:r w:rsidR="00303DA8" w:rsidRPr="00C0031B">
        <w:rPr>
          <w:rFonts w:ascii="Times New Roman" w:eastAsiaTheme="minorHAnsi" w:hAnsi="Times New Roman" w:cs="Times New Roman"/>
          <w:b w:val="0"/>
          <w:bCs w:val="0"/>
          <w:sz w:val="24"/>
          <w:szCs w:val="24"/>
        </w:rPr>
        <w:t>he risk of holding</w:t>
      </w:r>
      <w:r w:rsidR="001924BB">
        <w:rPr>
          <w:rFonts w:ascii="Times New Roman" w:eastAsiaTheme="minorHAnsi" w:hAnsi="Times New Roman" w:cs="Times New Roman"/>
          <w:b w:val="0"/>
          <w:bCs w:val="0"/>
          <w:sz w:val="24"/>
          <w:szCs w:val="24"/>
        </w:rPr>
        <w:t>/</w:t>
      </w:r>
      <w:r w:rsidR="00303DA8" w:rsidRPr="00C0031B">
        <w:rPr>
          <w:rFonts w:ascii="Times New Roman" w:eastAsiaTheme="minorHAnsi" w:hAnsi="Times New Roman" w:cs="Times New Roman"/>
          <w:b w:val="0"/>
          <w:bCs w:val="0"/>
          <w:sz w:val="24"/>
          <w:szCs w:val="24"/>
        </w:rPr>
        <w:t xml:space="preserve"> taking positions in commodities, including precious metals, but excluding gold.</w:t>
      </w:r>
    </w:p>
    <w:p w:rsidR="00303DA8" w:rsidRPr="00C0031B" w:rsidRDefault="0039757E" w:rsidP="007A0099">
      <w:pPr>
        <w:pStyle w:val="ListParagraph"/>
        <w:numPr>
          <w:ilvl w:val="1"/>
          <w:numId w:val="23"/>
        </w:numPr>
        <w:bidi w:val="0"/>
        <w:spacing w:before="240" w:after="240" w:line="276" w:lineRule="auto"/>
        <w:ind w:left="1276" w:hanging="556"/>
        <w:rPr>
          <w:rFonts w:ascii="Times New Roman" w:hAnsi="Times New Roman" w:cs="Times New Roman"/>
          <w:b w:val="0"/>
          <w:bCs w:val="0"/>
          <w:sz w:val="24"/>
          <w:szCs w:val="24"/>
          <w:lang w:bidi="ar-JO"/>
        </w:rPr>
      </w:pPr>
      <w:r w:rsidRPr="00C0031B">
        <w:rPr>
          <w:rFonts w:ascii="Times New Roman" w:hAnsi="Times New Roman" w:cs="Times New Roman"/>
          <w:b w:val="0"/>
          <w:bCs w:val="0"/>
          <w:sz w:val="24"/>
          <w:szCs w:val="24"/>
          <w:lang w:val="en"/>
        </w:rPr>
        <w:t xml:space="preserve">The simplified approach will be used to calculate the commodities risk according to </w:t>
      </w:r>
      <w:r w:rsidR="007A0099" w:rsidRPr="00C0031B">
        <w:rPr>
          <w:rFonts w:ascii="Times New Roman" w:hAnsi="Times New Roman" w:cs="Times New Roman"/>
          <w:b w:val="0"/>
          <w:bCs w:val="0"/>
          <w:sz w:val="24"/>
          <w:szCs w:val="24"/>
          <w:lang w:val="en"/>
        </w:rPr>
        <w:t>annex n</w:t>
      </w:r>
      <w:r w:rsidRPr="00C0031B">
        <w:rPr>
          <w:rFonts w:ascii="Times New Roman" w:hAnsi="Times New Roman" w:cs="Times New Roman"/>
          <w:b w:val="0"/>
          <w:bCs w:val="0"/>
          <w:sz w:val="24"/>
          <w:szCs w:val="24"/>
          <w:lang w:val="en"/>
        </w:rPr>
        <w:t>o. (20)</w:t>
      </w:r>
      <w:r w:rsidR="001924BB">
        <w:rPr>
          <w:rFonts w:ascii="Times New Roman" w:hAnsi="Times New Roman" w:cs="Times New Roman"/>
          <w:b w:val="0"/>
          <w:bCs w:val="0"/>
          <w:sz w:val="24"/>
          <w:szCs w:val="24"/>
          <w:lang w:val="en"/>
        </w:rPr>
        <w:t>, and</w:t>
      </w:r>
      <w:r w:rsidRPr="00C0031B">
        <w:rPr>
          <w:rFonts w:ascii="Times New Roman" w:hAnsi="Times New Roman" w:cs="Times New Roman"/>
          <w:b w:val="0"/>
          <w:bCs w:val="0"/>
          <w:sz w:val="24"/>
          <w:szCs w:val="24"/>
          <w:lang w:val="en"/>
        </w:rPr>
        <w:t xml:space="preserve"> as follows:</w:t>
      </w:r>
    </w:p>
    <w:p w:rsidR="0039757E" w:rsidRPr="00C0031B" w:rsidRDefault="0039757E" w:rsidP="007A0099">
      <w:pPr>
        <w:pStyle w:val="ListParagraph"/>
        <w:numPr>
          <w:ilvl w:val="2"/>
          <w:numId w:val="23"/>
        </w:numPr>
        <w:bidi w:val="0"/>
        <w:spacing w:before="240" w:after="240" w:line="276" w:lineRule="auto"/>
        <w:ind w:left="2127" w:hanging="851"/>
        <w:rPr>
          <w:rFonts w:ascii="Times New Roman" w:hAnsi="Times New Roman" w:cs="Times New Roman"/>
          <w:b w:val="0"/>
          <w:bCs w:val="0"/>
          <w:sz w:val="24"/>
          <w:szCs w:val="24"/>
          <w:lang w:val="en"/>
        </w:rPr>
      </w:pPr>
      <w:r w:rsidRPr="00C0031B">
        <w:rPr>
          <w:rFonts w:ascii="Times New Roman" w:hAnsi="Times New Roman" w:cs="Times New Roman"/>
          <w:b w:val="0"/>
          <w:bCs w:val="0"/>
          <w:sz w:val="24"/>
          <w:szCs w:val="24"/>
          <w:lang w:val="en"/>
        </w:rPr>
        <w:t>The net positions are calculated by adding the net spot positions and net future positions.</w:t>
      </w:r>
    </w:p>
    <w:p w:rsidR="0039757E" w:rsidRPr="00C0031B" w:rsidRDefault="0039757E" w:rsidP="007A0099">
      <w:pPr>
        <w:pStyle w:val="ListParagraph"/>
        <w:numPr>
          <w:ilvl w:val="2"/>
          <w:numId w:val="23"/>
        </w:numPr>
        <w:bidi w:val="0"/>
        <w:spacing w:before="240" w:after="240" w:line="276" w:lineRule="auto"/>
        <w:ind w:left="2127" w:hanging="851"/>
        <w:rPr>
          <w:rFonts w:ascii="Times New Roman" w:hAnsi="Times New Roman" w:cs="Times New Roman"/>
          <w:b w:val="0"/>
          <w:bCs w:val="0"/>
          <w:sz w:val="24"/>
          <w:szCs w:val="24"/>
          <w:lang w:bidi="ar-JO"/>
        </w:rPr>
      </w:pPr>
      <w:r w:rsidRPr="00C0031B">
        <w:rPr>
          <w:rFonts w:ascii="Times New Roman" w:hAnsi="Times New Roman" w:cs="Times New Roman"/>
          <w:b w:val="0"/>
          <w:bCs w:val="0"/>
          <w:sz w:val="24"/>
          <w:szCs w:val="24"/>
          <w:lang w:val="en"/>
        </w:rPr>
        <w:tab/>
        <w:t xml:space="preserve">List the net individual positions, whether long or short, in </w:t>
      </w:r>
      <w:r w:rsidR="007A0099" w:rsidRPr="00C0031B">
        <w:rPr>
          <w:rFonts w:ascii="Times New Roman" w:hAnsi="Times New Roman" w:cs="Times New Roman"/>
          <w:b w:val="0"/>
          <w:bCs w:val="0"/>
          <w:sz w:val="24"/>
          <w:szCs w:val="24"/>
          <w:lang w:val="en"/>
        </w:rPr>
        <w:t>annex n</w:t>
      </w:r>
      <w:r w:rsidRPr="00C0031B">
        <w:rPr>
          <w:rFonts w:ascii="Times New Roman" w:hAnsi="Times New Roman" w:cs="Times New Roman"/>
          <w:b w:val="0"/>
          <w:bCs w:val="0"/>
          <w:sz w:val="24"/>
          <w:szCs w:val="24"/>
          <w:lang w:val="en"/>
        </w:rPr>
        <w:t>o. (20).</w:t>
      </w:r>
    </w:p>
    <w:p w:rsidR="0039757E" w:rsidRPr="00C0031B" w:rsidRDefault="0039757E" w:rsidP="007A0099">
      <w:pPr>
        <w:pStyle w:val="ListParagraph"/>
        <w:numPr>
          <w:ilvl w:val="2"/>
          <w:numId w:val="23"/>
        </w:numPr>
        <w:bidi w:val="0"/>
        <w:spacing w:before="240" w:after="240" w:line="276" w:lineRule="auto"/>
        <w:ind w:left="2127" w:hanging="851"/>
        <w:rPr>
          <w:rFonts w:ascii="Times New Roman" w:hAnsi="Times New Roman" w:cs="Times New Roman"/>
          <w:b w:val="0"/>
          <w:bCs w:val="0"/>
          <w:sz w:val="24"/>
          <w:szCs w:val="24"/>
          <w:lang w:bidi="ar-JO"/>
        </w:rPr>
      </w:pPr>
      <w:r w:rsidRPr="00C0031B">
        <w:rPr>
          <w:rFonts w:ascii="Times New Roman" w:hAnsi="Times New Roman" w:cs="Times New Roman"/>
          <w:b w:val="0"/>
          <w:bCs w:val="0"/>
          <w:sz w:val="24"/>
          <w:szCs w:val="24"/>
          <w:lang w:val="en"/>
        </w:rPr>
        <w:t>Calculate the net position, which represents the absolute value of the difference between long and short positions.</w:t>
      </w:r>
    </w:p>
    <w:p w:rsidR="0039757E" w:rsidRPr="00C0031B" w:rsidRDefault="001924BB" w:rsidP="007A0099">
      <w:pPr>
        <w:pStyle w:val="ListParagraph"/>
        <w:numPr>
          <w:ilvl w:val="2"/>
          <w:numId w:val="23"/>
        </w:numPr>
        <w:bidi w:val="0"/>
        <w:spacing w:before="240" w:after="240" w:line="276" w:lineRule="auto"/>
        <w:ind w:left="2127" w:hanging="851"/>
        <w:rPr>
          <w:rFonts w:ascii="Times New Roman" w:hAnsi="Times New Roman" w:cs="Times New Roman"/>
          <w:b w:val="0"/>
          <w:bCs w:val="0"/>
          <w:sz w:val="24"/>
          <w:szCs w:val="24"/>
          <w:lang w:bidi="ar-JO"/>
        </w:rPr>
      </w:pPr>
      <w:r>
        <w:rPr>
          <w:rFonts w:ascii="Times New Roman" w:hAnsi="Times New Roman" w:cs="Times New Roman"/>
          <w:b w:val="0"/>
          <w:bCs w:val="0"/>
          <w:sz w:val="24"/>
          <w:szCs w:val="24"/>
          <w:lang w:val="en"/>
        </w:rPr>
        <w:t>Calculate</w:t>
      </w:r>
      <w:r w:rsidR="0039757E" w:rsidRPr="00C0031B">
        <w:rPr>
          <w:rFonts w:ascii="Times New Roman" w:hAnsi="Times New Roman" w:cs="Times New Roman"/>
          <w:b w:val="0"/>
          <w:bCs w:val="0"/>
          <w:sz w:val="24"/>
          <w:szCs w:val="24"/>
          <w:lang w:val="en"/>
        </w:rPr>
        <w:t xml:space="preserve"> the total positions of the bank, whether long or short, regardless of the sign, which represents the result of the sum of the long and short positions.</w:t>
      </w:r>
    </w:p>
    <w:p w:rsidR="0039757E" w:rsidRPr="00C0031B" w:rsidRDefault="0039757E" w:rsidP="007813B3">
      <w:pPr>
        <w:pStyle w:val="ListParagraph"/>
        <w:numPr>
          <w:ilvl w:val="2"/>
          <w:numId w:val="23"/>
        </w:numPr>
        <w:bidi w:val="0"/>
        <w:spacing w:before="240" w:after="240" w:line="276" w:lineRule="auto"/>
        <w:ind w:left="2127" w:hanging="851"/>
        <w:rPr>
          <w:rFonts w:ascii="Times New Roman" w:hAnsi="Times New Roman" w:cs="Times New Roman"/>
          <w:b w:val="0"/>
          <w:bCs w:val="0"/>
          <w:sz w:val="24"/>
          <w:szCs w:val="24"/>
          <w:lang w:bidi="ar-JO"/>
        </w:rPr>
      </w:pPr>
      <w:r w:rsidRPr="00C0031B">
        <w:rPr>
          <w:rFonts w:ascii="Times New Roman" w:eastAsiaTheme="minorHAnsi" w:hAnsi="Times New Roman" w:cs="Times New Roman"/>
          <w:b w:val="0"/>
          <w:bCs w:val="0"/>
          <w:sz w:val="24"/>
          <w:szCs w:val="24"/>
        </w:rPr>
        <w:t>The capital charge wil</w:t>
      </w:r>
      <w:r w:rsidR="007813B3">
        <w:rPr>
          <w:rFonts w:ascii="Times New Roman" w:eastAsiaTheme="minorHAnsi" w:hAnsi="Times New Roman" w:cs="Times New Roman"/>
          <w:b w:val="0"/>
          <w:bCs w:val="0"/>
          <w:sz w:val="24"/>
          <w:szCs w:val="24"/>
        </w:rPr>
        <w:t>l equal 15% of the net position plus</w:t>
      </w:r>
      <w:r w:rsidRPr="00C0031B">
        <w:rPr>
          <w:rFonts w:ascii="Times New Roman" w:eastAsiaTheme="minorHAnsi" w:hAnsi="Times New Roman" w:cs="Times New Roman"/>
          <w:b w:val="0"/>
          <w:bCs w:val="0"/>
          <w:sz w:val="24"/>
          <w:szCs w:val="24"/>
        </w:rPr>
        <w:t xml:space="preserve"> 3% of the </w:t>
      </w:r>
      <w:r w:rsidRPr="00F56555">
        <w:rPr>
          <w:rFonts w:ascii="Times New Roman" w:eastAsiaTheme="minorHAnsi" w:hAnsi="Times New Roman" w:cs="Times New Roman"/>
          <w:b w:val="0"/>
          <w:bCs w:val="0"/>
          <w:sz w:val="24"/>
          <w:szCs w:val="24"/>
        </w:rPr>
        <w:t>bank’s gross positions.</w:t>
      </w:r>
    </w:p>
    <w:p w:rsidR="0039757E" w:rsidRPr="00C0031B" w:rsidRDefault="00CC10ED" w:rsidP="007A0099">
      <w:pPr>
        <w:pStyle w:val="ListParagraph"/>
        <w:numPr>
          <w:ilvl w:val="2"/>
          <w:numId w:val="23"/>
        </w:numPr>
        <w:bidi w:val="0"/>
        <w:spacing w:before="240" w:after="240" w:line="276" w:lineRule="auto"/>
        <w:ind w:left="2127" w:hanging="851"/>
        <w:rPr>
          <w:rFonts w:ascii="Times New Roman" w:hAnsi="Times New Roman" w:cs="Times New Roman"/>
          <w:b w:val="0"/>
          <w:bCs w:val="0"/>
          <w:sz w:val="24"/>
          <w:szCs w:val="24"/>
          <w:lang w:bidi="ar-JO"/>
        </w:rPr>
      </w:pPr>
      <w:r w:rsidRPr="00C0031B">
        <w:rPr>
          <w:rFonts w:ascii="Times New Roman" w:hAnsi="Times New Roman" w:cs="Times New Roman"/>
          <w:b w:val="0"/>
          <w:bCs w:val="0"/>
          <w:sz w:val="24"/>
          <w:szCs w:val="24"/>
          <w:lang w:val="en"/>
        </w:rPr>
        <w:t>Calculating the commodities risk, which represents the required capital multiplied by (12.5).</w:t>
      </w:r>
    </w:p>
    <w:p w:rsidR="007A0099" w:rsidRPr="00F57744" w:rsidRDefault="007A0099" w:rsidP="007A0099">
      <w:pPr>
        <w:pStyle w:val="ListParagraph"/>
        <w:bidi w:val="0"/>
        <w:spacing w:before="240" w:after="240" w:line="276" w:lineRule="auto"/>
        <w:ind w:left="2127"/>
        <w:rPr>
          <w:rFonts w:ascii="Times New Roman" w:hAnsi="Times New Roman" w:cs="Times New Roman"/>
          <w:b w:val="0"/>
          <w:bCs w:val="0"/>
          <w:sz w:val="10"/>
          <w:szCs w:val="10"/>
          <w:lang w:bidi="ar-JO"/>
        </w:rPr>
      </w:pPr>
    </w:p>
    <w:p w:rsidR="00303DA8" w:rsidRPr="00C0031B" w:rsidRDefault="003173A4" w:rsidP="007A0099">
      <w:pPr>
        <w:pStyle w:val="ListParagraph"/>
        <w:numPr>
          <w:ilvl w:val="0"/>
          <w:numId w:val="23"/>
        </w:numPr>
        <w:bidi w:val="0"/>
        <w:spacing w:before="240" w:after="240" w:line="276" w:lineRule="auto"/>
        <w:ind w:hanging="578"/>
        <w:rPr>
          <w:rFonts w:ascii="Times New Roman" w:hAnsi="Times New Roman" w:cs="Times New Roman"/>
          <w:sz w:val="24"/>
          <w:szCs w:val="24"/>
          <w:lang w:bidi="ar-JO"/>
        </w:rPr>
      </w:pPr>
      <w:r w:rsidRPr="00C0031B">
        <w:rPr>
          <w:rFonts w:ascii="Times New Roman" w:hAnsi="Times New Roman" w:cs="Times New Roman"/>
          <w:sz w:val="24"/>
          <w:szCs w:val="24"/>
          <w:lang w:val="en"/>
        </w:rPr>
        <w:t>Derivative risk:</w:t>
      </w:r>
    </w:p>
    <w:p w:rsidR="008F39D1" w:rsidRPr="00963400" w:rsidRDefault="008F39D1" w:rsidP="007A0099">
      <w:pPr>
        <w:pStyle w:val="ListParagraph"/>
        <w:numPr>
          <w:ilvl w:val="1"/>
          <w:numId w:val="23"/>
        </w:numPr>
        <w:bidi w:val="0"/>
        <w:spacing w:before="240" w:after="240" w:line="276" w:lineRule="auto"/>
        <w:ind w:left="1276" w:hanging="556"/>
        <w:rPr>
          <w:rFonts w:ascii="Times New Roman" w:hAnsi="Times New Roman" w:cs="Times New Roman"/>
          <w:b w:val="0"/>
          <w:bCs w:val="0"/>
          <w:sz w:val="24"/>
          <w:szCs w:val="24"/>
          <w:lang w:val="en"/>
        </w:rPr>
      </w:pPr>
      <w:r w:rsidRPr="00963400">
        <w:rPr>
          <w:rFonts w:ascii="Times New Roman" w:hAnsi="Times New Roman" w:cs="Times New Roman"/>
          <w:b w:val="0"/>
          <w:bCs w:val="0"/>
          <w:sz w:val="24"/>
          <w:szCs w:val="24"/>
          <w:lang w:val="en"/>
        </w:rPr>
        <w:t>The losses that the bank may incur as a result of maintaining derivative contracts for trading or hedging trading instruments, as a result of the adverse change in the prices of the financial instruments on which these contracts are based (Underlying Assets).</w:t>
      </w:r>
    </w:p>
    <w:p w:rsidR="008F39D1" w:rsidRPr="00963400" w:rsidRDefault="008F39D1" w:rsidP="007A0099">
      <w:pPr>
        <w:pStyle w:val="ListParagraph"/>
        <w:numPr>
          <w:ilvl w:val="1"/>
          <w:numId w:val="23"/>
        </w:numPr>
        <w:bidi w:val="0"/>
        <w:spacing w:before="240" w:after="240" w:line="276" w:lineRule="auto"/>
        <w:ind w:left="1276" w:hanging="556"/>
        <w:rPr>
          <w:rFonts w:ascii="Times New Roman" w:hAnsi="Times New Roman" w:cs="Times New Roman"/>
          <w:b w:val="0"/>
          <w:bCs w:val="0"/>
          <w:sz w:val="24"/>
          <w:szCs w:val="24"/>
          <w:lang w:bidi="ar-JO"/>
        </w:rPr>
      </w:pPr>
      <w:r w:rsidRPr="00963400">
        <w:rPr>
          <w:rFonts w:ascii="Times New Roman" w:eastAsiaTheme="minorHAnsi" w:hAnsi="Times New Roman" w:cs="Times New Roman"/>
          <w:b w:val="0"/>
          <w:bCs w:val="0"/>
          <w:sz w:val="24"/>
          <w:szCs w:val="24"/>
        </w:rPr>
        <w:t>Banks which solely use purchased options will be use the simplified approach (</w:t>
      </w:r>
      <w:r w:rsidRPr="00963400">
        <w:rPr>
          <w:rFonts w:ascii="Times New Roman" w:hAnsi="Times New Roman" w:cs="Times New Roman"/>
          <w:b w:val="0"/>
          <w:bCs w:val="0"/>
          <w:sz w:val="24"/>
          <w:szCs w:val="24"/>
          <w:lang w:val="en"/>
        </w:rPr>
        <w:t>These instructions do not apply in which the bank is writer), as follows:</w:t>
      </w:r>
    </w:p>
    <w:p w:rsidR="008F39D1" w:rsidRPr="00963400" w:rsidRDefault="008F39D1" w:rsidP="007A0099">
      <w:pPr>
        <w:pStyle w:val="ListParagraph"/>
        <w:numPr>
          <w:ilvl w:val="2"/>
          <w:numId w:val="23"/>
        </w:numPr>
        <w:bidi w:val="0"/>
        <w:spacing w:before="240" w:after="240" w:line="276" w:lineRule="auto"/>
        <w:ind w:left="2127" w:hanging="851"/>
        <w:rPr>
          <w:rFonts w:ascii="Times New Roman" w:hAnsi="Times New Roman" w:cs="Times New Roman"/>
          <w:b w:val="0"/>
          <w:bCs w:val="0"/>
          <w:sz w:val="24"/>
          <w:szCs w:val="24"/>
          <w:lang w:val="en"/>
        </w:rPr>
      </w:pPr>
      <w:r w:rsidRPr="00963400">
        <w:rPr>
          <w:rFonts w:ascii="Times New Roman" w:hAnsi="Times New Roman" w:cs="Times New Roman"/>
          <w:b w:val="0"/>
          <w:bCs w:val="0"/>
          <w:sz w:val="24"/>
          <w:szCs w:val="24"/>
          <w:lang w:val="en"/>
        </w:rPr>
        <w:lastRenderedPageBreak/>
        <w:t>The bank maintains long or short positions with the right to Put or call them.</w:t>
      </w:r>
    </w:p>
    <w:p w:rsidR="008F39D1" w:rsidRPr="00963400" w:rsidRDefault="00B154D4" w:rsidP="007A0099">
      <w:pPr>
        <w:pStyle w:val="ListParagraph"/>
        <w:numPr>
          <w:ilvl w:val="2"/>
          <w:numId w:val="23"/>
        </w:numPr>
        <w:bidi w:val="0"/>
        <w:spacing w:before="240" w:after="240" w:line="276" w:lineRule="auto"/>
        <w:ind w:left="2127" w:hanging="851"/>
        <w:rPr>
          <w:rFonts w:ascii="Times New Roman" w:hAnsi="Times New Roman" w:cs="Times New Roman"/>
          <w:b w:val="0"/>
          <w:bCs w:val="0"/>
          <w:sz w:val="24"/>
          <w:szCs w:val="24"/>
          <w:lang w:bidi="ar-JO"/>
        </w:rPr>
      </w:pPr>
      <w:r w:rsidRPr="00963400">
        <w:rPr>
          <w:rFonts w:ascii="Times New Roman" w:hAnsi="Times New Roman" w:cs="Times New Roman"/>
          <w:b w:val="0"/>
          <w:bCs w:val="0"/>
          <w:sz w:val="24"/>
          <w:szCs w:val="24"/>
          <w:lang w:val="en"/>
        </w:rPr>
        <w:t>Holding long positions with the right to Put them.</w:t>
      </w:r>
    </w:p>
    <w:p w:rsidR="00B154D4" w:rsidRPr="00963400" w:rsidRDefault="00B154D4" w:rsidP="00F56555">
      <w:pPr>
        <w:pStyle w:val="ListParagraph"/>
        <w:bidi w:val="0"/>
        <w:spacing w:before="240" w:after="240" w:line="276" w:lineRule="auto"/>
        <w:ind w:left="2127"/>
        <w:rPr>
          <w:rFonts w:ascii="Times New Roman" w:hAnsi="Times New Roman" w:cs="Times New Roman"/>
          <w:b w:val="0"/>
          <w:bCs w:val="0"/>
          <w:sz w:val="24"/>
          <w:szCs w:val="24"/>
          <w:lang w:bidi="ar-JO"/>
        </w:rPr>
      </w:pPr>
      <w:r w:rsidRPr="00963400">
        <w:rPr>
          <w:rFonts w:ascii="Times New Roman" w:hAnsi="Times New Roman" w:cs="Times New Roman"/>
          <w:b w:val="0"/>
          <w:bCs w:val="0"/>
          <w:sz w:val="24"/>
          <w:szCs w:val="24"/>
          <w:lang w:val="en"/>
        </w:rPr>
        <w:t>The value of the option contract is calculated whether it is a profit (In the Money)</w:t>
      </w:r>
      <w:r w:rsidR="00E36847" w:rsidRPr="00963400">
        <w:rPr>
          <w:rFonts w:ascii="Times New Roman" w:hAnsi="Times New Roman" w:cs="Times New Roman"/>
          <w:b w:val="0"/>
          <w:bCs w:val="0"/>
          <w:sz w:val="24"/>
          <w:szCs w:val="24"/>
          <w:lang w:val="en"/>
        </w:rPr>
        <w:t xml:space="preserve"> or a loss (Out of the Money), w</w:t>
      </w:r>
      <w:r w:rsidRPr="00963400">
        <w:rPr>
          <w:rFonts w:ascii="Times New Roman" w:hAnsi="Times New Roman" w:cs="Times New Roman"/>
          <w:b w:val="0"/>
          <w:bCs w:val="0"/>
          <w:sz w:val="24"/>
          <w:szCs w:val="24"/>
          <w:lang w:val="en"/>
        </w:rPr>
        <w:t xml:space="preserve">here the contract is profit when the </w:t>
      </w:r>
      <w:r w:rsidR="00F56555" w:rsidRPr="00963400">
        <w:rPr>
          <w:rFonts w:ascii="Times New Roman" w:hAnsi="Times New Roman" w:cs="Times New Roman"/>
          <w:b w:val="0"/>
          <w:bCs w:val="0"/>
          <w:sz w:val="24"/>
          <w:szCs w:val="24"/>
          <w:lang w:val="en"/>
        </w:rPr>
        <w:t>strike</w:t>
      </w:r>
      <w:r w:rsidRPr="00963400">
        <w:rPr>
          <w:rFonts w:ascii="Times New Roman" w:hAnsi="Times New Roman" w:cs="Times New Roman"/>
          <w:b w:val="0"/>
          <w:bCs w:val="0"/>
          <w:sz w:val="24"/>
          <w:szCs w:val="24"/>
          <w:lang w:val="en"/>
        </w:rPr>
        <w:t xml:space="preserve"> price is higher than the market price of the </w:t>
      </w:r>
      <w:r w:rsidRPr="00963400">
        <w:rPr>
          <w:rFonts w:ascii="Times New Roman" w:eastAsiaTheme="minorHAnsi" w:hAnsi="Times New Roman" w:cs="Times New Roman"/>
          <w:b w:val="0"/>
          <w:bCs w:val="0"/>
          <w:sz w:val="24"/>
          <w:szCs w:val="24"/>
        </w:rPr>
        <w:t>underlying security</w:t>
      </w:r>
      <w:r w:rsidRPr="00963400">
        <w:rPr>
          <w:rFonts w:ascii="Times New Roman" w:hAnsi="Times New Roman" w:cs="Times New Roman"/>
          <w:b w:val="0"/>
          <w:bCs w:val="0"/>
          <w:sz w:val="24"/>
          <w:szCs w:val="24"/>
          <w:lang w:val="en"/>
        </w:rPr>
        <w:t>, and vice versa.</w:t>
      </w:r>
    </w:p>
    <w:p w:rsidR="00B154D4" w:rsidRPr="00963400" w:rsidRDefault="00B154D4" w:rsidP="007A0099">
      <w:pPr>
        <w:pStyle w:val="ListParagraph"/>
        <w:numPr>
          <w:ilvl w:val="2"/>
          <w:numId w:val="23"/>
        </w:numPr>
        <w:bidi w:val="0"/>
        <w:spacing w:before="240" w:after="240" w:line="276" w:lineRule="auto"/>
        <w:ind w:left="2127" w:hanging="851"/>
        <w:rPr>
          <w:rFonts w:ascii="Times New Roman" w:hAnsi="Times New Roman" w:cs="Times New Roman"/>
          <w:b w:val="0"/>
          <w:bCs w:val="0"/>
          <w:sz w:val="24"/>
          <w:szCs w:val="24"/>
          <w:lang w:bidi="ar-JO"/>
        </w:rPr>
      </w:pPr>
      <w:r w:rsidRPr="00963400">
        <w:rPr>
          <w:rFonts w:ascii="Times New Roman" w:hAnsi="Times New Roman" w:cs="Times New Roman"/>
          <w:b w:val="0"/>
          <w:bCs w:val="0"/>
          <w:sz w:val="24"/>
          <w:szCs w:val="24"/>
          <w:lang w:val="en"/>
        </w:rPr>
        <w:t>Holding short positions with the right to Call them.</w:t>
      </w:r>
    </w:p>
    <w:p w:rsidR="00B154D4" w:rsidRPr="00963400" w:rsidRDefault="00B154D4" w:rsidP="00963400">
      <w:pPr>
        <w:pStyle w:val="ListParagraph"/>
        <w:bidi w:val="0"/>
        <w:spacing w:before="240" w:after="240" w:line="276" w:lineRule="auto"/>
        <w:ind w:left="2127"/>
        <w:rPr>
          <w:rFonts w:ascii="Times New Roman" w:hAnsi="Times New Roman" w:cs="Times New Roman"/>
          <w:b w:val="0"/>
          <w:bCs w:val="0"/>
          <w:sz w:val="24"/>
          <w:szCs w:val="24"/>
          <w:lang w:bidi="ar-JO"/>
        </w:rPr>
      </w:pPr>
      <w:r w:rsidRPr="00963400">
        <w:rPr>
          <w:rFonts w:ascii="Times New Roman" w:hAnsi="Times New Roman" w:cs="Times New Roman"/>
          <w:b w:val="0"/>
          <w:bCs w:val="0"/>
          <w:sz w:val="24"/>
          <w:szCs w:val="24"/>
          <w:lang w:val="en"/>
        </w:rPr>
        <w:t xml:space="preserve">The value of the option contract is calculated whether it is a profit or a loss, where the contract is profit when the market price of the </w:t>
      </w:r>
      <w:r w:rsidRPr="00963400">
        <w:rPr>
          <w:rFonts w:ascii="Times New Roman" w:eastAsiaTheme="minorHAnsi" w:hAnsi="Times New Roman" w:cs="Times New Roman"/>
          <w:b w:val="0"/>
          <w:bCs w:val="0"/>
          <w:sz w:val="24"/>
          <w:szCs w:val="24"/>
        </w:rPr>
        <w:t xml:space="preserve">underlying security </w:t>
      </w:r>
      <w:r w:rsidRPr="00963400">
        <w:rPr>
          <w:rFonts w:ascii="Times New Roman" w:hAnsi="Times New Roman" w:cs="Times New Roman"/>
          <w:b w:val="0"/>
          <w:bCs w:val="0"/>
          <w:sz w:val="24"/>
          <w:szCs w:val="24"/>
          <w:lang w:val="en"/>
        </w:rPr>
        <w:t xml:space="preserve">is higher than the </w:t>
      </w:r>
      <w:r w:rsidR="00963400" w:rsidRPr="00963400">
        <w:rPr>
          <w:rFonts w:ascii="Times New Roman" w:hAnsi="Times New Roman" w:cs="Times New Roman"/>
          <w:b w:val="0"/>
          <w:bCs w:val="0"/>
          <w:sz w:val="24"/>
          <w:szCs w:val="24"/>
          <w:lang w:val="en"/>
        </w:rPr>
        <w:t xml:space="preserve">strike </w:t>
      </w:r>
      <w:r w:rsidRPr="00963400">
        <w:rPr>
          <w:rFonts w:ascii="Times New Roman" w:hAnsi="Times New Roman" w:cs="Times New Roman"/>
          <w:b w:val="0"/>
          <w:bCs w:val="0"/>
          <w:sz w:val="24"/>
          <w:szCs w:val="24"/>
          <w:lang w:val="en"/>
        </w:rPr>
        <w:t>price, and vice versa.</w:t>
      </w:r>
    </w:p>
    <w:p w:rsidR="00B154D4" w:rsidRPr="00963400" w:rsidRDefault="00B154D4" w:rsidP="007A0099">
      <w:pPr>
        <w:pStyle w:val="ListParagraph"/>
        <w:numPr>
          <w:ilvl w:val="2"/>
          <w:numId w:val="23"/>
        </w:numPr>
        <w:bidi w:val="0"/>
        <w:spacing w:before="240" w:after="240" w:line="276" w:lineRule="auto"/>
        <w:ind w:left="2127" w:hanging="851"/>
        <w:rPr>
          <w:rFonts w:ascii="Times New Roman" w:hAnsi="Times New Roman" w:cs="Times New Roman"/>
          <w:b w:val="0"/>
          <w:bCs w:val="0"/>
          <w:sz w:val="24"/>
          <w:szCs w:val="24"/>
          <w:lang w:bidi="ar-JO"/>
        </w:rPr>
      </w:pPr>
      <w:r w:rsidRPr="00963400">
        <w:rPr>
          <w:rFonts w:ascii="Times New Roman" w:eastAsiaTheme="minorHAnsi" w:hAnsi="Times New Roman" w:cs="Times New Roman"/>
          <w:b w:val="0"/>
          <w:bCs w:val="0"/>
          <w:sz w:val="24"/>
          <w:szCs w:val="24"/>
        </w:rPr>
        <w:t xml:space="preserve">The capital charge will be the market value of the underlying security multiplied by (16%) </w:t>
      </w:r>
      <w:r w:rsidR="00CD5837" w:rsidRPr="00963400">
        <w:rPr>
          <w:rFonts w:ascii="Times New Roman" w:eastAsiaTheme="minorHAnsi" w:hAnsi="Times New Roman" w:cs="Times New Roman"/>
          <w:b w:val="0"/>
          <w:bCs w:val="0"/>
          <w:sz w:val="24"/>
          <w:szCs w:val="24"/>
        </w:rPr>
        <w:t xml:space="preserve">(8% for specific risk and 8% for general risk) less the amount of profit if the contract is </w:t>
      </w:r>
      <w:r w:rsidR="00CD5837" w:rsidRPr="00963400">
        <w:rPr>
          <w:rFonts w:ascii="Times New Roman" w:hAnsi="Times New Roman" w:cs="Times New Roman"/>
          <w:b w:val="0"/>
          <w:bCs w:val="0"/>
          <w:sz w:val="24"/>
          <w:szCs w:val="24"/>
          <w:lang w:val="en"/>
        </w:rPr>
        <w:t>a profit (In the Money).</w:t>
      </w:r>
    </w:p>
    <w:p w:rsidR="008F39D1" w:rsidRPr="00B66B27" w:rsidRDefault="008F39D1" w:rsidP="005338D7">
      <w:pPr>
        <w:pStyle w:val="ListParagraph"/>
        <w:bidi w:val="0"/>
        <w:spacing w:before="240" w:after="240" w:line="276" w:lineRule="auto"/>
        <w:ind w:left="1440"/>
        <w:rPr>
          <w:rFonts w:ascii="Times New Roman" w:hAnsi="Times New Roman" w:cs="Times New Roman"/>
          <w:b w:val="0"/>
          <w:bCs w:val="0"/>
          <w:sz w:val="16"/>
          <w:szCs w:val="16"/>
          <w:lang w:bidi="ar-JO"/>
        </w:rPr>
      </w:pPr>
    </w:p>
    <w:p w:rsidR="008F39D1" w:rsidRPr="00C0031B" w:rsidRDefault="005C2603" w:rsidP="007A0099">
      <w:pPr>
        <w:pStyle w:val="ListParagraph"/>
        <w:numPr>
          <w:ilvl w:val="0"/>
          <w:numId w:val="23"/>
        </w:numPr>
        <w:bidi w:val="0"/>
        <w:spacing w:before="240" w:after="240" w:line="276" w:lineRule="auto"/>
        <w:ind w:hanging="578"/>
        <w:rPr>
          <w:rFonts w:ascii="Times New Roman" w:hAnsi="Times New Roman" w:cs="Times New Roman"/>
          <w:sz w:val="24"/>
          <w:szCs w:val="24"/>
          <w:lang w:bidi="ar-JO"/>
        </w:rPr>
      </w:pPr>
      <w:r w:rsidRPr="00C0031B">
        <w:rPr>
          <w:rFonts w:ascii="Times New Roman" w:hAnsi="Times New Roman" w:cs="Times New Roman"/>
          <w:sz w:val="24"/>
          <w:szCs w:val="24"/>
          <w:lang w:val="en"/>
        </w:rPr>
        <w:t>Maintaining derivative contracts for trading:</w:t>
      </w:r>
    </w:p>
    <w:p w:rsidR="005C2603" w:rsidRPr="00963400" w:rsidRDefault="005C2603" w:rsidP="007A0099">
      <w:pPr>
        <w:pStyle w:val="ListParagraph"/>
        <w:numPr>
          <w:ilvl w:val="1"/>
          <w:numId w:val="23"/>
        </w:numPr>
        <w:bidi w:val="0"/>
        <w:spacing w:before="240" w:after="240" w:line="276" w:lineRule="auto"/>
        <w:ind w:left="1276" w:hanging="556"/>
        <w:rPr>
          <w:rFonts w:ascii="Times New Roman" w:hAnsi="Times New Roman" w:cs="Times New Roman"/>
          <w:b w:val="0"/>
          <w:bCs w:val="0"/>
          <w:sz w:val="24"/>
          <w:szCs w:val="24"/>
          <w:lang w:val="en"/>
        </w:rPr>
      </w:pPr>
      <w:r w:rsidRPr="00963400">
        <w:rPr>
          <w:rFonts w:ascii="Times New Roman" w:hAnsi="Times New Roman" w:cs="Times New Roman"/>
          <w:b w:val="0"/>
          <w:bCs w:val="0"/>
          <w:sz w:val="24"/>
          <w:szCs w:val="24"/>
          <w:lang w:val="en"/>
        </w:rPr>
        <w:t>Call – Put:</w:t>
      </w:r>
    </w:p>
    <w:p w:rsidR="005C2603" w:rsidRPr="00963400" w:rsidRDefault="005C2603" w:rsidP="007A0099">
      <w:pPr>
        <w:pStyle w:val="ListParagraph"/>
        <w:bidi w:val="0"/>
        <w:spacing w:before="240" w:after="240" w:line="276" w:lineRule="auto"/>
        <w:ind w:left="1276"/>
        <w:rPr>
          <w:rFonts w:ascii="Times New Roman" w:eastAsiaTheme="minorHAnsi" w:hAnsi="Times New Roman" w:cs="Times New Roman"/>
          <w:b w:val="0"/>
          <w:bCs w:val="0"/>
          <w:sz w:val="24"/>
          <w:szCs w:val="24"/>
        </w:rPr>
      </w:pPr>
      <w:r w:rsidRPr="00963400">
        <w:rPr>
          <w:rFonts w:ascii="Times New Roman" w:eastAsiaTheme="minorHAnsi" w:hAnsi="Times New Roman" w:cs="Times New Roman"/>
          <w:b w:val="0"/>
          <w:bCs w:val="0"/>
          <w:sz w:val="24"/>
          <w:szCs w:val="24"/>
        </w:rPr>
        <w:t>The capital charge will be the lesser of:</w:t>
      </w:r>
    </w:p>
    <w:p w:rsidR="005C2603" w:rsidRPr="00963400" w:rsidRDefault="005C2603" w:rsidP="007A0099">
      <w:pPr>
        <w:pStyle w:val="ListParagraph"/>
        <w:numPr>
          <w:ilvl w:val="2"/>
          <w:numId w:val="23"/>
        </w:numPr>
        <w:bidi w:val="0"/>
        <w:spacing w:before="240" w:after="240" w:line="276" w:lineRule="auto"/>
        <w:ind w:left="2127" w:hanging="851"/>
        <w:rPr>
          <w:rFonts w:ascii="Times New Roman" w:eastAsiaTheme="minorHAnsi" w:hAnsi="Times New Roman" w:cs="Times New Roman"/>
          <w:b w:val="0"/>
          <w:bCs w:val="0"/>
          <w:sz w:val="24"/>
          <w:szCs w:val="24"/>
        </w:rPr>
      </w:pPr>
      <w:r w:rsidRPr="00963400">
        <w:rPr>
          <w:rFonts w:ascii="Times New Roman" w:eastAsiaTheme="minorHAnsi" w:hAnsi="Times New Roman" w:cs="Times New Roman"/>
          <w:b w:val="0"/>
          <w:bCs w:val="0"/>
          <w:sz w:val="24"/>
          <w:szCs w:val="24"/>
        </w:rPr>
        <w:t>The market value of the underlying security multiplied by (8%).</w:t>
      </w:r>
    </w:p>
    <w:p w:rsidR="005C2603" w:rsidRPr="00963400" w:rsidRDefault="005C2603" w:rsidP="007A0099">
      <w:pPr>
        <w:pStyle w:val="ListParagraph"/>
        <w:numPr>
          <w:ilvl w:val="2"/>
          <w:numId w:val="23"/>
        </w:numPr>
        <w:bidi w:val="0"/>
        <w:spacing w:before="240" w:after="240" w:line="276" w:lineRule="auto"/>
        <w:ind w:left="2127" w:hanging="851"/>
        <w:rPr>
          <w:rFonts w:ascii="Times New Roman" w:hAnsi="Times New Roman" w:cs="Times New Roman"/>
          <w:b w:val="0"/>
          <w:bCs w:val="0"/>
          <w:sz w:val="24"/>
          <w:szCs w:val="24"/>
          <w:lang w:val="en"/>
        </w:rPr>
      </w:pPr>
      <w:r w:rsidRPr="00963400">
        <w:rPr>
          <w:rFonts w:ascii="Times New Roman" w:eastAsiaTheme="minorHAnsi" w:hAnsi="Times New Roman" w:cs="Times New Roman"/>
          <w:b w:val="0"/>
          <w:bCs w:val="0"/>
          <w:sz w:val="24"/>
          <w:szCs w:val="24"/>
        </w:rPr>
        <w:t xml:space="preserve">The </w:t>
      </w:r>
      <w:r w:rsidRPr="00963400">
        <w:rPr>
          <w:rFonts w:ascii="Times New Roman" w:hAnsi="Times New Roman" w:cs="Times New Roman"/>
          <w:b w:val="0"/>
          <w:bCs w:val="0"/>
          <w:sz w:val="24"/>
          <w:szCs w:val="24"/>
        </w:rPr>
        <w:t>Premium.</w:t>
      </w:r>
    </w:p>
    <w:p w:rsidR="005C2603" w:rsidRPr="00963400" w:rsidRDefault="005C2603" w:rsidP="00B077E2">
      <w:pPr>
        <w:pStyle w:val="ListParagraph"/>
        <w:bidi w:val="0"/>
        <w:spacing w:before="240" w:after="240" w:line="276" w:lineRule="auto"/>
        <w:ind w:left="1800" w:hanging="524"/>
        <w:rPr>
          <w:rFonts w:ascii="Times New Roman" w:hAnsi="Times New Roman" w:cs="Times New Roman"/>
          <w:b w:val="0"/>
          <w:bCs w:val="0"/>
          <w:sz w:val="24"/>
          <w:szCs w:val="24"/>
          <w:lang w:val="en"/>
        </w:rPr>
      </w:pPr>
      <w:r w:rsidRPr="00963400">
        <w:rPr>
          <w:rFonts w:ascii="Times New Roman" w:hAnsi="Times New Roman" w:cs="Times New Roman"/>
          <w:b w:val="0"/>
          <w:bCs w:val="0"/>
          <w:sz w:val="24"/>
          <w:szCs w:val="24"/>
          <w:lang w:val="en"/>
        </w:rPr>
        <w:t>A</w:t>
      </w:r>
      <w:r w:rsidR="00B077E2" w:rsidRPr="00963400">
        <w:rPr>
          <w:rFonts w:ascii="Times New Roman" w:hAnsi="Times New Roman" w:cs="Times New Roman"/>
          <w:b w:val="0"/>
          <w:bCs w:val="0"/>
          <w:sz w:val="24"/>
          <w:szCs w:val="24"/>
          <w:lang w:val="en"/>
        </w:rPr>
        <w:t>nnex n</w:t>
      </w:r>
      <w:r w:rsidRPr="00963400">
        <w:rPr>
          <w:rFonts w:ascii="Times New Roman" w:hAnsi="Times New Roman" w:cs="Times New Roman"/>
          <w:b w:val="0"/>
          <w:bCs w:val="0"/>
          <w:sz w:val="24"/>
          <w:szCs w:val="24"/>
          <w:lang w:val="en"/>
        </w:rPr>
        <w:t>o. (21) shows the details of that</w:t>
      </w:r>
      <w:r w:rsidR="00E36847" w:rsidRPr="00963400">
        <w:rPr>
          <w:rFonts w:ascii="Times New Roman" w:hAnsi="Times New Roman" w:cs="Times New Roman"/>
          <w:b w:val="0"/>
          <w:bCs w:val="0"/>
          <w:sz w:val="24"/>
          <w:szCs w:val="24"/>
          <w:lang w:val="en"/>
        </w:rPr>
        <w:t>.</w:t>
      </w:r>
    </w:p>
    <w:p w:rsidR="005C2603" w:rsidRPr="00963400" w:rsidRDefault="005C2603" w:rsidP="00B077E2">
      <w:pPr>
        <w:pStyle w:val="ListParagraph"/>
        <w:numPr>
          <w:ilvl w:val="1"/>
          <w:numId w:val="23"/>
        </w:numPr>
        <w:bidi w:val="0"/>
        <w:spacing w:before="240" w:after="240" w:line="276" w:lineRule="auto"/>
        <w:ind w:left="1276" w:hanging="556"/>
        <w:rPr>
          <w:rFonts w:ascii="Times New Roman" w:hAnsi="Times New Roman" w:cs="Times New Roman"/>
          <w:b w:val="0"/>
          <w:bCs w:val="0"/>
          <w:sz w:val="24"/>
          <w:szCs w:val="24"/>
          <w:lang w:bidi="ar-JO"/>
        </w:rPr>
      </w:pPr>
      <w:r w:rsidRPr="00963400">
        <w:rPr>
          <w:rFonts w:ascii="Times New Roman" w:hAnsi="Times New Roman" w:cs="Times New Roman"/>
          <w:b w:val="0"/>
          <w:bCs w:val="0"/>
          <w:sz w:val="24"/>
          <w:szCs w:val="24"/>
          <w:lang w:val="en"/>
        </w:rPr>
        <w:t xml:space="preserve">Calculating the derivatives risk, which </w:t>
      </w:r>
      <w:r w:rsidR="00E36847" w:rsidRPr="00963400">
        <w:rPr>
          <w:rFonts w:ascii="Times New Roman" w:hAnsi="Times New Roman" w:cs="Times New Roman"/>
          <w:b w:val="0"/>
          <w:bCs w:val="0"/>
          <w:sz w:val="24"/>
          <w:szCs w:val="24"/>
          <w:lang w:val="en"/>
        </w:rPr>
        <w:t>represents the required capital</w:t>
      </w:r>
      <w:r w:rsidRPr="00963400">
        <w:rPr>
          <w:rFonts w:ascii="Times New Roman" w:hAnsi="Times New Roman" w:cs="Times New Roman"/>
          <w:b w:val="0"/>
          <w:bCs w:val="0"/>
          <w:sz w:val="24"/>
          <w:szCs w:val="24"/>
          <w:lang w:val="en"/>
        </w:rPr>
        <w:t xml:space="preserve"> multiplied by (12.5).</w:t>
      </w:r>
    </w:p>
    <w:p w:rsidR="00336A94" w:rsidRPr="00B66B27" w:rsidRDefault="00336A94" w:rsidP="005338D7">
      <w:pPr>
        <w:pStyle w:val="ListParagraph"/>
        <w:bidi w:val="0"/>
        <w:spacing w:before="240" w:after="240" w:line="276" w:lineRule="auto"/>
        <w:ind w:left="1440"/>
        <w:rPr>
          <w:rFonts w:ascii="Times New Roman" w:hAnsi="Times New Roman" w:cs="Times New Roman"/>
          <w:b w:val="0"/>
          <w:bCs w:val="0"/>
          <w:sz w:val="16"/>
          <w:szCs w:val="16"/>
          <w:lang w:bidi="ar-JO"/>
        </w:rPr>
      </w:pPr>
    </w:p>
    <w:p w:rsidR="005C2603" w:rsidRPr="00C0031B" w:rsidRDefault="00E36847" w:rsidP="00E36847">
      <w:pPr>
        <w:pStyle w:val="ListParagraph"/>
        <w:numPr>
          <w:ilvl w:val="0"/>
          <w:numId w:val="23"/>
        </w:numPr>
        <w:bidi w:val="0"/>
        <w:spacing w:before="240" w:after="240" w:line="276" w:lineRule="auto"/>
        <w:ind w:hanging="578"/>
        <w:rPr>
          <w:rFonts w:ascii="Times New Roman" w:hAnsi="Times New Roman" w:cs="Times New Roman"/>
          <w:sz w:val="24"/>
          <w:szCs w:val="24"/>
          <w:lang w:bidi="ar-JO"/>
        </w:rPr>
      </w:pPr>
      <w:r>
        <w:rPr>
          <w:rFonts w:ascii="Times New Roman" w:hAnsi="Times New Roman" w:cs="Times New Roman"/>
          <w:sz w:val="24"/>
          <w:szCs w:val="24"/>
        </w:rPr>
        <w:t>The Counterparty r</w:t>
      </w:r>
      <w:r w:rsidR="00336A94" w:rsidRPr="00C0031B">
        <w:rPr>
          <w:rFonts w:ascii="Times New Roman" w:hAnsi="Times New Roman" w:cs="Times New Roman"/>
          <w:sz w:val="24"/>
          <w:szCs w:val="24"/>
        </w:rPr>
        <w:t>isk</w:t>
      </w:r>
      <w:r w:rsidR="00453EAB" w:rsidRPr="00C0031B">
        <w:rPr>
          <w:rFonts w:ascii="Times New Roman" w:hAnsi="Times New Roman" w:cs="Times New Roman"/>
          <w:sz w:val="24"/>
          <w:szCs w:val="24"/>
        </w:rPr>
        <w:t>/</w:t>
      </w:r>
      <w:r w:rsidR="00453EAB" w:rsidRPr="00C0031B">
        <w:rPr>
          <w:rFonts w:ascii="Times New Roman" w:hAnsi="Times New Roman" w:cs="Times New Roman"/>
          <w:sz w:val="24"/>
          <w:szCs w:val="24"/>
          <w:lang w:val="en"/>
        </w:rPr>
        <w:t xml:space="preserve"> Settlement risk:</w:t>
      </w:r>
    </w:p>
    <w:p w:rsidR="00453EAB" w:rsidRPr="00963400" w:rsidRDefault="00453EAB" w:rsidP="005338D7">
      <w:pPr>
        <w:pStyle w:val="ListParagraph"/>
        <w:bidi w:val="0"/>
        <w:spacing w:before="240" w:after="240" w:line="276" w:lineRule="auto"/>
        <w:rPr>
          <w:rFonts w:ascii="Times New Roman" w:hAnsi="Times New Roman" w:cs="Times New Roman"/>
          <w:b w:val="0"/>
          <w:bCs w:val="0"/>
          <w:sz w:val="24"/>
          <w:szCs w:val="24"/>
          <w:lang w:val="en"/>
        </w:rPr>
      </w:pPr>
      <w:r w:rsidRPr="00963400">
        <w:rPr>
          <w:rFonts w:ascii="Times New Roman" w:eastAsiaTheme="minorHAnsi" w:hAnsi="Times New Roman" w:cs="Times New Roman"/>
          <w:b w:val="0"/>
          <w:bCs w:val="0"/>
          <w:sz w:val="24"/>
          <w:szCs w:val="24"/>
        </w:rPr>
        <w:t xml:space="preserve">The risk that the counterparty to a transaction could default before the final settlement of the transaction's cash flows, </w:t>
      </w:r>
      <w:r w:rsidRPr="00963400">
        <w:rPr>
          <w:rFonts w:ascii="Times New Roman" w:hAnsi="Times New Roman" w:cs="Times New Roman"/>
          <w:b w:val="0"/>
          <w:bCs w:val="0"/>
          <w:sz w:val="24"/>
          <w:szCs w:val="24"/>
          <w:lang w:val="en"/>
        </w:rPr>
        <w:t>which includes the following:</w:t>
      </w:r>
    </w:p>
    <w:p w:rsidR="00453EAB" w:rsidRPr="00963400" w:rsidRDefault="00B077E2" w:rsidP="00B077E2">
      <w:pPr>
        <w:pStyle w:val="ListParagraph"/>
        <w:numPr>
          <w:ilvl w:val="1"/>
          <w:numId w:val="23"/>
        </w:numPr>
        <w:bidi w:val="0"/>
        <w:spacing w:before="240" w:after="240" w:line="276" w:lineRule="auto"/>
        <w:ind w:left="1276" w:hanging="556"/>
        <w:rPr>
          <w:rFonts w:ascii="Times New Roman" w:eastAsiaTheme="minorHAnsi" w:hAnsi="Times New Roman" w:cs="Times New Roman"/>
          <w:b w:val="0"/>
          <w:bCs w:val="0"/>
          <w:sz w:val="24"/>
          <w:szCs w:val="24"/>
        </w:rPr>
      </w:pPr>
      <w:r w:rsidRPr="00963400">
        <w:rPr>
          <w:rFonts w:ascii="Times New Roman" w:eastAsiaTheme="minorHAnsi" w:hAnsi="Times New Roman" w:cs="Times New Roman"/>
          <w:b w:val="0"/>
          <w:bCs w:val="0"/>
          <w:sz w:val="24"/>
          <w:szCs w:val="24"/>
        </w:rPr>
        <w:t>R</w:t>
      </w:r>
      <w:r w:rsidR="00B85FDB" w:rsidRPr="00963400">
        <w:rPr>
          <w:rFonts w:ascii="Times New Roman" w:eastAsiaTheme="minorHAnsi" w:hAnsi="Times New Roman" w:cs="Times New Roman"/>
          <w:b w:val="0"/>
          <w:bCs w:val="0"/>
          <w:sz w:val="24"/>
          <w:szCs w:val="24"/>
        </w:rPr>
        <w:t xml:space="preserve">epurchase agreements, reverse repurchase </w:t>
      </w:r>
      <w:r w:rsidR="001A06B3" w:rsidRPr="00963400">
        <w:rPr>
          <w:rFonts w:ascii="Times New Roman" w:hAnsi="Times New Roman" w:cs="Times New Roman"/>
          <w:b w:val="0"/>
          <w:bCs w:val="0"/>
          <w:sz w:val="24"/>
          <w:szCs w:val="24"/>
          <w:lang w:val="en"/>
        </w:rPr>
        <w:t xml:space="preserve">and securities lending and borrowing </w:t>
      </w:r>
      <w:r w:rsidR="00B85FDB" w:rsidRPr="00963400">
        <w:rPr>
          <w:rFonts w:ascii="Times New Roman" w:eastAsiaTheme="minorHAnsi" w:hAnsi="Times New Roman" w:cs="Times New Roman"/>
          <w:b w:val="0"/>
          <w:bCs w:val="0"/>
          <w:sz w:val="24"/>
          <w:szCs w:val="24"/>
        </w:rPr>
        <w:t>agreements</w:t>
      </w:r>
      <w:r w:rsidR="001A06B3" w:rsidRPr="00963400">
        <w:rPr>
          <w:rFonts w:ascii="Times New Roman" w:eastAsiaTheme="minorHAnsi" w:hAnsi="Times New Roman" w:cs="Times New Roman"/>
          <w:b w:val="0"/>
          <w:bCs w:val="0"/>
          <w:sz w:val="24"/>
          <w:szCs w:val="24"/>
        </w:rPr>
        <w:t>:</w:t>
      </w:r>
    </w:p>
    <w:p w:rsidR="001A06B3" w:rsidRPr="00766C1E" w:rsidRDefault="00B077E2" w:rsidP="00766C1E">
      <w:pPr>
        <w:pStyle w:val="ListParagraph"/>
        <w:numPr>
          <w:ilvl w:val="2"/>
          <w:numId w:val="23"/>
        </w:numPr>
        <w:bidi w:val="0"/>
        <w:spacing w:before="240" w:after="240" w:line="276" w:lineRule="auto"/>
        <w:ind w:left="2127" w:hanging="851"/>
        <w:rPr>
          <w:rFonts w:ascii="Times New Roman" w:hAnsi="Times New Roman" w:cs="Times New Roman"/>
          <w:b w:val="0"/>
          <w:bCs w:val="0"/>
          <w:sz w:val="24"/>
          <w:szCs w:val="24"/>
          <w:lang w:val="en"/>
        </w:rPr>
      </w:pPr>
      <w:r w:rsidRPr="00766C1E">
        <w:rPr>
          <w:rFonts w:ascii="Times New Roman" w:hAnsi="Times New Roman" w:cs="Times New Roman"/>
          <w:b w:val="0"/>
          <w:bCs w:val="0"/>
          <w:sz w:val="24"/>
          <w:szCs w:val="24"/>
          <w:lang w:val="en"/>
        </w:rPr>
        <w:t>R</w:t>
      </w:r>
      <w:r w:rsidR="001A06B3" w:rsidRPr="00766C1E">
        <w:rPr>
          <w:rFonts w:ascii="Times New Roman" w:hAnsi="Times New Roman" w:cs="Times New Roman"/>
          <w:b w:val="0"/>
          <w:bCs w:val="0"/>
          <w:sz w:val="24"/>
          <w:szCs w:val="24"/>
          <w:lang w:val="en"/>
        </w:rPr>
        <w:t xml:space="preserve">epurchase and Securities lending agreements that are based on securities in the trading book: calculate the difference between </w:t>
      </w:r>
      <w:r w:rsidR="00766C1E" w:rsidRPr="00766C1E">
        <w:rPr>
          <w:rFonts w:ascii="Times New Roman" w:hAnsi="Times New Roman" w:cs="Times New Roman"/>
          <w:b w:val="0"/>
          <w:bCs w:val="0"/>
          <w:sz w:val="24"/>
          <w:szCs w:val="24"/>
          <w:lang w:val="en"/>
        </w:rPr>
        <w:t>(</w:t>
      </w:r>
      <w:r w:rsidR="001A06B3" w:rsidRPr="00766C1E">
        <w:rPr>
          <w:rFonts w:ascii="Times New Roman" w:hAnsi="Times New Roman" w:cs="Times New Roman"/>
          <w:b w:val="0"/>
          <w:bCs w:val="0"/>
          <w:sz w:val="24"/>
          <w:szCs w:val="24"/>
          <w:lang w:val="en"/>
        </w:rPr>
        <w:t>the market value of the sold securities with a pledge to repurchase them or the lent securities</w:t>
      </w:r>
      <w:r w:rsidR="00766C1E" w:rsidRPr="00766C1E">
        <w:rPr>
          <w:rFonts w:ascii="Times New Roman" w:hAnsi="Times New Roman" w:cs="Times New Roman"/>
          <w:b w:val="0"/>
          <w:bCs w:val="0"/>
          <w:sz w:val="24"/>
          <w:szCs w:val="24"/>
          <w:lang w:val="en"/>
        </w:rPr>
        <w:t xml:space="preserve">) </w:t>
      </w:r>
      <w:r w:rsidR="001A06B3" w:rsidRPr="00766C1E">
        <w:rPr>
          <w:rFonts w:ascii="Times New Roman" w:hAnsi="Times New Roman" w:cs="Times New Roman"/>
          <w:b w:val="0"/>
          <w:bCs w:val="0"/>
          <w:sz w:val="24"/>
          <w:szCs w:val="24"/>
          <w:lang w:val="en"/>
        </w:rPr>
        <w:t xml:space="preserve">and </w:t>
      </w:r>
      <w:r w:rsidR="00766C1E" w:rsidRPr="00766C1E">
        <w:rPr>
          <w:rFonts w:ascii="Times New Roman" w:hAnsi="Times New Roman" w:cs="Times New Roman"/>
          <w:b w:val="0"/>
          <w:bCs w:val="0"/>
          <w:sz w:val="24"/>
          <w:szCs w:val="24"/>
          <w:lang w:val="en"/>
        </w:rPr>
        <w:t>(</w:t>
      </w:r>
      <w:r w:rsidR="001A06B3" w:rsidRPr="00766C1E">
        <w:rPr>
          <w:rFonts w:ascii="Times New Roman" w:hAnsi="Times New Roman" w:cs="Times New Roman"/>
          <w:b w:val="0"/>
          <w:bCs w:val="0"/>
          <w:sz w:val="24"/>
          <w:szCs w:val="24"/>
          <w:lang w:val="en"/>
        </w:rPr>
        <w:t>the amount borrowed by the bank or the market value of the guarantee taken</w:t>
      </w:r>
      <w:r w:rsidR="00766C1E" w:rsidRPr="00766C1E">
        <w:rPr>
          <w:rFonts w:ascii="Times New Roman" w:hAnsi="Times New Roman" w:cs="Times New Roman"/>
          <w:b w:val="0"/>
          <w:bCs w:val="0"/>
          <w:sz w:val="24"/>
          <w:szCs w:val="24"/>
          <w:lang w:val="en"/>
        </w:rPr>
        <w:t>)</w:t>
      </w:r>
      <w:r w:rsidR="001A06B3" w:rsidRPr="00766C1E">
        <w:rPr>
          <w:rFonts w:ascii="Times New Roman" w:hAnsi="Times New Roman" w:cs="Times New Roman"/>
          <w:b w:val="0"/>
          <w:bCs w:val="0"/>
          <w:sz w:val="24"/>
          <w:szCs w:val="24"/>
          <w:lang w:val="en"/>
        </w:rPr>
        <w:t>, in case the difference is positive. [</w:t>
      </w:r>
      <w:r w:rsidR="00646DD0" w:rsidRPr="00766C1E">
        <w:rPr>
          <w:rFonts w:ascii="Times New Roman" w:hAnsi="Times New Roman" w:cs="Times New Roman"/>
          <w:b w:val="0"/>
          <w:bCs w:val="0"/>
          <w:sz w:val="24"/>
          <w:szCs w:val="24"/>
          <w:lang w:val="en"/>
        </w:rPr>
        <w:t>Annex no</w:t>
      </w:r>
      <w:r w:rsidR="001A06B3" w:rsidRPr="00766C1E">
        <w:rPr>
          <w:rFonts w:ascii="Times New Roman" w:hAnsi="Times New Roman" w:cs="Times New Roman"/>
          <w:b w:val="0"/>
          <w:bCs w:val="0"/>
          <w:sz w:val="24"/>
          <w:szCs w:val="24"/>
          <w:lang w:val="en"/>
        </w:rPr>
        <w:t xml:space="preserve">. (22 / A / 1)]. </w:t>
      </w:r>
    </w:p>
    <w:p w:rsidR="001A06B3" w:rsidRPr="00766C1E" w:rsidRDefault="00B077E2" w:rsidP="00766C1E">
      <w:pPr>
        <w:pStyle w:val="ListParagraph"/>
        <w:numPr>
          <w:ilvl w:val="2"/>
          <w:numId w:val="23"/>
        </w:numPr>
        <w:bidi w:val="0"/>
        <w:spacing w:before="240" w:after="240" w:line="276" w:lineRule="auto"/>
        <w:ind w:left="2127" w:hanging="851"/>
        <w:rPr>
          <w:rFonts w:ascii="Times New Roman" w:hAnsi="Times New Roman" w:cs="Times New Roman"/>
          <w:b w:val="0"/>
          <w:bCs w:val="0"/>
          <w:sz w:val="24"/>
          <w:szCs w:val="24"/>
          <w:lang w:val="en"/>
        </w:rPr>
      </w:pPr>
      <w:r w:rsidRPr="00766C1E">
        <w:rPr>
          <w:rFonts w:ascii="Times New Roman" w:eastAsiaTheme="minorHAnsi" w:hAnsi="Times New Roman" w:cs="Times New Roman"/>
          <w:b w:val="0"/>
          <w:bCs w:val="0"/>
          <w:sz w:val="24"/>
          <w:szCs w:val="24"/>
        </w:rPr>
        <w:t>R</w:t>
      </w:r>
      <w:r w:rsidR="001A06B3" w:rsidRPr="00766C1E">
        <w:rPr>
          <w:rFonts w:ascii="Times New Roman" w:eastAsiaTheme="minorHAnsi" w:hAnsi="Times New Roman" w:cs="Times New Roman"/>
          <w:b w:val="0"/>
          <w:bCs w:val="0"/>
          <w:sz w:val="24"/>
          <w:szCs w:val="24"/>
        </w:rPr>
        <w:t>everse repurchase</w:t>
      </w:r>
      <w:r w:rsidR="001A06B3" w:rsidRPr="00766C1E">
        <w:rPr>
          <w:rFonts w:ascii="Times New Roman" w:hAnsi="Times New Roman" w:cs="Times New Roman"/>
          <w:b w:val="0"/>
          <w:bCs w:val="0"/>
          <w:sz w:val="24"/>
          <w:szCs w:val="24"/>
          <w:lang w:val="en"/>
        </w:rPr>
        <w:t xml:space="preserve"> and securities borrowing</w:t>
      </w:r>
      <w:r w:rsidR="001A06B3" w:rsidRPr="00766C1E">
        <w:rPr>
          <w:rFonts w:ascii="Times New Roman" w:eastAsiaTheme="minorHAnsi" w:hAnsi="Times New Roman" w:cs="Times New Roman"/>
          <w:b w:val="0"/>
          <w:bCs w:val="0"/>
          <w:sz w:val="24"/>
          <w:szCs w:val="24"/>
        </w:rPr>
        <w:t xml:space="preserve"> agreements: calculate the</w:t>
      </w:r>
      <w:r w:rsidR="001A06B3" w:rsidRPr="00766C1E">
        <w:rPr>
          <w:rFonts w:ascii="Times New Roman" w:hAnsi="Times New Roman" w:cs="Times New Roman"/>
          <w:b w:val="0"/>
          <w:bCs w:val="0"/>
          <w:sz w:val="24"/>
          <w:szCs w:val="24"/>
          <w:lang w:val="en"/>
        </w:rPr>
        <w:t xml:space="preserve"> difference between </w:t>
      </w:r>
      <w:r w:rsidR="00766C1E" w:rsidRPr="00766C1E">
        <w:rPr>
          <w:rFonts w:ascii="Times New Roman" w:hAnsi="Times New Roman" w:cs="Times New Roman"/>
          <w:b w:val="0"/>
          <w:bCs w:val="0"/>
          <w:sz w:val="24"/>
          <w:szCs w:val="24"/>
          <w:lang w:val="en"/>
        </w:rPr>
        <w:t>(</w:t>
      </w:r>
      <w:r w:rsidR="001A06B3" w:rsidRPr="00766C1E">
        <w:rPr>
          <w:rFonts w:ascii="Times New Roman" w:hAnsi="Times New Roman" w:cs="Times New Roman"/>
          <w:b w:val="0"/>
          <w:bCs w:val="0"/>
          <w:sz w:val="24"/>
          <w:szCs w:val="24"/>
          <w:lang w:val="en"/>
        </w:rPr>
        <w:t xml:space="preserve">the loaned amount or the market value of the </w:t>
      </w:r>
      <w:r w:rsidR="00766C1E" w:rsidRPr="00766C1E">
        <w:rPr>
          <w:rFonts w:ascii="Times New Roman" w:hAnsi="Times New Roman" w:cs="Times New Roman"/>
          <w:b w:val="0"/>
          <w:bCs w:val="0"/>
          <w:sz w:val="24"/>
          <w:szCs w:val="24"/>
          <w:lang w:val="en"/>
        </w:rPr>
        <w:t xml:space="preserve">given </w:t>
      </w:r>
      <w:r w:rsidR="001A06B3" w:rsidRPr="00766C1E">
        <w:rPr>
          <w:rFonts w:ascii="Times New Roman" w:hAnsi="Times New Roman" w:cs="Times New Roman"/>
          <w:b w:val="0"/>
          <w:bCs w:val="0"/>
          <w:sz w:val="24"/>
          <w:szCs w:val="24"/>
          <w:lang w:val="en"/>
        </w:rPr>
        <w:t>guarantee</w:t>
      </w:r>
      <w:r w:rsidR="00766C1E" w:rsidRPr="00766C1E">
        <w:rPr>
          <w:rFonts w:ascii="Times New Roman" w:hAnsi="Times New Roman" w:cs="Times New Roman"/>
          <w:b w:val="0"/>
          <w:bCs w:val="0"/>
          <w:sz w:val="24"/>
          <w:szCs w:val="24"/>
          <w:lang w:val="en"/>
        </w:rPr>
        <w:t>)</w:t>
      </w:r>
      <w:r w:rsidR="001A06B3" w:rsidRPr="00766C1E">
        <w:rPr>
          <w:rFonts w:ascii="Times New Roman" w:hAnsi="Times New Roman" w:cs="Times New Roman"/>
          <w:b w:val="0"/>
          <w:bCs w:val="0"/>
          <w:sz w:val="24"/>
          <w:szCs w:val="24"/>
          <w:lang w:val="en"/>
        </w:rPr>
        <w:t xml:space="preserve"> and </w:t>
      </w:r>
      <w:r w:rsidR="00766C1E" w:rsidRPr="00766C1E">
        <w:rPr>
          <w:rFonts w:ascii="Times New Roman" w:hAnsi="Times New Roman" w:cs="Times New Roman"/>
          <w:b w:val="0"/>
          <w:bCs w:val="0"/>
          <w:sz w:val="24"/>
          <w:szCs w:val="24"/>
          <w:lang w:val="en"/>
        </w:rPr>
        <w:t>(</w:t>
      </w:r>
      <w:r w:rsidR="001A06B3" w:rsidRPr="00766C1E">
        <w:rPr>
          <w:rFonts w:ascii="Times New Roman" w:hAnsi="Times New Roman" w:cs="Times New Roman"/>
          <w:b w:val="0"/>
          <w:bCs w:val="0"/>
          <w:sz w:val="24"/>
          <w:szCs w:val="24"/>
          <w:lang w:val="en"/>
        </w:rPr>
        <w:t>the market va</w:t>
      </w:r>
      <w:r w:rsidR="00766C1E" w:rsidRPr="00766C1E">
        <w:rPr>
          <w:rFonts w:ascii="Times New Roman" w:hAnsi="Times New Roman" w:cs="Times New Roman"/>
          <w:b w:val="0"/>
          <w:bCs w:val="0"/>
          <w:sz w:val="24"/>
          <w:szCs w:val="24"/>
          <w:lang w:val="en"/>
        </w:rPr>
        <w:t>lue of the purchased securities)</w:t>
      </w:r>
      <w:r w:rsidR="001A06B3" w:rsidRPr="00766C1E">
        <w:rPr>
          <w:rFonts w:ascii="Times New Roman" w:hAnsi="Times New Roman" w:cs="Times New Roman"/>
          <w:b w:val="0"/>
          <w:bCs w:val="0"/>
          <w:sz w:val="24"/>
          <w:szCs w:val="24"/>
          <w:lang w:val="en"/>
        </w:rPr>
        <w:t>, in case the difference is positive. [</w:t>
      </w:r>
      <w:r w:rsidR="00E36847" w:rsidRPr="00766C1E">
        <w:rPr>
          <w:rFonts w:ascii="Times New Roman" w:hAnsi="Times New Roman" w:cs="Times New Roman"/>
          <w:b w:val="0"/>
          <w:bCs w:val="0"/>
          <w:sz w:val="24"/>
          <w:szCs w:val="24"/>
          <w:lang w:val="en"/>
        </w:rPr>
        <w:t>Annex n</w:t>
      </w:r>
      <w:r w:rsidR="001A06B3" w:rsidRPr="00766C1E">
        <w:rPr>
          <w:rFonts w:ascii="Times New Roman" w:hAnsi="Times New Roman" w:cs="Times New Roman"/>
          <w:b w:val="0"/>
          <w:bCs w:val="0"/>
          <w:sz w:val="24"/>
          <w:szCs w:val="24"/>
          <w:lang w:val="en"/>
        </w:rPr>
        <w:t xml:space="preserve">o. (22 / A / </w:t>
      </w:r>
      <w:r w:rsidR="0050138C" w:rsidRPr="00766C1E">
        <w:rPr>
          <w:rFonts w:ascii="Times New Roman" w:hAnsi="Times New Roman" w:cs="Times New Roman"/>
          <w:b w:val="0"/>
          <w:bCs w:val="0"/>
          <w:sz w:val="24"/>
          <w:szCs w:val="24"/>
          <w:lang w:val="en"/>
        </w:rPr>
        <w:t>2</w:t>
      </w:r>
      <w:r w:rsidR="001A06B3" w:rsidRPr="00766C1E">
        <w:rPr>
          <w:rFonts w:ascii="Times New Roman" w:hAnsi="Times New Roman" w:cs="Times New Roman"/>
          <w:b w:val="0"/>
          <w:bCs w:val="0"/>
          <w:sz w:val="24"/>
          <w:szCs w:val="24"/>
          <w:lang w:val="en"/>
        </w:rPr>
        <w:t xml:space="preserve">)]. </w:t>
      </w:r>
    </w:p>
    <w:p w:rsidR="001A06B3" w:rsidRPr="00766C1E" w:rsidRDefault="0050138C" w:rsidP="00E140A9">
      <w:pPr>
        <w:pStyle w:val="ListParagraph"/>
        <w:numPr>
          <w:ilvl w:val="2"/>
          <w:numId w:val="23"/>
        </w:numPr>
        <w:bidi w:val="0"/>
        <w:spacing w:before="240" w:after="240" w:line="276" w:lineRule="auto"/>
        <w:ind w:left="2127" w:hanging="851"/>
        <w:rPr>
          <w:rFonts w:ascii="Times New Roman" w:eastAsiaTheme="minorHAnsi" w:hAnsi="Times New Roman" w:cs="Times New Roman"/>
          <w:b w:val="0"/>
          <w:bCs w:val="0"/>
          <w:sz w:val="24"/>
          <w:szCs w:val="24"/>
        </w:rPr>
      </w:pPr>
      <w:r w:rsidRPr="00766C1E">
        <w:rPr>
          <w:rFonts w:ascii="Times New Roman" w:hAnsi="Times New Roman" w:cs="Times New Roman"/>
          <w:b w:val="0"/>
          <w:bCs w:val="0"/>
          <w:sz w:val="24"/>
          <w:szCs w:val="24"/>
          <w:lang w:val="en"/>
        </w:rPr>
        <w:t xml:space="preserve">The accrued interest should be included in the calculation of the market value of the amounts borrowed or </w:t>
      </w:r>
      <w:r w:rsidR="00E140A9" w:rsidRPr="00766C1E">
        <w:rPr>
          <w:rFonts w:ascii="Times New Roman" w:hAnsi="Times New Roman" w:cs="Times New Roman"/>
          <w:b w:val="0"/>
          <w:bCs w:val="0"/>
          <w:sz w:val="24"/>
          <w:szCs w:val="24"/>
          <w:lang w:val="en"/>
        </w:rPr>
        <w:t>loaned</w:t>
      </w:r>
      <w:r w:rsidRPr="00766C1E">
        <w:rPr>
          <w:rFonts w:ascii="Times New Roman" w:hAnsi="Times New Roman" w:cs="Times New Roman"/>
          <w:b w:val="0"/>
          <w:bCs w:val="0"/>
          <w:sz w:val="24"/>
          <w:szCs w:val="24"/>
        </w:rPr>
        <w:t>.</w:t>
      </w:r>
    </w:p>
    <w:p w:rsidR="001A06B3" w:rsidRPr="00766C1E" w:rsidRDefault="00766C1E" w:rsidP="00646DD0">
      <w:pPr>
        <w:pStyle w:val="ListParagraph"/>
        <w:numPr>
          <w:ilvl w:val="1"/>
          <w:numId w:val="23"/>
        </w:numPr>
        <w:bidi w:val="0"/>
        <w:spacing w:before="240" w:after="240" w:line="276" w:lineRule="auto"/>
        <w:ind w:left="1276" w:hanging="556"/>
        <w:rPr>
          <w:rFonts w:ascii="Times New Roman" w:hAnsi="Times New Roman" w:cs="Times New Roman"/>
          <w:b w:val="0"/>
          <w:bCs w:val="0"/>
          <w:sz w:val="24"/>
          <w:szCs w:val="24"/>
          <w:lang w:bidi="ar-JO"/>
        </w:rPr>
      </w:pPr>
      <w:r w:rsidRPr="00766C1E">
        <w:rPr>
          <w:rFonts w:ascii="Times New Roman" w:hAnsi="Times New Roman" w:cs="Times New Roman"/>
          <w:b w:val="0"/>
          <w:bCs w:val="0"/>
          <w:sz w:val="24"/>
          <w:szCs w:val="24"/>
          <w:lang w:val="en"/>
        </w:rPr>
        <w:t>Delivered</w:t>
      </w:r>
      <w:r w:rsidR="0050138C" w:rsidRPr="00766C1E">
        <w:rPr>
          <w:rFonts w:ascii="Times New Roman" w:hAnsi="Times New Roman" w:cs="Times New Roman"/>
          <w:b w:val="0"/>
          <w:bCs w:val="0"/>
          <w:sz w:val="24"/>
          <w:szCs w:val="24"/>
          <w:lang w:val="en"/>
        </w:rPr>
        <w:t xml:space="preserve"> </w:t>
      </w:r>
      <w:r w:rsidR="00646DD0" w:rsidRPr="00766C1E">
        <w:rPr>
          <w:rFonts w:ascii="Times New Roman" w:hAnsi="Times New Roman" w:cs="Times New Roman"/>
          <w:b w:val="0"/>
          <w:bCs w:val="0"/>
          <w:sz w:val="24"/>
          <w:szCs w:val="24"/>
          <w:lang w:val="en"/>
        </w:rPr>
        <w:t>and unrecovered s</w:t>
      </w:r>
      <w:r w:rsidR="0050138C" w:rsidRPr="00766C1E">
        <w:rPr>
          <w:rFonts w:ascii="Times New Roman" w:hAnsi="Times New Roman" w:cs="Times New Roman"/>
          <w:b w:val="0"/>
          <w:bCs w:val="0"/>
          <w:sz w:val="24"/>
          <w:szCs w:val="24"/>
          <w:lang w:val="en"/>
        </w:rPr>
        <w:t>hares and / or shares paid for but not received.</w:t>
      </w:r>
    </w:p>
    <w:p w:rsidR="00505A8B" w:rsidRPr="00766C1E" w:rsidRDefault="0050138C" w:rsidP="00766C1E">
      <w:pPr>
        <w:pStyle w:val="ListParagraph"/>
        <w:bidi w:val="0"/>
        <w:spacing w:before="240" w:after="240" w:line="276" w:lineRule="auto"/>
        <w:ind w:left="1276"/>
        <w:rPr>
          <w:rFonts w:ascii="Times New Roman" w:hAnsi="Times New Roman" w:cs="Times New Roman"/>
          <w:b w:val="0"/>
          <w:bCs w:val="0"/>
          <w:sz w:val="24"/>
          <w:szCs w:val="24"/>
          <w:rtl/>
          <w:lang w:bidi="ar-JO"/>
        </w:rPr>
      </w:pPr>
      <w:r w:rsidRPr="00766C1E">
        <w:rPr>
          <w:rFonts w:ascii="Times New Roman" w:hAnsi="Times New Roman" w:cs="Times New Roman"/>
          <w:b w:val="0"/>
          <w:bCs w:val="0"/>
          <w:sz w:val="24"/>
          <w:szCs w:val="24"/>
          <w:lang w:val="en"/>
        </w:rPr>
        <w:lastRenderedPageBreak/>
        <w:t xml:space="preserve">It represents shares that have been delivered by the bank but </w:t>
      </w:r>
      <w:r w:rsidR="00766C1E" w:rsidRPr="00766C1E">
        <w:rPr>
          <w:rFonts w:ascii="Times New Roman" w:hAnsi="Times New Roman" w:cs="Times New Roman"/>
          <w:b w:val="0"/>
          <w:bCs w:val="0"/>
          <w:sz w:val="24"/>
          <w:szCs w:val="24"/>
          <w:lang w:val="en"/>
        </w:rPr>
        <w:t>its</w:t>
      </w:r>
      <w:r w:rsidRPr="00766C1E">
        <w:rPr>
          <w:rFonts w:ascii="Times New Roman" w:hAnsi="Times New Roman" w:cs="Times New Roman"/>
          <w:b w:val="0"/>
          <w:bCs w:val="0"/>
          <w:sz w:val="24"/>
          <w:szCs w:val="24"/>
          <w:lang w:val="en"/>
        </w:rPr>
        <w:t xml:space="preserve"> price has not been received, or shares received and </w:t>
      </w:r>
      <w:r w:rsidR="00766C1E" w:rsidRPr="00766C1E">
        <w:rPr>
          <w:rFonts w:ascii="Times New Roman" w:hAnsi="Times New Roman" w:cs="Times New Roman"/>
          <w:b w:val="0"/>
          <w:bCs w:val="0"/>
          <w:sz w:val="24"/>
          <w:szCs w:val="24"/>
          <w:lang w:val="en"/>
        </w:rPr>
        <w:t>its</w:t>
      </w:r>
      <w:r w:rsidRPr="00766C1E">
        <w:rPr>
          <w:rFonts w:ascii="Times New Roman" w:hAnsi="Times New Roman" w:cs="Times New Roman"/>
          <w:b w:val="0"/>
          <w:bCs w:val="0"/>
          <w:sz w:val="24"/>
          <w:szCs w:val="24"/>
          <w:lang w:val="en"/>
        </w:rPr>
        <w:t xml:space="preserve"> price has not been paid. [</w:t>
      </w:r>
      <w:r w:rsidR="00B077E2" w:rsidRPr="00766C1E">
        <w:rPr>
          <w:rFonts w:ascii="Times New Roman" w:hAnsi="Times New Roman" w:cs="Times New Roman"/>
          <w:b w:val="0"/>
          <w:bCs w:val="0"/>
          <w:sz w:val="24"/>
          <w:szCs w:val="24"/>
          <w:lang w:val="en"/>
        </w:rPr>
        <w:t>annex</w:t>
      </w:r>
      <w:r w:rsidRPr="00766C1E">
        <w:rPr>
          <w:rFonts w:ascii="Times New Roman" w:hAnsi="Times New Roman" w:cs="Times New Roman"/>
          <w:b w:val="0"/>
          <w:bCs w:val="0"/>
          <w:sz w:val="24"/>
          <w:szCs w:val="24"/>
          <w:lang w:val="en"/>
        </w:rPr>
        <w:t xml:space="preserve"> </w:t>
      </w:r>
      <w:r w:rsidR="00B077E2" w:rsidRPr="00766C1E">
        <w:rPr>
          <w:rFonts w:ascii="Times New Roman" w:hAnsi="Times New Roman" w:cs="Times New Roman"/>
          <w:b w:val="0"/>
          <w:bCs w:val="0"/>
          <w:sz w:val="24"/>
          <w:szCs w:val="24"/>
          <w:lang w:val="en"/>
        </w:rPr>
        <w:t>n</w:t>
      </w:r>
      <w:r w:rsidRPr="00766C1E">
        <w:rPr>
          <w:rFonts w:ascii="Times New Roman" w:hAnsi="Times New Roman" w:cs="Times New Roman"/>
          <w:b w:val="0"/>
          <w:bCs w:val="0"/>
          <w:sz w:val="24"/>
          <w:szCs w:val="24"/>
          <w:lang w:val="en"/>
        </w:rPr>
        <w:t>o. (23)].</w:t>
      </w:r>
    </w:p>
    <w:p w:rsidR="00505A8B" w:rsidRPr="00E140A9" w:rsidRDefault="0050138C" w:rsidP="00B077E2">
      <w:pPr>
        <w:bidi w:val="0"/>
        <w:spacing w:line="276" w:lineRule="auto"/>
        <w:ind w:left="142"/>
        <w:rPr>
          <w:rFonts w:ascii="Times New Roman" w:hAnsi="Times New Roman" w:cs="Times New Roman"/>
          <w:sz w:val="24"/>
          <w:szCs w:val="24"/>
          <w:lang w:val="en"/>
        </w:rPr>
      </w:pPr>
      <w:bookmarkStart w:id="56" w:name="_Toc451176802"/>
      <w:bookmarkStart w:id="57" w:name="_Toc451180699"/>
      <w:r w:rsidRPr="00E140A9">
        <w:rPr>
          <w:rFonts w:ascii="Times New Roman" w:hAnsi="Times New Roman" w:cs="Times New Roman"/>
          <w:sz w:val="24"/>
          <w:szCs w:val="24"/>
          <w:lang w:val="en"/>
        </w:rPr>
        <w:t>General note:</w:t>
      </w:r>
    </w:p>
    <w:p w:rsidR="00505A8B" w:rsidRPr="00C0031B" w:rsidRDefault="0050138C" w:rsidP="00B077E2">
      <w:pPr>
        <w:bidi w:val="0"/>
        <w:spacing w:line="276" w:lineRule="auto"/>
        <w:ind w:left="142"/>
        <w:rPr>
          <w:rFonts w:ascii="Times New Roman" w:hAnsi="Times New Roman" w:cs="Times New Roman"/>
          <w:b w:val="0"/>
          <w:bCs w:val="0"/>
          <w:sz w:val="24"/>
          <w:szCs w:val="24"/>
        </w:rPr>
      </w:pPr>
      <w:r w:rsidRPr="00E140A9">
        <w:rPr>
          <w:rFonts w:ascii="Times New Roman" w:hAnsi="Times New Roman" w:cs="Times New Roman"/>
          <w:b w:val="0"/>
          <w:bCs w:val="0"/>
          <w:sz w:val="24"/>
          <w:szCs w:val="24"/>
          <w:lang w:val="en"/>
        </w:rPr>
        <w:t>With regard to other risks such as the counterparty credit risk, which were not addressed in these instructions, and in the event that the bank faces these risks, refer to the document issued by the Basel Committee under the</w:t>
      </w:r>
      <w:r w:rsidRPr="00E140A9">
        <w:rPr>
          <w:rFonts w:ascii="Times New Roman" w:hAnsi="Times New Roman" w:cs="Times New Roman"/>
          <w:b w:val="0"/>
          <w:bCs w:val="0"/>
          <w:sz w:val="24"/>
          <w:szCs w:val="24"/>
        </w:rPr>
        <w:t xml:space="preserve"> (Basel III: A global regulatory framework for more resilient banks and banking systems)</w:t>
      </w:r>
      <w:r w:rsidR="00E122A2" w:rsidRPr="00E140A9">
        <w:rPr>
          <w:rFonts w:ascii="Times New Roman" w:hAnsi="Times New Roman" w:cs="Times New Roman"/>
          <w:b w:val="0"/>
          <w:bCs w:val="0"/>
          <w:sz w:val="24"/>
          <w:szCs w:val="24"/>
        </w:rPr>
        <w:t xml:space="preserve"> 12/2010.</w:t>
      </w:r>
    </w:p>
    <w:p w:rsidR="00B077E2" w:rsidRDefault="00B077E2" w:rsidP="00B077E2">
      <w:pPr>
        <w:bidi w:val="0"/>
        <w:spacing w:line="276" w:lineRule="auto"/>
        <w:ind w:left="142"/>
        <w:rPr>
          <w:rFonts w:ascii="Times New Roman" w:hAnsi="Times New Roman" w:cs="Times New Roman"/>
          <w:b w:val="0"/>
          <w:bCs w:val="0"/>
        </w:rPr>
      </w:pPr>
    </w:p>
    <w:p w:rsidR="00B077E2" w:rsidRDefault="00B077E2" w:rsidP="00B077E2">
      <w:pPr>
        <w:bidi w:val="0"/>
        <w:spacing w:line="276" w:lineRule="auto"/>
        <w:ind w:left="142"/>
        <w:rPr>
          <w:rFonts w:ascii="Times New Roman" w:hAnsi="Times New Roman" w:cs="Times New Roman"/>
          <w:b w:val="0"/>
          <w:bCs w:val="0"/>
        </w:rPr>
      </w:pPr>
    </w:p>
    <w:p w:rsidR="00B66B27" w:rsidRDefault="00B66B27" w:rsidP="00B66B27">
      <w:pPr>
        <w:bidi w:val="0"/>
        <w:spacing w:line="276" w:lineRule="auto"/>
        <w:ind w:left="142"/>
        <w:rPr>
          <w:rFonts w:ascii="Times New Roman" w:hAnsi="Times New Roman" w:cs="Times New Roman"/>
          <w:b w:val="0"/>
          <w:bCs w:val="0"/>
        </w:rPr>
      </w:pPr>
    </w:p>
    <w:p w:rsidR="00B66B27" w:rsidRDefault="00B66B27" w:rsidP="00B66B27">
      <w:pPr>
        <w:bidi w:val="0"/>
        <w:spacing w:line="276" w:lineRule="auto"/>
        <w:ind w:left="142"/>
        <w:rPr>
          <w:rFonts w:ascii="Times New Roman" w:hAnsi="Times New Roman" w:cs="Times New Roman"/>
          <w:b w:val="0"/>
          <w:bCs w:val="0"/>
        </w:rPr>
      </w:pPr>
    </w:p>
    <w:p w:rsidR="00B66B27" w:rsidRDefault="00B66B27" w:rsidP="00B66B27">
      <w:pPr>
        <w:bidi w:val="0"/>
        <w:spacing w:line="276" w:lineRule="auto"/>
        <w:ind w:left="142"/>
        <w:rPr>
          <w:rFonts w:ascii="Times New Roman" w:hAnsi="Times New Roman" w:cs="Times New Roman"/>
          <w:b w:val="0"/>
          <w:bCs w:val="0"/>
        </w:rPr>
      </w:pPr>
    </w:p>
    <w:p w:rsidR="00F57744" w:rsidRDefault="00F57744" w:rsidP="00F57744">
      <w:pPr>
        <w:bidi w:val="0"/>
        <w:spacing w:line="276" w:lineRule="auto"/>
        <w:ind w:left="142"/>
        <w:rPr>
          <w:rFonts w:ascii="Times New Roman" w:hAnsi="Times New Roman" w:cs="Times New Roman"/>
          <w:b w:val="0"/>
          <w:bCs w:val="0"/>
        </w:rPr>
      </w:pPr>
    </w:p>
    <w:p w:rsidR="00F57744" w:rsidRDefault="00F57744" w:rsidP="00F57744">
      <w:pPr>
        <w:bidi w:val="0"/>
        <w:spacing w:line="276" w:lineRule="auto"/>
        <w:ind w:left="142"/>
        <w:rPr>
          <w:rFonts w:ascii="Times New Roman" w:hAnsi="Times New Roman" w:cs="Times New Roman"/>
          <w:b w:val="0"/>
          <w:bCs w:val="0"/>
        </w:rPr>
      </w:pPr>
    </w:p>
    <w:p w:rsidR="00F57744" w:rsidRDefault="00F57744" w:rsidP="00F57744">
      <w:pPr>
        <w:bidi w:val="0"/>
        <w:spacing w:line="276" w:lineRule="auto"/>
        <w:ind w:left="142"/>
        <w:rPr>
          <w:rFonts w:ascii="Times New Roman" w:hAnsi="Times New Roman" w:cs="Times New Roman"/>
          <w:b w:val="0"/>
          <w:bCs w:val="0"/>
        </w:rPr>
      </w:pPr>
    </w:p>
    <w:p w:rsidR="00F57744" w:rsidRDefault="00F57744" w:rsidP="00F57744">
      <w:pPr>
        <w:bidi w:val="0"/>
        <w:spacing w:line="276" w:lineRule="auto"/>
        <w:ind w:left="142"/>
        <w:rPr>
          <w:rFonts w:ascii="Times New Roman" w:hAnsi="Times New Roman" w:cs="Times New Roman"/>
          <w:b w:val="0"/>
          <w:bCs w:val="0"/>
        </w:rPr>
      </w:pPr>
    </w:p>
    <w:p w:rsidR="00F57744" w:rsidRDefault="00F57744" w:rsidP="00F57744">
      <w:pPr>
        <w:bidi w:val="0"/>
        <w:spacing w:line="276" w:lineRule="auto"/>
        <w:ind w:left="142"/>
        <w:rPr>
          <w:rFonts w:ascii="Times New Roman" w:hAnsi="Times New Roman" w:cs="Times New Roman"/>
          <w:b w:val="0"/>
          <w:bCs w:val="0"/>
        </w:rPr>
      </w:pPr>
    </w:p>
    <w:p w:rsidR="00F57744" w:rsidRDefault="00F57744" w:rsidP="00F57744">
      <w:pPr>
        <w:bidi w:val="0"/>
        <w:spacing w:line="276" w:lineRule="auto"/>
        <w:ind w:left="142"/>
        <w:rPr>
          <w:rFonts w:ascii="Times New Roman" w:hAnsi="Times New Roman" w:cs="Times New Roman"/>
          <w:b w:val="0"/>
          <w:bCs w:val="0"/>
        </w:rPr>
      </w:pPr>
    </w:p>
    <w:p w:rsidR="00F57744" w:rsidRDefault="00F57744" w:rsidP="00F57744">
      <w:pPr>
        <w:bidi w:val="0"/>
        <w:spacing w:line="276" w:lineRule="auto"/>
        <w:ind w:left="142"/>
        <w:rPr>
          <w:rFonts w:ascii="Times New Roman" w:hAnsi="Times New Roman" w:cs="Times New Roman"/>
          <w:b w:val="0"/>
          <w:bCs w:val="0"/>
        </w:rPr>
      </w:pPr>
    </w:p>
    <w:p w:rsidR="00F57744" w:rsidRDefault="00F57744" w:rsidP="00F57744">
      <w:pPr>
        <w:bidi w:val="0"/>
        <w:spacing w:line="276" w:lineRule="auto"/>
        <w:ind w:left="142"/>
        <w:rPr>
          <w:rFonts w:ascii="Times New Roman" w:hAnsi="Times New Roman" w:cs="Times New Roman"/>
          <w:b w:val="0"/>
          <w:bCs w:val="0"/>
        </w:rPr>
      </w:pPr>
    </w:p>
    <w:p w:rsidR="00F57744" w:rsidRDefault="00F57744" w:rsidP="00F57744">
      <w:pPr>
        <w:bidi w:val="0"/>
        <w:spacing w:line="276" w:lineRule="auto"/>
        <w:ind w:left="142"/>
        <w:rPr>
          <w:rFonts w:ascii="Times New Roman" w:hAnsi="Times New Roman" w:cs="Times New Roman"/>
          <w:b w:val="0"/>
          <w:bCs w:val="0"/>
        </w:rPr>
      </w:pPr>
    </w:p>
    <w:p w:rsidR="00F57744" w:rsidRDefault="00F57744" w:rsidP="00F57744">
      <w:pPr>
        <w:bidi w:val="0"/>
        <w:spacing w:line="276" w:lineRule="auto"/>
        <w:ind w:left="142"/>
        <w:rPr>
          <w:rFonts w:ascii="Times New Roman" w:hAnsi="Times New Roman" w:cs="Times New Roman"/>
          <w:b w:val="0"/>
          <w:bCs w:val="0"/>
        </w:rPr>
      </w:pPr>
    </w:p>
    <w:p w:rsidR="00F57744" w:rsidRDefault="00F57744" w:rsidP="00F57744">
      <w:pPr>
        <w:bidi w:val="0"/>
        <w:spacing w:line="276" w:lineRule="auto"/>
        <w:ind w:left="142"/>
        <w:rPr>
          <w:rFonts w:ascii="Times New Roman" w:hAnsi="Times New Roman" w:cs="Times New Roman"/>
          <w:b w:val="0"/>
          <w:bCs w:val="0"/>
        </w:rPr>
      </w:pPr>
    </w:p>
    <w:p w:rsidR="00F57744" w:rsidRDefault="00F57744" w:rsidP="00F57744">
      <w:pPr>
        <w:bidi w:val="0"/>
        <w:spacing w:line="276" w:lineRule="auto"/>
        <w:ind w:left="142"/>
        <w:rPr>
          <w:rFonts w:ascii="Times New Roman" w:hAnsi="Times New Roman" w:cs="Times New Roman"/>
          <w:b w:val="0"/>
          <w:bCs w:val="0"/>
        </w:rPr>
      </w:pPr>
    </w:p>
    <w:p w:rsidR="00F57744" w:rsidRDefault="00F57744" w:rsidP="00F57744">
      <w:pPr>
        <w:bidi w:val="0"/>
        <w:spacing w:line="276" w:lineRule="auto"/>
        <w:ind w:left="142"/>
        <w:rPr>
          <w:rFonts w:ascii="Times New Roman" w:hAnsi="Times New Roman" w:cs="Times New Roman"/>
          <w:b w:val="0"/>
          <w:bCs w:val="0"/>
        </w:rPr>
      </w:pPr>
    </w:p>
    <w:p w:rsidR="00F57744" w:rsidRDefault="00F57744" w:rsidP="00F57744">
      <w:pPr>
        <w:bidi w:val="0"/>
        <w:spacing w:line="276" w:lineRule="auto"/>
        <w:ind w:left="142"/>
        <w:rPr>
          <w:rFonts w:ascii="Times New Roman" w:hAnsi="Times New Roman" w:cs="Times New Roman"/>
          <w:b w:val="0"/>
          <w:bCs w:val="0"/>
        </w:rPr>
      </w:pPr>
    </w:p>
    <w:p w:rsidR="00F57744" w:rsidRDefault="00F57744" w:rsidP="00F57744">
      <w:pPr>
        <w:bidi w:val="0"/>
        <w:spacing w:line="276" w:lineRule="auto"/>
        <w:ind w:left="142"/>
        <w:rPr>
          <w:rFonts w:ascii="Times New Roman" w:hAnsi="Times New Roman" w:cs="Times New Roman"/>
          <w:b w:val="0"/>
          <w:bCs w:val="0"/>
        </w:rPr>
      </w:pPr>
    </w:p>
    <w:p w:rsidR="00F57744" w:rsidRDefault="00F57744" w:rsidP="00F57744">
      <w:pPr>
        <w:bidi w:val="0"/>
        <w:spacing w:line="276" w:lineRule="auto"/>
        <w:ind w:left="142"/>
        <w:rPr>
          <w:rFonts w:ascii="Times New Roman" w:hAnsi="Times New Roman" w:cs="Times New Roman"/>
          <w:b w:val="0"/>
          <w:bCs w:val="0"/>
        </w:rPr>
      </w:pPr>
    </w:p>
    <w:p w:rsidR="00F57744" w:rsidRDefault="00F57744" w:rsidP="00F57744">
      <w:pPr>
        <w:bidi w:val="0"/>
        <w:spacing w:line="276" w:lineRule="auto"/>
        <w:ind w:left="142"/>
        <w:rPr>
          <w:rFonts w:ascii="Times New Roman" w:hAnsi="Times New Roman" w:cs="Times New Roman"/>
          <w:b w:val="0"/>
          <w:bCs w:val="0"/>
        </w:rPr>
      </w:pPr>
    </w:p>
    <w:p w:rsidR="00505A8B" w:rsidRPr="00BF6F1F" w:rsidRDefault="00646DD0" w:rsidP="007C7196">
      <w:pPr>
        <w:pStyle w:val="Heading1"/>
        <w:pBdr>
          <w:bottom w:val="single" w:sz="4" w:space="1" w:color="auto"/>
        </w:pBdr>
        <w:bidi w:val="0"/>
        <w:jc w:val="center"/>
        <w:rPr>
          <w:rFonts w:asciiTheme="majorBidi" w:hAnsiTheme="majorBidi" w:cstheme="majorBidi"/>
          <w:b/>
          <w:bCs/>
          <w:rtl/>
        </w:rPr>
      </w:pPr>
      <w:bookmarkStart w:id="58" w:name="_Toc65354408"/>
      <w:bookmarkEnd w:id="56"/>
      <w:bookmarkEnd w:id="57"/>
      <w:r w:rsidRPr="00BF6F1F">
        <w:rPr>
          <w:rFonts w:asciiTheme="majorBidi" w:hAnsiTheme="majorBidi" w:cstheme="majorBidi"/>
          <w:b/>
          <w:bCs/>
        </w:rPr>
        <w:lastRenderedPageBreak/>
        <w:t>C</w:t>
      </w:r>
      <w:r w:rsidR="007C7196" w:rsidRPr="00BF6F1F">
        <w:rPr>
          <w:rFonts w:asciiTheme="majorBidi" w:hAnsiTheme="majorBidi" w:cstheme="majorBidi"/>
          <w:b/>
          <w:bCs/>
        </w:rPr>
        <w:t>hapter</w:t>
      </w:r>
      <w:r>
        <w:rPr>
          <w:rFonts w:asciiTheme="majorBidi" w:hAnsiTheme="majorBidi" w:cstheme="majorBidi"/>
          <w:b/>
          <w:bCs/>
        </w:rPr>
        <w:t xml:space="preserve"> five</w:t>
      </w:r>
      <w:r w:rsidR="007C7196" w:rsidRPr="00BF6F1F">
        <w:rPr>
          <w:rFonts w:asciiTheme="majorBidi" w:hAnsiTheme="majorBidi" w:cstheme="majorBidi"/>
          <w:b/>
          <w:bCs/>
        </w:rPr>
        <w:t xml:space="preserve">: </w:t>
      </w:r>
      <w:r w:rsidR="00505A8B" w:rsidRPr="00BF6F1F">
        <w:rPr>
          <w:rFonts w:asciiTheme="majorBidi" w:hAnsiTheme="majorBidi" w:cstheme="majorBidi"/>
          <w:b/>
          <w:bCs/>
        </w:rPr>
        <w:t>Leverage Ratio</w:t>
      </w:r>
      <w:bookmarkEnd w:id="58"/>
    </w:p>
    <w:p w:rsidR="00505A8B" w:rsidRPr="00BA36C5" w:rsidRDefault="00505A8B" w:rsidP="00505A8B">
      <w:pPr>
        <w:pStyle w:val="ListParagraph"/>
        <w:ind w:left="608" w:hanging="567"/>
        <w:rPr>
          <w:rFonts w:asciiTheme="majorBidi" w:hAnsiTheme="majorBidi" w:cstheme="majorBidi"/>
          <w:b w:val="0"/>
          <w:bCs w:val="0"/>
          <w:sz w:val="24"/>
          <w:szCs w:val="24"/>
        </w:rPr>
      </w:pPr>
    </w:p>
    <w:p w:rsidR="007C7196" w:rsidRPr="009D226E" w:rsidRDefault="00BF6F1F" w:rsidP="00BF6F1F">
      <w:pPr>
        <w:pStyle w:val="ListParagraph"/>
        <w:numPr>
          <w:ilvl w:val="0"/>
          <w:numId w:val="25"/>
        </w:numPr>
        <w:bidi w:val="0"/>
        <w:spacing w:after="0" w:line="276" w:lineRule="auto"/>
        <w:ind w:left="709" w:hanging="567"/>
        <w:rPr>
          <w:rFonts w:ascii="Times New Roman" w:hAnsi="Times New Roman" w:cs="Times New Roman"/>
          <w:b w:val="0"/>
          <w:bCs w:val="0"/>
          <w:sz w:val="24"/>
          <w:szCs w:val="24"/>
        </w:rPr>
      </w:pPr>
      <w:r w:rsidRPr="009D226E">
        <w:rPr>
          <w:rFonts w:ascii="Times New Roman" w:hAnsi="Times New Roman" w:cs="Times New Roman"/>
          <w:b w:val="0"/>
          <w:bCs w:val="0"/>
          <w:sz w:val="24"/>
          <w:szCs w:val="24"/>
        </w:rPr>
        <w:t>To</w:t>
      </w:r>
      <w:r w:rsidR="007C7196" w:rsidRPr="009D226E">
        <w:rPr>
          <w:rFonts w:ascii="Times New Roman" w:hAnsi="Times New Roman" w:cs="Times New Roman"/>
          <w:b w:val="0"/>
          <w:bCs w:val="0"/>
          <w:sz w:val="24"/>
          <w:szCs w:val="24"/>
        </w:rPr>
        <w:t xml:space="preserve"> introduce a simple, transparent, non-risk based leverage ratio that is calibrated to act as a credible supplementary measure to the risk based capital requirements. The leverage ratio is intended to achieve the following objectives:</w:t>
      </w:r>
    </w:p>
    <w:p w:rsidR="007C7196" w:rsidRPr="009D226E" w:rsidRDefault="00BF6F1F" w:rsidP="00BF6F1F">
      <w:pPr>
        <w:pStyle w:val="ListParagraph"/>
        <w:numPr>
          <w:ilvl w:val="1"/>
          <w:numId w:val="25"/>
        </w:numPr>
        <w:bidi w:val="0"/>
        <w:spacing w:after="0" w:line="276" w:lineRule="auto"/>
        <w:ind w:left="1276" w:hanging="567"/>
        <w:rPr>
          <w:rFonts w:ascii="Times New Roman" w:hAnsi="Times New Roman" w:cs="Times New Roman"/>
          <w:b w:val="0"/>
          <w:bCs w:val="0"/>
          <w:sz w:val="24"/>
          <w:szCs w:val="24"/>
        </w:rPr>
      </w:pPr>
      <w:r w:rsidRPr="009D226E">
        <w:rPr>
          <w:rFonts w:ascii="Times New Roman" w:hAnsi="Times New Roman" w:cs="Times New Roman"/>
          <w:b w:val="0"/>
          <w:bCs w:val="0"/>
          <w:sz w:val="24"/>
          <w:szCs w:val="24"/>
        </w:rPr>
        <w:t>C</w:t>
      </w:r>
      <w:r w:rsidR="007C7196" w:rsidRPr="009D226E">
        <w:rPr>
          <w:rFonts w:ascii="Times New Roman" w:hAnsi="Times New Roman" w:cs="Times New Roman"/>
          <w:b w:val="0"/>
          <w:bCs w:val="0"/>
          <w:sz w:val="24"/>
          <w:szCs w:val="24"/>
        </w:rPr>
        <w:t>onstrain the build-up of leverage in the banking sector, helping avoid destabilizing deleveraging processes which can damage the broader financial system and the economy.</w:t>
      </w:r>
    </w:p>
    <w:p w:rsidR="007C7196" w:rsidRPr="009D226E" w:rsidRDefault="00BF6F1F" w:rsidP="00BF6F1F">
      <w:pPr>
        <w:pStyle w:val="ListParagraph"/>
        <w:numPr>
          <w:ilvl w:val="1"/>
          <w:numId w:val="25"/>
        </w:numPr>
        <w:bidi w:val="0"/>
        <w:spacing w:after="0" w:line="276" w:lineRule="auto"/>
        <w:ind w:left="1276" w:hanging="567"/>
        <w:rPr>
          <w:rFonts w:ascii="Times New Roman" w:hAnsi="Times New Roman" w:cs="Times New Roman"/>
          <w:b w:val="0"/>
          <w:bCs w:val="0"/>
          <w:sz w:val="24"/>
          <w:szCs w:val="24"/>
        </w:rPr>
      </w:pPr>
      <w:r w:rsidRPr="009D226E">
        <w:rPr>
          <w:rFonts w:ascii="Times New Roman" w:hAnsi="Times New Roman" w:cs="Times New Roman"/>
          <w:b w:val="0"/>
          <w:bCs w:val="0"/>
          <w:sz w:val="24"/>
          <w:szCs w:val="24"/>
        </w:rPr>
        <w:t>I</w:t>
      </w:r>
      <w:r w:rsidR="007C7196" w:rsidRPr="009D226E">
        <w:rPr>
          <w:rFonts w:ascii="Times New Roman" w:hAnsi="Times New Roman" w:cs="Times New Roman"/>
          <w:b w:val="0"/>
          <w:bCs w:val="0"/>
          <w:sz w:val="24"/>
          <w:szCs w:val="24"/>
        </w:rPr>
        <w:t>nforce the risk based requirements with a simple, non-risk based “backstop” measure.</w:t>
      </w:r>
    </w:p>
    <w:p w:rsidR="007C7196" w:rsidRPr="00C0031B" w:rsidRDefault="007C7196" w:rsidP="00BF6F1F">
      <w:pPr>
        <w:pStyle w:val="ListParagraph"/>
        <w:bidi w:val="0"/>
        <w:spacing w:after="0" w:line="276" w:lineRule="auto"/>
        <w:ind w:left="611"/>
        <w:rPr>
          <w:rFonts w:ascii="Times New Roman" w:hAnsi="Times New Roman" w:cs="Times New Roman"/>
          <w:b w:val="0"/>
          <w:bCs w:val="0"/>
          <w:sz w:val="24"/>
          <w:szCs w:val="24"/>
        </w:rPr>
      </w:pPr>
    </w:p>
    <w:p w:rsidR="007C7196" w:rsidRPr="00C0031B" w:rsidRDefault="007C7196" w:rsidP="00BF6F1F">
      <w:pPr>
        <w:pStyle w:val="ListParagraph"/>
        <w:numPr>
          <w:ilvl w:val="0"/>
          <w:numId w:val="25"/>
        </w:numPr>
        <w:bidi w:val="0"/>
        <w:spacing w:after="0" w:line="276" w:lineRule="auto"/>
        <w:ind w:left="709" w:hanging="567"/>
        <w:rPr>
          <w:rFonts w:ascii="Times New Roman" w:hAnsi="Times New Roman" w:cs="Times New Roman"/>
          <w:b w:val="0"/>
          <w:bCs w:val="0"/>
          <w:sz w:val="24"/>
          <w:szCs w:val="24"/>
        </w:rPr>
      </w:pPr>
      <w:r w:rsidRPr="00C0031B">
        <w:rPr>
          <w:rFonts w:ascii="Times New Roman" w:hAnsi="Times New Roman" w:cs="Times New Roman"/>
          <w:b w:val="0"/>
          <w:bCs w:val="0"/>
          <w:sz w:val="24"/>
          <w:szCs w:val="24"/>
        </w:rPr>
        <w:t>Definition and calculation of the leverage ratio:</w:t>
      </w:r>
    </w:p>
    <w:p w:rsidR="007C7196" w:rsidRPr="00C0031B" w:rsidRDefault="007C7196" w:rsidP="00BF6F1F">
      <w:pPr>
        <w:pStyle w:val="ListParagraph"/>
        <w:bidi w:val="0"/>
        <w:spacing w:after="0" w:line="276" w:lineRule="auto"/>
        <w:ind w:left="709"/>
        <w:rPr>
          <w:rFonts w:ascii="Times New Roman" w:hAnsi="Times New Roman" w:cs="Times New Roman"/>
          <w:b w:val="0"/>
          <w:bCs w:val="0"/>
          <w:color w:val="202124"/>
          <w:sz w:val="24"/>
          <w:szCs w:val="24"/>
          <w:lang w:val="en"/>
        </w:rPr>
      </w:pPr>
      <w:r w:rsidRPr="00C0031B">
        <w:rPr>
          <w:rFonts w:ascii="Times New Roman" w:hAnsi="Times New Roman" w:cs="Times New Roman"/>
          <w:b w:val="0"/>
          <w:bCs w:val="0"/>
          <w:color w:val="202124"/>
          <w:sz w:val="24"/>
          <w:szCs w:val="24"/>
          <w:lang w:val="en"/>
        </w:rPr>
        <w:t>The minimum leverage ratio is (4%), so that it is calculated as follows:</w:t>
      </w:r>
    </w:p>
    <w:p w:rsidR="007C7196" w:rsidRPr="00C0031B" w:rsidRDefault="00FB2567" w:rsidP="00BF6F1F">
      <w:pPr>
        <w:pStyle w:val="ListParagraph"/>
        <w:numPr>
          <w:ilvl w:val="1"/>
          <w:numId w:val="25"/>
        </w:numPr>
        <w:bidi w:val="0"/>
        <w:spacing w:after="0" w:line="276" w:lineRule="auto"/>
        <w:ind w:left="1276" w:hanging="567"/>
        <w:rPr>
          <w:rFonts w:ascii="Times New Roman" w:hAnsi="Times New Roman" w:cs="Times New Roman"/>
          <w:b w:val="0"/>
          <w:bCs w:val="0"/>
          <w:sz w:val="24"/>
          <w:szCs w:val="24"/>
        </w:rPr>
      </w:pPr>
      <w:r w:rsidRPr="00C0031B">
        <w:rPr>
          <w:rFonts w:ascii="Times New Roman" w:hAnsi="Times New Roman" w:cs="Times New Roman"/>
          <w:b w:val="0"/>
          <w:bCs w:val="0"/>
          <w:color w:val="202124"/>
          <w:sz w:val="24"/>
          <w:szCs w:val="24"/>
          <w:lang w:val="en"/>
        </w:rPr>
        <w:t>The numerator of the ratio is (T1) capital as</w:t>
      </w:r>
      <w:r w:rsidR="00646DD0">
        <w:rPr>
          <w:rFonts w:ascii="Times New Roman" w:hAnsi="Times New Roman" w:cs="Times New Roman"/>
          <w:b w:val="0"/>
          <w:bCs w:val="0"/>
          <w:color w:val="202124"/>
          <w:sz w:val="24"/>
          <w:szCs w:val="24"/>
          <w:lang w:val="en"/>
        </w:rPr>
        <w:t xml:space="preserve"> defined in paragraph (1.1) of clause (Second / 1) of chapter t</w:t>
      </w:r>
      <w:r w:rsidRPr="00C0031B">
        <w:rPr>
          <w:rFonts w:ascii="Times New Roman" w:hAnsi="Times New Roman" w:cs="Times New Roman"/>
          <w:b w:val="0"/>
          <w:bCs w:val="0"/>
          <w:color w:val="202124"/>
          <w:sz w:val="24"/>
          <w:szCs w:val="24"/>
          <w:lang w:val="en"/>
        </w:rPr>
        <w:t>wo of these instructions. it</w:t>
      </w:r>
      <w:r w:rsidRPr="00C0031B">
        <w:rPr>
          <w:rFonts w:ascii="Times New Roman" w:hAnsi="Times New Roman" w:cs="Times New Roman"/>
          <w:b w:val="0"/>
          <w:bCs w:val="0"/>
          <w:sz w:val="24"/>
          <w:szCs w:val="24"/>
        </w:rPr>
        <w:t>ems that are deducted completely from capital do not contribute to leverage, and should therefore also be deducted from the measure of exposure. That is, the capital and exposure should be measured consistently and should avoid double counting. This means that deductions from Tier 1 capital should also be made from the exposure measure.</w:t>
      </w:r>
    </w:p>
    <w:p w:rsidR="00FB2567" w:rsidRPr="00C0031B" w:rsidRDefault="00FB2567" w:rsidP="00BF6F1F">
      <w:pPr>
        <w:pStyle w:val="ListParagraph"/>
        <w:numPr>
          <w:ilvl w:val="1"/>
          <w:numId w:val="25"/>
        </w:numPr>
        <w:bidi w:val="0"/>
        <w:spacing w:after="0" w:line="276" w:lineRule="auto"/>
        <w:ind w:left="1276" w:hanging="567"/>
        <w:rPr>
          <w:rFonts w:ascii="Times New Roman" w:hAnsi="Times New Roman" w:cs="Times New Roman"/>
          <w:b w:val="0"/>
          <w:bCs w:val="0"/>
          <w:sz w:val="24"/>
          <w:szCs w:val="24"/>
        </w:rPr>
      </w:pPr>
      <w:r w:rsidRPr="00C0031B">
        <w:rPr>
          <w:rFonts w:ascii="Times New Roman" w:hAnsi="Times New Roman" w:cs="Times New Roman"/>
          <w:b w:val="0"/>
          <w:bCs w:val="0"/>
          <w:color w:val="202124"/>
          <w:sz w:val="24"/>
          <w:szCs w:val="24"/>
          <w:lang w:val="en"/>
        </w:rPr>
        <w:t>The denominator for the ratio consists from on-balance and off-balance sheet items, as follows:</w:t>
      </w:r>
    </w:p>
    <w:p w:rsidR="00FB2567" w:rsidRPr="00C0031B" w:rsidRDefault="00FB2567" w:rsidP="00BF6F1F">
      <w:pPr>
        <w:pStyle w:val="ListParagraph"/>
        <w:bidi w:val="0"/>
        <w:spacing w:after="0" w:line="276" w:lineRule="auto"/>
        <w:ind w:left="1276"/>
        <w:rPr>
          <w:rFonts w:ascii="Times New Roman" w:hAnsi="Times New Roman" w:cs="Times New Roman"/>
          <w:b w:val="0"/>
          <w:bCs w:val="0"/>
          <w:sz w:val="24"/>
          <w:szCs w:val="24"/>
        </w:rPr>
      </w:pPr>
      <w:r w:rsidRPr="00C0031B">
        <w:rPr>
          <w:rFonts w:ascii="Times New Roman" w:hAnsi="Times New Roman" w:cs="Times New Roman"/>
          <w:b w:val="0"/>
          <w:bCs w:val="0"/>
          <w:color w:val="202124"/>
          <w:sz w:val="24"/>
          <w:szCs w:val="24"/>
          <w:u w:val="single"/>
          <w:lang w:val="en"/>
        </w:rPr>
        <w:t>On-balance sheet items</w:t>
      </w:r>
      <w:r w:rsidRPr="00C0031B">
        <w:rPr>
          <w:rFonts w:ascii="Times New Roman" w:hAnsi="Times New Roman" w:cs="Times New Roman"/>
          <w:b w:val="0"/>
          <w:bCs w:val="0"/>
          <w:color w:val="202124"/>
          <w:sz w:val="24"/>
          <w:szCs w:val="24"/>
          <w:lang w:val="en"/>
        </w:rPr>
        <w:t xml:space="preserve">: </w:t>
      </w:r>
      <w:r w:rsidR="001B1D2A" w:rsidRPr="00C0031B">
        <w:rPr>
          <w:rFonts w:ascii="Times New Roman" w:hAnsi="Times New Roman" w:cs="Times New Roman"/>
          <w:b w:val="0"/>
          <w:bCs w:val="0"/>
          <w:color w:val="202124"/>
          <w:sz w:val="24"/>
          <w:szCs w:val="24"/>
          <w:lang w:val="en"/>
        </w:rPr>
        <w:t xml:space="preserve">are </w:t>
      </w:r>
      <w:r w:rsidR="001B1D2A" w:rsidRPr="00C0031B">
        <w:rPr>
          <w:rFonts w:ascii="Times New Roman" w:hAnsi="Times New Roman" w:cs="Times New Roman"/>
          <w:b w:val="0"/>
          <w:bCs w:val="0"/>
          <w:sz w:val="24"/>
          <w:szCs w:val="24"/>
        </w:rPr>
        <w:t xml:space="preserve">net of specific provisions and unpaid interest. </w:t>
      </w:r>
      <w:r w:rsidR="00646DD0">
        <w:rPr>
          <w:rFonts w:ascii="Times New Roman" w:hAnsi="Times New Roman" w:cs="Times New Roman"/>
          <w:b w:val="0"/>
          <w:bCs w:val="0"/>
          <w:sz w:val="24"/>
          <w:szCs w:val="24"/>
        </w:rPr>
        <w:t xml:space="preserve">Noting that the </w:t>
      </w:r>
      <w:r w:rsidR="001B1D2A" w:rsidRPr="00C0031B">
        <w:rPr>
          <w:rFonts w:ascii="Times New Roman" w:hAnsi="Times New Roman" w:cs="Times New Roman"/>
          <w:b w:val="0"/>
          <w:bCs w:val="0"/>
          <w:sz w:val="24"/>
          <w:szCs w:val="24"/>
        </w:rPr>
        <w:t>credit risk mitigation and netting of loans and deposits is not allowed to reduce on-balance sheet exposures.</w:t>
      </w:r>
    </w:p>
    <w:p w:rsidR="001B1D2A" w:rsidRPr="00C0031B" w:rsidRDefault="00BF6F1F" w:rsidP="005638C5">
      <w:pPr>
        <w:pStyle w:val="ListParagraph"/>
        <w:bidi w:val="0"/>
        <w:spacing w:after="0" w:line="276" w:lineRule="auto"/>
        <w:ind w:left="1276"/>
        <w:rPr>
          <w:rFonts w:ascii="Times New Roman" w:hAnsi="Times New Roman" w:cs="Times New Roman"/>
          <w:b w:val="0"/>
          <w:bCs w:val="0"/>
          <w:color w:val="202124"/>
          <w:sz w:val="24"/>
          <w:szCs w:val="24"/>
          <w:lang w:val="en"/>
        </w:rPr>
      </w:pPr>
      <w:r w:rsidRPr="00C0031B">
        <w:rPr>
          <w:rFonts w:ascii="Times New Roman" w:hAnsi="Times New Roman" w:cs="Times New Roman"/>
          <w:b w:val="0"/>
          <w:bCs w:val="0"/>
          <w:color w:val="202124"/>
          <w:sz w:val="24"/>
          <w:szCs w:val="24"/>
          <w:u w:val="single"/>
          <w:lang w:val="en"/>
        </w:rPr>
        <w:t>O</w:t>
      </w:r>
      <w:r w:rsidR="001B1D2A" w:rsidRPr="00C0031B">
        <w:rPr>
          <w:rFonts w:ascii="Times New Roman" w:hAnsi="Times New Roman" w:cs="Times New Roman"/>
          <w:b w:val="0"/>
          <w:bCs w:val="0"/>
          <w:color w:val="202124"/>
          <w:sz w:val="24"/>
          <w:szCs w:val="24"/>
          <w:u w:val="single"/>
          <w:lang w:val="en"/>
        </w:rPr>
        <w:t>ff-balance sheet items</w:t>
      </w:r>
      <w:r w:rsidR="001B1D2A" w:rsidRPr="00C0031B">
        <w:rPr>
          <w:rFonts w:ascii="Times New Roman" w:hAnsi="Times New Roman" w:cs="Times New Roman"/>
          <w:b w:val="0"/>
          <w:bCs w:val="0"/>
          <w:color w:val="202124"/>
          <w:sz w:val="24"/>
          <w:szCs w:val="24"/>
          <w:lang w:val="en"/>
        </w:rPr>
        <w:t xml:space="preserve">: as indicated in </w:t>
      </w:r>
      <w:r w:rsidRPr="00C0031B">
        <w:rPr>
          <w:rFonts w:ascii="Times New Roman" w:hAnsi="Times New Roman" w:cs="Times New Roman"/>
          <w:b w:val="0"/>
          <w:bCs w:val="0"/>
          <w:color w:val="202124"/>
          <w:sz w:val="24"/>
          <w:szCs w:val="24"/>
          <w:lang w:val="en"/>
        </w:rPr>
        <w:t>annex n</w:t>
      </w:r>
      <w:r w:rsidR="001B1D2A" w:rsidRPr="00C0031B">
        <w:rPr>
          <w:rFonts w:ascii="Times New Roman" w:hAnsi="Times New Roman" w:cs="Times New Roman"/>
          <w:b w:val="0"/>
          <w:bCs w:val="0"/>
          <w:color w:val="202124"/>
          <w:sz w:val="24"/>
          <w:szCs w:val="24"/>
          <w:lang w:val="en"/>
        </w:rPr>
        <w:t xml:space="preserve">o. (24) and according to </w:t>
      </w:r>
      <w:r w:rsidR="00BA36C5" w:rsidRPr="00C0031B">
        <w:rPr>
          <w:rFonts w:ascii="Times New Roman" w:hAnsi="Times New Roman" w:cs="Times New Roman"/>
          <w:b w:val="0"/>
          <w:bCs w:val="0"/>
          <w:sz w:val="24"/>
          <w:szCs w:val="24"/>
        </w:rPr>
        <w:t xml:space="preserve">credit conversion factor (CCF) </w:t>
      </w:r>
      <w:r w:rsidR="001B1D2A" w:rsidRPr="00C0031B">
        <w:rPr>
          <w:rFonts w:ascii="Times New Roman" w:hAnsi="Times New Roman" w:cs="Times New Roman"/>
          <w:b w:val="0"/>
          <w:bCs w:val="0"/>
          <w:color w:val="202124"/>
          <w:sz w:val="24"/>
          <w:szCs w:val="24"/>
          <w:lang w:val="en"/>
        </w:rPr>
        <w:t xml:space="preserve">for each of the off-balance sheet items shown in the </w:t>
      </w:r>
      <w:r w:rsidR="005638C5">
        <w:rPr>
          <w:rFonts w:ascii="Times New Roman" w:hAnsi="Times New Roman" w:cs="Times New Roman"/>
          <w:b w:val="0"/>
          <w:bCs w:val="0"/>
          <w:color w:val="202124"/>
          <w:sz w:val="24"/>
          <w:szCs w:val="24"/>
          <w:lang w:val="en"/>
        </w:rPr>
        <w:t>annex</w:t>
      </w:r>
      <w:r w:rsidR="00BA36C5" w:rsidRPr="00C0031B">
        <w:rPr>
          <w:rFonts w:ascii="Times New Roman" w:hAnsi="Times New Roman" w:cs="Times New Roman"/>
          <w:b w:val="0"/>
          <w:bCs w:val="0"/>
          <w:color w:val="202124"/>
          <w:sz w:val="24"/>
          <w:szCs w:val="24"/>
          <w:lang w:val="en"/>
        </w:rPr>
        <w:t>. Note that these factors are for the purpose of calculating leverage ratio only.</w:t>
      </w:r>
    </w:p>
    <w:p w:rsidR="00BF6F1F" w:rsidRPr="00C0031B" w:rsidRDefault="00BF6F1F" w:rsidP="00BF6F1F">
      <w:pPr>
        <w:pStyle w:val="ListParagraph"/>
        <w:bidi w:val="0"/>
        <w:spacing w:after="0" w:line="276" w:lineRule="auto"/>
        <w:ind w:left="1276"/>
        <w:rPr>
          <w:rFonts w:ascii="Times New Roman" w:hAnsi="Times New Roman" w:cs="Times New Roman"/>
          <w:b w:val="0"/>
          <w:bCs w:val="0"/>
          <w:sz w:val="24"/>
          <w:szCs w:val="24"/>
        </w:rPr>
      </w:pPr>
    </w:p>
    <w:p w:rsidR="00BA36C5" w:rsidRPr="00C0031B" w:rsidRDefault="00646DD0" w:rsidP="00BF6F1F">
      <w:pPr>
        <w:pStyle w:val="ListParagraph"/>
        <w:numPr>
          <w:ilvl w:val="0"/>
          <w:numId w:val="25"/>
        </w:numPr>
        <w:bidi w:val="0"/>
        <w:spacing w:after="0" w:line="276" w:lineRule="auto"/>
        <w:ind w:left="709" w:hanging="567"/>
        <w:rPr>
          <w:rFonts w:ascii="Times New Roman" w:hAnsi="Times New Roman" w:cs="Times New Roman"/>
          <w:b w:val="0"/>
          <w:bCs w:val="0"/>
          <w:sz w:val="24"/>
          <w:szCs w:val="24"/>
        </w:rPr>
      </w:pPr>
      <w:r w:rsidRPr="00646DD0">
        <w:rPr>
          <w:rFonts w:ascii="Times New Roman" w:hAnsi="Times New Roman" w:cs="Times New Roman"/>
          <w:b w:val="0"/>
          <w:bCs w:val="0"/>
          <w:sz w:val="24"/>
          <w:szCs w:val="24"/>
        </w:rPr>
        <w:t>Application</w:t>
      </w:r>
      <w:r>
        <w:rPr>
          <w:color w:val="202124"/>
          <w:lang w:val="en"/>
        </w:rPr>
        <w:t xml:space="preserve"> </w:t>
      </w:r>
      <w:r w:rsidR="00BA36C5" w:rsidRPr="00C0031B">
        <w:rPr>
          <w:rFonts w:ascii="Times New Roman" w:hAnsi="Times New Roman" w:cs="Times New Roman"/>
          <w:b w:val="0"/>
          <w:bCs w:val="0"/>
          <w:sz w:val="24"/>
          <w:szCs w:val="24"/>
        </w:rPr>
        <w:t>arrangements:</w:t>
      </w:r>
    </w:p>
    <w:p w:rsidR="007C7196" w:rsidRPr="00BF6F1F" w:rsidRDefault="00BA36C5" w:rsidP="00BF6F1F">
      <w:pPr>
        <w:pStyle w:val="ListParagraph"/>
        <w:bidi w:val="0"/>
        <w:spacing w:after="0" w:line="276" w:lineRule="auto"/>
        <w:ind w:left="709"/>
        <w:rPr>
          <w:rFonts w:ascii="Times New Roman" w:hAnsi="Times New Roman" w:cs="Times New Roman"/>
          <w:b w:val="0"/>
          <w:bCs w:val="0"/>
          <w:rtl/>
        </w:rPr>
      </w:pPr>
      <w:r w:rsidRPr="00C0031B">
        <w:rPr>
          <w:rFonts w:ascii="Times New Roman" w:hAnsi="Times New Roman" w:cs="Times New Roman"/>
          <w:b w:val="0"/>
          <w:bCs w:val="0"/>
          <w:color w:val="202124"/>
          <w:sz w:val="24"/>
          <w:szCs w:val="24"/>
          <w:lang w:val="en"/>
        </w:rPr>
        <w:t>Banks start with the trial calculation starting from the date of applying these instructions and disclosing them in the regulatory capital statements, and based on the impact study to be made by the Basel Committee in light of the results of the experimental application, the Central Bank will introduce any amendments in this regard.</w:t>
      </w:r>
    </w:p>
    <w:p w:rsidR="00505A8B" w:rsidRDefault="00505A8B" w:rsidP="00BA36C5">
      <w:pPr>
        <w:spacing w:after="0" w:line="276" w:lineRule="auto"/>
        <w:ind w:left="425" w:hanging="396"/>
      </w:pPr>
    </w:p>
    <w:p w:rsidR="00F95D84" w:rsidRPr="00A91F2E" w:rsidRDefault="00F95D84" w:rsidP="00BA36C5">
      <w:pPr>
        <w:spacing w:after="0" w:line="276" w:lineRule="auto"/>
        <w:ind w:left="425" w:hanging="396"/>
        <w:rPr>
          <w:b w:val="0"/>
          <w:bCs w:val="0"/>
        </w:rPr>
      </w:pPr>
    </w:p>
    <w:p w:rsidR="00F95D84" w:rsidRPr="00882A72" w:rsidRDefault="00F95D84" w:rsidP="00BA36C5">
      <w:pPr>
        <w:keepNext/>
        <w:bidi w:val="0"/>
        <w:jc w:val="center"/>
        <w:rPr>
          <w:color w:val="202124"/>
        </w:rPr>
      </w:pPr>
    </w:p>
    <w:p w:rsidR="00BA36C5" w:rsidRPr="00F06631" w:rsidRDefault="00037A2C" w:rsidP="0039291D">
      <w:pPr>
        <w:pStyle w:val="Heading1"/>
        <w:pBdr>
          <w:bottom w:val="single" w:sz="4" w:space="1" w:color="auto"/>
        </w:pBdr>
        <w:bidi w:val="0"/>
        <w:jc w:val="center"/>
        <w:rPr>
          <w:rFonts w:asciiTheme="majorBidi" w:hAnsiTheme="majorBidi" w:cstheme="majorBidi"/>
          <w:b/>
          <w:bCs/>
        </w:rPr>
      </w:pPr>
      <w:bookmarkStart w:id="59" w:name="_Toc65354409"/>
      <w:r w:rsidRPr="00F06631">
        <w:rPr>
          <w:rFonts w:asciiTheme="majorBidi" w:hAnsiTheme="majorBidi" w:cstheme="majorBidi"/>
          <w:b/>
          <w:bCs/>
        </w:rPr>
        <w:t>Annex</w:t>
      </w:r>
      <w:r w:rsidR="00BA36C5" w:rsidRPr="00F06631">
        <w:rPr>
          <w:rFonts w:asciiTheme="majorBidi" w:hAnsiTheme="majorBidi" w:cstheme="majorBidi"/>
          <w:b/>
          <w:bCs/>
          <w:rtl/>
        </w:rPr>
        <w:t xml:space="preserve"> </w:t>
      </w:r>
      <w:r w:rsidR="00BA36C5" w:rsidRPr="00F06631">
        <w:rPr>
          <w:rFonts w:asciiTheme="majorBidi" w:hAnsiTheme="majorBidi" w:cstheme="majorBidi"/>
          <w:b/>
          <w:bCs/>
        </w:rPr>
        <w:t>(1)</w:t>
      </w:r>
      <w:r w:rsidR="0039291D">
        <w:rPr>
          <w:rFonts w:asciiTheme="majorBidi" w:hAnsiTheme="majorBidi" w:cstheme="majorBidi"/>
          <w:b/>
          <w:bCs/>
        </w:rPr>
        <w:t xml:space="preserve"> </w:t>
      </w:r>
      <w:r w:rsidR="00F95D84" w:rsidRPr="00F06631">
        <w:rPr>
          <w:rFonts w:asciiTheme="majorBidi" w:hAnsiTheme="majorBidi" w:cstheme="majorBidi"/>
          <w:b/>
          <w:bCs/>
        </w:rPr>
        <w:t>Investments in banks, securities companies, and other financial companies in the event of non- consolidation</w:t>
      </w:r>
      <w:bookmarkEnd w:id="59"/>
    </w:p>
    <w:p w:rsidR="00BA36C5" w:rsidRPr="00BF6F1F" w:rsidRDefault="00BA36C5" w:rsidP="00505A8B">
      <w:pPr>
        <w:keepNext/>
        <w:jc w:val="center"/>
        <w:rPr>
          <w:rFonts w:ascii="Times New Roman" w:hAnsi="Times New Roman" w:cs="Times New Roman"/>
        </w:rPr>
      </w:pPr>
    </w:p>
    <w:tbl>
      <w:tblPr>
        <w:tblStyle w:val="TableGrid"/>
        <w:bidiVisual/>
        <w:tblW w:w="0" w:type="auto"/>
        <w:tblLook w:val="04A0" w:firstRow="1" w:lastRow="0" w:firstColumn="1" w:lastColumn="0" w:noHBand="0" w:noVBand="1"/>
      </w:tblPr>
      <w:tblGrid>
        <w:gridCol w:w="1486"/>
        <w:gridCol w:w="1486"/>
        <w:gridCol w:w="1487"/>
        <w:gridCol w:w="1487"/>
        <w:gridCol w:w="1487"/>
        <w:gridCol w:w="1487"/>
      </w:tblGrid>
      <w:tr w:rsidR="00F95D84" w:rsidRPr="00C0031B" w:rsidTr="00685EFA">
        <w:tc>
          <w:tcPr>
            <w:tcW w:w="1486" w:type="dxa"/>
            <w:shd w:val="clear" w:color="auto" w:fill="EDEDED" w:themeFill="accent3" w:themeFillTint="33"/>
            <w:vAlign w:val="center"/>
          </w:tcPr>
          <w:p w:rsidR="00F95D84" w:rsidRPr="00C0031B" w:rsidRDefault="00F95D84" w:rsidP="00037A2C">
            <w:pPr>
              <w:keepNext/>
              <w:bidi w:val="0"/>
              <w:jc w:val="center"/>
              <w:rPr>
                <w:rFonts w:ascii="Times New Roman" w:hAnsi="Times New Roman" w:cs="Times New Roman"/>
                <w:sz w:val="22"/>
                <w:szCs w:val="22"/>
                <w:rtl/>
              </w:rPr>
            </w:pPr>
            <w:r w:rsidRPr="00C0031B">
              <w:rPr>
                <w:rFonts w:ascii="Times New Roman" w:hAnsi="Times New Roman" w:cs="Times New Roman"/>
                <w:sz w:val="22"/>
                <w:szCs w:val="22"/>
              </w:rPr>
              <w:t>2020</w:t>
            </w:r>
          </w:p>
        </w:tc>
        <w:tc>
          <w:tcPr>
            <w:tcW w:w="1486" w:type="dxa"/>
            <w:shd w:val="clear" w:color="auto" w:fill="EDEDED" w:themeFill="accent3" w:themeFillTint="33"/>
            <w:vAlign w:val="center"/>
          </w:tcPr>
          <w:p w:rsidR="00F95D84" w:rsidRPr="00C0031B" w:rsidRDefault="00F95D84" w:rsidP="00037A2C">
            <w:pPr>
              <w:keepNext/>
              <w:bidi w:val="0"/>
              <w:jc w:val="center"/>
              <w:rPr>
                <w:rFonts w:ascii="Times New Roman" w:hAnsi="Times New Roman" w:cs="Times New Roman"/>
                <w:sz w:val="22"/>
                <w:szCs w:val="22"/>
                <w:rtl/>
              </w:rPr>
            </w:pPr>
            <w:r w:rsidRPr="00C0031B">
              <w:rPr>
                <w:rFonts w:ascii="Times New Roman" w:hAnsi="Times New Roman" w:cs="Times New Roman"/>
                <w:sz w:val="22"/>
                <w:szCs w:val="22"/>
              </w:rPr>
              <w:t>2019</w:t>
            </w:r>
          </w:p>
        </w:tc>
        <w:tc>
          <w:tcPr>
            <w:tcW w:w="1487" w:type="dxa"/>
            <w:shd w:val="clear" w:color="auto" w:fill="EDEDED" w:themeFill="accent3" w:themeFillTint="33"/>
            <w:vAlign w:val="center"/>
          </w:tcPr>
          <w:p w:rsidR="00F95D84" w:rsidRPr="00C0031B" w:rsidRDefault="00F95D84" w:rsidP="00037A2C">
            <w:pPr>
              <w:keepNext/>
              <w:bidi w:val="0"/>
              <w:jc w:val="center"/>
              <w:rPr>
                <w:rFonts w:ascii="Times New Roman" w:hAnsi="Times New Roman" w:cs="Times New Roman"/>
                <w:sz w:val="22"/>
                <w:szCs w:val="22"/>
                <w:rtl/>
              </w:rPr>
            </w:pPr>
            <w:r w:rsidRPr="00C0031B">
              <w:rPr>
                <w:rFonts w:ascii="Times New Roman" w:hAnsi="Times New Roman" w:cs="Times New Roman"/>
                <w:sz w:val="22"/>
                <w:szCs w:val="22"/>
              </w:rPr>
              <w:t>2018</w:t>
            </w:r>
          </w:p>
        </w:tc>
        <w:tc>
          <w:tcPr>
            <w:tcW w:w="1487" w:type="dxa"/>
            <w:shd w:val="clear" w:color="auto" w:fill="EDEDED" w:themeFill="accent3" w:themeFillTint="33"/>
            <w:vAlign w:val="center"/>
          </w:tcPr>
          <w:p w:rsidR="00F95D84" w:rsidRPr="00C0031B" w:rsidRDefault="00F95D84" w:rsidP="00037A2C">
            <w:pPr>
              <w:keepNext/>
              <w:bidi w:val="0"/>
              <w:jc w:val="center"/>
              <w:rPr>
                <w:rFonts w:ascii="Times New Roman" w:hAnsi="Times New Roman" w:cs="Times New Roman"/>
                <w:sz w:val="22"/>
                <w:szCs w:val="22"/>
                <w:rtl/>
              </w:rPr>
            </w:pPr>
            <w:r w:rsidRPr="00C0031B">
              <w:rPr>
                <w:rFonts w:ascii="Times New Roman" w:hAnsi="Times New Roman" w:cs="Times New Roman"/>
                <w:sz w:val="22"/>
                <w:szCs w:val="22"/>
              </w:rPr>
              <w:t>2017</w:t>
            </w:r>
          </w:p>
        </w:tc>
        <w:tc>
          <w:tcPr>
            <w:tcW w:w="1487" w:type="dxa"/>
            <w:shd w:val="clear" w:color="auto" w:fill="EDEDED" w:themeFill="accent3" w:themeFillTint="33"/>
            <w:vAlign w:val="center"/>
          </w:tcPr>
          <w:p w:rsidR="00F95D84" w:rsidRPr="00C0031B" w:rsidRDefault="00F95D84" w:rsidP="00037A2C">
            <w:pPr>
              <w:keepNext/>
              <w:bidi w:val="0"/>
              <w:jc w:val="center"/>
              <w:rPr>
                <w:rFonts w:ascii="Times New Roman" w:hAnsi="Times New Roman" w:cs="Times New Roman"/>
                <w:sz w:val="22"/>
                <w:szCs w:val="22"/>
                <w:rtl/>
              </w:rPr>
            </w:pPr>
            <w:r w:rsidRPr="00C0031B">
              <w:rPr>
                <w:rFonts w:ascii="Times New Roman" w:hAnsi="Times New Roman" w:cs="Times New Roman"/>
                <w:sz w:val="22"/>
                <w:szCs w:val="22"/>
              </w:rPr>
              <w:t>2016</w:t>
            </w:r>
          </w:p>
        </w:tc>
        <w:tc>
          <w:tcPr>
            <w:tcW w:w="1487" w:type="dxa"/>
            <w:shd w:val="clear" w:color="auto" w:fill="EDEDED" w:themeFill="accent3" w:themeFillTint="33"/>
            <w:vAlign w:val="center"/>
          </w:tcPr>
          <w:p w:rsidR="00F95D84" w:rsidRPr="00C0031B" w:rsidRDefault="00F95D84" w:rsidP="00037A2C">
            <w:pPr>
              <w:keepNext/>
              <w:bidi w:val="0"/>
              <w:jc w:val="center"/>
              <w:rPr>
                <w:rFonts w:ascii="Times New Roman" w:hAnsi="Times New Roman" w:cs="Times New Roman"/>
                <w:sz w:val="22"/>
                <w:szCs w:val="22"/>
                <w:rtl/>
              </w:rPr>
            </w:pPr>
            <w:r w:rsidRPr="00C0031B">
              <w:rPr>
                <w:rFonts w:ascii="Times New Roman" w:hAnsi="Times New Roman" w:cs="Times New Roman"/>
                <w:sz w:val="22"/>
                <w:szCs w:val="22"/>
              </w:rPr>
              <w:t>Year</w:t>
            </w:r>
          </w:p>
        </w:tc>
      </w:tr>
      <w:tr w:rsidR="00F95D84" w:rsidRPr="00C0031B" w:rsidTr="00685EFA">
        <w:tc>
          <w:tcPr>
            <w:tcW w:w="1486" w:type="dxa"/>
            <w:vAlign w:val="center"/>
          </w:tcPr>
          <w:p w:rsidR="00F95D84" w:rsidRPr="00C0031B" w:rsidRDefault="00037A2C" w:rsidP="00037A2C">
            <w:pPr>
              <w:keepNext/>
              <w:bidi w:val="0"/>
              <w:jc w:val="center"/>
              <w:rPr>
                <w:rFonts w:ascii="Times New Roman" w:hAnsi="Times New Roman" w:cs="Times New Roman"/>
                <w:b w:val="0"/>
                <w:bCs w:val="0"/>
                <w:sz w:val="22"/>
                <w:szCs w:val="22"/>
                <w:rtl/>
              </w:rPr>
            </w:pPr>
            <w:r w:rsidRPr="00C0031B">
              <w:rPr>
                <w:rFonts w:ascii="Times New Roman" w:hAnsi="Times New Roman" w:cs="Times New Roman"/>
                <w:b w:val="0"/>
                <w:bCs w:val="0"/>
                <w:sz w:val="22"/>
                <w:szCs w:val="22"/>
              </w:rPr>
              <w:t>100%</w:t>
            </w:r>
          </w:p>
        </w:tc>
        <w:tc>
          <w:tcPr>
            <w:tcW w:w="1486" w:type="dxa"/>
            <w:vAlign w:val="center"/>
          </w:tcPr>
          <w:p w:rsidR="00F95D84" w:rsidRPr="00C0031B" w:rsidRDefault="00037A2C" w:rsidP="00037A2C">
            <w:pPr>
              <w:keepNext/>
              <w:bidi w:val="0"/>
              <w:jc w:val="center"/>
              <w:rPr>
                <w:rFonts w:ascii="Times New Roman" w:hAnsi="Times New Roman" w:cs="Times New Roman"/>
                <w:b w:val="0"/>
                <w:bCs w:val="0"/>
                <w:sz w:val="22"/>
                <w:szCs w:val="22"/>
                <w:rtl/>
              </w:rPr>
            </w:pPr>
            <w:r w:rsidRPr="00C0031B">
              <w:rPr>
                <w:rFonts w:ascii="Times New Roman" w:hAnsi="Times New Roman" w:cs="Times New Roman"/>
                <w:b w:val="0"/>
                <w:bCs w:val="0"/>
                <w:sz w:val="22"/>
                <w:szCs w:val="22"/>
              </w:rPr>
              <w:t>80%</w:t>
            </w:r>
          </w:p>
        </w:tc>
        <w:tc>
          <w:tcPr>
            <w:tcW w:w="1487" w:type="dxa"/>
            <w:vAlign w:val="center"/>
          </w:tcPr>
          <w:p w:rsidR="00F95D84" w:rsidRPr="00C0031B" w:rsidRDefault="00037A2C" w:rsidP="00037A2C">
            <w:pPr>
              <w:keepNext/>
              <w:bidi w:val="0"/>
              <w:jc w:val="center"/>
              <w:rPr>
                <w:rFonts w:ascii="Times New Roman" w:hAnsi="Times New Roman" w:cs="Times New Roman"/>
                <w:b w:val="0"/>
                <w:bCs w:val="0"/>
                <w:sz w:val="22"/>
                <w:szCs w:val="22"/>
                <w:rtl/>
              </w:rPr>
            </w:pPr>
            <w:r w:rsidRPr="00C0031B">
              <w:rPr>
                <w:rFonts w:ascii="Times New Roman" w:hAnsi="Times New Roman" w:cs="Times New Roman"/>
                <w:b w:val="0"/>
                <w:bCs w:val="0"/>
                <w:sz w:val="22"/>
                <w:szCs w:val="22"/>
              </w:rPr>
              <w:t>60%</w:t>
            </w:r>
          </w:p>
        </w:tc>
        <w:tc>
          <w:tcPr>
            <w:tcW w:w="1487" w:type="dxa"/>
            <w:vAlign w:val="center"/>
          </w:tcPr>
          <w:p w:rsidR="00F95D84" w:rsidRPr="00C0031B" w:rsidRDefault="00037A2C" w:rsidP="00037A2C">
            <w:pPr>
              <w:keepNext/>
              <w:bidi w:val="0"/>
              <w:jc w:val="center"/>
              <w:rPr>
                <w:rFonts w:ascii="Times New Roman" w:hAnsi="Times New Roman" w:cs="Times New Roman"/>
                <w:b w:val="0"/>
                <w:bCs w:val="0"/>
                <w:sz w:val="22"/>
                <w:szCs w:val="22"/>
                <w:rtl/>
              </w:rPr>
            </w:pPr>
            <w:r w:rsidRPr="00C0031B">
              <w:rPr>
                <w:rFonts w:ascii="Times New Roman" w:hAnsi="Times New Roman" w:cs="Times New Roman"/>
                <w:b w:val="0"/>
                <w:bCs w:val="0"/>
                <w:sz w:val="22"/>
                <w:szCs w:val="22"/>
              </w:rPr>
              <w:t>40%</w:t>
            </w:r>
          </w:p>
        </w:tc>
        <w:tc>
          <w:tcPr>
            <w:tcW w:w="1487" w:type="dxa"/>
            <w:vAlign w:val="center"/>
          </w:tcPr>
          <w:p w:rsidR="00F95D84" w:rsidRPr="00C0031B" w:rsidRDefault="00037A2C" w:rsidP="00037A2C">
            <w:pPr>
              <w:keepNext/>
              <w:bidi w:val="0"/>
              <w:jc w:val="center"/>
              <w:rPr>
                <w:rFonts w:ascii="Times New Roman" w:hAnsi="Times New Roman" w:cs="Times New Roman"/>
                <w:b w:val="0"/>
                <w:bCs w:val="0"/>
                <w:sz w:val="22"/>
                <w:szCs w:val="22"/>
                <w:rtl/>
              </w:rPr>
            </w:pPr>
            <w:r w:rsidRPr="00C0031B">
              <w:rPr>
                <w:rFonts w:ascii="Times New Roman" w:hAnsi="Times New Roman" w:cs="Times New Roman"/>
                <w:b w:val="0"/>
                <w:bCs w:val="0"/>
                <w:sz w:val="22"/>
                <w:szCs w:val="22"/>
              </w:rPr>
              <w:t>20%</w:t>
            </w:r>
          </w:p>
        </w:tc>
        <w:tc>
          <w:tcPr>
            <w:tcW w:w="1487" w:type="dxa"/>
            <w:shd w:val="clear" w:color="auto" w:fill="EDEDED" w:themeFill="accent3" w:themeFillTint="33"/>
            <w:vAlign w:val="center"/>
          </w:tcPr>
          <w:p w:rsidR="00F95D84" w:rsidRPr="00C0031B" w:rsidRDefault="00685EFA" w:rsidP="00037A2C">
            <w:pPr>
              <w:keepNext/>
              <w:bidi w:val="0"/>
              <w:jc w:val="center"/>
              <w:rPr>
                <w:rFonts w:ascii="Times New Roman" w:hAnsi="Times New Roman" w:cs="Times New Roman"/>
                <w:sz w:val="22"/>
                <w:szCs w:val="22"/>
                <w:rtl/>
                <w:lang w:bidi="ar-JO"/>
              </w:rPr>
            </w:pPr>
            <w:r>
              <w:rPr>
                <w:rFonts w:ascii="Times New Roman" w:hAnsi="Times New Roman" w:cs="Times New Roman"/>
                <w:sz w:val="22"/>
                <w:szCs w:val="22"/>
                <w:lang w:bidi="ar-JO"/>
              </w:rPr>
              <w:t xml:space="preserve">Reducing </w:t>
            </w:r>
            <w:r w:rsidRPr="00685EFA">
              <w:rPr>
                <w:rFonts w:ascii="Times New Roman" w:hAnsi="Times New Roman" w:cs="Times New Roman"/>
                <w:sz w:val="22"/>
                <w:szCs w:val="22"/>
                <w:lang w:bidi="ar-JO"/>
              </w:rPr>
              <w:t>percentage</w:t>
            </w:r>
          </w:p>
        </w:tc>
      </w:tr>
      <w:tr w:rsidR="00F95D84" w:rsidRPr="00C0031B" w:rsidTr="00685EFA">
        <w:tc>
          <w:tcPr>
            <w:tcW w:w="1486" w:type="dxa"/>
            <w:vAlign w:val="center"/>
          </w:tcPr>
          <w:p w:rsidR="00F95D84" w:rsidRPr="00C0031B" w:rsidRDefault="00037A2C" w:rsidP="00037A2C">
            <w:pPr>
              <w:keepNext/>
              <w:bidi w:val="0"/>
              <w:jc w:val="center"/>
              <w:rPr>
                <w:rFonts w:ascii="Times New Roman" w:hAnsi="Times New Roman" w:cs="Times New Roman"/>
                <w:b w:val="0"/>
                <w:bCs w:val="0"/>
                <w:sz w:val="22"/>
                <w:szCs w:val="22"/>
                <w:rtl/>
              </w:rPr>
            </w:pPr>
            <w:r w:rsidRPr="00C0031B">
              <w:rPr>
                <w:rFonts w:ascii="Times New Roman" w:hAnsi="Times New Roman" w:cs="Times New Roman"/>
                <w:b w:val="0"/>
                <w:bCs w:val="0"/>
                <w:sz w:val="22"/>
                <w:szCs w:val="22"/>
              </w:rPr>
              <w:t>100%</w:t>
            </w:r>
          </w:p>
        </w:tc>
        <w:tc>
          <w:tcPr>
            <w:tcW w:w="1486" w:type="dxa"/>
            <w:vAlign w:val="center"/>
          </w:tcPr>
          <w:p w:rsidR="00F95D84" w:rsidRPr="00C0031B" w:rsidRDefault="00037A2C" w:rsidP="00037A2C">
            <w:pPr>
              <w:keepNext/>
              <w:bidi w:val="0"/>
              <w:jc w:val="center"/>
              <w:rPr>
                <w:rFonts w:ascii="Times New Roman" w:hAnsi="Times New Roman" w:cs="Times New Roman"/>
                <w:b w:val="0"/>
                <w:bCs w:val="0"/>
                <w:sz w:val="22"/>
                <w:szCs w:val="22"/>
                <w:rtl/>
              </w:rPr>
            </w:pPr>
            <w:r w:rsidRPr="00C0031B">
              <w:rPr>
                <w:rFonts w:ascii="Times New Roman" w:hAnsi="Times New Roman" w:cs="Times New Roman"/>
                <w:b w:val="0"/>
                <w:bCs w:val="0"/>
                <w:sz w:val="22"/>
                <w:szCs w:val="22"/>
              </w:rPr>
              <w:t>90%</w:t>
            </w:r>
          </w:p>
        </w:tc>
        <w:tc>
          <w:tcPr>
            <w:tcW w:w="1487" w:type="dxa"/>
            <w:vAlign w:val="center"/>
          </w:tcPr>
          <w:p w:rsidR="00F95D84" w:rsidRPr="00C0031B" w:rsidRDefault="00037A2C" w:rsidP="00037A2C">
            <w:pPr>
              <w:keepNext/>
              <w:bidi w:val="0"/>
              <w:jc w:val="center"/>
              <w:rPr>
                <w:rFonts w:ascii="Times New Roman" w:hAnsi="Times New Roman" w:cs="Times New Roman"/>
                <w:b w:val="0"/>
                <w:bCs w:val="0"/>
                <w:sz w:val="22"/>
                <w:szCs w:val="22"/>
                <w:rtl/>
              </w:rPr>
            </w:pPr>
            <w:r w:rsidRPr="00C0031B">
              <w:rPr>
                <w:rFonts w:ascii="Times New Roman" w:hAnsi="Times New Roman" w:cs="Times New Roman"/>
                <w:b w:val="0"/>
                <w:bCs w:val="0"/>
                <w:sz w:val="22"/>
                <w:szCs w:val="22"/>
              </w:rPr>
              <w:t>80%</w:t>
            </w:r>
          </w:p>
        </w:tc>
        <w:tc>
          <w:tcPr>
            <w:tcW w:w="1487" w:type="dxa"/>
            <w:vAlign w:val="center"/>
          </w:tcPr>
          <w:p w:rsidR="00F95D84" w:rsidRPr="00C0031B" w:rsidRDefault="00037A2C" w:rsidP="00037A2C">
            <w:pPr>
              <w:keepNext/>
              <w:bidi w:val="0"/>
              <w:jc w:val="center"/>
              <w:rPr>
                <w:rFonts w:ascii="Times New Roman" w:hAnsi="Times New Roman" w:cs="Times New Roman"/>
                <w:b w:val="0"/>
                <w:bCs w:val="0"/>
                <w:sz w:val="22"/>
                <w:szCs w:val="22"/>
                <w:rtl/>
              </w:rPr>
            </w:pPr>
            <w:r w:rsidRPr="00C0031B">
              <w:rPr>
                <w:rFonts w:ascii="Times New Roman" w:hAnsi="Times New Roman" w:cs="Times New Roman"/>
                <w:b w:val="0"/>
                <w:bCs w:val="0"/>
                <w:sz w:val="22"/>
                <w:szCs w:val="22"/>
              </w:rPr>
              <w:t>70%</w:t>
            </w:r>
          </w:p>
        </w:tc>
        <w:tc>
          <w:tcPr>
            <w:tcW w:w="1487" w:type="dxa"/>
            <w:vAlign w:val="center"/>
          </w:tcPr>
          <w:p w:rsidR="00F95D84" w:rsidRPr="00C0031B" w:rsidRDefault="00037A2C" w:rsidP="00037A2C">
            <w:pPr>
              <w:keepNext/>
              <w:bidi w:val="0"/>
              <w:jc w:val="center"/>
              <w:rPr>
                <w:rFonts w:ascii="Times New Roman" w:hAnsi="Times New Roman" w:cs="Times New Roman"/>
                <w:b w:val="0"/>
                <w:bCs w:val="0"/>
                <w:sz w:val="22"/>
                <w:szCs w:val="22"/>
                <w:rtl/>
              </w:rPr>
            </w:pPr>
            <w:r w:rsidRPr="00C0031B">
              <w:rPr>
                <w:rFonts w:ascii="Times New Roman" w:hAnsi="Times New Roman" w:cs="Times New Roman"/>
                <w:b w:val="0"/>
                <w:bCs w:val="0"/>
                <w:sz w:val="22"/>
                <w:szCs w:val="22"/>
              </w:rPr>
              <w:t>60%</w:t>
            </w:r>
          </w:p>
        </w:tc>
        <w:tc>
          <w:tcPr>
            <w:tcW w:w="1487" w:type="dxa"/>
            <w:shd w:val="clear" w:color="auto" w:fill="EDEDED" w:themeFill="accent3" w:themeFillTint="33"/>
            <w:vAlign w:val="center"/>
          </w:tcPr>
          <w:p w:rsidR="00F95D84" w:rsidRPr="00C0031B" w:rsidRDefault="00F95D84" w:rsidP="00037A2C">
            <w:pPr>
              <w:keepNext/>
              <w:bidi w:val="0"/>
              <w:jc w:val="center"/>
              <w:rPr>
                <w:rFonts w:ascii="Times New Roman" w:hAnsi="Times New Roman" w:cs="Times New Roman"/>
                <w:sz w:val="22"/>
                <w:szCs w:val="22"/>
                <w:rtl/>
              </w:rPr>
            </w:pPr>
            <w:r w:rsidRPr="00C0031B">
              <w:rPr>
                <w:rFonts w:ascii="Times New Roman" w:hAnsi="Times New Roman" w:cs="Times New Roman"/>
                <w:sz w:val="22"/>
                <w:szCs w:val="22"/>
              </w:rPr>
              <w:t>T1</w:t>
            </w:r>
          </w:p>
        </w:tc>
      </w:tr>
      <w:tr w:rsidR="00F95D84" w:rsidRPr="00C0031B" w:rsidTr="00685EFA">
        <w:tc>
          <w:tcPr>
            <w:tcW w:w="1486" w:type="dxa"/>
            <w:vAlign w:val="center"/>
          </w:tcPr>
          <w:p w:rsidR="00F95D84" w:rsidRPr="00C0031B" w:rsidRDefault="00037A2C" w:rsidP="00037A2C">
            <w:pPr>
              <w:keepNext/>
              <w:bidi w:val="0"/>
              <w:jc w:val="center"/>
              <w:rPr>
                <w:rFonts w:ascii="Times New Roman" w:hAnsi="Times New Roman" w:cs="Times New Roman"/>
                <w:b w:val="0"/>
                <w:bCs w:val="0"/>
                <w:sz w:val="22"/>
                <w:szCs w:val="22"/>
                <w:rtl/>
              </w:rPr>
            </w:pPr>
            <w:r w:rsidRPr="00C0031B">
              <w:rPr>
                <w:rFonts w:ascii="Times New Roman" w:hAnsi="Times New Roman" w:cs="Times New Roman"/>
                <w:b w:val="0"/>
                <w:bCs w:val="0"/>
                <w:sz w:val="22"/>
                <w:szCs w:val="22"/>
              </w:rPr>
              <w:t>0</w:t>
            </w:r>
          </w:p>
        </w:tc>
        <w:tc>
          <w:tcPr>
            <w:tcW w:w="1486" w:type="dxa"/>
            <w:vAlign w:val="center"/>
          </w:tcPr>
          <w:p w:rsidR="00F95D84" w:rsidRPr="00C0031B" w:rsidRDefault="00037A2C" w:rsidP="00037A2C">
            <w:pPr>
              <w:keepNext/>
              <w:bidi w:val="0"/>
              <w:jc w:val="center"/>
              <w:rPr>
                <w:rFonts w:ascii="Times New Roman" w:hAnsi="Times New Roman" w:cs="Times New Roman"/>
                <w:b w:val="0"/>
                <w:bCs w:val="0"/>
                <w:sz w:val="22"/>
                <w:szCs w:val="22"/>
                <w:rtl/>
              </w:rPr>
            </w:pPr>
            <w:r w:rsidRPr="00C0031B">
              <w:rPr>
                <w:rFonts w:ascii="Times New Roman" w:hAnsi="Times New Roman" w:cs="Times New Roman"/>
                <w:b w:val="0"/>
                <w:bCs w:val="0"/>
                <w:sz w:val="22"/>
                <w:szCs w:val="22"/>
              </w:rPr>
              <w:t>10%</w:t>
            </w:r>
          </w:p>
        </w:tc>
        <w:tc>
          <w:tcPr>
            <w:tcW w:w="1487" w:type="dxa"/>
            <w:vAlign w:val="center"/>
          </w:tcPr>
          <w:p w:rsidR="00F95D84" w:rsidRPr="00C0031B" w:rsidRDefault="00037A2C" w:rsidP="00037A2C">
            <w:pPr>
              <w:keepNext/>
              <w:bidi w:val="0"/>
              <w:jc w:val="center"/>
              <w:rPr>
                <w:rFonts w:ascii="Times New Roman" w:hAnsi="Times New Roman" w:cs="Times New Roman"/>
                <w:b w:val="0"/>
                <w:bCs w:val="0"/>
                <w:sz w:val="22"/>
                <w:szCs w:val="22"/>
                <w:rtl/>
              </w:rPr>
            </w:pPr>
            <w:r w:rsidRPr="00C0031B">
              <w:rPr>
                <w:rFonts w:ascii="Times New Roman" w:hAnsi="Times New Roman" w:cs="Times New Roman"/>
                <w:b w:val="0"/>
                <w:bCs w:val="0"/>
                <w:sz w:val="22"/>
                <w:szCs w:val="22"/>
              </w:rPr>
              <w:t>20%</w:t>
            </w:r>
          </w:p>
        </w:tc>
        <w:tc>
          <w:tcPr>
            <w:tcW w:w="1487" w:type="dxa"/>
            <w:vAlign w:val="center"/>
          </w:tcPr>
          <w:p w:rsidR="00F95D84" w:rsidRPr="00C0031B" w:rsidRDefault="00037A2C" w:rsidP="00037A2C">
            <w:pPr>
              <w:keepNext/>
              <w:bidi w:val="0"/>
              <w:jc w:val="center"/>
              <w:rPr>
                <w:rFonts w:ascii="Times New Roman" w:hAnsi="Times New Roman" w:cs="Times New Roman"/>
                <w:b w:val="0"/>
                <w:bCs w:val="0"/>
                <w:sz w:val="22"/>
                <w:szCs w:val="22"/>
                <w:rtl/>
              </w:rPr>
            </w:pPr>
            <w:r w:rsidRPr="00C0031B">
              <w:rPr>
                <w:rFonts w:ascii="Times New Roman" w:hAnsi="Times New Roman" w:cs="Times New Roman"/>
                <w:b w:val="0"/>
                <w:bCs w:val="0"/>
                <w:sz w:val="22"/>
                <w:szCs w:val="22"/>
              </w:rPr>
              <w:t>30%</w:t>
            </w:r>
          </w:p>
        </w:tc>
        <w:tc>
          <w:tcPr>
            <w:tcW w:w="1487" w:type="dxa"/>
            <w:vAlign w:val="center"/>
          </w:tcPr>
          <w:p w:rsidR="00F95D84" w:rsidRPr="00C0031B" w:rsidRDefault="00037A2C" w:rsidP="00037A2C">
            <w:pPr>
              <w:keepNext/>
              <w:bidi w:val="0"/>
              <w:jc w:val="center"/>
              <w:rPr>
                <w:rFonts w:ascii="Times New Roman" w:hAnsi="Times New Roman" w:cs="Times New Roman"/>
                <w:b w:val="0"/>
                <w:bCs w:val="0"/>
                <w:sz w:val="22"/>
                <w:szCs w:val="22"/>
                <w:rtl/>
              </w:rPr>
            </w:pPr>
            <w:r w:rsidRPr="00C0031B">
              <w:rPr>
                <w:rFonts w:ascii="Times New Roman" w:hAnsi="Times New Roman" w:cs="Times New Roman"/>
                <w:b w:val="0"/>
                <w:bCs w:val="0"/>
                <w:sz w:val="22"/>
                <w:szCs w:val="22"/>
              </w:rPr>
              <w:t>40%</w:t>
            </w:r>
          </w:p>
        </w:tc>
        <w:tc>
          <w:tcPr>
            <w:tcW w:w="1487" w:type="dxa"/>
            <w:shd w:val="clear" w:color="auto" w:fill="EDEDED" w:themeFill="accent3" w:themeFillTint="33"/>
            <w:vAlign w:val="center"/>
          </w:tcPr>
          <w:p w:rsidR="00F95D84" w:rsidRPr="00C0031B" w:rsidRDefault="00F95D84" w:rsidP="00037A2C">
            <w:pPr>
              <w:keepNext/>
              <w:bidi w:val="0"/>
              <w:jc w:val="center"/>
              <w:rPr>
                <w:rFonts w:ascii="Times New Roman" w:hAnsi="Times New Roman" w:cs="Times New Roman"/>
                <w:sz w:val="22"/>
                <w:szCs w:val="22"/>
                <w:rtl/>
              </w:rPr>
            </w:pPr>
            <w:r w:rsidRPr="00C0031B">
              <w:rPr>
                <w:rFonts w:ascii="Times New Roman" w:hAnsi="Times New Roman" w:cs="Times New Roman"/>
                <w:sz w:val="22"/>
                <w:szCs w:val="22"/>
              </w:rPr>
              <w:t>T2</w:t>
            </w:r>
          </w:p>
        </w:tc>
      </w:tr>
    </w:tbl>
    <w:p w:rsidR="00BA36C5" w:rsidRPr="00F95D84" w:rsidRDefault="00BA36C5" w:rsidP="00505A8B">
      <w:pPr>
        <w:keepNext/>
        <w:jc w:val="center"/>
        <w:rPr>
          <w:rtl/>
        </w:rPr>
      </w:pPr>
    </w:p>
    <w:p w:rsidR="00505A8B" w:rsidRDefault="00505A8B" w:rsidP="00505A8B">
      <w:pPr>
        <w:rPr>
          <w:rtl/>
          <w:lang w:bidi="ar-JO"/>
        </w:rPr>
      </w:pPr>
    </w:p>
    <w:p w:rsidR="00505A8B" w:rsidRDefault="00505A8B" w:rsidP="00505A8B">
      <w:pPr>
        <w:rPr>
          <w:rtl/>
          <w:lang w:bidi="ar-JO"/>
        </w:rPr>
      </w:pPr>
    </w:p>
    <w:p w:rsidR="00505A8B" w:rsidRDefault="00505A8B" w:rsidP="00505A8B">
      <w:pPr>
        <w:rPr>
          <w:rtl/>
          <w:lang w:bidi="ar-JO"/>
        </w:rPr>
      </w:pPr>
    </w:p>
    <w:p w:rsidR="00505A8B" w:rsidRDefault="00505A8B" w:rsidP="00505A8B">
      <w:pPr>
        <w:rPr>
          <w:rtl/>
          <w:lang w:bidi="ar-JO"/>
        </w:rPr>
      </w:pPr>
    </w:p>
    <w:p w:rsidR="00505A8B" w:rsidRDefault="00505A8B" w:rsidP="00505A8B">
      <w:pPr>
        <w:rPr>
          <w:rtl/>
          <w:lang w:bidi="ar-JO"/>
        </w:rPr>
      </w:pPr>
    </w:p>
    <w:p w:rsidR="00505A8B" w:rsidRDefault="00505A8B" w:rsidP="00505A8B">
      <w:pPr>
        <w:rPr>
          <w:rtl/>
          <w:lang w:bidi="ar-JO"/>
        </w:rPr>
      </w:pPr>
    </w:p>
    <w:p w:rsidR="00505A8B" w:rsidRDefault="00505A8B" w:rsidP="00505A8B">
      <w:pPr>
        <w:rPr>
          <w:rtl/>
          <w:lang w:bidi="ar-JO"/>
        </w:rPr>
      </w:pPr>
    </w:p>
    <w:p w:rsidR="00505A8B" w:rsidRDefault="00505A8B" w:rsidP="00505A8B">
      <w:pPr>
        <w:rPr>
          <w:rtl/>
          <w:lang w:bidi="ar-JO"/>
        </w:rPr>
      </w:pPr>
    </w:p>
    <w:p w:rsidR="00505A8B" w:rsidRDefault="00505A8B" w:rsidP="00505A8B">
      <w:pPr>
        <w:rPr>
          <w:rtl/>
          <w:lang w:bidi="ar-JO"/>
        </w:rPr>
      </w:pPr>
    </w:p>
    <w:p w:rsidR="00505A8B" w:rsidRDefault="00505A8B" w:rsidP="00505A8B">
      <w:pPr>
        <w:rPr>
          <w:rtl/>
          <w:lang w:bidi="ar-JO"/>
        </w:rPr>
      </w:pPr>
    </w:p>
    <w:p w:rsidR="00505A8B" w:rsidRDefault="00505A8B" w:rsidP="00505A8B">
      <w:pPr>
        <w:rPr>
          <w:rtl/>
          <w:lang w:bidi="ar-JO"/>
        </w:rPr>
      </w:pPr>
    </w:p>
    <w:p w:rsidR="00505A8B" w:rsidRDefault="00505A8B" w:rsidP="00505A8B">
      <w:pPr>
        <w:rPr>
          <w:rtl/>
          <w:lang w:bidi="ar-JO"/>
        </w:rPr>
      </w:pPr>
    </w:p>
    <w:p w:rsidR="00505A8B" w:rsidRDefault="00505A8B" w:rsidP="00505A8B">
      <w:pPr>
        <w:rPr>
          <w:rtl/>
          <w:lang w:bidi="ar-JO"/>
        </w:rPr>
      </w:pPr>
    </w:p>
    <w:p w:rsidR="00505A8B" w:rsidRDefault="00505A8B" w:rsidP="00505A8B">
      <w:pPr>
        <w:rPr>
          <w:rtl/>
          <w:lang w:bidi="ar-JO"/>
        </w:rPr>
      </w:pPr>
    </w:p>
    <w:p w:rsidR="00505A8B" w:rsidRDefault="00505A8B" w:rsidP="00505A8B">
      <w:pPr>
        <w:rPr>
          <w:lang w:bidi="ar-JO"/>
        </w:rPr>
      </w:pPr>
    </w:p>
    <w:p w:rsidR="00B66B27" w:rsidRDefault="00B66B27" w:rsidP="00505A8B">
      <w:pPr>
        <w:rPr>
          <w:rtl/>
          <w:lang w:bidi="ar-JO"/>
        </w:rPr>
      </w:pPr>
    </w:p>
    <w:p w:rsidR="00037A2C" w:rsidRPr="00F06631" w:rsidRDefault="00037A2C" w:rsidP="00B66B27">
      <w:pPr>
        <w:pStyle w:val="Heading1"/>
        <w:pBdr>
          <w:bottom w:val="single" w:sz="4" w:space="1" w:color="auto"/>
        </w:pBdr>
        <w:bidi w:val="0"/>
        <w:jc w:val="center"/>
        <w:rPr>
          <w:rFonts w:asciiTheme="majorBidi" w:hAnsiTheme="majorBidi" w:cstheme="majorBidi"/>
          <w:b/>
          <w:bCs/>
        </w:rPr>
      </w:pPr>
      <w:bookmarkStart w:id="60" w:name="_Toc465255828"/>
      <w:bookmarkStart w:id="61" w:name="_Toc65354410"/>
      <w:r w:rsidRPr="00F06631">
        <w:rPr>
          <w:rFonts w:asciiTheme="majorBidi" w:hAnsiTheme="majorBidi" w:cstheme="majorBidi"/>
          <w:b/>
          <w:bCs/>
        </w:rPr>
        <w:lastRenderedPageBreak/>
        <w:t>Annex (2)</w:t>
      </w:r>
      <w:r w:rsidR="00B66B27">
        <w:rPr>
          <w:rFonts w:asciiTheme="majorBidi" w:hAnsiTheme="majorBidi" w:cstheme="majorBidi"/>
          <w:b/>
          <w:bCs/>
        </w:rPr>
        <w:t xml:space="preserve"> </w:t>
      </w:r>
      <w:r w:rsidRPr="00F06631">
        <w:rPr>
          <w:rFonts w:asciiTheme="majorBidi" w:hAnsiTheme="majorBidi" w:cstheme="majorBidi"/>
          <w:b/>
          <w:bCs/>
        </w:rPr>
        <w:t>Minority interest illustrative example</w:t>
      </w:r>
      <w:bookmarkEnd w:id="61"/>
    </w:p>
    <w:p w:rsidR="00A55DB8" w:rsidRPr="0084028B" w:rsidRDefault="00A55DB8" w:rsidP="00A55DB8">
      <w:pPr>
        <w:keepNext/>
        <w:bidi w:val="0"/>
        <w:jc w:val="left"/>
        <w:rPr>
          <w:rFonts w:ascii="Times New Roman" w:hAnsi="Times New Roman" w:cs="Times New Roman"/>
          <w:b w:val="0"/>
          <w:bCs w:val="0"/>
          <w:sz w:val="24"/>
          <w:szCs w:val="24"/>
          <w:lang w:bidi="ar-JO"/>
        </w:rPr>
      </w:pPr>
      <w:r w:rsidRPr="0084028B">
        <w:rPr>
          <w:rFonts w:ascii="Times New Roman" w:hAnsi="Times New Roman" w:cs="Times New Roman"/>
          <w:b w:val="0"/>
          <w:bCs w:val="0"/>
          <w:sz w:val="24"/>
          <w:szCs w:val="24"/>
        </w:rPr>
        <w:t>A banking group consists of two legal entities that are both banks. Bank A is the parent and Bank B is the subsidiary and their unconsolidated balance sheets are set out below.</w:t>
      </w:r>
    </w:p>
    <w:tbl>
      <w:tblPr>
        <w:tblStyle w:val="TableGrid"/>
        <w:tblW w:w="0" w:type="auto"/>
        <w:tblInd w:w="-289" w:type="dxa"/>
        <w:tblLook w:val="04A0" w:firstRow="1" w:lastRow="0" w:firstColumn="1" w:lastColumn="0" w:noHBand="0" w:noVBand="1"/>
      </w:tblPr>
      <w:tblGrid>
        <w:gridCol w:w="4962"/>
        <w:gridCol w:w="4247"/>
      </w:tblGrid>
      <w:tr w:rsidR="00A55DB8" w:rsidTr="00A55DB8">
        <w:tc>
          <w:tcPr>
            <w:tcW w:w="9209" w:type="dxa"/>
            <w:gridSpan w:val="2"/>
            <w:shd w:val="clear" w:color="auto" w:fill="EDEDED" w:themeFill="accent3" w:themeFillTint="33"/>
          </w:tcPr>
          <w:p w:rsidR="00A55DB8" w:rsidRPr="0084028B" w:rsidRDefault="00A55DB8" w:rsidP="0084028B">
            <w:pPr>
              <w:keepNext/>
              <w:bidi w:val="0"/>
              <w:spacing w:after="0" w:line="276" w:lineRule="auto"/>
              <w:jc w:val="center"/>
              <w:rPr>
                <w:rFonts w:ascii="Times New Roman" w:hAnsi="Times New Roman" w:cs="Times New Roman"/>
                <w:sz w:val="24"/>
                <w:szCs w:val="24"/>
                <w:lang w:bidi="ar-JO"/>
              </w:rPr>
            </w:pPr>
            <w:r w:rsidRPr="0084028B">
              <w:rPr>
                <w:rFonts w:ascii="Times New Roman" w:hAnsi="Times New Roman" w:cs="Times New Roman"/>
                <w:sz w:val="24"/>
                <w:szCs w:val="24"/>
                <w:lang w:bidi="ar-JO"/>
              </w:rPr>
              <w:t>Bank A</w:t>
            </w:r>
          </w:p>
        </w:tc>
      </w:tr>
      <w:tr w:rsidR="00A55DB8" w:rsidTr="00A55DB8">
        <w:tc>
          <w:tcPr>
            <w:tcW w:w="4962" w:type="dxa"/>
            <w:shd w:val="clear" w:color="auto" w:fill="EDEDED" w:themeFill="accent3" w:themeFillTint="33"/>
          </w:tcPr>
          <w:p w:rsidR="00A55DB8" w:rsidRPr="0084028B" w:rsidRDefault="00A55DB8" w:rsidP="0084028B">
            <w:pPr>
              <w:keepNext/>
              <w:bidi w:val="0"/>
              <w:spacing w:after="0" w:line="276" w:lineRule="auto"/>
              <w:jc w:val="center"/>
              <w:rPr>
                <w:rFonts w:ascii="Times New Roman" w:hAnsi="Times New Roman" w:cs="Times New Roman"/>
                <w:sz w:val="24"/>
                <w:szCs w:val="24"/>
                <w:lang w:bidi="ar-JO"/>
              </w:rPr>
            </w:pPr>
            <w:r w:rsidRPr="0084028B">
              <w:rPr>
                <w:rFonts w:ascii="Times New Roman" w:hAnsi="Times New Roman" w:cs="Times New Roman"/>
                <w:sz w:val="24"/>
                <w:szCs w:val="24"/>
              </w:rPr>
              <w:t>Assets</w:t>
            </w:r>
          </w:p>
        </w:tc>
        <w:tc>
          <w:tcPr>
            <w:tcW w:w="4247" w:type="dxa"/>
            <w:shd w:val="clear" w:color="auto" w:fill="EDEDED" w:themeFill="accent3" w:themeFillTint="33"/>
          </w:tcPr>
          <w:p w:rsidR="00A55DB8" w:rsidRPr="0084028B" w:rsidRDefault="00A55DB8" w:rsidP="0084028B">
            <w:pPr>
              <w:keepNext/>
              <w:tabs>
                <w:tab w:val="left" w:pos="1066"/>
              </w:tabs>
              <w:bidi w:val="0"/>
              <w:spacing w:after="0" w:line="276" w:lineRule="auto"/>
              <w:jc w:val="center"/>
              <w:rPr>
                <w:rFonts w:ascii="Times New Roman" w:hAnsi="Times New Roman" w:cs="Times New Roman"/>
                <w:sz w:val="24"/>
                <w:szCs w:val="24"/>
                <w:lang w:bidi="ar-JO"/>
              </w:rPr>
            </w:pPr>
            <w:r w:rsidRPr="0084028B">
              <w:rPr>
                <w:rFonts w:ascii="Times New Roman" w:hAnsi="Times New Roman" w:cs="Times New Roman"/>
                <w:sz w:val="24"/>
                <w:szCs w:val="24"/>
              </w:rPr>
              <w:t>Liabilities and equity</w:t>
            </w:r>
          </w:p>
        </w:tc>
      </w:tr>
      <w:tr w:rsidR="00A55DB8" w:rsidTr="00A55DB8">
        <w:tc>
          <w:tcPr>
            <w:tcW w:w="4962" w:type="dxa"/>
          </w:tcPr>
          <w:p w:rsidR="00A55DB8" w:rsidRPr="0084028B" w:rsidRDefault="00A55DB8" w:rsidP="0084028B">
            <w:pPr>
              <w:keepNext/>
              <w:bidi w:val="0"/>
              <w:spacing w:after="0" w:line="276" w:lineRule="auto"/>
              <w:jc w:val="left"/>
              <w:rPr>
                <w:rFonts w:ascii="Times New Roman" w:hAnsi="Times New Roman" w:cs="Times New Roman"/>
                <w:b w:val="0"/>
                <w:bCs w:val="0"/>
                <w:sz w:val="24"/>
                <w:szCs w:val="24"/>
                <w:lang w:bidi="ar-JO"/>
              </w:rPr>
            </w:pPr>
            <w:r w:rsidRPr="0084028B">
              <w:rPr>
                <w:rFonts w:ascii="Times New Roman" w:hAnsi="Times New Roman" w:cs="Times New Roman"/>
                <w:b w:val="0"/>
                <w:bCs w:val="0"/>
                <w:sz w:val="24"/>
                <w:szCs w:val="24"/>
                <w:lang w:bidi="ar-JO"/>
              </w:rPr>
              <w:t xml:space="preserve">100     </w:t>
            </w:r>
            <w:r w:rsidRPr="0084028B">
              <w:rPr>
                <w:rFonts w:ascii="Times New Roman" w:hAnsi="Times New Roman" w:cs="Times New Roman"/>
                <w:b w:val="0"/>
                <w:bCs w:val="0"/>
                <w:sz w:val="24"/>
                <w:szCs w:val="24"/>
              </w:rPr>
              <w:t>Loans to customers</w:t>
            </w:r>
          </w:p>
        </w:tc>
        <w:tc>
          <w:tcPr>
            <w:tcW w:w="4247" w:type="dxa"/>
          </w:tcPr>
          <w:p w:rsidR="00A55DB8" w:rsidRPr="0084028B" w:rsidRDefault="00A55DB8" w:rsidP="0084028B">
            <w:pPr>
              <w:keepNext/>
              <w:bidi w:val="0"/>
              <w:spacing w:after="0" w:line="276" w:lineRule="auto"/>
              <w:jc w:val="left"/>
              <w:rPr>
                <w:rFonts w:ascii="Times New Roman" w:hAnsi="Times New Roman" w:cs="Times New Roman"/>
                <w:b w:val="0"/>
                <w:bCs w:val="0"/>
                <w:sz w:val="24"/>
                <w:szCs w:val="24"/>
                <w:lang w:bidi="ar-JO"/>
              </w:rPr>
            </w:pPr>
            <w:r w:rsidRPr="0084028B">
              <w:rPr>
                <w:rFonts w:ascii="Times New Roman" w:hAnsi="Times New Roman" w:cs="Times New Roman"/>
                <w:b w:val="0"/>
                <w:bCs w:val="0"/>
                <w:sz w:val="24"/>
                <w:szCs w:val="24"/>
                <w:lang w:bidi="ar-JO"/>
              </w:rPr>
              <w:t xml:space="preserve">70     </w:t>
            </w:r>
            <w:r w:rsidR="00567026">
              <w:rPr>
                <w:rFonts w:ascii="Times New Roman" w:hAnsi="Times New Roman" w:cs="Times New Roman"/>
                <w:b w:val="0"/>
                <w:bCs w:val="0"/>
                <w:sz w:val="24"/>
                <w:szCs w:val="24"/>
              </w:rPr>
              <w:t>Deposit</w:t>
            </w:r>
            <w:r w:rsidRPr="0084028B">
              <w:rPr>
                <w:rFonts w:ascii="Times New Roman" w:hAnsi="Times New Roman" w:cs="Times New Roman"/>
                <w:b w:val="0"/>
                <w:bCs w:val="0"/>
                <w:sz w:val="24"/>
                <w:szCs w:val="24"/>
              </w:rPr>
              <w:t>s</w:t>
            </w:r>
          </w:p>
        </w:tc>
      </w:tr>
      <w:tr w:rsidR="00A55DB8" w:rsidTr="00A55DB8">
        <w:tc>
          <w:tcPr>
            <w:tcW w:w="4962" w:type="dxa"/>
          </w:tcPr>
          <w:p w:rsidR="00A55DB8" w:rsidRPr="0084028B" w:rsidRDefault="00A55DB8" w:rsidP="0084028B">
            <w:pPr>
              <w:keepNext/>
              <w:bidi w:val="0"/>
              <w:spacing w:after="0" w:line="276" w:lineRule="auto"/>
              <w:jc w:val="left"/>
              <w:rPr>
                <w:rFonts w:ascii="Times New Roman" w:hAnsi="Times New Roman" w:cs="Times New Roman"/>
                <w:b w:val="0"/>
                <w:bCs w:val="0"/>
                <w:sz w:val="24"/>
                <w:szCs w:val="24"/>
                <w:lang w:bidi="ar-JO"/>
              </w:rPr>
            </w:pPr>
            <w:r w:rsidRPr="0084028B">
              <w:rPr>
                <w:rFonts w:ascii="Times New Roman" w:hAnsi="Times New Roman" w:cs="Times New Roman"/>
                <w:b w:val="0"/>
                <w:bCs w:val="0"/>
                <w:sz w:val="24"/>
                <w:szCs w:val="24"/>
                <w:lang w:bidi="ar-JO"/>
              </w:rPr>
              <w:t xml:space="preserve">7         </w:t>
            </w:r>
            <w:r w:rsidRPr="0084028B">
              <w:rPr>
                <w:rFonts w:ascii="Times New Roman" w:hAnsi="Times New Roman" w:cs="Times New Roman"/>
                <w:b w:val="0"/>
                <w:bCs w:val="0"/>
                <w:sz w:val="24"/>
                <w:szCs w:val="24"/>
              </w:rPr>
              <w:t>Investment in CET1 of Bank B</w:t>
            </w:r>
          </w:p>
        </w:tc>
        <w:tc>
          <w:tcPr>
            <w:tcW w:w="4247" w:type="dxa"/>
            <w:vMerge w:val="restart"/>
          </w:tcPr>
          <w:p w:rsidR="00A55DB8" w:rsidRPr="0084028B" w:rsidRDefault="00A55DB8" w:rsidP="0084028B">
            <w:pPr>
              <w:keepNext/>
              <w:bidi w:val="0"/>
              <w:spacing w:after="0" w:line="276" w:lineRule="auto"/>
              <w:jc w:val="left"/>
              <w:rPr>
                <w:rFonts w:ascii="Times New Roman" w:hAnsi="Times New Roman" w:cs="Times New Roman"/>
                <w:b w:val="0"/>
                <w:bCs w:val="0"/>
                <w:sz w:val="24"/>
                <w:szCs w:val="24"/>
              </w:rPr>
            </w:pPr>
            <w:r w:rsidRPr="0084028B">
              <w:rPr>
                <w:rFonts w:ascii="Times New Roman" w:hAnsi="Times New Roman" w:cs="Times New Roman"/>
                <w:b w:val="0"/>
                <w:bCs w:val="0"/>
                <w:sz w:val="24"/>
                <w:szCs w:val="24"/>
              </w:rPr>
              <w:t>Equity</w:t>
            </w:r>
          </w:p>
          <w:p w:rsidR="00A55DB8" w:rsidRPr="0084028B" w:rsidRDefault="00A55DB8" w:rsidP="0084028B">
            <w:pPr>
              <w:keepNext/>
              <w:bidi w:val="0"/>
              <w:spacing w:after="0" w:line="276" w:lineRule="auto"/>
              <w:jc w:val="left"/>
              <w:rPr>
                <w:rFonts w:ascii="Times New Roman" w:hAnsi="Times New Roman" w:cs="Times New Roman"/>
                <w:b w:val="0"/>
                <w:bCs w:val="0"/>
                <w:sz w:val="24"/>
                <w:szCs w:val="24"/>
                <w:lang w:bidi="ar-JO"/>
              </w:rPr>
            </w:pPr>
            <w:r w:rsidRPr="0084028B">
              <w:rPr>
                <w:rFonts w:ascii="Times New Roman" w:hAnsi="Times New Roman" w:cs="Times New Roman"/>
                <w:b w:val="0"/>
                <w:bCs w:val="0"/>
                <w:sz w:val="24"/>
                <w:szCs w:val="24"/>
              </w:rPr>
              <w:t>26      CET1</w:t>
            </w:r>
          </w:p>
        </w:tc>
      </w:tr>
      <w:tr w:rsidR="00A55DB8" w:rsidTr="00A55DB8">
        <w:tc>
          <w:tcPr>
            <w:tcW w:w="4962" w:type="dxa"/>
          </w:tcPr>
          <w:p w:rsidR="00A55DB8" w:rsidRPr="0084028B" w:rsidRDefault="00A55DB8" w:rsidP="0084028B">
            <w:pPr>
              <w:keepNext/>
              <w:bidi w:val="0"/>
              <w:spacing w:after="0" w:line="276" w:lineRule="auto"/>
              <w:jc w:val="left"/>
              <w:rPr>
                <w:rFonts w:ascii="Times New Roman" w:hAnsi="Times New Roman" w:cs="Times New Roman"/>
                <w:b w:val="0"/>
                <w:bCs w:val="0"/>
                <w:sz w:val="24"/>
                <w:szCs w:val="24"/>
                <w:lang w:bidi="ar-JO"/>
              </w:rPr>
            </w:pPr>
            <w:r w:rsidRPr="0084028B">
              <w:rPr>
                <w:rFonts w:ascii="Times New Roman" w:hAnsi="Times New Roman" w:cs="Times New Roman"/>
                <w:b w:val="0"/>
                <w:bCs w:val="0"/>
                <w:sz w:val="24"/>
                <w:szCs w:val="24"/>
                <w:lang w:bidi="ar-JO"/>
              </w:rPr>
              <w:t xml:space="preserve">4         </w:t>
            </w:r>
            <w:r w:rsidRPr="0084028B">
              <w:rPr>
                <w:rFonts w:ascii="Times New Roman" w:hAnsi="Times New Roman" w:cs="Times New Roman"/>
                <w:b w:val="0"/>
                <w:bCs w:val="0"/>
                <w:sz w:val="24"/>
                <w:szCs w:val="24"/>
              </w:rPr>
              <w:t>Investment in the AT1 of Bank B</w:t>
            </w:r>
          </w:p>
        </w:tc>
        <w:tc>
          <w:tcPr>
            <w:tcW w:w="4247" w:type="dxa"/>
            <w:vMerge/>
          </w:tcPr>
          <w:p w:rsidR="00A55DB8" w:rsidRPr="0084028B" w:rsidRDefault="00A55DB8" w:rsidP="0084028B">
            <w:pPr>
              <w:keepNext/>
              <w:bidi w:val="0"/>
              <w:spacing w:after="0" w:line="276" w:lineRule="auto"/>
              <w:jc w:val="left"/>
              <w:rPr>
                <w:rFonts w:ascii="Times New Roman" w:hAnsi="Times New Roman" w:cs="Times New Roman"/>
                <w:b w:val="0"/>
                <w:bCs w:val="0"/>
                <w:sz w:val="24"/>
                <w:szCs w:val="24"/>
                <w:lang w:bidi="ar-JO"/>
              </w:rPr>
            </w:pPr>
          </w:p>
        </w:tc>
      </w:tr>
      <w:tr w:rsidR="00A55DB8" w:rsidTr="00A55DB8">
        <w:tc>
          <w:tcPr>
            <w:tcW w:w="4962" w:type="dxa"/>
            <w:vMerge w:val="restart"/>
          </w:tcPr>
          <w:p w:rsidR="00A55DB8" w:rsidRPr="0084028B" w:rsidRDefault="00A55DB8" w:rsidP="0084028B">
            <w:pPr>
              <w:keepNext/>
              <w:bidi w:val="0"/>
              <w:spacing w:after="0" w:line="276" w:lineRule="auto"/>
              <w:jc w:val="left"/>
              <w:rPr>
                <w:rFonts w:ascii="Times New Roman" w:hAnsi="Times New Roman" w:cs="Times New Roman"/>
                <w:b w:val="0"/>
                <w:bCs w:val="0"/>
                <w:sz w:val="24"/>
                <w:szCs w:val="24"/>
                <w:lang w:bidi="ar-JO"/>
              </w:rPr>
            </w:pPr>
            <w:r w:rsidRPr="0084028B">
              <w:rPr>
                <w:rFonts w:ascii="Times New Roman" w:hAnsi="Times New Roman" w:cs="Times New Roman"/>
                <w:b w:val="0"/>
                <w:bCs w:val="0"/>
                <w:sz w:val="24"/>
                <w:szCs w:val="24"/>
                <w:lang w:bidi="ar-JO"/>
              </w:rPr>
              <w:t xml:space="preserve">2         </w:t>
            </w:r>
            <w:r w:rsidRPr="0084028B">
              <w:rPr>
                <w:rFonts w:ascii="Times New Roman" w:hAnsi="Times New Roman" w:cs="Times New Roman"/>
                <w:b w:val="0"/>
                <w:bCs w:val="0"/>
                <w:sz w:val="24"/>
                <w:szCs w:val="24"/>
              </w:rPr>
              <w:t>Investment in the T2 of Bank B</w:t>
            </w:r>
          </w:p>
        </w:tc>
        <w:tc>
          <w:tcPr>
            <w:tcW w:w="4247" w:type="dxa"/>
          </w:tcPr>
          <w:p w:rsidR="00A55DB8" w:rsidRPr="0084028B" w:rsidRDefault="00A55DB8" w:rsidP="0084028B">
            <w:pPr>
              <w:keepNext/>
              <w:bidi w:val="0"/>
              <w:spacing w:after="0" w:line="276" w:lineRule="auto"/>
              <w:jc w:val="left"/>
              <w:rPr>
                <w:rFonts w:ascii="Times New Roman" w:hAnsi="Times New Roman" w:cs="Times New Roman"/>
                <w:b w:val="0"/>
                <w:bCs w:val="0"/>
                <w:sz w:val="24"/>
                <w:szCs w:val="24"/>
                <w:lang w:bidi="ar-JO"/>
              </w:rPr>
            </w:pPr>
            <w:r w:rsidRPr="0084028B">
              <w:rPr>
                <w:rFonts w:ascii="Times New Roman" w:hAnsi="Times New Roman" w:cs="Times New Roman"/>
                <w:b w:val="0"/>
                <w:bCs w:val="0"/>
                <w:sz w:val="24"/>
                <w:szCs w:val="24"/>
                <w:lang w:bidi="ar-JO"/>
              </w:rPr>
              <w:t>7       AT1</w:t>
            </w:r>
          </w:p>
        </w:tc>
      </w:tr>
      <w:tr w:rsidR="00A55DB8" w:rsidTr="00A55DB8">
        <w:tc>
          <w:tcPr>
            <w:tcW w:w="4962" w:type="dxa"/>
            <w:vMerge/>
          </w:tcPr>
          <w:p w:rsidR="00A55DB8" w:rsidRPr="0084028B" w:rsidRDefault="00A55DB8" w:rsidP="0084028B">
            <w:pPr>
              <w:keepNext/>
              <w:bidi w:val="0"/>
              <w:spacing w:after="0" w:line="276" w:lineRule="auto"/>
              <w:jc w:val="left"/>
              <w:rPr>
                <w:rFonts w:ascii="Times New Roman" w:hAnsi="Times New Roman" w:cs="Times New Roman"/>
                <w:b w:val="0"/>
                <w:bCs w:val="0"/>
                <w:sz w:val="24"/>
                <w:szCs w:val="24"/>
                <w:lang w:bidi="ar-JO"/>
              </w:rPr>
            </w:pPr>
          </w:p>
        </w:tc>
        <w:tc>
          <w:tcPr>
            <w:tcW w:w="4247" w:type="dxa"/>
          </w:tcPr>
          <w:p w:rsidR="00A55DB8" w:rsidRPr="0084028B" w:rsidRDefault="00A55DB8" w:rsidP="0084028B">
            <w:pPr>
              <w:keepNext/>
              <w:bidi w:val="0"/>
              <w:spacing w:after="0" w:line="276" w:lineRule="auto"/>
              <w:jc w:val="left"/>
              <w:rPr>
                <w:rFonts w:ascii="Times New Roman" w:hAnsi="Times New Roman" w:cs="Times New Roman"/>
                <w:b w:val="0"/>
                <w:bCs w:val="0"/>
                <w:sz w:val="24"/>
                <w:szCs w:val="24"/>
                <w:lang w:bidi="ar-JO"/>
              </w:rPr>
            </w:pPr>
            <w:r w:rsidRPr="0084028B">
              <w:rPr>
                <w:rFonts w:ascii="Times New Roman" w:hAnsi="Times New Roman" w:cs="Times New Roman"/>
                <w:b w:val="0"/>
                <w:bCs w:val="0"/>
                <w:sz w:val="24"/>
                <w:szCs w:val="24"/>
                <w:lang w:bidi="ar-JO"/>
              </w:rPr>
              <w:t>10     T2</w:t>
            </w:r>
          </w:p>
        </w:tc>
      </w:tr>
      <w:tr w:rsidR="00A55DB8" w:rsidTr="00A55DB8">
        <w:tc>
          <w:tcPr>
            <w:tcW w:w="4962" w:type="dxa"/>
            <w:shd w:val="clear" w:color="auto" w:fill="EDEDED" w:themeFill="accent3" w:themeFillTint="33"/>
          </w:tcPr>
          <w:p w:rsidR="00A55DB8" w:rsidRPr="0084028B" w:rsidRDefault="00A55DB8" w:rsidP="0084028B">
            <w:pPr>
              <w:keepNext/>
              <w:bidi w:val="0"/>
              <w:spacing w:after="0" w:line="276" w:lineRule="auto"/>
              <w:jc w:val="left"/>
              <w:rPr>
                <w:rFonts w:ascii="Times New Roman" w:hAnsi="Times New Roman" w:cs="Times New Roman"/>
                <w:sz w:val="24"/>
                <w:szCs w:val="24"/>
                <w:rtl/>
                <w:lang w:bidi="ar-JO"/>
              </w:rPr>
            </w:pPr>
            <w:r w:rsidRPr="0084028B">
              <w:rPr>
                <w:rFonts w:ascii="Times New Roman" w:hAnsi="Times New Roman" w:cs="Times New Roman"/>
                <w:sz w:val="24"/>
                <w:szCs w:val="24"/>
                <w:lang w:bidi="ar-JO"/>
              </w:rPr>
              <w:t>113     Total</w:t>
            </w:r>
          </w:p>
        </w:tc>
        <w:tc>
          <w:tcPr>
            <w:tcW w:w="4247" w:type="dxa"/>
            <w:shd w:val="clear" w:color="auto" w:fill="EDEDED" w:themeFill="accent3" w:themeFillTint="33"/>
          </w:tcPr>
          <w:p w:rsidR="00A55DB8" w:rsidRPr="0084028B" w:rsidRDefault="00A55DB8" w:rsidP="0084028B">
            <w:pPr>
              <w:keepNext/>
              <w:bidi w:val="0"/>
              <w:spacing w:after="0" w:line="276" w:lineRule="auto"/>
              <w:jc w:val="left"/>
              <w:rPr>
                <w:rFonts w:ascii="Times New Roman" w:hAnsi="Times New Roman" w:cs="Times New Roman"/>
                <w:sz w:val="24"/>
                <w:szCs w:val="24"/>
                <w:lang w:bidi="ar-JO"/>
              </w:rPr>
            </w:pPr>
            <w:r w:rsidRPr="0084028B">
              <w:rPr>
                <w:rFonts w:ascii="Times New Roman" w:hAnsi="Times New Roman" w:cs="Times New Roman"/>
                <w:sz w:val="24"/>
                <w:szCs w:val="24"/>
                <w:lang w:bidi="ar-JO"/>
              </w:rPr>
              <w:t>113    Total</w:t>
            </w:r>
          </w:p>
        </w:tc>
      </w:tr>
    </w:tbl>
    <w:p w:rsidR="00A55DB8" w:rsidRPr="00D94A35" w:rsidRDefault="00A55DB8" w:rsidP="00A55DB8">
      <w:pPr>
        <w:keepNext/>
        <w:bidi w:val="0"/>
        <w:jc w:val="left"/>
        <w:rPr>
          <w:sz w:val="6"/>
          <w:szCs w:val="6"/>
          <w:lang w:bidi="ar-JO"/>
        </w:rPr>
      </w:pPr>
    </w:p>
    <w:tbl>
      <w:tblPr>
        <w:tblStyle w:val="TableGrid"/>
        <w:tblW w:w="0" w:type="auto"/>
        <w:tblInd w:w="-289" w:type="dxa"/>
        <w:tblLook w:val="04A0" w:firstRow="1" w:lastRow="0" w:firstColumn="1" w:lastColumn="0" w:noHBand="0" w:noVBand="1"/>
      </w:tblPr>
      <w:tblGrid>
        <w:gridCol w:w="4962"/>
        <w:gridCol w:w="4247"/>
      </w:tblGrid>
      <w:tr w:rsidR="00A55DB8" w:rsidTr="00B60C8F">
        <w:tc>
          <w:tcPr>
            <w:tcW w:w="9209" w:type="dxa"/>
            <w:gridSpan w:val="2"/>
            <w:shd w:val="clear" w:color="auto" w:fill="EDEDED" w:themeFill="accent3" w:themeFillTint="33"/>
          </w:tcPr>
          <w:p w:rsidR="00A55DB8" w:rsidRPr="0084028B" w:rsidRDefault="00A55DB8" w:rsidP="00A55DB8">
            <w:pPr>
              <w:keepNext/>
              <w:bidi w:val="0"/>
              <w:spacing w:after="0"/>
              <w:jc w:val="center"/>
              <w:rPr>
                <w:rFonts w:ascii="Times New Roman" w:hAnsi="Times New Roman" w:cs="Times New Roman"/>
                <w:sz w:val="24"/>
                <w:szCs w:val="24"/>
                <w:lang w:bidi="ar-JO"/>
              </w:rPr>
            </w:pPr>
            <w:r w:rsidRPr="0084028B">
              <w:rPr>
                <w:rFonts w:ascii="Times New Roman" w:hAnsi="Times New Roman" w:cs="Times New Roman"/>
                <w:sz w:val="24"/>
                <w:szCs w:val="24"/>
                <w:lang w:bidi="ar-JO"/>
              </w:rPr>
              <w:t>Bank B</w:t>
            </w:r>
          </w:p>
        </w:tc>
      </w:tr>
      <w:tr w:rsidR="00A55DB8" w:rsidTr="00B60C8F">
        <w:tc>
          <w:tcPr>
            <w:tcW w:w="4962" w:type="dxa"/>
            <w:shd w:val="clear" w:color="auto" w:fill="EDEDED" w:themeFill="accent3" w:themeFillTint="33"/>
          </w:tcPr>
          <w:p w:rsidR="00A55DB8" w:rsidRPr="0084028B" w:rsidRDefault="00A55DB8" w:rsidP="00B60C8F">
            <w:pPr>
              <w:keepNext/>
              <w:bidi w:val="0"/>
              <w:spacing w:after="0"/>
              <w:jc w:val="center"/>
              <w:rPr>
                <w:rFonts w:ascii="Times New Roman" w:hAnsi="Times New Roman" w:cs="Times New Roman"/>
                <w:sz w:val="24"/>
                <w:szCs w:val="24"/>
                <w:lang w:bidi="ar-JO"/>
              </w:rPr>
            </w:pPr>
            <w:r w:rsidRPr="0084028B">
              <w:rPr>
                <w:rFonts w:ascii="Times New Roman" w:hAnsi="Times New Roman" w:cs="Times New Roman"/>
                <w:sz w:val="24"/>
                <w:szCs w:val="24"/>
              </w:rPr>
              <w:t>Assets</w:t>
            </w:r>
          </w:p>
        </w:tc>
        <w:tc>
          <w:tcPr>
            <w:tcW w:w="4247" w:type="dxa"/>
            <w:shd w:val="clear" w:color="auto" w:fill="EDEDED" w:themeFill="accent3" w:themeFillTint="33"/>
          </w:tcPr>
          <w:p w:rsidR="00A55DB8" w:rsidRPr="0084028B" w:rsidRDefault="00A55DB8" w:rsidP="00B60C8F">
            <w:pPr>
              <w:keepNext/>
              <w:tabs>
                <w:tab w:val="left" w:pos="1066"/>
              </w:tabs>
              <w:bidi w:val="0"/>
              <w:spacing w:after="0"/>
              <w:jc w:val="center"/>
              <w:rPr>
                <w:rFonts w:ascii="Times New Roman" w:hAnsi="Times New Roman" w:cs="Times New Roman"/>
                <w:sz w:val="24"/>
                <w:szCs w:val="24"/>
                <w:lang w:bidi="ar-JO"/>
              </w:rPr>
            </w:pPr>
            <w:r w:rsidRPr="0084028B">
              <w:rPr>
                <w:rFonts w:ascii="Times New Roman" w:hAnsi="Times New Roman" w:cs="Times New Roman"/>
                <w:sz w:val="24"/>
                <w:szCs w:val="24"/>
              </w:rPr>
              <w:t>Liabilities and equity</w:t>
            </w:r>
          </w:p>
        </w:tc>
      </w:tr>
      <w:tr w:rsidR="00A55DB8" w:rsidTr="00B60C8F">
        <w:tc>
          <w:tcPr>
            <w:tcW w:w="4962" w:type="dxa"/>
          </w:tcPr>
          <w:p w:rsidR="00A55DB8" w:rsidRPr="0084028B" w:rsidRDefault="00A55DB8" w:rsidP="00567026">
            <w:pPr>
              <w:keepNext/>
              <w:bidi w:val="0"/>
              <w:spacing w:after="0"/>
              <w:jc w:val="left"/>
              <w:rPr>
                <w:rFonts w:ascii="Times New Roman" w:hAnsi="Times New Roman" w:cs="Times New Roman"/>
                <w:b w:val="0"/>
                <w:bCs w:val="0"/>
                <w:sz w:val="24"/>
                <w:szCs w:val="24"/>
                <w:lang w:bidi="ar-JO"/>
              </w:rPr>
            </w:pPr>
            <w:r w:rsidRPr="0084028B">
              <w:rPr>
                <w:rFonts w:ascii="Times New Roman" w:hAnsi="Times New Roman" w:cs="Times New Roman"/>
                <w:b w:val="0"/>
                <w:bCs w:val="0"/>
                <w:sz w:val="24"/>
                <w:szCs w:val="24"/>
                <w:lang w:bidi="ar-JO"/>
              </w:rPr>
              <w:t xml:space="preserve">150     </w:t>
            </w:r>
            <w:r w:rsidRPr="0084028B">
              <w:rPr>
                <w:rFonts w:ascii="Times New Roman" w:hAnsi="Times New Roman" w:cs="Times New Roman"/>
                <w:b w:val="0"/>
                <w:bCs w:val="0"/>
                <w:sz w:val="24"/>
                <w:szCs w:val="24"/>
              </w:rPr>
              <w:t xml:space="preserve">Loans </w:t>
            </w:r>
          </w:p>
        </w:tc>
        <w:tc>
          <w:tcPr>
            <w:tcW w:w="4247" w:type="dxa"/>
          </w:tcPr>
          <w:p w:rsidR="00A55DB8" w:rsidRPr="0084028B" w:rsidRDefault="00A55DB8" w:rsidP="00B60C8F">
            <w:pPr>
              <w:keepNext/>
              <w:bidi w:val="0"/>
              <w:spacing w:after="0"/>
              <w:jc w:val="left"/>
              <w:rPr>
                <w:rFonts w:ascii="Times New Roman" w:hAnsi="Times New Roman" w:cs="Times New Roman"/>
                <w:b w:val="0"/>
                <w:bCs w:val="0"/>
                <w:sz w:val="24"/>
                <w:szCs w:val="24"/>
                <w:lang w:bidi="ar-JO"/>
              </w:rPr>
            </w:pPr>
            <w:r w:rsidRPr="0084028B">
              <w:rPr>
                <w:rFonts w:ascii="Times New Roman" w:hAnsi="Times New Roman" w:cs="Times New Roman"/>
                <w:b w:val="0"/>
                <w:bCs w:val="0"/>
                <w:sz w:val="24"/>
                <w:szCs w:val="24"/>
                <w:lang w:bidi="ar-JO"/>
              </w:rPr>
              <w:t xml:space="preserve">127     </w:t>
            </w:r>
            <w:r w:rsidR="00567026">
              <w:rPr>
                <w:rFonts w:ascii="Times New Roman" w:hAnsi="Times New Roman" w:cs="Times New Roman"/>
                <w:b w:val="0"/>
                <w:bCs w:val="0"/>
                <w:sz w:val="24"/>
                <w:szCs w:val="24"/>
              </w:rPr>
              <w:t>Deposit</w:t>
            </w:r>
            <w:r w:rsidR="00567026" w:rsidRPr="0084028B">
              <w:rPr>
                <w:rFonts w:ascii="Times New Roman" w:hAnsi="Times New Roman" w:cs="Times New Roman"/>
                <w:b w:val="0"/>
                <w:bCs w:val="0"/>
                <w:sz w:val="24"/>
                <w:szCs w:val="24"/>
              </w:rPr>
              <w:t>s</w:t>
            </w:r>
          </w:p>
        </w:tc>
      </w:tr>
      <w:tr w:rsidR="00A55DB8" w:rsidTr="00B60C8F">
        <w:tc>
          <w:tcPr>
            <w:tcW w:w="4962" w:type="dxa"/>
          </w:tcPr>
          <w:p w:rsidR="00A55DB8" w:rsidRPr="0084028B" w:rsidRDefault="00A55DB8" w:rsidP="00B60C8F">
            <w:pPr>
              <w:keepNext/>
              <w:bidi w:val="0"/>
              <w:spacing w:after="0"/>
              <w:jc w:val="left"/>
              <w:rPr>
                <w:rFonts w:ascii="Times New Roman" w:hAnsi="Times New Roman" w:cs="Times New Roman"/>
                <w:b w:val="0"/>
                <w:bCs w:val="0"/>
                <w:sz w:val="24"/>
                <w:szCs w:val="24"/>
                <w:lang w:bidi="ar-JO"/>
              </w:rPr>
            </w:pPr>
          </w:p>
        </w:tc>
        <w:tc>
          <w:tcPr>
            <w:tcW w:w="4247" w:type="dxa"/>
            <w:vMerge w:val="restart"/>
          </w:tcPr>
          <w:p w:rsidR="00A55DB8" w:rsidRPr="0084028B" w:rsidRDefault="00A55DB8" w:rsidP="00B60C8F">
            <w:pPr>
              <w:keepNext/>
              <w:bidi w:val="0"/>
              <w:spacing w:after="0"/>
              <w:jc w:val="left"/>
              <w:rPr>
                <w:rFonts w:ascii="Times New Roman" w:hAnsi="Times New Roman" w:cs="Times New Roman"/>
                <w:b w:val="0"/>
                <w:bCs w:val="0"/>
                <w:sz w:val="24"/>
                <w:szCs w:val="24"/>
              </w:rPr>
            </w:pPr>
            <w:r w:rsidRPr="0084028B">
              <w:rPr>
                <w:rFonts w:ascii="Times New Roman" w:hAnsi="Times New Roman" w:cs="Times New Roman"/>
                <w:b w:val="0"/>
                <w:bCs w:val="0"/>
                <w:sz w:val="24"/>
                <w:szCs w:val="24"/>
              </w:rPr>
              <w:t>Equity</w:t>
            </w:r>
          </w:p>
          <w:p w:rsidR="00A55DB8" w:rsidRPr="0084028B" w:rsidRDefault="00A55DB8" w:rsidP="00B60C8F">
            <w:pPr>
              <w:keepNext/>
              <w:bidi w:val="0"/>
              <w:spacing w:after="0"/>
              <w:jc w:val="left"/>
              <w:rPr>
                <w:rFonts w:ascii="Times New Roman" w:hAnsi="Times New Roman" w:cs="Times New Roman"/>
                <w:b w:val="0"/>
                <w:bCs w:val="0"/>
                <w:sz w:val="24"/>
                <w:szCs w:val="24"/>
                <w:lang w:bidi="ar-JO"/>
              </w:rPr>
            </w:pPr>
            <w:r w:rsidRPr="0084028B">
              <w:rPr>
                <w:rFonts w:ascii="Times New Roman" w:hAnsi="Times New Roman" w:cs="Times New Roman"/>
                <w:b w:val="0"/>
                <w:bCs w:val="0"/>
                <w:sz w:val="24"/>
                <w:szCs w:val="24"/>
              </w:rPr>
              <w:t>10      CET1</w:t>
            </w:r>
          </w:p>
        </w:tc>
      </w:tr>
      <w:tr w:rsidR="00A55DB8" w:rsidTr="00B60C8F">
        <w:tc>
          <w:tcPr>
            <w:tcW w:w="4962" w:type="dxa"/>
          </w:tcPr>
          <w:p w:rsidR="00A55DB8" w:rsidRPr="0084028B" w:rsidRDefault="00A55DB8" w:rsidP="00B60C8F">
            <w:pPr>
              <w:keepNext/>
              <w:bidi w:val="0"/>
              <w:spacing w:after="0"/>
              <w:jc w:val="left"/>
              <w:rPr>
                <w:rFonts w:ascii="Times New Roman" w:hAnsi="Times New Roman" w:cs="Times New Roman"/>
                <w:b w:val="0"/>
                <w:bCs w:val="0"/>
                <w:sz w:val="24"/>
                <w:szCs w:val="24"/>
                <w:lang w:bidi="ar-JO"/>
              </w:rPr>
            </w:pPr>
          </w:p>
        </w:tc>
        <w:tc>
          <w:tcPr>
            <w:tcW w:w="4247" w:type="dxa"/>
            <w:vMerge/>
          </w:tcPr>
          <w:p w:rsidR="00A55DB8" w:rsidRPr="0084028B" w:rsidRDefault="00A55DB8" w:rsidP="00B60C8F">
            <w:pPr>
              <w:keepNext/>
              <w:bidi w:val="0"/>
              <w:spacing w:after="0"/>
              <w:jc w:val="left"/>
              <w:rPr>
                <w:rFonts w:ascii="Times New Roman" w:hAnsi="Times New Roman" w:cs="Times New Roman"/>
                <w:b w:val="0"/>
                <w:bCs w:val="0"/>
                <w:sz w:val="24"/>
                <w:szCs w:val="24"/>
                <w:lang w:bidi="ar-JO"/>
              </w:rPr>
            </w:pPr>
          </w:p>
        </w:tc>
      </w:tr>
      <w:tr w:rsidR="00A55DB8" w:rsidTr="00B60C8F">
        <w:tc>
          <w:tcPr>
            <w:tcW w:w="4962" w:type="dxa"/>
          </w:tcPr>
          <w:p w:rsidR="00A55DB8" w:rsidRPr="0084028B" w:rsidRDefault="00A55DB8" w:rsidP="00B60C8F">
            <w:pPr>
              <w:keepNext/>
              <w:bidi w:val="0"/>
              <w:spacing w:after="0"/>
              <w:jc w:val="left"/>
              <w:rPr>
                <w:rFonts w:ascii="Times New Roman" w:hAnsi="Times New Roman" w:cs="Times New Roman"/>
                <w:b w:val="0"/>
                <w:bCs w:val="0"/>
                <w:sz w:val="24"/>
                <w:szCs w:val="24"/>
                <w:lang w:bidi="ar-JO"/>
              </w:rPr>
            </w:pPr>
          </w:p>
        </w:tc>
        <w:tc>
          <w:tcPr>
            <w:tcW w:w="4247" w:type="dxa"/>
          </w:tcPr>
          <w:p w:rsidR="00A55DB8" w:rsidRPr="0084028B" w:rsidRDefault="00A55DB8" w:rsidP="00B60C8F">
            <w:pPr>
              <w:keepNext/>
              <w:bidi w:val="0"/>
              <w:spacing w:after="0"/>
              <w:jc w:val="left"/>
              <w:rPr>
                <w:rFonts w:ascii="Times New Roman" w:hAnsi="Times New Roman" w:cs="Times New Roman"/>
                <w:b w:val="0"/>
                <w:bCs w:val="0"/>
                <w:sz w:val="24"/>
                <w:szCs w:val="24"/>
                <w:lang w:bidi="ar-JO"/>
              </w:rPr>
            </w:pPr>
            <w:r w:rsidRPr="0084028B">
              <w:rPr>
                <w:rFonts w:ascii="Times New Roman" w:hAnsi="Times New Roman" w:cs="Times New Roman"/>
                <w:b w:val="0"/>
                <w:bCs w:val="0"/>
                <w:sz w:val="24"/>
                <w:szCs w:val="24"/>
                <w:lang w:bidi="ar-JO"/>
              </w:rPr>
              <w:t>5       AT1</w:t>
            </w:r>
          </w:p>
        </w:tc>
      </w:tr>
      <w:tr w:rsidR="00A55DB8" w:rsidTr="00B60C8F">
        <w:tc>
          <w:tcPr>
            <w:tcW w:w="4962" w:type="dxa"/>
          </w:tcPr>
          <w:p w:rsidR="00A55DB8" w:rsidRPr="0084028B" w:rsidRDefault="00A55DB8" w:rsidP="00B60C8F">
            <w:pPr>
              <w:keepNext/>
              <w:bidi w:val="0"/>
              <w:spacing w:after="0"/>
              <w:jc w:val="left"/>
              <w:rPr>
                <w:rFonts w:ascii="Times New Roman" w:hAnsi="Times New Roman" w:cs="Times New Roman"/>
                <w:b w:val="0"/>
                <w:bCs w:val="0"/>
                <w:sz w:val="24"/>
                <w:szCs w:val="24"/>
                <w:lang w:bidi="ar-JO"/>
              </w:rPr>
            </w:pPr>
          </w:p>
        </w:tc>
        <w:tc>
          <w:tcPr>
            <w:tcW w:w="4247" w:type="dxa"/>
          </w:tcPr>
          <w:p w:rsidR="00A55DB8" w:rsidRPr="0084028B" w:rsidRDefault="00A55DB8" w:rsidP="00B60C8F">
            <w:pPr>
              <w:keepNext/>
              <w:bidi w:val="0"/>
              <w:spacing w:after="0"/>
              <w:jc w:val="left"/>
              <w:rPr>
                <w:rFonts w:ascii="Times New Roman" w:hAnsi="Times New Roman" w:cs="Times New Roman"/>
                <w:b w:val="0"/>
                <w:bCs w:val="0"/>
                <w:sz w:val="24"/>
                <w:szCs w:val="24"/>
                <w:lang w:bidi="ar-JO"/>
              </w:rPr>
            </w:pPr>
            <w:r w:rsidRPr="0084028B">
              <w:rPr>
                <w:rFonts w:ascii="Times New Roman" w:hAnsi="Times New Roman" w:cs="Times New Roman"/>
                <w:b w:val="0"/>
                <w:bCs w:val="0"/>
                <w:sz w:val="24"/>
                <w:szCs w:val="24"/>
                <w:lang w:bidi="ar-JO"/>
              </w:rPr>
              <w:t>8       T2</w:t>
            </w:r>
          </w:p>
        </w:tc>
      </w:tr>
      <w:tr w:rsidR="00A55DB8" w:rsidTr="00B60C8F">
        <w:tc>
          <w:tcPr>
            <w:tcW w:w="4962" w:type="dxa"/>
            <w:shd w:val="clear" w:color="auto" w:fill="EDEDED" w:themeFill="accent3" w:themeFillTint="33"/>
          </w:tcPr>
          <w:p w:rsidR="00A55DB8" w:rsidRPr="0084028B" w:rsidRDefault="00A55DB8" w:rsidP="00B60C8F">
            <w:pPr>
              <w:keepNext/>
              <w:bidi w:val="0"/>
              <w:spacing w:after="0"/>
              <w:jc w:val="left"/>
              <w:rPr>
                <w:rFonts w:ascii="Times New Roman" w:hAnsi="Times New Roman" w:cs="Times New Roman"/>
                <w:sz w:val="24"/>
                <w:szCs w:val="24"/>
                <w:lang w:bidi="ar-JO"/>
              </w:rPr>
            </w:pPr>
            <w:r w:rsidRPr="0084028B">
              <w:rPr>
                <w:rFonts w:ascii="Times New Roman" w:hAnsi="Times New Roman" w:cs="Times New Roman"/>
                <w:sz w:val="24"/>
                <w:szCs w:val="24"/>
                <w:lang w:bidi="ar-JO"/>
              </w:rPr>
              <w:t>150     Total</w:t>
            </w:r>
          </w:p>
        </w:tc>
        <w:tc>
          <w:tcPr>
            <w:tcW w:w="4247" w:type="dxa"/>
            <w:shd w:val="clear" w:color="auto" w:fill="EDEDED" w:themeFill="accent3" w:themeFillTint="33"/>
          </w:tcPr>
          <w:p w:rsidR="00A55DB8" w:rsidRPr="0084028B" w:rsidRDefault="00A55DB8" w:rsidP="00B60C8F">
            <w:pPr>
              <w:keepNext/>
              <w:bidi w:val="0"/>
              <w:spacing w:after="0"/>
              <w:jc w:val="left"/>
              <w:rPr>
                <w:rFonts w:ascii="Times New Roman" w:hAnsi="Times New Roman" w:cs="Times New Roman"/>
                <w:sz w:val="24"/>
                <w:szCs w:val="24"/>
                <w:lang w:bidi="ar-JO"/>
              </w:rPr>
            </w:pPr>
            <w:r w:rsidRPr="0084028B">
              <w:rPr>
                <w:rFonts w:ascii="Times New Roman" w:hAnsi="Times New Roman" w:cs="Times New Roman"/>
                <w:sz w:val="24"/>
                <w:szCs w:val="24"/>
                <w:lang w:bidi="ar-JO"/>
              </w:rPr>
              <w:t>150    Total</w:t>
            </w:r>
          </w:p>
        </w:tc>
      </w:tr>
    </w:tbl>
    <w:p w:rsidR="005B422F" w:rsidRPr="00940A2A" w:rsidRDefault="00A55DB8" w:rsidP="00940A2A">
      <w:pPr>
        <w:keepNext/>
        <w:bidi w:val="0"/>
        <w:spacing w:after="0" w:line="276" w:lineRule="auto"/>
        <w:rPr>
          <w:rFonts w:ascii="Times New Roman" w:hAnsi="Times New Roman" w:cs="Times New Roman"/>
          <w:b w:val="0"/>
          <w:bCs w:val="0"/>
          <w:sz w:val="24"/>
          <w:szCs w:val="24"/>
        </w:rPr>
      </w:pPr>
      <w:r w:rsidRPr="0084028B">
        <w:rPr>
          <w:rFonts w:ascii="Times New Roman" w:hAnsi="Times New Roman" w:cs="Times New Roman"/>
          <w:b w:val="0"/>
          <w:bCs w:val="0"/>
          <w:sz w:val="24"/>
          <w:szCs w:val="24"/>
        </w:rPr>
        <w:t xml:space="preserve">The balance sheet of Bank A shows that in addition to its loans to customers, it owns 70% of the common shares of Bank B, 80% of the Additional Tier 1 of Bank B and 25% of the Tier 2 capital of Bank B. The ownership of the capital of Bank </w:t>
      </w:r>
      <w:r w:rsidR="00193B93" w:rsidRPr="0084028B">
        <w:rPr>
          <w:rFonts w:ascii="Times New Roman" w:hAnsi="Times New Roman" w:cs="Times New Roman"/>
          <w:b w:val="0"/>
          <w:bCs w:val="0"/>
          <w:sz w:val="24"/>
          <w:szCs w:val="24"/>
        </w:rPr>
        <w:t>B</w:t>
      </w:r>
      <w:r w:rsidRPr="0084028B">
        <w:rPr>
          <w:rFonts w:ascii="Times New Roman" w:hAnsi="Times New Roman" w:cs="Times New Roman"/>
          <w:b w:val="0"/>
          <w:bCs w:val="0"/>
          <w:sz w:val="24"/>
          <w:szCs w:val="24"/>
        </w:rPr>
        <w:t xml:space="preserve"> is therefore as follows:</w:t>
      </w:r>
    </w:p>
    <w:tbl>
      <w:tblPr>
        <w:tblStyle w:val="TableGrid"/>
        <w:tblW w:w="0" w:type="auto"/>
        <w:tblInd w:w="-289" w:type="dxa"/>
        <w:tblLook w:val="04A0" w:firstRow="1" w:lastRow="0" w:firstColumn="1" w:lastColumn="0" w:noHBand="0" w:noVBand="1"/>
      </w:tblPr>
      <w:tblGrid>
        <w:gridCol w:w="1277"/>
        <w:gridCol w:w="3534"/>
        <w:gridCol w:w="3128"/>
        <w:gridCol w:w="1270"/>
      </w:tblGrid>
      <w:tr w:rsidR="00B449BF" w:rsidRPr="0084028B" w:rsidTr="00D94A35">
        <w:tc>
          <w:tcPr>
            <w:tcW w:w="9209" w:type="dxa"/>
            <w:gridSpan w:val="4"/>
            <w:shd w:val="clear" w:color="auto" w:fill="EDEDED" w:themeFill="accent3" w:themeFillTint="33"/>
          </w:tcPr>
          <w:p w:rsidR="00B449BF" w:rsidRPr="0084028B" w:rsidRDefault="00B449BF" w:rsidP="0084028B">
            <w:pPr>
              <w:keepNext/>
              <w:bidi w:val="0"/>
              <w:spacing w:after="0" w:line="276" w:lineRule="auto"/>
              <w:jc w:val="center"/>
              <w:rPr>
                <w:rFonts w:ascii="Times New Roman" w:hAnsi="Times New Roman" w:cs="Times New Roman"/>
                <w:b w:val="0"/>
                <w:bCs w:val="0"/>
                <w:sz w:val="24"/>
                <w:szCs w:val="24"/>
              </w:rPr>
            </w:pPr>
            <w:r w:rsidRPr="0084028B">
              <w:rPr>
                <w:rFonts w:ascii="Times New Roman" w:hAnsi="Times New Roman" w:cs="Times New Roman"/>
                <w:sz w:val="24"/>
                <w:szCs w:val="24"/>
              </w:rPr>
              <w:t>Capital issued by Bank B</w:t>
            </w:r>
          </w:p>
        </w:tc>
      </w:tr>
      <w:tr w:rsidR="00B449BF" w:rsidRPr="0084028B" w:rsidTr="00D94A35">
        <w:tc>
          <w:tcPr>
            <w:tcW w:w="1277" w:type="dxa"/>
            <w:shd w:val="clear" w:color="auto" w:fill="EDEDED" w:themeFill="accent3" w:themeFillTint="33"/>
          </w:tcPr>
          <w:p w:rsidR="00B449BF" w:rsidRPr="0084028B" w:rsidRDefault="00B449BF" w:rsidP="0084028B">
            <w:pPr>
              <w:keepNext/>
              <w:bidi w:val="0"/>
              <w:spacing w:after="0" w:line="276" w:lineRule="auto"/>
              <w:jc w:val="center"/>
              <w:rPr>
                <w:rFonts w:ascii="Times New Roman" w:hAnsi="Times New Roman" w:cs="Times New Roman"/>
                <w:b w:val="0"/>
                <w:bCs w:val="0"/>
                <w:sz w:val="24"/>
                <w:szCs w:val="24"/>
              </w:rPr>
            </w:pPr>
          </w:p>
        </w:tc>
        <w:tc>
          <w:tcPr>
            <w:tcW w:w="3534" w:type="dxa"/>
            <w:shd w:val="clear" w:color="auto" w:fill="EDEDED" w:themeFill="accent3" w:themeFillTint="33"/>
          </w:tcPr>
          <w:p w:rsidR="00B449BF" w:rsidRPr="00940A2A" w:rsidRDefault="00B449BF" w:rsidP="0084028B">
            <w:pPr>
              <w:keepNext/>
              <w:bidi w:val="0"/>
              <w:spacing w:after="0" w:line="276" w:lineRule="auto"/>
              <w:jc w:val="center"/>
              <w:rPr>
                <w:rFonts w:ascii="Times New Roman" w:hAnsi="Times New Roman" w:cs="Times New Roman"/>
                <w:b w:val="0"/>
                <w:bCs w:val="0"/>
                <w:sz w:val="22"/>
                <w:szCs w:val="22"/>
              </w:rPr>
            </w:pPr>
            <w:r w:rsidRPr="00940A2A">
              <w:rPr>
                <w:rFonts w:ascii="Times New Roman" w:hAnsi="Times New Roman" w:cs="Times New Roman"/>
                <w:sz w:val="22"/>
                <w:szCs w:val="22"/>
              </w:rPr>
              <w:t>Amount issued to parent (Bank A)</w:t>
            </w:r>
          </w:p>
        </w:tc>
        <w:tc>
          <w:tcPr>
            <w:tcW w:w="3128" w:type="dxa"/>
            <w:shd w:val="clear" w:color="auto" w:fill="EDEDED" w:themeFill="accent3" w:themeFillTint="33"/>
          </w:tcPr>
          <w:p w:rsidR="00B449BF" w:rsidRPr="00940A2A" w:rsidRDefault="00B449BF" w:rsidP="0084028B">
            <w:pPr>
              <w:keepNext/>
              <w:bidi w:val="0"/>
              <w:spacing w:after="0" w:line="276" w:lineRule="auto"/>
              <w:jc w:val="center"/>
              <w:rPr>
                <w:rFonts w:ascii="Times New Roman" w:hAnsi="Times New Roman" w:cs="Times New Roman"/>
                <w:b w:val="0"/>
                <w:bCs w:val="0"/>
                <w:sz w:val="22"/>
                <w:szCs w:val="22"/>
              </w:rPr>
            </w:pPr>
            <w:r w:rsidRPr="00940A2A">
              <w:rPr>
                <w:rFonts w:ascii="Times New Roman" w:hAnsi="Times New Roman" w:cs="Times New Roman"/>
                <w:sz w:val="22"/>
                <w:szCs w:val="22"/>
              </w:rPr>
              <w:t>Amount issued to third parties</w:t>
            </w:r>
          </w:p>
        </w:tc>
        <w:tc>
          <w:tcPr>
            <w:tcW w:w="1270" w:type="dxa"/>
            <w:shd w:val="clear" w:color="auto" w:fill="EDEDED" w:themeFill="accent3" w:themeFillTint="33"/>
          </w:tcPr>
          <w:p w:rsidR="00B449BF" w:rsidRPr="00940A2A" w:rsidRDefault="00B449BF" w:rsidP="0084028B">
            <w:pPr>
              <w:keepNext/>
              <w:bidi w:val="0"/>
              <w:spacing w:after="0" w:line="276" w:lineRule="auto"/>
              <w:jc w:val="center"/>
              <w:rPr>
                <w:rFonts w:ascii="Times New Roman" w:hAnsi="Times New Roman" w:cs="Times New Roman"/>
                <w:b w:val="0"/>
                <w:bCs w:val="0"/>
                <w:sz w:val="22"/>
                <w:szCs w:val="22"/>
              </w:rPr>
            </w:pPr>
            <w:r w:rsidRPr="00940A2A">
              <w:rPr>
                <w:rFonts w:ascii="Times New Roman" w:hAnsi="Times New Roman" w:cs="Times New Roman"/>
                <w:sz w:val="22"/>
                <w:szCs w:val="22"/>
              </w:rPr>
              <w:t>Total</w:t>
            </w:r>
          </w:p>
        </w:tc>
      </w:tr>
      <w:tr w:rsidR="00B449BF" w:rsidRPr="0084028B" w:rsidTr="00D94A35">
        <w:tc>
          <w:tcPr>
            <w:tcW w:w="1277" w:type="dxa"/>
            <w:shd w:val="clear" w:color="auto" w:fill="EDEDED" w:themeFill="accent3" w:themeFillTint="33"/>
            <w:vAlign w:val="center"/>
          </w:tcPr>
          <w:p w:rsidR="00B449BF" w:rsidRPr="0084028B" w:rsidRDefault="00B449BF" w:rsidP="00D94A35">
            <w:pPr>
              <w:spacing w:after="0" w:line="276" w:lineRule="auto"/>
              <w:jc w:val="center"/>
              <w:rPr>
                <w:rFonts w:ascii="Times New Roman" w:hAnsi="Times New Roman" w:cs="Times New Roman"/>
                <w:sz w:val="24"/>
                <w:szCs w:val="24"/>
                <w:lang w:bidi="ar-JO"/>
              </w:rPr>
            </w:pPr>
            <w:r w:rsidRPr="0084028B">
              <w:rPr>
                <w:rFonts w:ascii="Times New Roman" w:hAnsi="Times New Roman" w:cs="Times New Roman"/>
                <w:sz w:val="24"/>
                <w:szCs w:val="24"/>
                <w:lang w:bidi="ar-JO"/>
              </w:rPr>
              <w:t>CET1</w:t>
            </w:r>
          </w:p>
        </w:tc>
        <w:tc>
          <w:tcPr>
            <w:tcW w:w="3534" w:type="dxa"/>
            <w:vAlign w:val="center"/>
          </w:tcPr>
          <w:p w:rsidR="00B449BF" w:rsidRPr="0084028B" w:rsidRDefault="00B449BF" w:rsidP="0084028B">
            <w:pPr>
              <w:keepNext/>
              <w:bidi w:val="0"/>
              <w:spacing w:after="0" w:line="276" w:lineRule="auto"/>
              <w:jc w:val="center"/>
              <w:rPr>
                <w:rFonts w:ascii="Times New Roman" w:hAnsi="Times New Roman" w:cs="Times New Roman"/>
                <w:b w:val="0"/>
                <w:bCs w:val="0"/>
                <w:sz w:val="24"/>
                <w:szCs w:val="24"/>
              </w:rPr>
            </w:pPr>
            <w:r w:rsidRPr="0084028B">
              <w:rPr>
                <w:rFonts w:ascii="Times New Roman" w:hAnsi="Times New Roman" w:cs="Times New Roman"/>
                <w:b w:val="0"/>
                <w:bCs w:val="0"/>
                <w:sz w:val="24"/>
                <w:szCs w:val="24"/>
              </w:rPr>
              <w:t>7</w:t>
            </w:r>
          </w:p>
        </w:tc>
        <w:tc>
          <w:tcPr>
            <w:tcW w:w="3128" w:type="dxa"/>
            <w:vAlign w:val="center"/>
          </w:tcPr>
          <w:p w:rsidR="00B449BF" w:rsidRPr="0084028B" w:rsidRDefault="00B449BF" w:rsidP="0084028B">
            <w:pPr>
              <w:keepNext/>
              <w:bidi w:val="0"/>
              <w:spacing w:after="0" w:line="276" w:lineRule="auto"/>
              <w:jc w:val="center"/>
              <w:rPr>
                <w:rFonts w:ascii="Times New Roman" w:hAnsi="Times New Roman" w:cs="Times New Roman"/>
                <w:b w:val="0"/>
                <w:bCs w:val="0"/>
                <w:sz w:val="24"/>
                <w:szCs w:val="24"/>
              </w:rPr>
            </w:pPr>
            <w:r w:rsidRPr="0084028B">
              <w:rPr>
                <w:rFonts w:ascii="Times New Roman" w:hAnsi="Times New Roman" w:cs="Times New Roman"/>
                <w:b w:val="0"/>
                <w:bCs w:val="0"/>
                <w:sz w:val="24"/>
                <w:szCs w:val="24"/>
              </w:rPr>
              <w:t>3</w:t>
            </w:r>
          </w:p>
        </w:tc>
        <w:tc>
          <w:tcPr>
            <w:tcW w:w="1270" w:type="dxa"/>
            <w:vAlign w:val="center"/>
          </w:tcPr>
          <w:p w:rsidR="00B449BF" w:rsidRPr="0084028B" w:rsidRDefault="00B449BF" w:rsidP="0084028B">
            <w:pPr>
              <w:keepNext/>
              <w:bidi w:val="0"/>
              <w:spacing w:after="0" w:line="276" w:lineRule="auto"/>
              <w:jc w:val="center"/>
              <w:rPr>
                <w:rFonts w:ascii="Times New Roman" w:hAnsi="Times New Roman" w:cs="Times New Roman"/>
                <w:b w:val="0"/>
                <w:bCs w:val="0"/>
                <w:sz w:val="24"/>
                <w:szCs w:val="24"/>
              </w:rPr>
            </w:pPr>
            <w:r w:rsidRPr="0084028B">
              <w:rPr>
                <w:rFonts w:ascii="Times New Roman" w:hAnsi="Times New Roman" w:cs="Times New Roman"/>
                <w:b w:val="0"/>
                <w:bCs w:val="0"/>
                <w:sz w:val="24"/>
                <w:szCs w:val="24"/>
              </w:rPr>
              <w:t>10</w:t>
            </w:r>
          </w:p>
        </w:tc>
      </w:tr>
      <w:tr w:rsidR="00B449BF" w:rsidRPr="0084028B" w:rsidTr="00D94A35">
        <w:tc>
          <w:tcPr>
            <w:tcW w:w="1277" w:type="dxa"/>
            <w:shd w:val="clear" w:color="auto" w:fill="EDEDED" w:themeFill="accent3" w:themeFillTint="33"/>
            <w:vAlign w:val="center"/>
          </w:tcPr>
          <w:p w:rsidR="00B449BF" w:rsidRPr="0084028B" w:rsidRDefault="00B449BF" w:rsidP="00D94A35">
            <w:pPr>
              <w:spacing w:after="0" w:line="276" w:lineRule="auto"/>
              <w:jc w:val="center"/>
              <w:rPr>
                <w:rFonts w:ascii="Times New Roman" w:hAnsi="Times New Roman" w:cs="Times New Roman"/>
                <w:sz w:val="24"/>
                <w:szCs w:val="24"/>
                <w:rtl/>
                <w:lang w:bidi="ar-JO"/>
              </w:rPr>
            </w:pPr>
            <w:r w:rsidRPr="0084028B">
              <w:rPr>
                <w:rFonts w:ascii="Times New Roman" w:hAnsi="Times New Roman" w:cs="Times New Roman"/>
                <w:sz w:val="24"/>
                <w:szCs w:val="24"/>
                <w:lang w:bidi="ar-JO"/>
              </w:rPr>
              <w:t>AT1</w:t>
            </w:r>
          </w:p>
        </w:tc>
        <w:tc>
          <w:tcPr>
            <w:tcW w:w="3534" w:type="dxa"/>
            <w:vAlign w:val="center"/>
          </w:tcPr>
          <w:p w:rsidR="00B449BF" w:rsidRPr="0084028B" w:rsidRDefault="00B449BF" w:rsidP="0084028B">
            <w:pPr>
              <w:keepNext/>
              <w:bidi w:val="0"/>
              <w:spacing w:after="0" w:line="276" w:lineRule="auto"/>
              <w:jc w:val="center"/>
              <w:rPr>
                <w:rFonts w:ascii="Times New Roman" w:hAnsi="Times New Roman" w:cs="Times New Roman"/>
                <w:b w:val="0"/>
                <w:bCs w:val="0"/>
                <w:sz w:val="24"/>
                <w:szCs w:val="24"/>
              </w:rPr>
            </w:pPr>
            <w:r w:rsidRPr="0084028B">
              <w:rPr>
                <w:rFonts w:ascii="Times New Roman" w:hAnsi="Times New Roman" w:cs="Times New Roman"/>
                <w:b w:val="0"/>
                <w:bCs w:val="0"/>
                <w:sz w:val="24"/>
                <w:szCs w:val="24"/>
              </w:rPr>
              <w:t>4</w:t>
            </w:r>
          </w:p>
        </w:tc>
        <w:tc>
          <w:tcPr>
            <w:tcW w:w="3128" w:type="dxa"/>
            <w:vAlign w:val="center"/>
          </w:tcPr>
          <w:p w:rsidR="00B449BF" w:rsidRPr="0084028B" w:rsidRDefault="00B449BF" w:rsidP="0084028B">
            <w:pPr>
              <w:keepNext/>
              <w:bidi w:val="0"/>
              <w:spacing w:after="0" w:line="276" w:lineRule="auto"/>
              <w:jc w:val="center"/>
              <w:rPr>
                <w:rFonts w:ascii="Times New Roman" w:hAnsi="Times New Roman" w:cs="Times New Roman"/>
                <w:b w:val="0"/>
                <w:bCs w:val="0"/>
                <w:sz w:val="24"/>
                <w:szCs w:val="24"/>
              </w:rPr>
            </w:pPr>
            <w:r w:rsidRPr="0084028B">
              <w:rPr>
                <w:rFonts w:ascii="Times New Roman" w:hAnsi="Times New Roman" w:cs="Times New Roman"/>
                <w:b w:val="0"/>
                <w:bCs w:val="0"/>
                <w:sz w:val="24"/>
                <w:szCs w:val="24"/>
              </w:rPr>
              <w:t>1</w:t>
            </w:r>
          </w:p>
        </w:tc>
        <w:tc>
          <w:tcPr>
            <w:tcW w:w="1270" w:type="dxa"/>
            <w:vAlign w:val="center"/>
          </w:tcPr>
          <w:p w:rsidR="00B449BF" w:rsidRPr="0084028B" w:rsidRDefault="00B449BF" w:rsidP="0084028B">
            <w:pPr>
              <w:keepNext/>
              <w:bidi w:val="0"/>
              <w:spacing w:after="0" w:line="276" w:lineRule="auto"/>
              <w:jc w:val="center"/>
              <w:rPr>
                <w:rFonts w:ascii="Times New Roman" w:hAnsi="Times New Roman" w:cs="Times New Roman"/>
                <w:b w:val="0"/>
                <w:bCs w:val="0"/>
                <w:sz w:val="24"/>
                <w:szCs w:val="24"/>
              </w:rPr>
            </w:pPr>
            <w:r w:rsidRPr="0084028B">
              <w:rPr>
                <w:rFonts w:ascii="Times New Roman" w:hAnsi="Times New Roman" w:cs="Times New Roman"/>
                <w:b w:val="0"/>
                <w:bCs w:val="0"/>
                <w:sz w:val="24"/>
                <w:szCs w:val="24"/>
              </w:rPr>
              <w:t>5</w:t>
            </w:r>
          </w:p>
        </w:tc>
      </w:tr>
      <w:tr w:rsidR="00B449BF" w:rsidRPr="0084028B" w:rsidTr="00D94A35">
        <w:tc>
          <w:tcPr>
            <w:tcW w:w="1277" w:type="dxa"/>
            <w:shd w:val="clear" w:color="auto" w:fill="EDEDED" w:themeFill="accent3" w:themeFillTint="33"/>
            <w:vAlign w:val="center"/>
          </w:tcPr>
          <w:p w:rsidR="00B449BF" w:rsidRPr="0084028B" w:rsidRDefault="00B449BF" w:rsidP="00D94A35">
            <w:pPr>
              <w:spacing w:after="0" w:line="276" w:lineRule="auto"/>
              <w:jc w:val="center"/>
              <w:rPr>
                <w:rFonts w:ascii="Times New Roman" w:hAnsi="Times New Roman" w:cs="Times New Roman"/>
                <w:sz w:val="24"/>
                <w:szCs w:val="24"/>
                <w:lang w:bidi="ar-JO"/>
              </w:rPr>
            </w:pPr>
            <w:r w:rsidRPr="0084028B">
              <w:rPr>
                <w:rFonts w:ascii="Times New Roman" w:hAnsi="Times New Roman" w:cs="Times New Roman"/>
                <w:sz w:val="24"/>
                <w:szCs w:val="24"/>
                <w:lang w:bidi="ar-JO"/>
              </w:rPr>
              <w:t>T2</w:t>
            </w:r>
          </w:p>
        </w:tc>
        <w:tc>
          <w:tcPr>
            <w:tcW w:w="3534" w:type="dxa"/>
            <w:vAlign w:val="center"/>
          </w:tcPr>
          <w:p w:rsidR="00B449BF" w:rsidRPr="0084028B" w:rsidRDefault="00B449BF" w:rsidP="0084028B">
            <w:pPr>
              <w:keepNext/>
              <w:bidi w:val="0"/>
              <w:spacing w:after="0" w:line="276" w:lineRule="auto"/>
              <w:jc w:val="center"/>
              <w:rPr>
                <w:rFonts w:ascii="Times New Roman" w:hAnsi="Times New Roman" w:cs="Times New Roman"/>
                <w:b w:val="0"/>
                <w:bCs w:val="0"/>
                <w:sz w:val="24"/>
                <w:szCs w:val="24"/>
              </w:rPr>
            </w:pPr>
            <w:r w:rsidRPr="0084028B">
              <w:rPr>
                <w:rFonts w:ascii="Times New Roman" w:hAnsi="Times New Roman" w:cs="Times New Roman"/>
                <w:b w:val="0"/>
                <w:bCs w:val="0"/>
                <w:sz w:val="24"/>
                <w:szCs w:val="24"/>
              </w:rPr>
              <w:t>2</w:t>
            </w:r>
          </w:p>
        </w:tc>
        <w:tc>
          <w:tcPr>
            <w:tcW w:w="3128" w:type="dxa"/>
            <w:vAlign w:val="center"/>
          </w:tcPr>
          <w:p w:rsidR="00B449BF" w:rsidRPr="0084028B" w:rsidRDefault="00B449BF" w:rsidP="0084028B">
            <w:pPr>
              <w:keepNext/>
              <w:bidi w:val="0"/>
              <w:spacing w:after="0" w:line="276" w:lineRule="auto"/>
              <w:jc w:val="center"/>
              <w:rPr>
                <w:rFonts w:ascii="Times New Roman" w:hAnsi="Times New Roman" w:cs="Times New Roman"/>
                <w:b w:val="0"/>
                <w:bCs w:val="0"/>
                <w:sz w:val="24"/>
                <w:szCs w:val="24"/>
              </w:rPr>
            </w:pPr>
            <w:r w:rsidRPr="0084028B">
              <w:rPr>
                <w:rFonts w:ascii="Times New Roman" w:hAnsi="Times New Roman" w:cs="Times New Roman"/>
                <w:b w:val="0"/>
                <w:bCs w:val="0"/>
                <w:sz w:val="24"/>
                <w:szCs w:val="24"/>
              </w:rPr>
              <w:t>6</w:t>
            </w:r>
          </w:p>
        </w:tc>
        <w:tc>
          <w:tcPr>
            <w:tcW w:w="1270" w:type="dxa"/>
            <w:vAlign w:val="center"/>
          </w:tcPr>
          <w:p w:rsidR="00B449BF" w:rsidRPr="0084028B" w:rsidRDefault="00B449BF" w:rsidP="0084028B">
            <w:pPr>
              <w:keepNext/>
              <w:bidi w:val="0"/>
              <w:spacing w:after="0" w:line="276" w:lineRule="auto"/>
              <w:jc w:val="center"/>
              <w:rPr>
                <w:rFonts w:ascii="Times New Roman" w:hAnsi="Times New Roman" w:cs="Times New Roman"/>
                <w:b w:val="0"/>
                <w:bCs w:val="0"/>
                <w:sz w:val="24"/>
                <w:szCs w:val="24"/>
              </w:rPr>
            </w:pPr>
            <w:r w:rsidRPr="0084028B">
              <w:rPr>
                <w:rFonts w:ascii="Times New Roman" w:hAnsi="Times New Roman" w:cs="Times New Roman"/>
                <w:b w:val="0"/>
                <w:bCs w:val="0"/>
                <w:sz w:val="24"/>
                <w:szCs w:val="24"/>
              </w:rPr>
              <w:t>8</w:t>
            </w:r>
          </w:p>
        </w:tc>
      </w:tr>
      <w:tr w:rsidR="00B449BF" w:rsidRPr="0084028B" w:rsidTr="00D94A35">
        <w:tc>
          <w:tcPr>
            <w:tcW w:w="1277" w:type="dxa"/>
            <w:shd w:val="clear" w:color="auto" w:fill="EDEDED" w:themeFill="accent3" w:themeFillTint="33"/>
            <w:vAlign w:val="center"/>
          </w:tcPr>
          <w:p w:rsidR="00B449BF" w:rsidRPr="0084028B" w:rsidRDefault="00B449BF" w:rsidP="00D94A35">
            <w:pPr>
              <w:spacing w:after="0" w:line="276" w:lineRule="auto"/>
              <w:jc w:val="center"/>
              <w:rPr>
                <w:rFonts w:ascii="Times New Roman" w:hAnsi="Times New Roman" w:cs="Times New Roman"/>
                <w:sz w:val="24"/>
                <w:szCs w:val="24"/>
                <w:lang w:bidi="ar-JO"/>
              </w:rPr>
            </w:pPr>
            <w:r w:rsidRPr="0084028B">
              <w:rPr>
                <w:rFonts w:ascii="Times New Roman" w:hAnsi="Times New Roman" w:cs="Times New Roman"/>
                <w:sz w:val="24"/>
                <w:szCs w:val="24"/>
                <w:lang w:bidi="ar-JO"/>
              </w:rPr>
              <w:t>Total</w:t>
            </w:r>
          </w:p>
        </w:tc>
        <w:tc>
          <w:tcPr>
            <w:tcW w:w="3534" w:type="dxa"/>
            <w:vAlign w:val="center"/>
          </w:tcPr>
          <w:p w:rsidR="00B449BF" w:rsidRPr="0084028B" w:rsidRDefault="00B449BF" w:rsidP="0084028B">
            <w:pPr>
              <w:keepNext/>
              <w:bidi w:val="0"/>
              <w:spacing w:after="0" w:line="276" w:lineRule="auto"/>
              <w:jc w:val="center"/>
              <w:rPr>
                <w:rFonts w:ascii="Times New Roman" w:hAnsi="Times New Roman" w:cs="Times New Roman"/>
                <w:b w:val="0"/>
                <w:bCs w:val="0"/>
                <w:sz w:val="24"/>
                <w:szCs w:val="24"/>
              </w:rPr>
            </w:pPr>
            <w:r w:rsidRPr="0084028B">
              <w:rPr>
                <w:rFonts w:ascii="Times New Roman" w:hAnsi="Times New Roman" w:cs="Times New Roman"/>
                <w:b w:val="0"/>
                <w:bCs w:val="0"/>
                <w:sz w:val="24"/>
                <w:szCs w:val="24"/>
              </w:rPr>
              <w:t>13</w:t>
            </w:r>
          </w:p>
        </w:tc>
        <w:tc>
          <w:tcPr>
            <w:tcW w:w="3128" w:type="dxa"/>
            <w:vAlign w:val="center"/>
          </w:tcPr>
          <w:p w:rsidR="00B449BF" w:rsidRPr="0084028B" w:rsidRDefault="00B449BF" w:rsidP="0084028B">
            <w:pPr>
              <w:keepNext/>
              <w:bidi w:val="0"/>
              <w:spacing w:after="0" w:line="276" w:lineRule="auto"/>
              <w:jc w:val="center"/>
              <w:rPr>
                <w:rFonts w:ascii="Times New Roman" w:hAnsi="Times New Roman" w:cs="Times New Roman"/>
                <w:b w:val="0"/>
                <w:bCs w:val="0"/>
                <w:sz w:val="24"/>
                <w:szCs w:val="24"/>
              </w:rPr>
            </w:pPr>
            <w:r w:rsidRPr="0084028B">
              <w:rPr>
                <w:rFonts w:ascii="Times New Roman" w:hAnsi="Times New Roman" w:cs="Times New Roman"/>
                <w:b w:val="0"/>
                <w:bCs w:val="0"/>
                <w:sz w:val="24"/>
                <w:szCs w:val="24"/>
              </w:rPr>
              <w:t>10</w:t>
            </w:r>
          </w:p>
        </w:tc>
        <w:tc>
          <w:tcPr>
            <w:tcW w:w="1270" w:type="dxa"/>
            <w:vAlign w:val="center"/>
          </w:tcPr>
          <w:p w:rsidR="00B449BF" w:rsidRPr="0084028B" w:rsidRDefault="00B449BF" w:rsidP="0084028B">
            <w:pPr>
              <w:keepNext/>
              <w:bidi w:val="0"/>
              <w:spacing w:after="0" w:line="276" w:lineRule="auto"/>
              <w:jc w:val="center"/>
              <w:rPr>
                <w:rFonts w:ascii="Times New Roman" w:hAnsi="Times New Roman" w:cs="Times New Roman"/>
                <w:b w:val="0"/>
                <w:bCs w:val="0"/>
                <w:sz w:val="24"/>
                <w:szCs w:val="24"/>
              </w:rPr>
            </w:pPr>
            <w:r w:rsidRPr="0084028B">
              <w:rPr>
                <w:rFonts w:ascii="Times New Roman" w:hAnsi="Times New Roman" w:cs="Times New Roman"/>
                <w:b w:val="0"/>
                <w:bCs w:val="0"/>
                <w:sz w:val="24"/>
                <w:szCs w:val="24"/>
              </w:rPr>
              <w:t>23</w:t>
            </w:r>
          </w:p>
        </w:tc>
      </w:tr>
      <w:tr w:rsidR="00D94A35" w:rsidRPr="0084028B" w:rsidTr="00D94A35">
        <w:tc>
          <w:tcPr>
            <w:tcW w:w="1277" w:type="dxa"/>
            <w:shd w:val="clear" w:color="auto" w:fill="EDEDED" w:themeFill="accent3" w:themeFillTint="33"/>
            <w:vAlign w:val="center"/>
          </w:tcPr>
          <w:p w:rsidR="00D94A35" w:rsidRPr="0084028B" w:rsidRDefault="00D94A35" w:rsidP="00D94A35">
            <w:pPr>
              <w:spacing w:after="0" w:line="276" w:lineRule="auto"/>
              <w:jc w:val="center"/>
              <w:rPr>
                <w:rFonts w:ascii="Times New Roman" w:hAnsi="Times New Roman" w:cs="Times New Roman"/>
                <w:sz w:val="24"/>
                <w:szCs w:val="24"/>
                <w:lang w:bidi="ar-JO"/>
              </w:rPr>
            </w:pPr>
          </w:p>
        </w:tc>
        <w:tc>
          <w:tcPr>
            <w:tcW w:w="3534" w:type="dxa"/>
            <w:vAlign w:val="center"/>
          </w:tcPr>
          <w:p w:rsidR="00D94A35" w:rsidRPr="0084028B" w:rsidRDefault="00D94A35" w:rsidP="0084028B">
            <w:pPr>
              <w:keepNext/>
              <w:bidi w:val="0"/>
              <w:spacing w:after="0" w:line="276" w:lineRule="auto"/>
              <w:jc w:val="center"/>
              <w:rPr>
                <w:rFonts w:ascii="Times New Roman" w:hAnsi="Times New Roman" w:cs="Times New Roman"/>
                <w:b w:val="0"/>
                <w:bCs w:val="0"/>
                <w:sz w:val="24"/>
                <w:szCs w:val="24"/>
              </w:rPr>
            </w:pPr>
          </w:p>
        </w:tc>
        <w:tc>
          <w:tcPr>
            <w:tcW w:w="3128" w:type="dxa"/>
            <w:vAlign w:val="center"/>
          </w:tcPr>
          <w:p w:rsidR="00D94A35" w:rsidRPr="0084028B" w:rsidRDefault="00D94A35" w:rsidP="0084028B">
            <w:pPr>
              <w:keepNext/>
              <w:bidi w:val="0"/>
              <w:spacing w:after="0" w:line="276" w:lineRule="auto"/>
              <w:jc w:val="center"/>
              <w:rPr>
                <w:rFonts w:ascii="Times New Roman" w:hAnsi="Times New Roman" w:cs="Times New Roman"/>
                <w:b w:val="0"/>
                <w:bCs w:val="0"/>
                <w:sz w:val="24"/>
                <w:szCs w:val="24"/>
              </w:rPr>
            </w:pPr>
          </w:p>
        </w:tc>
        <w:tc>
          <w:tcPr>
            <w:tcW w:w="1270" w:type="dxa"/>
            <w:vAlign w:val="center"/>
          </w:tcPr>
          <w:p w:rsidR="00D94A35" w:rsidRPr="0084028B" w:rsidRDefault="00D94A35" w:rsidP="0084028B">
            <w:pPr>
              <w:keepNext/>
              <w:bidi w:val="0"/>
              <w:spacing w:after="0" w:line="276" w:lineRule="auto"/>
              <w:jc w:val="center"/>
              <w:rPr>
                <w:rFonts w:ascii="Times New Roman" w:hAnsi="Times New Roman" w:cs="Times New Roman"/>
                <w:b w:val="0"/>
                <w:bCs w:val="0"/>
                <w:sz w:val="24"/>
                <w:szCs w:val="24"/>
              </w:rPr>
            </w:pPr>
          </w:p>
        </w:tc>
      </w:tr>
    </w:tbl>
    <w:p w:rsidR="00B449BF" w:rsidRPr="00940A2A" w:rsidRDefault="00B449BF" w:rsidP="00D94A35">
      <w:pPr>
        <w:keepNext/>
        <w:bidi w:val="0"/>
        <w:spacing w:after="0" w:line="276" w:lineRule="auto"/>
        <w:rPr>
          <w:rFonts w:ascii="Times New Roman" w:hAnsi="Times New Roman" w:cs="Times New Roman"/>
          <w:b w:val="0"/>
          <w:bCs w:val="0"/>
        </w:rPr>
      </w:pPr>
      <w:r w:rsidRPr="00940A2A">
        <w:rPr>
          <w:rFonts w:ascii="Times New Roman" w:hAnsi="Times New Roman" w:cs="Times New Roman"/>
          <w:b w:val="0"/>
          <w:bCs w:val="0"/>
        </w:rPr>
        <w:t>The consolidated balance sheet of the banking group is set out below:</w:t>
      </w:r>
    </w:p>
    <w:tbl>
      <w:tblPr>
        <w:tblStyle w:val="TableGrid"/>
        <w:tblW w:w="0" w:type="auto"/>
        <w:tblLook w:val="04A0" w:firstRow="1" w:lastRow="0" w:firstColumn="1" w:lastColumn="0" w:noHBand="0" w:noVBand="1"/>
      </w:tblPr>
      <w:tblGrid>
        <w:gridCol w:w="8075"/>
        <w:gridCol w:w="845"/>
      </w:tblGrid>
      <w:tr w:rsidR="00B449BF" w:rsidRPr="00C0031B" w:rsidTr="000060C4">
        <w:tc>
          <w:tcPr>
            <w:tcW w:w="8920" w:type="dxa"/>
            <w:gridSpan w:val="2"/>
            <w:shd w:val="clear" w:color="auto" w:fill="EDEDED" w:themeFill="accent3" w:themeFillTint="33"/>
          </w:tcPr>
          <w:p w:rsidR="00B449BF" w:rsidRPr="00C0031B" w:rsidRDefault="00B449BF" w:rsidP="00940A2A">
            <w:pPr>
              <w:keepNext/>
              <w:bidi w:val="0"/>
              <w:spacing w:after="0"/>
              <w:jc w:val="center"/>
              <w:rPr>
                <w:rFonts w:ascii="Times New Roman" w:hAnsi="Times New Roman" w:cs="Times New Roman"/>
                <w:b w:val="0"/>
                <w:bCs w:val="0"/>
                <w:sz w:val="22"/>
                <w:szCs w:val="22"/>
              </w:rPr>
            </w:pPr>
            <w:r w:rsidRPr="00C0031B">
              <w:rPr>
                <w:rFonts w:ascii="Times New Roman" w:hAnsi="Times New Roman" w:cs="Times New Roman"/>
                <w:sz w:val="22"/>
                <w:szCs w:val="22"/>
              </w:rPr>
              <w:t>Consolidated balance sheet</w:t>
            </w:r>
          </w:p>
        </w:tc>
      </w:tr>
      <w:tr w:rsidR="00B449BF" w:rsidRPr="00C0031B" w:rsidTr="00B449BF">
        <w:tc>
          <w:tcPr>
            <w:tcW w:w="8075" w:type="dxa"/>
          </w:tcPr>
          <w:p w:rsidR="00B449BF" w:rsidRPr="00C0031B" w:rsidRDefault="00B449BF" w:rsidP="00940A2A">
            <w:pPr>
              <w:keepNext/>
              <w:bidi w:val="0"/>
              <w:spacing w:after="0"/>
              <w:rPr>
                <w:rFonts w:ascii="Times New Roman" w:hAnsi="Times New Roman" w:cs="Times New Roman"/>
                <w:sz w:val="22"/>
                <w:szCs w:val="22"/>
              </w:rPr>
            </w:pPr>
            <w:r w:rsidRPr="00C0031B">
              <w:rPr>
                <w:rFonts w:ascii="Times New Roman" w:hAnsi="Times New Roman" w:cs="Times New Roman"/>
                <w:sz w:val="22"/>
                <w:szCs w:val="22"/>
              </w:rPr>
              <w:t>Assets</w:t>
            </w:r>
          </w:p>
          <w:p w:rsidR="00B449BF" w:rsidRPr="00C0031B" w:rsidRDefault="00B449BF" w:rsidP="00940A2A">
            <w:pPr>
              <w:keepNext/>
              <w:bidi w:val="0"/>
              <w:spacing w:after="0"/>
              <w:rPr>
                <w:rFonts w:ascii="Times New Roman" w:hAnsi="Times New Roman" w:cs="Times New Roman"/>
                <w:b w:val="0"/>
                <w:bCs w:val="0"/>
                <w:sz w:val="22"/>
                <w:szCs w:val="22"/>
              </w:rPr>
            </w:pPr>
            <w:r w:rsidRPr="00C0031B">
              <w:rPr>
                <w:rFonts w:ascii="Times New Roman" w:hAnsi="Times New Roman" w:cs="Times New Roman"/>
                <w:b w:val="0"/>
                <w:bCs w:val="0"/>
                <w:sz w:val="22"/>
                <w:szCs w:val="22"/>
              </w:rPr>
              <w:t>Loans to customers</w:t>
            </w:r>
          </w:p>
        </w:tc>
        <w:tc>
          <w:tcPr>
            <w:tcW w:w="845" w:type="dxa"/>
          </w:tcPr>
          <w:p w:rsidR="00B449BF" w:rsidRPr="00C0031B" w:rsidRDefault="00B449BF" w:rsidP="00940A2A">
            <w:pPr>
              <w:keepNext/>
              <w:bidi w:val="0"/>
              <w:spacing w:after="0"/>
              <w:rPr>
                <w:rFonts w:ascii="Times New Roman" w:hAnsi="Times New Roman" w:cs="Times New Roman"/>
                <w:b w:val="0"/>
                <w:bCs w:val="0"/>
                <w:sz w:val="22"/>
                <w:szCs w:val="22"/>
              </w:rPr>
            </w:pPr>
          </w:p>
          <w:p w:rsidR="00B449BF" w:rsidRPr="00C0031B" w:rsidRDefault="00B449BF" w:rsidP="00940A2A">
            <w:pPr>
              <w:keepNext/>
              <w:bidi w:val="0"/>
              <w:spacing w:after="0"/>
              <w:jc w:val="center"/>
              <w:rPr>
                <w:rFonts w:ascii="Times New Roman" w:hAnsi="Times New Roman" w:cs="Times New Roman"/>
                <w:b w:val="0"/>
                <w:bCs w:val="0"/>
                <w:sz w:val="22"/>
                <w:szCs w:val="22"/>
              </w:rPr>
            </w:pPr>
            <w:r w:rsidRPr="00C0031B">
              <w:rPr>
                <w:rFonts w:ascii="Times New Roman" w:hAnsi="Times New Roman" w:cs="Times New Roman"/>
                <w:b w:val="0"/>
                <w:bCs w:val="0"/>
                <w:sz w:val="22"/>
                <w:szCs w:val="22"/>
              </w:rPr>
              <w:t>250</w:t>
            </w:r>
          </w:p>
        </w:tc>
      </w:tr>
      <w:tr w:rsidR="00B449BF" w:rsidRPr="00C0031B" w:rsidTr="00B449BF">
        <w:tc>
          <w:tcPr>
            <w:tcW w:w="8075" w:type="dxa"/>
          </w:tcPr>
          <w:p w:rsidR="00B449BF" w:rsidRPr="00C0031B" w:rsidRDefault="00B449BF" w:rsidP="00940A2A">
            <w:pPr>
              <w:keepNext/>
              <w:bidi w:val="0"/>
              <w:spacing w:after="0"/>
              <w:rPr>
                <w:rFonts w:ascii="Times New Roman" w:hAnsi="Times New Roman" w:cs="Times New Roman"/>
                <w:sz w:val="22"/>
                <w:szCs w:val="22"/>
              </w:rPr>
            </w:pPr>
            <w:r w:rsidRPr="00C0031B">
              <w:rPr>
                <w:rFonts w:ascii="Times New Roman" w:hAnsi="Times New Roman" w:cs="Times New Roman"/>
                <w:sz w:val="22"/>
                <w:szCs w:val="22"/>
              </w:rPr>
              <w:t>Liabilities and equity</w:t>
            </w:r>
          </w:p>
          <w:p w:rsidR="00567026" w:rsidRDefault="00567026" w:rsidP="00940A2A">
            <w:pPr>
              <w:keepNext/>
              <w:bidi w:val="0"/>
              <w:spacing w:after="0"/>
              <w:rPr>
                <w:rFonts w:ascii="Times New Roman" w:hAnsi="Times New Roman" w:cs="Times New Roman"/>
                <w:b w:val="0"/>
                <w:bCs w:val="0"/>
                <w:sz w:val="22"/>
                <w:szCs w:val="22"/>
                <w:rtl/>
              </w:rPr>
            </w:pPr>
            <w:r>
              <w:rPr>
                <w:rFonts w:ascii="Times New Roman" w:hAnsi="Times New Roman" w:cs="Times New Roman"/>
                <w:b w:val="0"/>
                <w:bCs w:val="0"/>
                <w:sz w:val="24"/>
                <w:szCs w:val="24"/>
              </w:rPr>
              <w:t>Deposit</w:t>
            </w:r>
            <w:r w:rsidRPr="0084028B">
              <w:rPr>
                <w:rFonts w:ascii="Times New Roman" w:hAnsi="Times New Roman" w:cs="Times New Roman"/>
                <w:b w:val="0"/>
                <w:bCs w:val="0"/>
                <w:sz w:val="24"/>
                <w:szCs w:val="24"/>
              </w:rPr>
              <w:t>s</w:t>
            </w:r>
            <w:r w:rsidRPr="00C0031B">
              <w:rPr>
                <w:rFonts w:ascii="Times New Roman" w:hAnsi="Times New Roman" w:cs="Times New Roman"/>
                <w:b w:val="0"/>
                <w:bCs w:val="0"/>
                <w:sz w:val="22"/>
                <w:szCs w:val="22"/>
              </w:rPr>
              <w:t xml:space="preserve"> </w:t>
            </w:r>
          </w:p>
          <w:p w:rsidR="00B449BF" w:rsidRPr="00C0031B" w:rsidRDefault="00B449BF" w:rsidP="00567026">
            <w:pPr>
              <w:keepNext/>
              <w:bidi w:val="0"/>
              <w:spacing w:after="0"/>
              <w:rPr>
                <w:rFonts w:ascii="Times New Roman" w:hAnsi="Times New Roman" w:cs="Times New Roman"/>
                <w:b w:val="0"/>
                <w:bCs w:val="0"/>
                <w:sz w:val="22"/>
                <w:szCs w:val="22"/>
              </w:rPr>
            </w:pPr>
            <w:r w:rsidRPr="00C0031B">
              <w:rPr>
                <w:rFonts w:ascii="Times New Roman" w:hAnsi="Times New Roman" w:cs="Times New Roman"/>
                <w:b w:val="0"/>
                <w:bCs w:val="0"/>
                <w:sz w:val="22"/>
                <w:szCs w:val="22"/>
              </w:rPr>
              <w:t>Tier 2 issued by subsidiary to third parties</w:t>
            </w:r>
          </w:p>
          <w:p w:rsidR="00B449BF" w:rsidRPr="00C0031B" w:rsidRDefault="00B449BF" w:rsidP="00940A2A">
            <w:pPr>
              <w:keepNext/>
              <w:bidi w:val="0"/>
              <w:spacing w:after="0"/>
              <w:rPr>
                <w:rFonts w:ascii="Times New Roman" w:hAnsi="Times New Roman" w:cs="Times New Roman"/>
                <w:b w:val="0"/>
                <w:bCs w:val="0"/>
                <w:sz w:val="22"/>
                <w:szCs w:val="22"/>
              </w:rPr>
            </w:pPr>
            <w:r w:rsidRPr="00C0031B">
              <w:rPr>
                <w:rFonts w:ascii="Times New Roman" w:hAnsi="Times New Roman" w:cs="Times New Roman"/>
                <w:b w:val="0"/>
                <w:bCs w:val="0"/>
                <w:sz w:val="22"/>
                <w:szCs w:val="22"/>
              </w:rPr>
              <w:t>Tier 2 issued by parent</w:t>
            </w:r>
          </w:p>
          <w:p w:rsidR="00B449BF" w:rsidRPr="00C0031B" w:rsidRDefault="00B449BF" w:rsidP="00940A2A">
            <w:pPr>
              <w:keepNext/>
              <w:bidi w:val="0"/>
              <w:spacing w:after="0"/>
              <w:rPr>
                <w:rFonts w:ascii="Times New Roman" w:hAnsi="Times New Roman" w:cs="Times New Roman"/>
                <w:b w:val="0"/>
                <w:bCs w:val="0"/>
                <w:sz w:val="22"/>
                <w:szCs w:val="22"/>
              </w:rPr>
            </w:pPr>
            <w:r w:rsidRPr="00C0031B">
              <w:rPr>
                <w:rFonts w:ascii="Times New Roman" w:hAnsi="Times New Roman" w:cs="Times New Roman"/>
                <w:b w:val="0"/>
                <w:bCs w:val="0"/>
                <w:sz w:val="22"/>
                <w:szCs w:val="22"/>
              </w:rPr>
              <w:t>Additional Tier 1 issued by subsidiary to third parties</w:t>
            </w:r>
          </w:p>
          <w:p w:rsidR="00B449BF" w:rsidRPr="00C0031B" w:rsidRDefault="00B449BF" w:rsidP="00940A2A">
            <w:pPr>
              <w:keepNext/>
              <w:bidi w:val="0"/>
              <w:spacing w:after="0"/>
              <w:rPr>
                <w:rFonts w:ascii="Times New Roman" w:hAnsi="Times New Roman" w:cs="Times New Roman"/>
                <w:b w:val="0"/>
                <w:bCs w:val="0"/>
                <w:sz w:val="22"/>
                <w:szCs w:val="22"/>
              </w:rPr>
            </w:pPr>
            <w:r w:rsidRPr="00C0031B">
              <w:rPr>
                <w:rFonts w:ascii="Times New Roman" w:hAnsi="Times New Roman" w:cs="Times New Roman"/>
                <w:b w:val="0"/>
                <w:bCs w:val="0"/>
                <w:sz w:val="22"/>
                <w:szCs w:val="22"/>
              </w:rPr>
              <w:t>Additional Tier 1 issued by parent</w:t>
            </w:r>
          </w:p>
          <w:p w:rsidR="00B449BF" w:rsidRPr="00C0031B" w:rsidRDefault="00B449BF" w:rsidP="00685EFA">
            <w:pPr>
              <w:keepNext/>
              <w:bidi w:val="0"/>
              <w:spacing w:after="0"/>
              <w:rPr>
                <w:rFonts w:ascii="Times New Roman" w:hAnsi="Times New Roman" w:cs="Times New Roman"/>
                <w:b w:val="0"/>
                <w:bCs w:val="0"/>
                <w:sz w:val="22"/>
                <w:szCs w:val="22"/>
              </w:rPr>
            </w:pPr>
            <w:r w:rsidRPr="00C0031B">
              <w:rPr>
                <w:rFonts w:ascii="Times New Roman" w:hAnsi="Times New Roman" w:cs="Times New Roman"/>
                <w:b w:val="0"/>
                <w:bCs w:val="0"/>
                <w:sz w:val="22"/>
                <w:szCs w:val="22"/>
              </w:rPr>
              <w:t xml:space="preserve">Common </w:t>
            </w:r>
            <w:r w:rsidR="00567026" w:rsidRPr="00C0031B">
              <w:rPr>
                <w:rFonts w:ascii="Times New Roman" w:hAnsi="Times New Roman" w:cs="Times New Roman"/>
                <w:b w:val="0"/>
                <w:bCs w:val="0"/>
                <w:sz w:val="22"/>
                <w:szCs w:val="22"/>
              </w:rPr>
              <w:t>equity</w:t>
            </w:r>
            <w:r w:rsidR="00567026">
              <w:rPr>
                <w:rFonts w:ascii="Times New Roman" w:hAnsi="Times New Roman" w:cs="Times New Roman" w:hint="cs"/>
                <w:b w:val="0"/>
                <w:bCs w:val="0"/>
                <w:sz w:val="22"/>
                <w:szCs w:val="22"/>
                <w:rtl/>
              </w:rPr>
              <w:t xml:space="preserve"> </w:t>
            </w:r>
            <w:r w:rsidR="00567026">
              <w:rPr>
                <w:rFonts w:ascii="Times New Roman" w:hAnsi="Times New Roman" w:cs="Times New Roman"/>
                <w:b w:val="0"/>
                <w:bCs w:val="0"/>
                <w:sz w:val="22"/>
                <w:szCs w:val="22"/>
              </w:rPr>
              <w:t>CET1</w:t>
            </w:r>
            <w:r w:rsidRPr="00C0031B">
              <w:rPr>
                <w:rFonts w:ascii="Times New Roman" w:hAnsi="Times New Roman" w:cs="Times New Roman"/>
                <w:b w:val="0"/>
                <w:bCs w:val="0"/>
                <w:sz w:val="22"/>
                <w:szCs w:val="22"/>
              </w:rPr>
              <w:t xml:space="preserve"> issued by subsidiary to third parties (minority interest)</w:t>
            </w:r>
          </w:p>
          <w:p w:rsidR="00B449BF" w:rsidRPr="00C0031B" w:rsidRDefault="00B449BF" w:rsidP="00940A2A">
            <w:pPr>
              <w:keepNext/>
              <w:bidi w:val="0"/>
              <w:spacing w:after="0"/>
              <w:rPr>
                <w:rFonts w:ascii="Times New Roman" w:hAnsi="Times New Roman" w:cs="Times New Roman"/>
                <w:b w:val="0"/>
                <w:bCs w:val="0"/>
                <w:sz w:val="22"/>
                <w:szCs w:val="22"/>
              </w:rPr>
            </w:pPr>
            <w:r w:rsidRPr="00C0031B">
              <w:rPr>
                <w:rFonts w:ascii="Times New Roman" w:hAnsi="Times New Roman" w:cs="Times New Roman"/>
                <w:b w:val="0"/>
                <w:bCs w:val="0"/>
                <w:sz w:val="22"/>
                <w:szCs w:val="22"/>
              </w:rPr>
              <w:t>Common equity</w:t>
            </w:r>
            <w:r w:rsidR="00567026">
              <w:rPr>
                <w:rFonts w:ascii="Times New Roman" w:hAnsi="Times New Roman" w:cs="Times New Roman"/>
                <w:b w:val="0"/>
                <w:bCs w:val="0"/>
                <w:sz w:val="22"/>
                <w:szCs w:val="22"/>
              </w:rPr>
              <w:t xml:space="preserve"> CET1</w:t>
            </w:r>
            <w:r w:rsidRPr="00C0031B">
              <w:rPr>
                <w:rFonts w:ascii="Times New Roman" w:hAnsi="Times New Roman" w:cs="Times New Roman"/>
                <w:b w:val="0"/>
                <w:bCs w:val="0"/>
                <w:sz w:val="22"/>
                <w:szCs w:val="22"/>
              </w:rPr>
              <w:t xml:space="preserve"> issued by parent</w:t>
            </w:r>
          </w:p>
          <w:p w:rsidR="00B12F61" w:rsidRPr="00C0031B" w:rsidRDefault="00B12F61" w:rsidP="00940A2A">
            <w:pPr>
              <w:keepNext/>
              <w:bidi w:val="0"/>
              <w:spacing w:after="0"/>
              <w:rPr>
                <w:rFonts w:ascii="Times New Roman" w:hAnsi="Times New Roman" w:cs="Times New Roman"/>
                <w:sz w:val="22"/>
                <w:szCs w:val="22"/>
              </w:rPr>
            </w:pPr>
            <w:r w:rsidRPr="00C0031B">
              <w:rPr>
                <w:rFonts w:ascii="Times New Roman" w:hAnsi="Times New Roman" w:cs="Times New Roman"/>
                <w:sz w:val="22"/>
                <w:szCs w:val="22"/>
              </w:rPr>
              <w:t>Total</w:t>
            </w:r>
          </w:p>
        </w:tc>
        <w:tc>
          <w:tcPr>
            <w:tcW w:w="845" w:type="dxa"/>
          </w:tcPr>
          <w:p w:rsidR="00B449BF" w:rsidRPr="00C0031B" w:rsidRDefault="00B449BF" w:rsidP="00940A2A">
            <w:pPr>
              <w:keepNext/>
              <w:bidi w:val="0"/>
              <w:spacing w:after="0"/>
              <w:rPr>
                <w:rFonts w:ascii="Times New Roman" w:hAnsi="Times New Roman" w:cs="Times New Roman"/>
                <w:sz w:val="22"/>
                <w:szCs w:val="22"/>
              </w:rPr>
            </w:pPr>
          </w:p>
          <w:p w:rsidR="00B449BF" w:rsidRPr="00C0031B" w:rsidRDefault="00B449BF" w:rsidP="00940A2A">
            <w:pPr>
              <w:keepNext/>
              <w:bidi w:val="0"/>
              <w:spacing w:after="0"/>
              <w:jc w:val="center"/>
              <w:rPr>
                <w:rFonts w:ascii="Times New Roman" w:hAnsi="Times New Roman" w:cs="Times New Roman"/>
                <w:sz w:val="22"/>
                <w:szCs w:val="22"/>
              </w:rPr>
            </w:pPr>
            <w:r w:rsidRPr="00C0031B">
              <w:rPr>
                <w:rFonts w:ascii="Times New Roman" w:hAnsi="Times New Roman" w:cs="Times New Roman"/>
                <w:sz w:val="22"/>
                <w:szCs w:val="22"/>
              </w:rPr>
              <w:t>197</w:t>
            </w:r>
          </w:p>
          <w:p w:rsidR="00B449BF" w:rsidRPr="00C0031B" w:rsidRDefault="00B449BF" w:rsidP="00940A2A">
            <w:pPr>
              <w:keepNext/>
              <w:bidi w:val="0"/>
              <w:spacing w:after="0"/>
              <w:jc w:val="center"/>
              <w:rPr>
                <w:rFonts w:ascii="Times New Roman" w:hAnsi="Times New Roman" w:cs="Times New Roman"/>
                <w:sz w:val="22"/>
                <w:szCs w:val="22"/>
              </w:rPr>
            </w:pPr>
            <w:r w:rsidRPr="00C0031B">
              <w:rPr>
                <w:rFonts w:ascii="Times New Roman" w:hAnsi="Times New Roman" w:cs="Times New Roman"/>
                <w:sz w:val="22"/>
                <w:szCs w:val="22"/>
              </w:rPr>
              <w:t>6</w:t>
            </w:r>
          </w:p>
          <w:p w:rsidR="00B449BF" w:rsidRPr="00C0031B" w:rsidRDefault="00B449BF" w:rsidP="00940A2A">
            <w:pPr>
              <w:keepNext/>
              <w:bidi w:val="0"/>
              <w:spacing w:after="0"/>
              <w:jc w:val="center"/>
              <w:rPr>
                <w:rFonts w:ascii="Times New Roman" w:hAnsi="Times New Roman" w:cs="Times New Roman"/>
                <w:sz w:val="22"/>
                <w:szCs w:val="22"/>
              </w:rPr>
            </w:pPr>
            <w:r w:rsidRPr="00C0031B">
              <w:rPr>
                <w:rFonts w:ascii="Times New Roman" w:hAnsi="Times New Roman" w:cs="Times New Roman"/>
                <w:sz w:val="22"/>
                <w:szCs w:val="22"/>
              </w:rPr>
              <w:t>10</w:t>
            </w:r>
          </w:p>
          <w:p w:rsidR="00B449BF" w:rsidRPr="00C0031B" w:rsidRDefault="00B449BF" w:rsidP="00940A2A">
            <w:pPr>
              <w:keepNext/>
              <w:bidi w:val="0"/>
              <w:spacing w:after="0"/>
              <w:jc w:val="center"/>
              <w:rPr>
                <w:rFonts w:ascii="Times New Roman" w:hAnsi="Times New Roman" w:cs="Times New Roman"/>
                <w:sz w:val="22"/>
                <w:szCs w:val="22"/>
              </w:rPr>
            </w:pPr>
            <w:r w:rsidRPr="00C0031B">
              <w:rPr>
                <w:rFonts w:ascii="Times New Roman" w:hAnsi="Times New Roman" w:cs="Times New Roman"/>
                <w:sz w:val="22"/>
                <w:szCs w:val="22"/>
              </w:rPr>
              <w:t>1</w:t>
            </w:r>
          </w:p>
          <w:p w:rsidR="00B449BF" w:rsidRPr="00C0031B" w:rsidRDefault="00B449BF" w:rsidP="00940A2A">
            <w:pPr>
              <w:keepNext/>
              <w:bidi w:val="0"/>
              <w:spacing w:after="0"/>
              <w:jc w:val="center"/>
              <w:rPr>
                <w:rFonts w:ascii="Times New Roman" w:hAnsi="Times New Roman" w:cs="Times New Roman"/>
                <w:sz w:val="22"/>
                <w:szCs w:val="22"/>
              </w:rPr>
            </w:pPr>
            <w:r w:rsidRPr="00C0031B">
              <w:rPr>
                <w:rFonts w:ascii="Times New Roman" w:hAnsi="Times New Roman" w:cs="Times New Roman"/>
                <w:sz w:val="22"/>
                <w:szCs w:val="22"/>
              </w:rPr>
              <w:t>7</w:t>
            </w:r>
          </w:p>
          <w:p w:rsidR="00B449BF" w:rsidRPr="00C0031B" w:rsidRDefault="00B449BF" w:rsidP="00940A2A">
            <w:pPr>
              <w:keepNext/>
              <w:bidi w:val="0"/>
              <w:spacing w:after="0"/>
              <w:jc w:val="center"/>
              <w:rPr>
                <w:rFonts w:ascii="Times New Roman" w:hAnsi="Times New Roman" w:cs="Times New Roman"/>
                <w:sz w:val="22"/>
                <w:szCs w:val="22"/>
              </w:rPr>
            </w:pPr>
            <w:r w:rsidRPr="00C0031B">
              <w:rPr>
                <w:rFonts w:ascii="Times New Roman" w:hAnsi="Times New Roman" w:cs="Times New Roman"/>
                <w:sz w:val="22"/>
                <w:szCs w:val="22"/>
              </w:rPr>
              <w:t>3</w:t>
            </w:r>
          </w:p>
          <w:p w:rsidR="00B449BF" w:rsidRPr="00C0031B" w:rsidRDefault="00B449BF" w:rsidP="00940A2A">
            <w:pPr>
              <w:keepNext/>
              <w:bidi w:val="0"/>
              <w:spacing w:after="0"/>
              <w:jc w:val="center"/>
              <w:rPr>
                <w:rFonts w:ascii="Times New Roman" w:hAnsi="Times New Roman" w:cs="Times New Roman"/>
                <w:sz w:val="22"/>
                <w:szCs w:val="22"/>
              </w:rPr>
            </w:pPr>
            <w:r w:rsidRPr="00C0031B">
              <w:rPr>
                <w:rFonts w:ascii="Times New Roman" w:hAnsi="Times New Roman" w:cs="Times New Roman"/>
                <w:sz w:val="22"/>
                <w:szCs w:val="22"/>
              </w:rPr>
              <w:t>26</w:t>
            </w:r>
          </w:p>
          <w:p w:rsidR="00B12F61" w:rsidRPr="00C0031B" w:rsidRDefault="00B12F61" w:rsidP="00940A2A">
            <w:pPr>
              <w:keepNext/>
              <w:bidi w:val="0"/>
              <w:spacing w:after="0"/>
              <w:jc w:val="center"/>
              <w:rPr>
                <w:rFonts w:ascii="Times New Roman" w:hAnsi="Times New Roman" w:cs="Times New Roman"/>
                <w:sz w:val="22"/>
                <w:szCs w:val="22"/>
              </w:rPr>
            </w:pPr>
            <w:r w:rsidRPr="00C0031B">
              <w:rPr>
                <w:rFonts w:ascii="Times New Roman" w:hAnsi="Times New Roman" w:cs="Times New Roman"/>
                <w:sz w:val="22"/>
                <w:szCs w:val="22"/>
              </w:rPr>
              <w:t>250</w:t>
            </w:r>
          </w:p>
        </w:tc>
      </w:tr>
    </w:tbl>
    <w:p w:rsidR="00E579B1" w:rsidRDefault="00E579B1" w:rsidP="000060C4">
      <w:pPr>
        <w:keepNext/>
        <w:bidi w:val="0"/>
        <w:spacing w:after="0" w:line="276" w:lineRule="auto"/>
        <w:rPr>
          <w:rFonts w:ascii="Times New Roman" w:hAnsi="Times New Roman" w:cs="Times New Roman"/>
          <w:b w:val="0"/>
          <w:bCs w:val="0"/>
          <w:sz w:val="24"/>
          <w:szCs w:val="24"/>
        </w:rPr>
      </w:pPr>
    </w:p>
    <w:p w:rsidR="00B449BF" w:rsidRDefault="000060C4" w:rsidP="00E579B1">
      <w:pPr>
        <w:keepNext/>
        <w:bidi w:val="0"/>
        <w:spacing w:after="0" w:line="276" w:lineRule="auto"/>
        <w:rPr>
          <w:rFonts w:ascii="Times New Roman" w:hAnsi="Times New Roman" w:cs="Times New Roman"/>
          <w:b w:val="0"/>
          <w:bCs w:val="0"/>
          <w:sz w:val="24"/>
          <w:szCs w:val="24"/>
        </w:rPr>
      </w:pPr>
      <w:r w:rsidRPr="005B422F">
        <w:rPr>
          <w:rFonts w:ascii="Times New Roman" w:hAnsi="Times New Roman" w:cs="Times New Roman"/>
          <w:b w:val="0"/>
          <w:bCs w:val="0"/>
          <w:sz w:val="24"/>
          <w:szCs w:val="24"/>
        </w:rPr>
        <w:t>For illustrative purposes</w:t>
      </w:r>
      <w:r w:rsidR="00685EFA">
        <w:rPr>
          <w:rFonts w:ascii="Times New Roman" w:hAnsi="Times New Roman" w:cs="Times New Roman"/>
          <w:b w:val="0"/>
          <w:bCs w:val="0"/>
          <w:sz w:val="24"/>
          <w:szCs w:val="24"/>
        </w:rPr>
        <w:t>,</w:t>
      </w:r>
      <w:r w:rsidRPr="005B422F">
        <w:rPr>
          <w:rFonts w:ascii="Times New Roman" w:hAnsi="Times New Roman" w:cs="Times New Roman"/>
          <w:b w:val="0"/>
          <w:bCs w:val="0"/>
          <w:sz w:val="24"/>
          <w:szCs w:val="24"/>
        </w:rPr>
        <w:t xml:space="preserve"> Bank B is assumed to have risk weighted assets of 100. In this example, the minimum capital requirements of Bank B and the subsidiary’s contribution to </w:t>
      </w:r>
      <w:r w:rsidRPr="005B422F">
        <w:rPr>
          <w:rFonts w:ascii="Times New Roman" w:hAnsi="Times New Roman" w:cs="Times New Roman"/>
          <w:b w:val="0"/>
          <w:bCs w:val="0"/>
          <w:sz w:val="24"/>
          <w:szCs w:val="24"/>
        </w:rPr>
        <w:lastRenderedPageBreak/>
        <w:t>the consolidated requirements are the same since Bank B does not have any loans to Bank A. This means that it is subject to the following minimum plus capital conservation buffer requirements and has the following surplus capital:</w:t>
      </w:r>
    </w:p>
    <w:p w:rsidR="005B422F" w:rsidRPr="005B422F" w:rsidRDefault="005B422F" w:rsidP="005B422F">
      <w:pPr>
        <w:keepNext/>
        <w:bidi w:val="0"/>
        <w:spacing w:after="0" w:line="276" w:lineRule="auto"/>
        <w:rPr>
          <w:rFonts w:ascii="Times New Roman" w:hAnsi="Times New Roman" w:cs="Times New Roman"/>
          <w:b w:val="0"/>
          <w:bCs w:val="0"/>
          <w:sz w:val="24"/>
          <w:szCs w:val="24"/>
        </w:rPr>
      </w:pPr>
    </w:p>
    <w:tbl>
      <w:tblPr>
        <w:tblStyle w:val="TableGrid"/>
        <w:tblW w:w="0" w:type="auto"/>
        <w:tblLook w:val="04A0" w:firstRow="1" w:lastRow="0" w:firstColumn="1" w:lastColumn="0" w:noHBand="0" w:noVBand="1"/>
      </w:tblPr>
      <w:tblGrid>
        <w:gridCol w:w="2405"/>
        <w:gridCol w:w="3633"/>
        <w:gridCol w:w="2882"/>
      </w:tblGrid>
      <w:tr w:rsidR="000060C4" w:rsidRPr="00C0031B" w:rsidTr="005B422F">
        <w:tc>
          <w:tcPr>
            <w:tcW w:w="8920" w:type="dxa"/>
            <w:gridSpan w:val="3"/>
            <w:shd w:val="clear" w:color="auto" w:fill="EDEDED" w:themeFill="accent3" w:themeFillTint="33"/>
          </w:tcPr>
          <w:p w:rsidR="000060C4" w:rsidRPr="00C0031B" w:rsidRDefault="000060C4" w:rsidP="000060C4">
            <w:pPr>
              <w:keepNext/>
              <w:bidi w:val="0"/>
              <w:spacing w:after="0" w:line="276" w:lineRule="auto"/>
              <w:jc w:val="center"/>
              <w:rPr>
                <w:rFonts w:ascii="Times New Roman" w:hAnsi="Times New Roman" w:cs="Times New Roman"/>
                <w:b w:val="0"/>
                <w:bCs w:val="0"/>
                <w:sz w:val="22"/>
                <w:szCs w:val="22"/>
              </w:rPr>
            </w:pPr>
            <w:r w:rsidRPr="00C0031B">
              <w:rPr>
                <w:rFonts w:ascii="Times New Roman" w:hAnsi="Times New Roman" w:cs="Times New Roman"/>
                <w:sz w:val="22"/>
                <w:szCs w:val="22"/>
              </w:rPr>
              <w:t>Minimum and surplus capital of Bank B</w:t>
            </w:r>
          </w:p>
        </w:tc>
      </w:tr>
      <w:tr w:rsidR="000060C4" w:rsidRPr="00C0031B" w:rsidTr="00D94A35">
        <w:tc>
          <w:tcPr>
            <w:tcW w:w="2405" w:type="dxa"/>
            <w:shd w:val="clear" w:color="auto" w:fill="EDEDED" w:themeFill="accent3" w:themeFillTint="33"/>
          </w:tcPr>
          <w:p w:rsidR="000060C4" w:rsidRPr="00C0031B" w:rsidRDefault="000060C4" w:rsidP="000060C4">
            <w:pPr>
              <w:keepNext/>
              <w:bidi w:val="0"/>
              <w:spacing w:after="0" w:line="276" w:lineRule="auto"/>
              <w:jc w:val="center"/>
              <w:rPr>
                <w:rFonts w:ascii="Times New Roman" w:hAnsi="Times New Roman" w:cs="Times New Roman"/>
                <w:sz w:val="22"/>
                <w:szCs w:val="22"/>
              </w:rPr>
            </w:pPr>
            <w:r w:rsidRPr="00C0031B">
              <w:rPr>
                <w:rFonts w:ascii="Times New Roman" w:hAnsi="Times New Roman" w:cs="Times New Roman"/>
                <w:sz w:val="22"/>
                <w:szCs w:val="22"/>
              </w:rPr>
              <w:t>item</w:t>
            </w:r>
          </w:p>
        </w:tc>
        <w:tc>
          <w:tcPr>
            <w:tcW w:w="3633" w:type="dxa"/>
            <w:shd w:val="clear" w:color="auto" w:fill="EDEDED" w:themeFill="accent3" w:themeFillTint="33"/>
          </w:tcPr>
          <w:p w:rsidR="000060C4" w:rsidRPr="00C0031B" w:rsidRDefault="000060C4" w:rsidP="000060C4">
            <w:pPr>
              <w:keepNext/>
              <w:bidi w:val="0"/>
              <w:spacing w:after="0" w:line="276" w:lineRule="auto"/>
              <w:jc w:val="center"/>
              <w:rPr>
                <w:rFonts w:ascii="Times New Roman" w:hAnsi="Times New Roman" w:cs="Times New Roman"/>
                <w:sz w:val="22"/>
                <w:szCs w:val="22"/>
              </w:rPr>
            </w:pPr>
            <w:r w:rsidRPr="00C0031B">
              <w:rPr>
                <w:rFonts w:ascii="Times New Roman" w:hAnsi="Times New Roman" w:cs="Times New Roman"/>
                <w:sz w:val="22"/>
                <w:szCs w:val="22"/>
              </w:rPr>
              <w:t>Minimum plus capital conservation buffer (2.5%)</w:t>
            </w:r>
          </w:p>
        </w:tc>
        <w:tc>
          <w:tcPr>
            <w:tcW w:w="2882" w:type="dxa"/>
            <w:shd w:val="clear" w:color="auto" w:fill="EDEDED" w:themeFill="accent3" w:themeFillTint="33"/>
          </w:tcPr>
          <w:p w:rsidR="000060C4" w:rsidRPr="00C0031B" w:rsidRDefault="000060C4" w:rsidP="000060C4">
            <w:pPr>
              <w:keepNext/>
              <w:bidi w:val="0"/>
              <w:spacing w:after="0" w:line="276" w:lineRule="auto"/>
              <w:jc w:val="center"/>
              <w:rPr>
                <w:rFonts w:ascii="Times New Roman" w:hAnsi="Times New Roman" w:cs="Times New Roman"/>
                <w:sz w:val="22"/>
                <w:szCs w:val="22"/>
              </w:rPr>
            </w:pPr>
            <w:r w:rsidRPr="00C0031B">
              <w:rPr>
                <w:rFonts w:ascii="Times New Roman" w:hAnsi="Times New Roman" w:cs="Times New Roman"/>
                <w:sz w:val="22"/>
                <w:szCs w:val="22"/>
              </w:rPr>
              <w:t>Surplus</w:t>
            </w:r>
          </w:p>
        </w:tc>
      </w:tr>
      <w:tr w:rsidR="000060C4" w:rsidRPr="00C0031B" w:rsidTr="00567026">
        <w:tc>
          <w:tcPr>
            <w:tcW w:w="2405" w:type="dxa"/>
            <w:vAlign w:val="center"/>
          </w:tcPr>
          <w:p w:rsidR="000060C4" w:rsidRPr="00C0031B" w:rsidRDefault="000060C4" w:rsidP="000060C4">
            <w:pPr>
              <w:keepNext/>
              <w:bidi w:val="0"/>
              <w:spacing w:after="0" w:line="276" w:lineRule="auto"/>
              <w:jc w:val="center"/>
              <w:rPr>
                <w:rFonts w:ascii="Times New Roman" w:hAnsi="Times New Roman" w:cs="Times New Roman"/>
                <w:b w:val="0"/>
                <w:bCs w:val="0"/>
                <w:sz w:val="22"/>
                <w:szCs w:val="22"/>
              </w:rPr>
            </w:pPr>
            <w:r w:rsidRPr="00C0031B">
              <w:rPr>
                <w:rFonts w:ascii="Times New Roman" w:hAnsi="Times New Roman" w:cs="Times New Roman"/>
                <w:b w:val="0"/>
                <w:bCs w:val="0"/>
                <w:sz w:val="22"/>
                <w:szCs w:val="22"/>
              </w:rPr>
              <w:t>CET1</w:t>
            </w:r>
          </w:p>
        </w:tc>
        <w:tc>
          <w:tcPr>
            <w:tcW w:w="3633" w:type="dxa"/>
          </w:tcPr>
          <w:p w:rsidR="000060C4" w:rsidRPr="00C0031B" w:rsidRDefault="000060C4" w:rsidP="000060C4">
            <w:pPr>
              <w:keepNext/>
              <w:bidi w:val="0"/>
              <w:spacing w:after="0" w:line="276" w:lineRule="auto"/>
              <w:jc w:val="center"/>
              <w:rPr>
                <w:rFonts w:ascii="Times New Roman" w:hAnsi="Times New Roman" w:cs="Times New Roman"/>
                <w:b w:val="0"/>
                <w:bCs w:val="0"/>
                <w:sz w:val="22"/>
                <w:szCs w:val="22"/>
              </w:rPr>
            </w:pPr>
            <w:r w:rsidRPr="00C0031B">
              <w:rPr>
                <w:rFonts w:ascii="Times New Roman" w:hAnsi="Times New Roman" w:cs="Times New Roman"/>
                <w:b w:val="0"/>
                <w:bCs w:val="0"/>
                <w:sz w:val="22"/>
                <w:szCs w:val="22"/>
              </w:rPr>
              <w:t>8.5</w:t>
            </w:r>
            <w:r w:rsidRPr="00C0031B">
              <w:rPr>
                <w:rFonts w:ascii="Times New Roman" w:hAnsi="Times New Roman" w:cs="Times New Roman"/>
                <w:b w:val="0"/>
                <w:bCs w:val="0"/>
                <w:sz w:val="22"/>
                <w:szCs w:val="22"/>
              </w:rPr>
              <w:br/>
              <w:t>(=8.5%*100)</w:t>
            </w:r>
          </w:p>
        </w:tc>
        <w:tc>
          <w:tcPr>
            <w:tcW w:w="2882" w:type="dxa"/>
          </w:tcPr>
          <w:p w:rsidR="000060C4" w:rsidRPr="00C0031B" w:rsidRDefault="000060C4" w:rsidP="000060C4">
            <w:pPr>
              <w:keepNext/>
              <w:bidi w:val="0"/>
              <w:spacing w:after="0" w:line="276" w:lineRule="auto"/>
              <w:jc w:val="center"/>
              <w:rPr>
                <w:rFonts w:ascii="Times New Roman" w:hAnsi="Times New Roman" w:cs="Times New Roman"/>
                <w:b w:val="0"/>
                <w:bCs w:val="0"/>
                <w:sz w:val="22"/>
                <w:szCs w:val="22"/>
              </w:rPr>
            </w:pPr>
            <w:r w:rsidRPr="00C0031B">
              <w:rPr>
                <w:rFonts w:ascii="Times New Roman" w:hAnsi="Times New Roman" w:cs="Times New Roman"/>
                <w:b w:val="0"/>
                <w:bCs w:val="0"/>
                <w:sz w:val="22"/>
                <w:szCs w:val="22"/>
              </w:rPr>
              <w:t>1.5</w:t>
            </w:r>
            <w:r w:rsidRPr="00C0031B">
              <w:rPr>
                <w:rFonts w:ascii="Times New Roman" w:hAnsi="Times New Roman" w:cs="Times New Roman"/>
                <w:b w:val="0"/>
                <w:bCs w:val="0"/>
                <w:sz w:val="22"/>
                <w:szCs w:val="22"/>
              </w:rPr>
              <w:br/>
              <w:t>(=10-8.5)</w:t>
            </w:r>
          </w:p>
        </w:tc>
      </w:tr>
      <w:tr w:rsidR="000060C4" w:rsidRPr="00C0031B" w:rsidTr="00567026">
        <w:tc>
          <w:tcPr>
            <w:tcW w:w="2405" w:type="dxa"/>
            <w:vAlign w:val="center"/>
          </w:tcPr>
          <w:p w:rsidR="000060C4" w:rsidRPr="00C0031B" w:rsidRDefault="000060C4" w:rsidP="000060C4">
            <w:pPr>
              <w:keepNext/>
              <w:bidi w:val="0"/>
              <w:spacing w:after="0" w:line="276" w:lineRule="auto"/>
              <w:jc w:val="center"/>
              <w:rPr>
                <w:rFonts w:ascii="Times New Roman" w:hAnsi="Times New Roman" w:cs="Times New Roman"/>
                <w:b w:val="0"/>
                <w:bCs w:val="0"/>
                <w:sz w:val="22"/>
                <w:szCs w:val="22"/>
              </w:rPr>
            </w:pPr>
            <w:r w:rsidRPr="00C0031B">
              <w:rPr>
                <w:rFonts w:ascii="Times New Roman" w:hAnsi="Times New Roman" w:cs="Times New Roman"/>
                <w:b w:val="0"/>
                <w:bCs w:val="0"/>
                <w:sz w:val="22"/>
                <w:szCs w:val="22"/>
              </w:rPr>
              <w:t>T1</w:t>
            </w:r>
            <w:r w:rsidRPr="00C0031B">
              <w:rPr>
                <w:rFonts w:ascii="Times New Roman" w:hAnsi="Times New Roman" w:cs="Times New Roman"/>
                <w:b w:val="0"/>
                <w:bCs w:val="0"/>
                <w:sz w:val="22"/>
                <w:szCs w:val="22"/>
              </w:rPr>
              <w:br/>
              <w:t xml:space="preserve"> (CET1+AT1)</w:t>
            </w:r>
          </w:p>
        </w:tc>
        <w:tc>
          <w:tcPr>
            <w:tcW w:w="3633" w:type="dxa"/>
          </w:tcPr>
          <w:p w:rsidR="000060C4" w:rsidRPr="00C0031B" w:rsidRDefault="000060C4" w:rsidP="000060C4">
            <w:pPr>
              <w:keepNext/>
              <w:bidi w:val="0"/>
              <w:spacing w:after="0" w:line="276" w:lineRule="auto"/>
              <w:jc w:val="center"/>
              <w:rPr>
                <w:rFonts w:ascii="Times New Roman" w:hAnsi="Times New Roman" w:cs="Times New Roman"/>
                <w:b w:val="0"/>
                <w:bCs w:val="0"/>
                <w:sz w:val="22"/>
                <w:szCs w:val="22"/>
              </w:rPr>
            </w:pPr>
            <w:r w:rsidRPr="00C0031B">
              <w:rPr>
                <w:rFonts w:ascii="Times New Roman" w:hAnsi="Times New Roman" w:cs="Times New Roman"/>
                <w:b w:val="0"/>
                <w:bCs w:val="0"/>
                <w:sz w:val="22"/>
                <w:szCs w:val="22"/>
              </w:rPr>
              <w:t>10</w:t>
            </w:r>
            <w:r w:rsidRPr="00C0031B">
              <w:rPr>
                <w:rFonts w:ascii="Times New Roman" w:hAnsi="Times New Roman" w:cs="Times New Roman"/>
                <w:b w:val="0"/>
                <w:bCs w:val="0"/>
                <w:sz w:val="22"/>
                <w:szCs w:val="22"/>
              </w:rPr>
              <w:br/>
              <w:t>(=10%*100)</w:t>
            </w:r>
          </w:p>
        </w:tc>
        <w:tc>
          <w:tcPr>
            <w:tcW w:w="2882" w:type="dxa"/>
          </w:tcPr>
          <w:p w:rsidR="000060C4" w:rsidRPr="00C0031B" w:rsidRDefault="000060C4" w:rsidP="000060C4">
            <w:pPr>
              <w:keepNext/>
              <w:bidi w:val="0"/>
              <w:spacing w:after="0" w:line="276" w:lineRule="auto"/>
              <w:jc w:val="center"/>
              <w:rPr>
                <w:rFonts w:ascii="Times New Roman" w:hAnsi="Times New Roman" w:cs="Times New Roman"/>
                <w:b w:val="0"/>
                <w:bCs w:val="0"/>
                <w:sz w:val="22"/>
                <w:szCs w:val="22"/>
              </w:rPr>
            </w:pPr>
            <w:r w:rsidRPr="00C0031B">
              <w:rPr>
                <w:rFonts w:ascii="Times New Roman" w:hAnsi="Times New Roman" w:cs="Times New Roman"/>
                <w:b w:val="0"/>
                <w:bCs w:val="0"/>
                <w:sz w:val="22"/>
                <w:szCs w:val="22"/>
              </w:rPr>
              <w:t>5</w:t>
            </w:r>
            <w:r w:rsidRPr="00C0031B">
              <w:rPr>
                <w:rFonts w:ascii="Times New Roman" w:hAnsi="Times New Roman" w:cs="Times New Roman"/>
                <w:b w:val="0"/>
                <w:bCs w:val="0"/>
                <w:sz w:val="22"/>
                <w:szCs w:val="22"/>
              </w:rPr>
              <w:br/>
              <w:t>(=10+5-10)</w:t>
            </w:r>
          </w:p>
        </w:tc>
      </w:tr>
      <w:tr w:rsidR="000060C4" w:rsidRPr="00C0031B" w:rsidTr="00567026">
        <w:tc>
          <w:tcPr>
            <w:tcW w:w="2405" w:type="dxa"/>
            <w:vAlign w:val="center"/>
          </w:tcPr>
          <w:p w:rsidR="000060C4" w:rsidRPr="00C0031B" w:rsidRDefault="000060C4" w:rsidP="000060C4">
            <w:pPr>
              <w:keepNext/>
              <w:bidi w:val="0"/>
              <w:spacing w:after="0" w:line="276" w:lineRule="auto"/>
              <w:jc w:val="center"/>
              <w:rPr>
                <w:rFonts w:ascii="Times New Roman" w:hAnsi="Times New Roman" w:cs="Times New Roman"/>
                <w:b w:val="0"/>
                <w:bCs w:val="0"/>
                <w:sz w:val="22"/>
                <w:szCs w:val="22"/>
              </w:rPr>
            </w:pPr>
            <w:r w:rsidRPr="00C0031B">
              <w:rPr>
                <w:rFonts w:ascii="Times New Roman" w:hAnsi="Times New Roman" w:cs="Times New Roman"/>
                <w:b w:val="0"/>
                <w:bCs w:val="0"/>
                <w:sz w:val="22"/>
                <w:szCs w:val="22"/>
              </w:rPr>
              <w:t>TC (CET1+AT1+T2)</w:t>
            </w:r>
          </w:p>
        </w:tc>
        <w:tc>
          <w:tcPr>
            <w:tcW w:w="3633" w:type="dxa"/>
          </w:tcPr>
          <w:p w:rsidR="000060C4" w:rsidRPr="00C0031B" w:rsidRDefault="000060C4" w:rsidP="000060C4">
            <w:pPr>
              <w:keepNext/>
              <w:bidi w:val="0"/>
              <w:spacing w:after="0" w:line="276" w:lineRule="auto"/>
              <w:jc w:val="center"/>
              <w:rPr>
                <w:rFonts w:ascii="Times New Roman" w:hAnsi="Times New Roman" w:cs="Times New Roman"/>
                <w:b w:val="0"/>
                <w:bCs w:val="0"/>
                <w:sz w:val="22"/>
                <w:szCs w:val="22"/>
              </w:rPr>
            </w:pPr>
            <w:r w:rsidRPr="00C0031B">
              <w:rPr>
                <w:rFonts w:ascii="Times New Roman" w:hAnsi="Times New Roman" w:cs="Times New Roman"/>
                <w:b w:val="0"/>
                <w:bCs w:val="0"/>
                <w:sz w:val="22"/>
                <w:szCs w:val="22"/>
              </w:rPr>
              <w:t>12</w:t>
            </w:r>
            <w:r w:rsidRPr="00C0031B">
              <w:rPr>
                <w:rFonts w:ascii="Times New Roman" w:hAnsi="Times New Roman" w:cs="Times New Roman"/>
                <w:b w:val="0"/>
                <w:bCs w:val="0"/>
                <w:sz w:val="22"/>
                <w:szCs w:val="22"/>
              </w:rPr>
              <w:br/>
              <w:t>(=12%*100)</w:t>
            </w:r>
          </w:p>
        </w:tc>
        <w:tc>
          <w:tcPr>
            <w:tcW w:w="2882" w:type="dxa"/>
          </w:tcPr>
          <w:p w:rsidR="000060C4" w:rsidRPr="00C0031B" w:rsidRDefault="000060C4" w:rsidP="000060C4">
            <w:pPr>
              <w:keepNext/>
              <w:bidi w:val="0"/>
              <w:spacing w:after="0" w:line="276" w:lineRule="auto"/>
              <w:jc w:val="center"/>
              <w:rPr>
                <w:rFonts w:ascii="Times New Roman" w:hAnsi="Times New Roman" w:cs="Times New Roman"/>
                <w:b w:val="0"/>
                <w:bCs w:val="0"/>
                <w:sz w:val="22"/>
                <w:szCs w:val="22"/>
              </w:rPr>
            </w:pPr>
            <w:r w:rsidRPr="00C0031B">
              <w:rPr>
                <w:rFonts w:ascii="Times New Roman" w:hAnsi="Times New Roman" w:cs="Times New Roman"/>
                <w:b w:val="0"/>
                <w:bCs w:val="0"/>
                <w:sz w:val="22"/>
                <w:szCs w:val="22"/>
              </w:rPr>
              <w:t>11</w:t>
            </w:r>
            <w:r w:rsidRPr="00C0031B">
              <w:rPr>
                <w:rFonts w:ascii="Times New Roman" w:hAnsi="Times New Roman" w:cs="Times New Roman"/>
                <w:b w:val="0"/>
                <w:bCs w:val="0"/>
                <w:sz w:val="22"/>
                <w:szCs w:val="22"/>
              </w:rPr>
              <w:br/>
              <w:t>(=10+5+8-12)</w:t>
            </w:r>
          </w:p>
        </w:tc>
      </w:tr>
    </w:tbl>
    <w:p w:rsidR="000060C4" w:rsidRPr="00567026" w:rsidRDefault="000060C4" w:rsidP="000060C4">
      <w:pPr>
        <w:keepNext/>
        <w:bidi w:val="0"/>
        <w:spacing w:after="0" w:line="276" w:lineRule="auto"/>
        <w:rPr>
          <w:rFonts w:ascii="Times New Roman" w:hAnsi="Times New Roman" w:cs="Times New Roman"/>
          <w:b w:val="0"/>
          <w:bCs w:val="0"/>
          <w:sz w:val="24"/>
          <w:szCs w:val="24"/>
        </w:rPr>
      </w:pPr>
      <w:r w:rsidRPr="00567026">
        <w:rPr>
          <w:rFonts w:ascii="Times New Roman" w:hAnsi="Times New Roman" w:cs="Times New Roman"/>
          <w:b w:val="0"/>
          <w:bCs w:val="0"/>
          <w:sz w:val="24"/>
          <w:szCs w:val="24"/>
        </w:rPr>
        <w:t>The following table illustrates how to calculate the amount of capital issued by Bank B to include in consolidated capital:</w:t>
      </w:r>
    </w:p>
    <w:tbl>
      <w:tblPr>
        <w:tblStyle w:val="TableGrid"/>
        <w:tblW w:w="9640" w:type="dxa"/>
        <w:tblInd w:w="-431" w:type="dxa"/>
        <w:tblLook w:val="04A0" w:firstRow="1" w:lastRow="0" w:firstColumn="1" w:lastColumn="0" w:noHBand="0" w:noVBand="1"/>
      </w:tblPr>
      <w:tblGrid>
        <w:gridCol w:w="993"/>
        <w:gridCol w:w="1276"/>
        <w:gridCol w:w="1843"/>
        <w:gridCol w:w="992"/>
        <w:gridCol w:w="2977"/>
        <w:gridCol w:w="1559"/>
      </w:tblGrid>
      <w:tr w:rsidR="000060C4" w:rsidRPr="00C0031B" w:rsidTr="005B422F">
        <w:tc>
          <w:tcPr>
            <w:tcW w:w="9640" w:type="dxa"/>
            <w:gridSpan w:val="6"/>
            <w:shd w:val="clear" w:color="auto" w:fill="EDEDED" w:themeFill="accent3" w:themeFillTint="33"/>
          </w:tcPr>
          <w:p w:rsidR="000060C4" w:rsidRPr="00C0031B" w:rsidRDefault="005B422F" w:rsidP="005B422F">
            <w:pPr>
              <w:keepNext/>
              <w:bidi w:val="0"/>
              <w:spacing w:after="0" w:line="276" w:lineRule="auto"/>
              <w:jc w:val="center"/>
              <w:rPr>
                <w:rFonts w:ascii="Times New Roman" w:hAnsi="Times New Roman" w:cs="Times New Roman"/>
                <w:b w:val="0"/>
                <w:bCs w:val="0"/>
                <w:sz w:val="22"/>
                <w:szCs w:val="22"/>
              </w:rPr>
            </w:pPr>
            <w:r w:rsidRPr="00C0031B">
              <w:rPr>
                <w:rFonts w:ascii="Times New Roman" w:hAnsi="Times New Roman" w:cs="Times New Roman"/>
                <w:sz w:val="22"/>
                <w:szCs w:val="22"/>
              </w:rPr>
              <w:t>Bank B: amount of capital issued to third parties included in consolidated capital</w:t>
            </w:r>
          </w:p>
        </w:tc>
      </w:tr>
      <w:tr w:rsidR="005B422F" w:rsidRPr="00C0031B" w:rsidTr="00567026">
        <w:tc>
          <w:tcPr>
            <w:tcW w:w="993" w:type="dxa"/>
            <w:shd w:val="clear" w:color="auto" w:fill="EDEDED" w:themeFill="accent3" w:themeFillTint="33"/>
            <w:vAlign w:val="center"/>
          </w:tcPr>
          <w:p w:rsidR="005B422F" w:rsidRPr="00C0031B" w:rsidRDefault="005B422F" w:rsidP="005B422F">
            <w:pPr>
              <w:keepNext/>
              <w:bidi w:val="0"/>
              <w:spacing w:after="0" w:line="276" w:lineRule="auto"/>
              <w:jc w:val="center"/>
              <w:rPr>
                <w:rFonts w:ascii="Times New Roman" w:hAnsi="Times New Roman" w:cs="Times New Roman"/>
                <w:sz w:val="22"/>
                <w:szCs w:val="22"/>
              </w:rPr>
            </w:pPr>
            <w:r w:rsidRPr="00C0031B">
              <w:rPr>
                <w:rFonts w:ascii="Times New Roman" w:hAnsi="Times New Roman" w:cs="Times New Roman"/>
                <w:sz w:val="22"/>
                <w:szCs w:val="22"/>
              </w:rPr>
              <w:t>Item</w:t>
            </w:r>
          </w:p>
        </w:tc>
        <w:tc>
          <w:tcPr>
            <w:tcW w:w="1276" w:type="dxa"/>
            <w:shd w:val="clear" w:color="auto" w:fill="EDEDED" w:themeFill="accent3" w:themeFillTint="33"/>
          </w:tcPr>
          <w:p w:rsidR="005B422F" w:rsidRPr="00C0031B" w:rsidRDefault="005B422F" w:rsidP="005B422F">
            <w:pPr>
              <w:keepNext/>
              <w:bidi w:val="0"/>
              <w:spacing w:after="0" w:line="276" w:lineRule="auto"/>
              <w:jc w:val="center"/>
              <w:rPr>
                <w:rFonts w:ascii="Times New Roman" w:hAnsi="Times New Roman" w:cs="Times New Roman"/>
                <w:sz w:val="22"/>
                <w:szCs w:val="22"/>
              </w:rPr>
            </w:pPr>
            <w:r w:rsidRPr="00C0031B">
              <w:rPr>
                <w:rFonts w:ascii="Times New Roman" w:hAnsi="Times New Roman" w:cs="Times New Roman"/>
                <w:sz w:val="22"/>
                <w:szCs w:val="22"/>
              </w:rPr>
              <w:t>Total amount issued by Bank B</w:t>
            </w:r>
          </w:p>
          <w:p w:rsidR="005B422F" w:rsidRPr="00C0031B" w:rsidRDefault="005B422F" w:rsidP="005B422F">
            <w:pPr>
              <w:keepNext/>
              <w:bidi w:val="0"/>
              <w:spacing w:after="0" w:line="276" w:lineRule="auto"/>
              <w:jc w:val="center"/>
              <w:rPr>
                <w:rFonts w:ascii="Times New Roman" w:hAnsi="Times New Roman" w:cs="Times New Roman"/>
                <w:sz w:val="22"/>
                <w:szCs w:val="22"/>
              </w:rPr>
            </w:pPr>
            <w:r w:rsidRPr="00C0031B">
              <w:rPr>
                <w:rFonts w:ascii="Times New Roman" w:hAnsi="Times New Roman" w:cs="Times New Roman"/>
                <w:sz w:val="22"/>
                <w:szCs w:val="22"/>
              </w:rPr>
              <w:t>(1)</w:t>
            </w:r>
          </w:p>
        </w:tc>
        <w:tc>
          <w:tcPr>
            <w:tcW w:w="1843" w:type="dxa"/>
            <w:shd w:val="clear" w:color="auto" w:fill="EDEDED" w:themeFill="accent3" w:themeFillTint="33"/>
          </w:tcPr>
          <w:p w:rsidR="005B422F" w:rsidRPr="00C0031B" w:rsidRDefault="005B422F" w:rsidP="005B422F">
            <w:pPr>
              <w:keepNext/>
              <w:bidi w:val="0"/>
              <w:spacing w:after="0" w:line="276" w:lineRule="auto"/>
              <w:jc w:val="center"/>
              <w:rPr>
                <w:rFonts w:ascii="Times New Roman" w:hAnsi="Times New Roman" w:cs="Times New Roman"/>
                <w:sz w:val="22"/>
                <w:szCs w:val="22"/>
              </w:rPr>
            </w:pPr>
            <w:r w:rsidRPr="00C0031B">
              <w:rPr>
                <w:rFonts w:ascii="Times New Roman" w:hAnsi="Times New Roman" w:cs="Times New Roman"/>
                <w:sz w:val="22"/>
                <w:szCs w:val="22"/>
              </w:rPr>
              <w:t>Amount issued to third parties (minority interest)</w:t>
            </w:r>
          </w:p>
          <w:p w:rsidR="005B422F" w:rsidRPr="00C0031B" w:rsidRDefault="005B422F" w:rsidP="005B422F">
            <w:pPr>
              <w:keepNext/>
              <w:bidi w:val="0"/>
              <w:spacing w:after="0" w:line="276" w:lineRule="auto"/>
              <w:jc w:val="center"/>
              <w:rPr>
                <w:rFonts w:ascii="Times New Roman" w:hAnsi="Times New Roman" w:cs="Times New Roman"/>
                <w:sz w:val="22"/>
                <w:szCs w:val="22"/>
              </w:rPr>
            </w:pPr>
            <w:r w:rsidRPr="00C0031B">
              <w:rPr>
                <w:rFonts w:ascii="Times New Roman" w:hAnsi="Times New Roman" w:cs="Times New Roman"/>
                <w:sz w:val="22"/>
                <w:szCs w:val="22"/>
              </w:rPr>
              <w:t>(2)</w:t>
            </w:r>
          </w:p>
        </w:tc>
        <w:tc>
          <w:tcPr>
            <w:tcW w:w="992" w:type="dxa"/>
            <w:shd w:val="clear" w:color="auto" w:fill="EDEDED" w:themeFill="accent3" w:themeFillTint="33"/>
            <w:vAlign w:val="center"/>
          </w:tcPr>
          <w:p w:rsidR="005B422F" w:rsidRPr="00C0031B" w:rsidRDefault="005B422F" w:rsidP="005B422F">
            <w:pPr>
              <w:keepNext/>
              <w:bidi w:val="0"/>
              <w:spacing w:after="0" w:line="276" w:lineRule="auto"/>
              <w:jc w:val="center"/>
              <w:rPr>
                <w:rFonts w:ascii="Times New Roman" w:hAnsi="Times New Roman" w:cs="Times New Roman"/>
                <w:sz w:val="22"/>
                <w:szCs w:val="22"/>
              </w:rPr>
            </w:pPr>
            <w:r w:rsidRPr="00C0031B">
              <w:rPr>
                <w:rFonts w:ascii="Times New Roman" w:hAnsi="Times New Roman" w:cs="Times New Roman"/>
                <w:sz w:val="22"/>
                <w:szCs w:val="22"/>
              </w:rPr>
              <w:t>Surplus</w:t>
            </w:r>
          </w:p>
          <w:p w:rsidR="005B422F" w:rsidRPr="00C0031B" w:rsidRDefault="005B422F" w:rsidP="005B422F">
            <w:pPr>
              <w:keepNext/>
              <w:bidi w:val="0"/>
              <w:spacing w:after="0" w:line="276" w:lineRule="auto"/>
              <w:jc w:val="center"/>
              <w:rPr>
                <w:rFonts w:ascii="Times New Roman" w:hAnsi="Times New Roman" w:cs="Times New Roman"/>
                <w:sz w:val="22"/>
                <w:szCs w:val="22"/>
              </w:rPr>
            </w:pPr>
            <w:r w:rsidRPr="00C0031B">
              <w:rPr>
                <w:rFonts w:ascii="Times New Roman" w:hAnsi="Times New Roman" w:cs="Times New Roman"/>
                <w:sz w:val="22"/>
                <w:szCs w:val="22"/>
              </w:rPr>
              <w:t>(3)</w:t>
            </w:r>
          </w:p>
        </w:tc>
        <w:tc>
          <w:tcPr>
            <w:tcW w:w="2977" w:type="dxa"/>
            <w:shd w:val="clear" w:color="auto" w:fill="EDEDED" w:themeFill="accent3" w:themeFillTint="33"/>
          </w:tcPr>
          <w:p w:rsidR="005B422F" w:rsidRPr="00C0031B" w:rsidRDefault="005B422F" w:rsidP="005B422F">
            <w:pPr>
              <w:keepNext/>
              <w:bidi w:val="0"/>
              <w:spacing w:after="0" w:line="276" w:lineRule="auto"/>
              <w:jc w:val="center"/>
              <w:rPr>
                <w:rFonts w:ascii="Times New Roman" w:hAnsi="Times New Roman" w:cs="Times New Roman"/>
                <w:sz w:val="22"/>
                <w:szCs w:val="22"/>
              </w:rPr>
            </w:pPr>
            <w:r w:rsidRPr="00C0031B">
              <w:rPr>
                <w:rFonts w:ascii="Times New Roman" w:hAnsi="Times New Roman" w:cs="Times New Roman"/>
                <w:sz w:val="22"/>
                <w:szCs w:val="22"/>
              </w:rPr>
              <w:t>Surplus attributable to third parties (amount excluded from consolidated capital)</w:t>
            </w:r>
          </w:p>
          <w:p w:rsidR="005B422F" w:rsidRPr="00C0031B" w:rsidRDefault="005B422F" w:rsidP="005B422F">
            <w:pPr>
              <w:keepNext/>
              <w:bidi w:val="0"/>
              <w:spacing w:after="0" w:line="276" w:lineRule="auto"/>
              <w:jc w:val="center"/>
              <w:rPr>
                <w:rFonts w:ascii="Times New Roman" w:hAnsi="Times New Roman" w:cs="Times New Roman"/>
                <w:sz w:val="22"/>
                <w:szCs w:val="22"/>
              </w:rPr>
            </w:pPr>
            <w:r w:rsidRPr="00C0031B">
              <w:rPr>
                <w:rFonts w:ascii="Times New Roman" w:hAnsi="Times New Roman" w:cs="Times New Roman"/>
                <w:sz w:val="22"/>
                <w:szCs w:val="22"/>
              </w:rPr>
              <w:t>(4)</w:t>
            </w:r>
          </w:p>
          <w:p w:rsidR="005B422F" w:rsidRPr="00C0031B" w:rsidRDefault="005B422F" w:rsidP="005B422F">
            <w:pPr>
              <w:keepNext/>
              <w:bidi w:val="0"/>
              <w:spacing w:after="0" w:line="276" w:lineRule="auto"/>
              <w:jc w:val="center"/>
              <w:rPr>
                <w:rFonts w:ascii="Times New Roman" w:hAnsi="Times New Roman" w:cs="Times New Roman"/>
                <w:sz w:val="22"/>
                <w:szCs w:val="22"/>
              </w:rPr>
            </w:pPr>
            <w:r w:rsidRPr="00C0031B">
              <w:rPr>
                <w:rFonts w:ascii="Times New Roman" w:hAnsi="Times New Roman" w:cs="Times New Roman"/>
                <w:sz w:val="22"/>
                <w:szCs w:val="22"/>
              </w:rPr>
              <w:t>=(3)*(2)/(1)</w:t>
            </w:r>
          </w:p>
        </w:tc>
        <w:tc>
          <w:tcPr>
            <w:tcW w:w="1559" w:type="dxa"/>
            <w:shd w:val="clear" w:color="auto" w:fill="EDEDED" w:themeFill="accent3" w:themeFillTint="33"/>
          </w:tcPr>
          <w:p w:rsidR="005B422F" w:rsidRPr="00C0031B" w:rsidRDefault="005B422F" w:rsidP="005B422F">
            <w:pPr>
              <w:keepNext/>
              <w:bidi w:val="0"/>
              <w:spacing w:after="0" w:line="276" w:lineRule="auto"/>
              <w:jc w:val="center"/>
              <w:rPr>
                <w:rFonts w:ascii="Times New Roman" w:hAnsi="Times New Roman" w:cs="Times New Roman"/>
                <w:sz w:val="22"/>
                <w:szCs w:val="22"/>
              </w:rPr>
            </w:pPr>
            <w:r w:rsidRPr="00C0031B">
              <w:rPr>
                <w:rFonts w:ascii="Times New Roman" w:hAnsi="Times New Roman" w:cs="Times New Roman"/>
                <w:sz w:val="22"/>
                <w:szCs w:val="22"/>
              </w:rPr>
              <w:t>Amount included in consolidated capital</w:t>
            </w:r>
          </w:p>
          <w:p w:rsidR="005B422F" w:rsidRPr="00C0031B" w:rsidRDefault="005B422F" w:rsidP="005B422F">
            <w:pPr>
              <w:keepNext/>
              <w:bidi w:val="0"/>
              <w:spacing w:after="0" w:line="276" w:lineRule="auto"/>
              <w:jc w:val="center"/>
              <w:rPr>
                <w:rFonts w:ascii="Times New Roman" w:hAnsi="Times New Roman" w:cs="Times New Roman"/>
                <w:sz w:val="22"/>
                <w:szCs w:val="22"/>
              </w:rPr>
            </w:pPr>
            <w:r w:rsidRPr="00C0031B">
              <w:rPr>
                <w:rFonts w:ascii="Times New Roman" w:hAnsi="Times New Roman" w:cs="Times New Roman"/>
                <w:sz w:val="22"/>
                <w:szCs w:val="22"/>
              </w:rPr>
              <w:t>=(2)-(4)</w:t>
            </w:r>
          </w:p>
        </w:tc>
      </w:tr>
      <w:tr w:rsidR="005B422F" w:rsidRPr="00C0031B" w:rsidTr="00685EFA">
        <w:tc>
          <w:tcPr>
            <w:tcW w:w="993" w:type="dxa"/>
            <w:shd w:val="clear" w:color="auto" w:fill="E7E6E6" w:themeFill="background2"/>
            <w:vAlign w:val="center"/>
          </w:tcPr>
          <w:p w:rsidR="005B422F" w:rsidRPr="00C0031B" w:rsidRDefault="005B422F" w:rsidP="00D94A35">
            <w:pPr>
              <w:jc w:val="center"/>
              <w:rPr>
                <w:rFonts w:ascii="Times New Roman" w:hAnsi="Times New Roman" w:cs="Times New Roman"/>
                <w:sz w:val="22"/>
                <w:szCs w:val="22"/>
                <w:lang w:bidi="ar-JO"/>
              </w:rPr>
            </w:pPr>
            <w:r w:rsidRPr="00C0031B">
              <w:rPr>
                <w:rFonts w:ascii="Times New Roman" w:hAnsi="Times New Roman" w:cs="Times New Roman"/>
                <w:sz w:val="22"/>
                <w:szCs w:val="22"/>
                <w:lang w:bidi="ar-JO"/>
              </w:rPr>
              <w:t>CET1</w:t>
            </w:r>
          </w:p>
        </w:tc>
        <w:tc>
          <w:tcPr>
            <w:tcW w:w="1276" w:type="dxa"/>
            <w:vAlign w:val="center"/>
          </w:tcPr>
          <w:p w:rsidR="005B422F" w:rsidRPr="00C0031B" w:rsidRDefault="005B422F" w:rsidP="005B422F">
            <w:pPr>
              <w:keepNext/>
              <w:bidi w:val="0"/>
              <w:spacing w:after="0" w:line="276" w:lineRule="auto"/>
              <w:jc w:val="center"/>
              <w:rPr>
                <w:rFonts w:ascii="Times New Roman" w:hAnsi="Times New Roman" w:cs="Times New Roman"/>
                <w:b w:val="0"/>
                <w:bCs w:val="0"/>
                <w:sz w:val="22"/>
                <w:szCs w:val="22"/>
              </w:rPr>
            </w:pPr>
            <w:r w:rsidRPr="00C0031B">
              <w:rPr>
                <w:rFonts w:ascii="Times New Roman" w:hAnsi="Times New Roman" w:cs="Times New Roman"/>
                <w:b w:val="0"/>
                <w:bCs w:val="0"/>
                <w:sz w:val="22"/>
                <w:szCs w:val="22"/>
              </w:rPr>
              <w:t>10</w:t>
            </w:r>
          </w:p>
        </w:tc>
        <w:tc>
          <w:tcPr>
            <w:tcW w:w="1843" w:type="dxa"/>
            <w:vAlign w:val="center"/>
          </w:tcPr>
          <w:p w:rsidR="005B422F" w:rsidRPr="00C0031B" w:rsidRDefault="005B422F" w:rsidP="005B422F">
            <w:pPr>
              <w:keepNext/>
              <w:bidi w:val="0"/>
              <w:spacing w:after="0" w:line="276" w:lineRule="auto"/>
              <w:jc w:val="center"/>
              <w:rPr>
                <w:rFonts w:ascii="Times New Roman" w:hAnsi="Times New Roman" w:cs="Times New Roman"/>
                <w:b w:val="0"/>
                <w:bCs w:val="0"/>
                <w:sz w:val="22"/>
                <w:szCs w:val="22"/>
              </w:rPr>
            </w:pPr>
            <w:r w:rsidRPr="00C0031B">
              <w:rPr>
                <w:rFonts w:ascii="Times New Roman" w:hAnsi="Times New Roman" w:cs="Times New Roman"/>
                <w:b w:val="0"/>
                <w:bCs w:val="0"/>
                <w:sz w:val="22"/>
                <w:szCs w:val="22"/>
              </w:rPr>
              <w:t>3</w:t>
            </w:r>
          </w:p>
        </w:tc>
        <w:tc>
          <w:tcPr>
            <w:tcW w:w="992" w:type="dxa"/>
            <w:vAlign w:val="center"/>
          </w:tcPr>
          <w:p w:rsidR="005B422F" w:rsidRPr="00C0031B" w:rsidRDefault="005B422F" w:rsidP="005B422F">
            <w:pPr>
              <w:keepNext/>
              <w:bidi w:val="0"/>
              <w:spacing w:after="0" w:line="276" w:lineRule="auto"/>
              <w:jc w:val="center"/>
              <w:rPr>
                <w:rFonts w:ascii="Times New Roman" w:hAnsi="Times New Roman" w:cs="Times New Roman"/>
                <w:b w:val="0"/>
                <w:bCs w:val="0"/>
                <w:sz w:val="22"/>
                <w:szCs w:val="22"/>
              </w:rPr>
            </w:pPr>
            <w:r w:rsidRPr="00C0031B">
              <w:rPr>
                <w:rFonts w:ascii="Times New Roman" w:hAnsi="Times New Roman" w:cs="Times New Roman"/>
                <w:b w:val="0"/>
                <w:bCs w:val="0"/>
                <w:sz w:val="22"/>
                <w:szCs w:val="22"/>
              </w:rPr>
              <w:t>1.5</w:t>
            </w:r>
          </w:p>
        </w:tc>
        <w:tc>
          <w:tcPr>
            <w:tcW w:w="2977" w:type="dxa"/>
            <w:vAlign w:val="center"/>
          </w:tcPr>
          <w:p w:rsidR="005B422F" w:rsidRPr="00C0031B" w:rsidRDefault="005B422F" w:rsidP="005B422F">
            <w:pPr>
              <w:keepNext/>
              <w:bidi w:val="0"/>
              <w:spacing w:after="0" w:line="276" w:lineRule="auto"/>
              <w:jc w:val="center"/>
              <w:rPr>
                <w:rFonts w:ascii="Times New Roman" w:hAnsi="Times New Roman" w:cs="Times New Roman"/>
                <w:b w:val="0"/>
                <w:bCs w:val="0"/>
                <w:sz w:val="22"/>
                <w:szCs w:val="22"/>
              </w:rPr>
            </w:pPr>
            <w:r w:rsidRPr="00C0031B">
              <w:rPr>
                <w:rFonts w:ascii="Times New Roman" w:hAnsi="Times New Roman" w:cs="Times New Roman"/>
                <w:b w:val="0"/>
                <w:bCs w:val="0"/>
                <w:sz w:val="22"/>
                <w:szCs w:val="22"/>
              </w:rPr>
              <w:t>0.45</w:t>
            </w:r>
          </w:p>
        </w:tc>
        <w:tc>
          <w:tcPr>
            <w:tcW w:w="1559" w:type="dxa"/>
            <w:vAlign w:val="center"/>
          </w:tcPr>
          <w:p w:rsidR="005B422F" w:rsidRPr="00C0031B" w:rsidRDefault="005B422F" w:rsidP="005B422F">
            <w:pPr>
              <w:keepNext/>
              <w:bidi w:val="0"/>
              <w:spacing w:after="0" w:line="276" w:lineRule="auto"/>
              <w:jc w:val="center"/>
              <w:rPr>
                <w:rFonts w:ascii="Times New Roman" w:hAnsi="Times New Roman" w:cs="Times New Roman"/>
                <w:b w:val="0"/>
                <w:bCs w:val="0"/>
                <w:sz w:val="22"/>
                <w:szCs w:val="22"/>
              </w:rPr>
            </w:pPr>
            <w:r w:rsidRPr="00C0031B">
              <w:rPr>
                <w:rFonts w:ascii="Times New Roman" w:hAnsi="Times New Roman" w:cs="Times New Roman"/>
                <w:b w:val="0"/>
                <w:bCs w:val="0"/>
                <w:sz w:val="22"/>
                <w:szCs w:val="22"/>
              </w:rPr>
              <w:t>2.55</w:t>
            </w:r>
          </w:p>
        </w:tc>
      </w:tr>
      <w:tr w:rsidR="005B422F" w:rsidRPr="00C0031B" w:rsidTr="00685EFA">
        <w:tc>
          <w:tcPr>
            <w:tcW w:w="993" w:type="dxa"/>
            <w:shd w:val="clear" w:color="auto" w:fill="E7E6E6" w:themeFill="background2"/>
            <w:vAlign w:val="center"/>
          </w:tcPr>
          <w:p w:rsidR="005B422F" w:rsidRPr="00C0031B" w:rsidRDefault="005B422F" w:rsidP="00D94A35">
            <w:pPr>
              <w:jc w:val="center"/>
              <w:rPr>
                <w:rFonts w:ascii="Times New Roman" w:hAnsi="Times New Roman" w:cs="Times New Roman"/>
                <w:sz w:val="22"/>
                <w:szCs w:val="22"/>
                <w:rtl/>
                <w:lang w:bidi="ar-JO"/>
              </w:rPr>
            </w:pPr>
            <w:r w:rsidRPr="00C0031B">
              <w:rPr>
                <w:rFonts w:ascii="Times New Roman" w:hAnsi="Times New Roman" w:cs="Times New Roman"/>
                <w:sz w:val="22"/>
                <w:szCs w:val="22"/>
                <w:lang w:bidi="ar-JO"/>
              </w:rPr>
              <w:t>T1</w:t>
            </w:r>
          </w:p>
        </w:tc>
        <w:tc>
          <w:tcPr>
            <w:tcW w:w="1276" w:type="dxa"/>
            <w:vAlign w:val="center"/>
          </w:tcPr>
          <w:p w:rsidR="005B422F" w:rsidRPr="00C0031B" w:rsidRDefault="005B422F" w:rsidP="005B422F">
            <w:pPr>
              <w:keepNext/>
              <w:bidi w:val="0"/>
              <w:spacing w:after="0" w:line="276" w:lineRule="auto"/>
              <w:jc w:val="center"/>
              <w:rPr>
                <w:rFonts w:ascii="Times New Roman" w:hAnsi="Times New Roman" w:cs="Times New Roman"/>
                <w:b w:val="0"/>
                <w:bCs w:val="0"/>
                <w:sz w:val="22"/>
                <w:szCs w:val="22"/>
              </w:rPr>
            </w:pPr>
            <w:r w:rsidRPr="00C0031B">
              <w:rPr>
                <w:rFonts w:ascii="Times New Roman" w:hAnsi="Times New Roman" w:cs="Times New Roman"/>
                <w:b w:val="0"/>
                <w:bCs w:val="0"/>
                <w:sz w:val="22"/>
                <w:szCs w:val="22"/>
              </w:rPr>
              <w:t>15</w:t>
            </w:r>
          </w:p>
        </w:tc>
        <w:tc>
          <w:tcPr>
            <w:tcW w:w="1843" w:type="dxa"/>
            <w:vAlign w:val="center"/>
          </w:tcPr>
          <w:p w:rsidR="005B422F" w:rsidRPr="00C0031B" w:rsidRDefault="005B422F" w:rsidP="005B422F">
            <w:pPr>
              <w:keepNext/>
              <w:bidi w:val="0"/>
              <w:spacing w:after="0" w:line="276" w:lineRule="auto"/>
              <w:jc w:val="center"/>
              <w:rPr>
                <w:rFonts w:ascii="Times New Roman" w:hAnsi="Times New Roman" w:cs="Times New Roman"/>
                <w:b w:val="0"/>
                <w:bCs w:val="0"/>
                <w:sz w:val="22"/>
                <w:szCs w:val="22"/>
              </w:rPr>
            </w:pPr>
            <w:r w:rsidRPr="00C0031B">
              <w:rPr>
                <w:rFonts w:ascii="Times New Roman" w:hAnsi="Times New Roman" w:cs="Times New Roman"/>
                <w:b w:val="0"/>
                <w:bCs w:val="0"/>
                <w:sz w:val="22"/>
                <w:szCs w:val="22"/>
              </w:rPr>
              <w:t>4</w:t>
            </w:r>
          </w:p>
        </w:tc>
        <w:tc>
          <w:tcPr>
            <w:tcW w:w="992" w:type="dxa"/>
            <w:vAlign w:val="center"/>
          </w:tcPr>
          <w:p w:rsidR="005B422F" w:rsidRPr="00C0031B" w:rsidRDefault="005B422F" w:rsidP="005B422F">
            <w:pPr>
              <w:keepNext/>
              <w:bidi w:val="0"/>
              <w:spacing w:after="0" w:line="276" w:lineRule="auto"/>
              <w:jc w:val="center"/>
              <w:rPr>
                <w:rFonts w:ascii="Times New Roman" w:hAnsi="Times New Roman" w:cs="Times New Roman"/>
                <w:b w:val="0"/>
                <w:bCs w:val="0"/>
                <w:sz w:val="22"/>
                <w:szCs w:val="22"/>
              </w:rPr>
            </w:pPr>
            <w:r w:rsidRPr="00C0031B">
              <w:rPr>
                <w:rFonts w:ascii="Times New Roman" w:hAnsi="Times New Roman" w:cs="Times New Roman"/>
                <w:b w:val="0"/>
                <w:bCs w:val="0"/>
                <w:sz w:val="22"/>
                <w:szCs w:val="22"/>
              </w:rPr>
              <w:t>5</w:t>
            </w:r>
          </w:p>
        </w:tc>
        <w:tc>
          <w:tcPr>
            <w:tcW w:w="2977" w:type="dxa"/>
            <w:vAlign w:val="center"/>
          </w:tcPr>
          <w:p w:rsidR="005B422F" w:rsidRPr="00C0031B" w:rsidRDefault="005B422F" w:rsidP="005B422F">
            <w:pPr>
              <w:keepNext/>
              <w:bidi w:val="0"/>
              <w:spacing w:after="0" w:line="276" w:lineRule="auto"/>
              <w:jc w:val="center"/>
              <w:rPr>
                <w:rFonts w:ascii="Times New Roman" w:hAnsi="Times New Roman" w:cs="Times New Roman"/>
                <w:b w:val="0"/>
                <w:bCs w:val="0"/>
                <w:sz w:val="22"/>
                <w:szCs w:val="22"/>
              </w:rPr>
            </w:pPr>
            <w:r w:rsidRPr="00C0031B">
              <w:rPr>
                <w:rFonts w:ascii="Times New Roman" w:hAnsi="Times New Roman" w:cs="Times New Roman"/>
                <w:b w:val="0"/>
                <w:bCs w:val="0"/>
                <w:sz w:val="22"/>
                <w:szCs w:val="22"/>
              </w:rPr>
              <w:t>1.33</w:t>
            </w:r>
          </w:p>
        </w:tc>
        <w:tc>
          <w:tcPr>
            <w:tcW w:w="1559" w:type="dxa"/>
            <w:vAlign w:val="center"/>
          </w:tcPr>
          <w:p w:rsidR="005B422F" w:rsidRPr="00C0031B" w:rsidRDefault="005B422F" w:rsidP="005B422F">
            <w:pPr>
              <w:keepNext/>
              <w:bidi w:val="0"/>
              <w:spacing w:after="0" w:line="276" w:lineRule="auto"/>
              <w:jc w:val="center"/>
              <w:rPr>
                <w:rFonts w:ascii="Times New Roman" w:hAnsi="Times New Roman" w:cs="Times New Roman"/>
                <w:b w:val="0"/>
                <w:bCs w:val="0"/>
                <w:sz w:val="22"/>
                <w:szCs w:val="22"/>
              </w:rPr>
            </w:pPr>
            <w:r w:rsidRPr="00C0031B">
              <w:rPr>
                <w:rFonts w:ascii="Times New Roman" w:hAnsi="Times New Roman" w:cs="Times New Roman"/>
                <w:b w:val="0"/>
                <w:bCs w:val="0"/>
                <w:sz w:val="22"/>
                <w:szCs w:val="22"/>
              </w:rPr>
              <w:t>2.67</w:t>
            </w:r>
          </w:p>
        </w:tc>
      </w:tr>
      <w:tr w:rsidR="005B422F" w:rsidRPr="00C0031B" w:rsidTr="00685EFA">
        <w:tc>
          <w:tcPr>
            <w:tcW w:w="993" w:type="dxa"/>
            <w:shd w:val="clear" w:color="auto" w:fill="E7E6E6" w:themeFill="background2"/>
            <w:vAlign w:val="center"/>
          </w:tcPr>
          <w:p w:rsidR="005B422F" w:rsidRPr="00C0031B" w:rsidRDefault="005B422F" w:rsidP="00D94A35">
            <w:pPr>
              <w:jc w:val="center"/>
              <w:rPr>
                <w:rFonts w:ascii="Times New Roman" w:hAnsi="Times New Roman" w:cs="Times New Roman"/>
                <w:sz w:val="22"/>
                <w:szCs w:val="22"/>
                <w:lang w:bidi="ar-JO"/>
              </w:rPr>
            </w:pPr>
            <w:r w:rsidRPr="00C0031B">
              <w:rPr>
                <w:rFonts w:ascii="Times New Roman" w:hAnsi="Times New Roman" w:cs="Times New Roman"/>
                <w:sz w:val="22"/>
                <w:szCs w:val="22"/>
                <w:lang w:bidi="ar-JO"/>
              </w:rPr>
              <w:t>TC</w:t>
            </w:r>
          </w:p>
        </w:tc>
        <w:tc>
          <w:tcPr>
            <w:tcW w:w="1276" w:type="dxa"/>
            <w:vAlign w:val="center"/>
          </w:tcPr>
          <w:p w:rsidR="005B422F" w:rsidRPr="00C0031B" w:rsidRDefault="005B422F" w:rsidP="005B422F">
            <w:pPr>
              <w:keepNext/>
              <w:bidi w:val="0"/>
              <w:spacing w:after="0" w:line="276" w:lineRule="auto"/>
              <w:jc w:val="center"/>
              <w:rPr>
                <w:rFonts w:ascii="Times New Roman" w:hAnsi="Times New Roman" w:cs="Times New Roman"/>
                <w:b w:val="0"/>
                <w:bCs w:val="0"/>
                <w:sz w:val="22"/>
                <w:szCs w:val="22"/>
              </w:rPr>
            </w:pPr>
            <w:r w:rsidRPr="00C0031B">
              <w:rPr>
                <w:rFonts w:ascii="Times New Roman" w:hAnsi="Times New Roman" w:cs="Times New Roman"/>
                <w:b w:val="0"/>
                <w:bCs w:val="0"/>
                <w:sz w:val="22"/>
                <w:szCs w:val="22"/>
              </w:rPr>
              <w:t>23</w:t>
            </w:r>
          </w:p>
        </w:tc>
        <w:tc>
          <w:tcPr>
            <w:tcW w:w="1843" w:type="dxa"/>
            <w:vAlign w:val="center"/>
          </w:tcPr>
          <w:p w:rsidR="005B422F" w:rsidRPr="00C0031B" w:rsidRDefault="005B422F" w:rsidP="005B422F">
            <w:pPr>
              <w:keepNext/>
              <w:bidi w:val="0"/>
              <w:spacing w:after="0" w:line="276" w:lineRule="auto"/>
              <w:jc w:val="center"/>
              <w:rPr>
                <w:rFonts w:ascii="Times New Roman" w:hAnsi="Times New Roman" w:cs="Times New Roman"/>
                <w:b w:val="0"/>
                <w:bCs w:val="0"/>
                <w:sz w:val="22"/>
                <w:szCs w:val="22"/>
              </w:rPr>
            </w:pPr>
            <w:r w:rsidRPr="00C0031B">
              <w:rPr>
                <w:rFonts w:ascii="Times New Roman" w:hAnsi="Times New Roman" w:cs="Times New Roman"/>
                <w:b w:val="0"/>
                <w:bCs w:val="0"/>
                <w:sz w:val="22"/>
                <w:szCs w:val="22"/>
              </w:rPr>
              <w:t>10</w:t>
            </w:r>
          </w:p>
        </w:tc>
        <w:tc>
          <w:tcPr>
            <w:tcW w:w="992" w:type="dxa"/>
            <w:vAlign w:val="center"/>
          </w:tcPr>
          <w:p w:rsidR="005B422F" w:rsidRPr="00C0031B" w:rsidRDefault="005B422F" w:rsidP="005B422F">
            <w:pPr>
              <w:keepNext/>
              <w:bidi w:val="0"/>
              <w:spacing w:after="0" w:line="276" w:lineRule="auto"/>
              <w:jc w:val="center"/>
              <w:rPr>
                <w:rFonts w:ascii="Times New Roman" w:hAnsi="Times New Roman" w:cs="Times New Roman"/>
                <w:b w:val="0"/>
                <w:bCs w:val="0"/>
                <w:sz w:val="22"/>
                <w:szCs w:val="22"/>
              </w:rPr>
            </w:pPr>
            <w:r w:rsidRPr="00C0031B">
              <w:rPr>
                <w:rFonts w:ascii="Times New Roman" w:hAnsi="Times New Roman" w:cs="Times New Roman"/>
                <w:b w:val="0"/>
                <w:bCs w:val="0"/>
                <w:sz w:val="22"/>
                <w:szCs w:val="22"/>
              </w:rPr>
              <w:t>11</w:t>
            </w:r>
          </w:p>
        </w:tc>
        <w:tc>
          <w:tcPr>
            <w:tcW w:w="2977" w:type="dxa"/>
            <w:vAlign w:val="center"/>
          </w:tcPr>
          <w:p w:rsidR="005B422F" w:rsidRPr="00C0031B" w:rsidRDefault="005B422F" w:rsidP="005B422F">
            <w:pPr>
              <w:keepNext/>
              <w:bidi w:val="0"/>
              <w:spacing w:after="0" w:line="276" w:lineRule="auto"/>
              <w:jc w:val="center"/>
              <w:rPr>
                <w:rFonts w:ascii="Times New Roman" w:hAnsi="Times New Roman" w:cs="Times New Roman"/>
                <w:b w:val="0"/>
                <w:bCs w:val="0"/>
                <w:sz w:val="22"/>
                <w:szCs w:val="22"/>
              </w:rPr>
            </w:pPr>
            <w:r w:rsidRPr="00C0031B">
              <w:rPr>
                <w:rFonts w:ascii="Times New Roman" w:hAnsi="Times New Roman" w:cs="Times New Roman"/>
                <w:b w:val="0"/>
                <w:bCs w:val="0"/>
                <w:sz w:val="22"/>
                <w:szCs w:val="22"/>
              </w:rPr>
              <w:t>4.78</w:t>
            </w:r>
          </w:p>
        </w:tc>
        <w:tc>
          <w:tcPr>
            <w:tcW w:w="1559" w:type="dxa"/>
            <w:vAlign w:val="center"/>
          </w:tcPr>
          <w:p w:rsidR="005B422F" w:rsidRPr="00C0031B" w:rsidRDefault="005B422F" w:rsidP="005B422F">
            <w:pPr>
              <w:keepNext/>
              <w:bidi w:val="0"/>
              <w:spacing w:after="0" w:line="276" w:lineRule="auto"/>
              <w:jc w:val="center"/>
              <w:rPr>
                <w:rFonts w:ascii="Times New Roman" w:hAnsi="Times New Roman" w:cs="Times New Roman"/>
                <w:b w:val="0"/>
                <w:bCs w:val="0"/>
                <w:sz w:val="22"/>
                <w:szCs w:val="22"/>
              </w:rPr>
            </w:pPr>
            <w:r w:rsidRPr="00C0031B">
              <w:rPr>
                <w:rFonts w:ascii="Times New Roman" w:hAnsi="Times New Roman" w:cs="Times New Roman"/>
                <w:b w:val="0"/>
                <w:bCs w:val="0"/>
                <w:sz w:val="22"/>
                <w:szCs w:val="22"/>
              </w:rPr>
              <w:t>5.22</w:t>
            </w:r>
          </w:p>
        </w:tc>
      </w:tr>
    </w:tbl>
    <w:p w:rsidR="000060C4" w:rsidRPr="00B449BF" w:rsidRDefault="000060C4" w:rsidP="000060C4">
      <w:pPr>
        <w:keepNext/>
        <w:bidi w:val="0"/>
        <w:spacing w:after="0" w:line="276" w:lineRule="auto"/>
        <w:rPr>
          <w:rFonts w:ascii="Times New Roman" w:hAnsi="Times New Roman" w:cs="Times New Roman"/>
          <w:b w:val="0"/>
          <w:bCs w:val="0"/>
        </w:rPr>
      </w:pPr>
    </w:p>
    <w:bookmarkEnd w:id="60"/>
    <w:p w:rsidR="005B422F" w:rsidRPr="00685EFA" w:rsidRDefault="005B422F" w:rsidP="00D94A35">
      <w:pPr>
        <w:bidi w:val="0"/>
        <w:spacing w:after="0" w:line="276" w:lineRule="auto"/>
        <w:rPr>
          <w:rFonts w:ascii="Times New Roman" w:hAnsi="Times New Roman" w:cs="Times New Roman"/>
          <w:b w:val="0"/>
          <w:bCs w:val="0"/>
          <w:sz w:val="24"/>
          <w:szCs w:val="24"/>
        </w:rPr>
      </w:pPr>
      <w:r w:rsidRPr="00685EFA">
        <w:rPr>
          <w:rFonts w:ascii="Times New Roman" w:hAnsi="Times New Roman" w:cs="Times New Roman"/>
          <w:b w:val="0"/>
          <w:bCs w:val="0"/>
          <w:sz w:val="24"/>
          <w:szCs w:val="24"/>
        </w:rPr>
        <w:t xml:space="preserve">The following table </w:t>
      </w:r>
      <w:r w:rsidR="00685EFA" w:rsidRPr="00685EFA">
        <w:rPr>
          <w:rFonts w:ascii="Times New Roman" w:hAnsi="Times New Roman" w:cs="Times New Roman"/>
          <w:b w:val="0"/>
          <w:bCs w:val="0"/>
          <w:sz w:val="24"/>
          <w:szCs w:val="24"/>
        </w:rPr>
        <w:t>summarizes</w:t>
      </w:r>
      <w:r w:rsidRPr="00685EFA">
        <w:rPr>
          <w:rFonts w:ascii="Times New Roman" w:hAnsi="Times New Roman" w:cs="Times New Roman"/>
          <w:b w:val="0"/>
          <w:bCs w:val="0"/>
          <w:sz w:val="24"/>
          <w:szCs w:val="24"/>
        </w:rPr>
        <w:t xml:space="preserve"> the components of capital for the consolidated group based on the amounts calculated in the table above. Additional Tier 1 is calculated as the difference between Common Equity Tier 1 and Tier 1 and Tier 2 is the difference between Total Capital and Tier 1.</w:t>
      </w:r>
    </w:p>
    <w:p w:rsidR="00E579B1" w:rsidRDefault="00E579B1" w:rsidP="00E579B1">
      <w:pPr>
        <w:bidi w:val="0"/>
      </w:pPr>
    </w:p>
    <w:tbl>
      <w:tblPr>
        <w:tblStyle w:val="TableGrid"/>
        <w:tblW w:w="9209" w:type="dxa"/>
        <w:tblLook w:val="04A0" w:firstRow="1" w:lastRow="0" w:firstColumn="1" w:lastColumn="0" w:noHBand="0" w:noVBand="1"/>
      </w:tblPr>
      <w:tblGrid>
        <w:gridCol w:w="1413"/>
        <w:gridCol w:w="2551"/>
        <w:gridCol w:w="2726"/>
        <w:gridCol w:w="2519"/>
      </w:tblGrid>
      <w:tr w:rsidR="00E579B1" w:rsidRPr="00C0031B" w:rsidTr="00D94A35">
        <w:tc>
          <w:tcPr>
            <w:tcW w:w="1413" w:type="dxa"/>
            <w:shd w:val="clear" w:color="auto" w:fill="EDEDED" w:themeFill="accent3" w:themeFillTint="33"/>
          </w:tcPr>
          <w:p w:rsidR="00E579B1" w:rsidRPr="00C0031B" w:rsidRDefault="00E579B1" w:rsidP="00E579B1">
            <w:pPr>
              <w:bidi w:val="0"/>
              <w:spacing w:after="0"/>
              <w:jc w:val="center"/>
              <w:rPr>
                <w:rFonts w:ascii="Times New Roman" w:hAnsi="Times New Roman" w:cs="Times New Roman"/>
                <w:sz w:val="22"/>
                <w:szCs w:val="22"/>
              </w:rPr>
            </w:pPr>
          </w:p>
        </w:tc>
        <w:tc>
          <w:tcPr>
            <w:tcW w:w="2551" w:type="dxa"/>
            <w:shd w:val="clear" w:color="auto" w:fill="EDEDED" w:themeFill="accent3" w:themeFillTint="33"/>
          </w:tcPr>
          <w:p w:rsidR="00E579B1" w:rsidRPr="00C0031B" w:rsidRDefault="00E579B1" w:rsidP="00E579B1">
            <w:pPr>
              <w:bidi w:val="0"/>
              <w:spacing w:after="0"/>
              <w:jc w:val="center"/>
              <w:rPr>
                <w:rFonts w:ascii="Times New Roman" w:hAnsi="Times New Roman" w:cs="Times New Roman"/>
                <w:sz w:val="22"/>
                <w:szCs w:val="22"/>
              </w:rPr>
            </w:pPr>
            <w:r w:rsidRPr="00C0031B">
              <w:rPr>
                <w:rFonts w:ascii="Times New Roman" w:hAnsi="Times New Roman" w:cs="Times New Roman"/>
                <w:sz w:val="22"/>
                <w:szCs w:val="22"/>
              </w:rPr>
              <w:t>Total amount issued by parent (all of which is to be included in consolidated capital)</w:t>
            </w:r>
          </w:p>
        </w:tc>
        <w:tc>
          <w:tcPr>
            <w:tcW w:w="2726" w:type="dxa"/>
            <w:shd w:val="clear" w:color="auto" w:fill="EDEDED" w:themeFill="accent3" w:themeFillTint="33"/>
          </w:tcPr>
          <w:p w:rsidR="00E579B1" w:rsidRPr="00C0031B" w:rsidRDefault="00E579B1" w:rsidP="00E579B1">
            <w:pPr>
              <w:bidi w:val="0"/>
              <w:spacing w:after="0"/>
              <w:jc w:val="center"/>
              <w:rPr>
                <w:rFonts w:ascii="Times New Roman" w:hAnsi="Times New Roman" w:cs="Times New Roman"/>
                <w:sz w:val="22"/>
                <w:szCs w:val="22"/>
              </w:rPr>
            </w:pPr>
            <w:r w:rsidRPr="00C0031B">
              <w:rPr>
                <w:rFonts w:ascii="Times New Roman" w:hAnsi="Times New Roman" w:cs="Times New Roman"/>
                <w:sz w:val="22"/>
                <w:szCs w:val="22"/>
              </w:rPr>
              <w:t>Amount issued by subsidiaries to third parties to be included in consolidated capital</w:t>
            </w:r>
          </w:p>
        </w:tc>
        <w:tc>
          <w:tcPr>
            <w:tcW w:w="2519" w:type="dxa"/>
            <w:shd w:val="clear" w:color="auto" w:fill="EDEDED" w:themeFill="accent3" w:themeFillTint="33"/>
          </w:tcPr>
          <w:p w:rsidR="00E579B1" w:rsidRPr="00C0031B" w:rsidRDefault="00E579B1" w:rsidP="00E579B1">
            <w:pPr>
              <w:bidi w:val="0"/>
              <w:spacing w:after="0"/>
              <w:jc w:val="center"/>
              <w:rPr>
                <w:rFonts w:ascii="Times New Roman" w:hAnsi="Times New Roman" w:cs="Times New Roman"/>
                <w:sz w:val="22"/>
                <w:szCs w:val="22"/>
              </w:rPr>
            </w:pPr>
            <w:r w:rsidRPr="00C0031B">
              <w:rPr>
                <w:rFonts w:ascii="Times New Roman" w:hAnsi="Times New Roman" w:cs="Times New Roman"/>
                <w:sz w:val="22"/>
                <w:szCs w:val="22"/>
              </w:rPr>
              <w:t>Total amount issued by parent and subsidiary to be included in consolidated capital</w:t>
            </w:r>
          </w:p>
        </w:tc>
      </w:tr>
      <w:tr w:rsidR="00E579B1" w:rsidRPr="00C0031B" w:rsidTr="00D94A35">
        <w:tc>
          <w:tcPr>
            <w:tcW w:w="1413" w:type="dxa"/>
            <w:shd w:val="clear" w:color="auto" w:fill="E7E6E6" w:themeFill="background2"/>
          </w:tcPr>
          <w:p w:rsidR="00E579B1" w:rsidRPr="00C0031B" w:rsidRDefault="00E579B1" w:rsidP="00E579B1">
            <w:pPr>
              <w:bidi w:val="0"/>
              <w:spacing w:after="0"/>
              <w:jc w:val="center"/>
              <w:rPr>
                <w:rFonts w:ascii="Times New Roman" w:hAnsi="Times New Roman" w:cs="Times New Roman"/>
                <w:sz w:val="22"/>
                <w:szCs w:val="22"/>
              </w:rPr>
            </w:pPr>
            <w:r w:rsidRPr="00C0031B">
              <w:rPr>
                <w:rFonts w:ascii="Times New Roman" w:hAnsi="Times New Roman" w:cs="Times New Roman"/>
                <w:sz w:val="22"/>
                <w:szCs w:val="22"/>
              </w:rPr>
              <w:t>CET1</w:t>
            </w:r>
          </w:p>
        </w:tc>
        <w:tc>
          <w:tcPr>
            <w:tcW w:w="2551" w:type="dxa"/>
          </w:tcPr>
          <w:p w:rsidR="00E579B1" w:rsidRPr="00C0031B" w:rsidRDefault="00E579B1" w:rsidP="00E579B1">
            <w:pPr>
              <w:bidi w:val="0"/>
              <w:spacing w:after="0"/>
              <w:jc w:val="center"/>
              <w:rPr>
                <w:rFonts w:ascii="Times New Roman" w:hAnsi="Times New Roman" w:cs="Times New Roman"/>
                <w:b w:val="0"/>
                <w:bCs w:val="0"/>
                <w:sz w:val="22"/>
                <w:szCs w:val="22"/>
              </w:rPr>
            </w:pPr>
            <w:r w:rsidRPr="00C0031B">
              <w:rPr>
                <w:rFonts w:ascii="Times New Roman" w:hAnsi="Times New Roman" w:cs="Times New Roman"/>
                <w:b w:val="0"/>
                <w:bCs w:val="0"/>
                <w:sz w:val="22"/>
                <w:szCs w:val="22"/>
              </w:rPr>
              <w:t>26</w:t>
            </w:r>
          </w:p>
        </w:tc>
        <w:tc>
          <w:tcPr>
            <w:tcW w:w="2726" w:type="dxa"/>
          </w:tcPr>
          <w:p w:rsidR="00E579B1" w:rsidRPr="00C0031B" w:rsidRDefault="00E579B1" w:rsidP="00E579B1">
            <w:pPr>
              <w:bidi w:val="0"/>
              <w:spacing w:after="0"/>
              <w:jc w:val="center"/>
              <w:rPr>
                <w:rFonts w:ascii="Times New Roman" w:hAnsi="Times New Roman" w:cs="Times New Roman"/>
                <w:b w:val="0"/>
                <w:bCs w:val="0"/>
                <w:sz w:val="22"/>
                <w:szCs w:val="22"/>
              </w:rPr>
            </w:pPr>
            <w:r w:rsidRPr="00C0031B">
              <w:rPr>
                <w:rFonts w:ascii="Times New Roman" w:hAnsi="Times New Roman" w:cs="Times New Roman"/>
                <w:b w:val="0"/>
                <w:bCs w:val="0"/>
                <w:sz w:val="22"/>
                <w:szCs w:val="22"/>
              </w:rPr>
              <w:t>2.55</w:t>
            </w:r>
          </w:p>
        </w:tc>
        <w:tc>
          <w:tcPr>
            <w:tcW w:w="2519" w:type="dxa"/>
          </w:tcPr>
          <w:p w:rsidR="00E579B1" w:rsidRPr="00C0031B" w:rsidRDefault="00E579B1" w:rsidP="00E579B1">
            <w:pPr>
              <w:bidi w:val="0"/>
              <w:spacing w:after="0"/>
              <w:jc w:val="center"/>
              <w:rPr>
                <w:rFonts w:ascii="Times New Roman" w:hAnsi="Times New Roman" w:cs="Times New Roman"/>
                <w:b w:val="0"/>
                <w:bCs w:val="0"/>
                <w:sz w:val="22"/>
                <w:szCs w:val="22"/>
              </w:rPr>
            </w:pPr>
            <w:r w:rsidRPr="00C0031B">
              <w:rPr>
                <w:rFonts w:ascii="Times New Roman" w:hAnsi="Times New Roman" w:cs="Times New Roman"/>
                <w:b w:val="0"/>
                <w:bCs w:val="0"/>
                <w:sz w:val="22"/>
                <w:szCs w:val="22"/>
              </w:rPr>
              <w:t>28.55</w:t>
            </w:r>
          </w:p>
        </w:tc>
      </w:tr>
      <w:tr w:rsidR="00E579B1" w:rsidRPr="00C0031B" w:rsidTr="00D94A35">
        <w:tc>
          <w:tcPr>
            <w:tcW w:w="1413" w:type="dxa"/>
            <w:shd w:val="clear" w:color="auto" w:fill="E7E6E6" w:themeFill="background2"/>
          </w:tcPr>
          <w:p w:rsidR="00E579B1" w:rsidRPr="00C0031B" w:rsidRDefault="00E579B1" w:rsidP="00E579B1">
            <w:pPr>
              <w:bidi w:val="0"/>
              <w:spacing w:after="0"/>
              <w:jc w:val="center"/>
              <w:rPr>
                <w:rFonts w:ascii="Times New Roman" w:hAnsi="Times New Roman" w:cs="Times New Roman"/>
                <w:sz w:val="22"/>
                <w:szCs w:val="22"/>
              </w:rPr>
            </w:pPr>
            <w:r w:rsidRPr="00C0031B">
              <w:rPr>
                <w:rFonts w:ascii="Times New Roman" w:hAnsi="Times New Roman" w:cs="Times New Roman"/>
                <w:sz w:val="22"/>
                <w:szCs w:val="22"/>
              </w:rPr>
              <w:t>AT1</w:t>
            </w:r>
          </w:p>
        </w:tc>
        <w:tc>
          <w:tcPr>
            <w:tcW w:w="2551" w:type="dxa"/>
          </w:tcPr>
          <w:p w:rsidR="00E579B1" w:rsidRPr="00C0031B" w:rsidRDefault="00E579B1" w:rsidP="00E579B1">
            <w:pPr>
              <w:bidi w:val="0"/>
              <w:spacing w:after="0"/>
              <w:jc w:val="center"/>
              <w:rPr>
                <w:rFonts w:ascii="Times New Roman" w:hAnsi="Times New Roman" w:cs="Times New Roman"/>
                <w:b w:val="0"/>
                <w:bCs w:val="0"/>
                <w:sz w:val="22"/>
                <w:szCs w:val="22"/>
              </w:rPr>
            </w:pPr>
            <w:r w:rsidRPr="00C0031B">
              <w:rPr>
                <w:rFonts w:ascii="Times New Roman" w:hAnsi="Times New Roman" w:cs="Times New Roman"/>
                <w:b w:val="0"/>
                <w:bCs w:val="0"/>
                <w:sz w:val="22"/>
                <w:szCs w:val="22"/>
              </w:rPr>
              <w:t>7</w:t>
            </w:r>
          </w:p>
        </w:tc>
        <w:tc>
          <w:tcPr>
            <w:tcW w:w="2726" w:type="dxa"/>
          </w:tcPr>
          <w:p w:rsidR="00E579B1" w:rsidRPr="00C0031B" w:rsidRDefault="00E579B1" w:rsidP="00E579B1">
            <w:pPr>
              <w:bidi w:val="0"/>
              <w:spacing w:after="0"/>
              <w:jc w:val="center"/>
              <w:rPr>
                <w:rFonts w:ascii="Times New Roman" w:hAnsi="Times New Roman" w:cs="Times New Roman"/>
                <w:b w:val="0"/>
                <w:bCs w:val="0"/>
                <w:sz w:val="22"/>
                <w:szCs w:val="22"/>
              </w:rPr>
            </w:pPr>
            <w:r w:rsidRPr="00C0031B">
              <w:rPr>
                <w:rFonts w:ascii="Times New Roman" w:hAnsi="Times New Roman" w:cs="Times New Roman"/>
                <w:b w:val="0"/>
                <w:bCs w:val="0"/>
                <w:sz w:val="22"/>
                <w:szCs w:val="22"/>
              </w:rPr>
              <w:t>0.12</w:t>
            </w:r>
          </w:p>
        </w:tc>
        <w:tc>
          <w:tcPr>
            <w:tcW w:w="2519" w:type="dxa"/>
          </w:tcPr>
          <w:p w:rsidR="00E579B1" w:rsidRPr="00C0031B" w:rsidRDefault="00E579B1" w:rsidP="00E579B1">
            <w:pPr>
              <w:bidi w:val="0"/>
              <w:spacing w:after="0"/>
              <w:jc w:val="center"/>
              <w:rPr>
                <w:rFonts w:ascii="Times New Roman" w:hAnsi="Times New Roman" w:cs="Times New Roman"/>
                <w:b w:val="0"/>
                <w:bCs w:val="0"/>
                <w:sz w:val="22"/>
                <w:szCs w:val="22"/>
              </w:rPr>
            </w:pPr>
            <w:r w:rsidRPr="00C0031B">
              <w:rPr>
                <w:rFonts w:ascii="Times New Roman" w:hAnsi="Times New Roman" w:cs="Times New Roman"/>
                <w:b w:val="0"/>
                <w:bCs w:val="0"/>
                <w:sz w:val="22"/>
                <w:szCs w:val="22"/>
              </w:rPr>
              <w:t>7.12</w:t>
            </w:r>
          </w:p>
        </w:tc>
      </w:tr>
      <w:tr w:rsidR="00E579B1" w:rsidRPr="00C0031B" w:rsidTr="00D94A35">
        <w:tc>
          <w:tcPr>
            <w:tcW w:w="1413" w:type="dxa"/>
            <w:shd w:val="clear" w:color="auto" w:fill="E7E6E6" w:themeFill="background2"/>
          </w:tcPr>
          <w:p w:rsidR="00E579B1" w:rsidRPr="00C0031B" w:rsidRDefault="00E579B1" w:rsidP="00E579B1">
            <w:pPr>
              <w:bidi w:val="0"/>
              <w:spacing w:after="0"/>
              <w:jc w:val="center"/>
              <w:rPr>
                <w:rFonts w:ascii="Times New Roman" w:hAnsi="Times New Roman" w:cs="Times New Roman"/>
                <w:sz w:val="22"/>
                <w:szCs w:val="22"/>
              </w:rPr>
            </w:pPr>
            <w:r w:rsidRPr="00C0031B">
              <w:rPr>
                <w:rFonts w:ascii="Times New Roman" w:hAnsi="Times New Roman" w:cs="Times New Roman"/>
                <w:sz w:val="22"/>
                <w:szCs w:val="22"/>
              </w:rPr>
              <w:t>T1</w:t>
            </w:r>
          </w:p>
        </w:tc>
        <w:tc>
          <w:tcPr>
            <w:tcW w:w="2551" w:type="dxa"/>
          </w:tcPr>
          <w:p w:rsidR="00E579B1" w:rsidRPr="00C0031B" w:rsidRDefault="00E579B1" w:rsidP="00E579B1">
            <w:pPr>
              <w:bidi w:val="0"/>
              <w:spacing w:after="0"/>
              <w:jc w:val="center"/>
              <w:rPr>
                <w:rFonts w:ascii="Times New Roman" w:hAnsi="Times New Roman" w:cs="Times New Roman"/>
                <w:b w:val="0"/>
                <w:bCs w:val="0"/>
                <w:sz w:val="22"/>
                <w:szCs w:val="22"/>
              </w:rPr>
            </w:pPr>
            <w:r w:rsidRPr="00C0031B">
              <w:rPr>
                <w:rFonts w:ascii="Times New Roman" w:hAnsi="Times New Roman" w:cs="Times New Roman"/>
                <w:b w:val="0"/>
                <w:bCs w:val="0"/>
                <w:sz w:val="22"/>
                <w:szCs w:val="22"/>
              </w:rPr>
              <w:t>33</w:t>
            </w:r>
          </w:p>
        </w:tc>
        <w:tc>
          <w:tcPr>
            <w:tcW w:w="2726" w:type="dxa"/>
          </w:tcPr>
          <w:p w:rsidR="00E579B1" w:rsidRPr="00C0031B" w:rsidRDefault="00E579B1" w:rsidP="00E579B1">
            <w:pPr>
              <w:bidi w:val="0"/>
              <w:spacing w:after="0"/>
              <w:jc w:val="center"/>
              <w:rPr>
                <w:rFonts w:ascii="Times New Roman" w:hAnsi="Times New Roman" w:cs="Times New Roman"/>
                <w:b w:val="0"/>
                <w:bCs w:val="0"/>
                <w:sz w:val="22"/>
                <w:szCs w:val="22"/>
              </w:rPr>
            </w:pPr>
            <w:r w:rsidRPr="00C0031B">
              <w:rPr>
                <w:rFonts w:ascii="Times New Roman" w:hAnsi="Times New Roman" w:cs="Times New Roman"/>
                <w:b w:val="0"/>
                <w:bCs w:val="0"/>
                <w:sz w:val="22"/>
                <w:szCs w:val="22"/>
              </w:rPr>
              <w:t>2.67</w:t>
            </w:r>
          </w:p>
        </w:tc>
        <w:tc>
          <w:tcPr>
            <w:tcW w:w="2519" w:type="dxa"/>
          </w:tcPr>
          <w:p w:rsidR="00E579B1" w:rsidRPr="00C0031B" w:rsidRDefault="00E579B1" w:rsidP="00E579B1">
            <w:pPr>
              <w:bidi w:val="0"/>
              <w:spacing w:after="0"/>
              <w:jc w:val="center"/>
              <w:rPr>
                <w:rFonts w:ascii="Times New Roman" w:hAnsi="Times New Roman" w:cs="Times New Roman"/>
                <w:b w:val="0"/>
                <w:bCs w:val="0"/>
                <w:sz w:val="22"/>
                <w:szCs w:val="22"/>
              </w:rPr>
            </w:pPr>
            <w:r w:rsidRPr="00C0031B">
              <w:rPr>
                <w:rFonts w:ascii="Times New Roman" w:hAnsi="Times New Roman" w:cs="Times New Roman"/>
                <w:b w:val="0"/>
                <w:bCs w:val="0"/>
                <w:sz w:val="22"/>
                <w:szCs w:val="22"/>
              </w:rPr>
              <w:t>35.67</w:t>
            </w:r>
          </w:p>
        </w:tc>
      </w:tr>
      <w:tr w:rsidR="00E579B1" w:rsidRPr="00C0031B" w:rsidTr="00D94A35">
        <w:tc>
          <w:tcPr>
            <w:tcW w:w="1413" w:type="dxa"/>
            <w:shd w:val="clear" w:color="auto" w:fill="E7E6E6" w:themeFill="background2"/>
          </w:tcPr>
          <w:p w:rsidR="00E579B1" w:rsidRPr="00C0031B" w:rsidRDefault="00E579B1" w:rsidP="00E579B1">
            <w:pPr>
              <w:bidi w:val="0"/>
              <w:spacing w:after="0"/>
              <w:jc w:val="center"/>
              <w:rPr>
                <w:rFonts w:ascii="Times New Roman" w:hAnsi="Times New Roman" w:cs="Times New Roman"/>
                <w:sz w:val="22"/>
                <w:szCs w:val="22"/>
              </w:rPr>
            </w:pPr>
            <w:r w:rsidRPr="00C0031B">
              <w:rPr>
                <w:rFonts w:ascii="Times New Roman" w:hAnsi="Times New Roman" w:cs="Times New Roman"/>
                <w:sz w:val="22"/>
                <w:szCs w:val="22"/>
              </w:rPr>
              <w:t>T2</w:t>
            </w:r>
          </w:p>
        </w:tc>
        <w:tc>
          <w:tcPr>
            <w:tcW w:w="2551" w:type="dxa"/>
          </w:tcPr>
          <w:p w:rsidR="00E579B1" w:rsidRPr="00C0031B" w:rsidRDefault="00E579B1" w:rsidP="00E579B1">
            <w:pPr>
              <w:bidi w:val="0"/>
              <w:spacing w:after="0"/>
              <w:jc w:val="center"/>
              <w:rPr>
                <w:rFonts w:ascii="Times New Roman" w:hAnsi="Times New Roman" w:cs="Times New Roman"/>
                <w:b w:val="0"/>
                <w:bCs w:val="0"/>
                <w:sz w:val="22"/>
                <w:szCs w:val="22"/>
              </w:rPr>
            </w:pPr>
            <w:r w:rsidRPr="00C0031B">
              <w:rPr>
                <w:rFonts w:ascii="Times New Roman" w:hAnsi="Times New Roman" w:cs="Times New Roman"/>
                <w:b w:val="0"/>
                <w:bCs w:val="0"/>
                <w:sz w:val="22"/>
                <w:szCs w:val="22"/>
              </w:rPr>
              <w:t>10</w:t>
            </w:r>
          </w:p>
        </w:tc>
        <w:tc>
          <w:tcPr>
            <w:tcW w:w="2726" w:type="dxa"/>
          </w:tcPr>
          <w:p w:rsidR="00E579B1" w:rsidRPr="00C0031B" w:rsidRDefault="00E579B1" w:rsidP="00E579B1">
            <w:pPr>
              <w:bidi w:val="0"/>
              <w:spacing w:after="0"/>
              <w:jc w:val="center"/>
              <w:rPr>
                <w:rFonts w:ascii="Times New Roman" w:hAnsi="Times New Roman" w:cs="Times New Roman"/>
                <w:b w:val="0"/>
                <w:bCs w:val="0"/>
                <w:sz w:val="22"/>
                <w:szCs w:val="22"/>
              </w:rPr>
            </w:pPr>
            <w:r w:rsidRPr="00C0031B">
              <w:rPr>
                <w:rFonts w:ascii="Times New Roman" w:hAnsi="Times New Roman" w:cs="Times New Roman"/>
                <w:b w:val="0"/>
                <w:bCs w:val="0"/>
                <w:sz w:val="22"/>
                <w:szCs w:val="22"/>
              </w:rPr>
              <w:t>2.55</w:t>
            </w:r>
          </w:p>
        </w:tc>
        <w:tc>
          <w:tcPr>
            <w:tcW w:w="2519" w:type="dxa"/>
          </w:tcPr>
          <w:p w:rsidR="00E579B1" w:rsidRPr="00C0031B" w:rsidRDefault="00E579B1" w:rsidP="00E579B1">
            <w:pPr>
              <w:bidi w:val="0"/>
              <w:spacing w:after="0"/>
              <w:jc w:val="center"/>
              <w:rPr>
                <w:rFonts w:ascii="Times New Roman" w:hAnsi="Times New Roman" w:cs="Times New Roman"/>
                <w:b w:val="0"/>
                <w:bCs w:val="0"/>
                <w:sz w:val="22"/>
                <w:szCs w:val="22"/>
              </w:rPr>
            </w:pPr>
            <w:r w:rsidRPr="00C0031B">
              <w:rPr>
                <w:rFonts w:ascii="Times New Roman" w:hAnsi="Times New Roman" w:cs="Times New Roman"/>
                <w:b w:val="0"/>
                <w:bCs w:val="0"/>
                <w:sz w:val="22"/>
                <w:szCs w:val="22"/>
              </w:rPr>
              <w:t>12.55</w:t>
            </w:r>
          </w:p>
        </w:tc>
      </w:tr>
      <w:tr w:rsidR="00E579B1" w:rsidRPr="00C0031B" w:rsidTr="00D94A35">
        <w:tc>
          <w:tcPr>
            <w:tcW w:w="1413" w:type="dxa"/>
            <w:shd w:val="clear" w:color="auto" w:fill="E7E6E6" w:themeFill="background2"/>
          </w:tcPr>
          <w:p w:rsidR="00E579B1" w:rsidRPr="00C0031B" w:rsidRDefault="00E579B1" w:rsidP="00E579B1">
            <w:pPr>
              <w:bidi w:val="0"/>
              <w:spacing w:after="0"/>
              <w:jc w:val="center"/>
              <w:rPr>
                <w:rFonts w:ascii="Times New Roman" w:hAnsi="Times New Roman" w:cs="Times New Roman"/>
                <w:sz w:val="22"/>
                <w:szCs w:val="22"/>
              </w:rPr>
            </w:pPr>
            <w:r w:rsidRPr="00C0031B">
              <w:rPr>
                <w:rFonts w:ascii="Times New Roman" w:hAnsi="Times New Roman" w:cs="Times New Roman"/>
                <w:sz w:val="22"/>
                <w:szCs w:val="22"/>
              </w:rPr>
              <w:t>TC</w:t>
            </w:r>
          </w:p>
        </w:tc>
        <w:tc>
          <w:tcPr>
            <w:tcW w:w="2551" w:type="dxa"/>
          </w:tcPr>
          <w:p w:rsidR="00E579B1" w:rsidRPr="00C0031B" w:rsidRDefault="00E579B1" w:rsidP="00E579B1">
            <w:pPr>
              <w:bidi w:val="0"/>
              <w:spacing w:after="0"/>
              <w:jc w:val="center"/>
              <w:rPr>
                <w:rFonts w:ascii="Times New Roman" w:hAnsi="Times New Roman" w:cs="Times New Roman"/>
                <w:b w:val="0"/>
                <w:bCs w:val="0"/>
                <w:sz w:val="22"/>
                <w:szCs w:val="22"/>
              </w:rPr>
            </w:pPr>
            <w:r w:rsidRPr="00C0031B">
              <w:rPr>
                <w:rFonts w:ascii="Times New Roman" w:hAnsi="Times New Roman" w:cs="Times New Roman"/>
                <w:b w:val="0"/>
                <w:bCs w:val="0"/>
                <w:sz w:val="22"/>
                <w:szCs w:val="22"/>
              </w:rPr>
              <w:t>43</w:t>
            </w:r>
          </w:p>
        </w:tc>
        <w:tc>
          <w:tcPr>
            <w:tcW w:w="2726" w:type="dxa"/>
          </w:tcPr>
          <w:p w:rsidR="00E579B1" w:rsidRPr="00C0031B" w:rsidRDefault="00E579B1" w:rsidP="00E579B1">
            <w:pPr>
              <w:bidi w:val="0"/>
              <w:spacing w:after="0"/>
              <w:jc w:val="center"/>
              <w:rPr>
                <w:rFonts w:ascii="Times New Roman" w:hAnsi="Times New Roman" w:cs="Times New Roman"/>
                <w:b w:val="0"/>
                <w:bCs w:val="0"/>
                <w:sz w:val="22"/>
                <w:szCs w:val="22"/>
              </w:rPr>
            </w:pPr>
            <w:r w:rsidRPr="00C0031B">
              <w:rPr>
                <w:rFonts w:ascii="Times New Roman" w:hAnsi="Times New Roman" w:cs="Times New Roman"/>
                <w:b w:val="0"/>
                <w:bCs w:val="0"/>
                <w:sz w:val="22"/>
                <w:szCs w:val="22"/>
              </w:rPr>
              <w:t>5.22</w:t>
            </w:r>
          </w:p>
        </w:tc>
        <w:tc>
          <w:tcPr>
            <w:tcW w:w="2519" w:type="dxa"/>
          </w:tcPr>
          <w:p w:rsidR="00E579B1" w:rsidRPr="00C0031B" w:rsidRDefault="00E579B1" w:rsidP="00E579B1">
            <w:pPr>
              <w:bidi w:val="0"/>
              <w:spacing w:after="0"/>
              <w:jc w:val="center"/>
              <w:rPr>
                <w:rFonts w:ascii="Times New Roman" w:hAnsi="Times New Roman" w:cs="Times New Roman"/>
                <w:b w:val="0"/>
                <w:bCs w:val="0"/>
                <w:sz w:val="22"/>
                <w:szCs w:val="22"/>
              </w:rPr>
            </w:pPr>
            <w:r w:rsidRPr="00C0031B">
              <w:rPr>
                <w:rFonts w:ascii="Times New Roman" w:hAnsi="Times New Roman" w:cs="Times New Roman"/>
                <w:b w:val="0"/>
                <w:bCs w:val="0"/>
                <w:sz w:val="22"/>
                <w:szCs w:val="22"/>
              </w:rPr>
              <w:t>48.22</w:t>
            </w:r>
          </w:p>
        </w:tc>
      </w:tr>
    </w:tbl>
    <w:p w:rsidR="00E579B1" w:rsidRDefault="00E579B1" w:rsidP="00E579B1">
      <w:pPr>
        <w:bidi w:val="0"/>
      </w:pPr>
    </w:p>
    <w:p w:rsidR="00505A8B" w:rsidRDefault="00505A8B" w:rsidP="00505A8B">
      <w:pPr>
        <w:rPr>
          <w:rtl/>
          <w:lang w:bidi="ar-JO"/>
        </w:rPr>
      </w:pPr>
    </w:p>
    <w:p w:rsidR="00505A8B" w:rsidRDefault="00505A8B" w:rsidP="00505A8B">
      <w:pPr>
        <w:rPr>
          <w:rtl/>
          <w:lang w:bidi="ar-JO"/>
        </w:rPr>
      </w:pPr>
    </w:p>
    <w:p w:rsidR="00B60C8F" w:rsidRPr="00F06631" w:rsidRDefault="00B60C8F" w:rsidP="00B66B27">
      <w:pPr>
        <w:pStyle w:val="Heading1"/>
        <w:pBdr>
          <w:bottom w:val="single" w:sz="4" w:space="1" w:color="auto"/>
        </w:pBdr>
        <w:bidi w:val="0"/>
        <w:jc w:val="center"/>
        <w:rPr>
          <w:rFonts w:asciiTheme="majorBidi" w:hAnsiTheme="majorBidi" w:cstheme="majorBidi"/>
          <w:b/>
          <w:bCs/>
        </w:rPr>
      </w:pPr>
      <w:bookmarkStart w:id="62" w:name="_Toc465255829"/>
      <w:bookmarkStart w:id="63" w:name="_Toc65354411"/>
      <w:r w:rsidRPr="00F06631">
        <w:rPr>
          <w:rFonts w:asciiTheme="majorBidi" w:hAnsiTheme="majorBidi" w:cstheme="majorBidi"/>
          <w:b/>
          <w:bCs/>
        </w:rPr>
        <w:lastRenderedPageBreak/>
        <w:t>Annex (3)</w:t>
      </w:r>
      <w:r w:rsidR="00B66B27">
        <w:rPr>
          <w:rFonts w:asciiTheme="majorBidi" w:hAnsiTheme="majorBidi" w:cstheme="majorBidi"/>
          <w:b/>
          <w:bCs/>
        </w:rPr>
        <w:t xml:space="preserve"> </w:t>
      </w:r>
      <w:r w:rsidRPr="00F06631">
        <w:rPr>
          <w:rFonts w:asciiTheme="majorBidi" w:hAnsiTheme="majorBidi" w:cstheme="majorBidi"/>
          <w:b/>
          <w:bCs/>
        </w:rPr>
        <w:t>Corresponding Deduction Approach</w:t>
      </w:r>
      <w:bookmarkEnd w:id="63"/>
    </w:p>
    <w:p w:rsidR="00D94A35" w:rsidRPr="00D94A35" w:rsidRDefault="00D94A35" w:rsidP="00D94A35">
      <w:pPr>
        <w:bidi w:val="0"/>
        <w:jc w:val="center"/>
        <w:rPr>
          <w:rFonts w:ascii="Times New Roman" w:hAnsi="Times New Roman" w:cs="Times New Roman"/>
          <w:sz w:val="28"/>
          <w:szCs w:val="28"/>
          <w:lang w:bidi="ar-JO"/>
        </w:rPr>
      </w:pPr>
    </w:p>
    <w:p w:rsidR="00B60C8F" w:rsidRPr="00B60C8F" w:rsidRDefault="00D94A35" w:rsidP="00B60C8F">
      <w:pPr>
        <w:bidi w:val="0"/>
        <w:jc w:val="right"/>
        <w:rPr>
          <w:rFonts w:ascii="Times New Roman" w:hAnsi="Times New Roman" w:cs="Times New Roman"/>
          <w:b w:val="0"/>
          <w:bCs w:val="0"/>
          <w:sz w:val="20"/>
          <w:szCs w:val="20"/>
          <w:lang w:bidi="ar-JO"/>
        </w:rPr>
      </w:pPr>
      <w:r>
        <w:rPr>
          <w:rFonts w:ascii="Times New Roman" w:hAnsi="Times New Roman" w:cs="Times New Roman"/>
          <w:b w:val="0"/>
          <w:bCs w:val="0"/>
          <w:sz w:val="20"/>
          <w:szCs w:val="20"/>
          <w:lang w:bidi="ar-JO"/>
        </w:rPr>
        <w:t>M</w:t>
      </w:r>
      <w:r w:rsidR="00B60C8F" w:rsidRPr="00B60C8F">
        <w:rPr>
          <w:rFonts w:ascii="Times New Roman" w:hAnsi="Times New Roman" w:cs="Times New Roman"/>
          <w:b w:val="0"/>
          <w:bCs w:val="0"/>
          <w:sz w:val="20"/>
          <w:szCs w:val="20"/>
          <w:lang w:bidi="ar-JO"/>
        </w:rPr>
        <w:t>illion</w:t>
      </w:r>
      <w:r>
        <w:rPr>
          <w:rFonts w:ascii="Times New Roman" w:hAnsi="Times New Roman" w:cs="Times New Roman"/>
          <w:b w:val="0"/>
          <w:bCs w:val="0"/>
          <w:sz w:val="20"/>
          <w:szCs w:val="20"/>
          <w:lang w:bidi="ar-JO"/>
        </w:rPr>
        <w:t xml:space="preserve"> JD</w:t>
      </w:r>
    </w:p>
    <w:tbl>
      <w:tblPr>
        <w:tblStyle w:val="TableGrid"/>
        <w:tblW w:w="0" w:type="auto"/>
        <w:tblLook w:val="04A0" w:firstRow="1" w:lastRow="0" w:firstColumn="1" w:lastColumn="0" w:noHBand="0" w:noVBand="1"/>
      </w:tblPr>
      <w:tblGrid>
        <w:gridCol w:w="6374"/>
        <w:gridCol w:w="1276"/>
        <w:gridCol w:w="1270"/>
      </w:tblGrid>
      <w:tr w:rsidR="00B60C8F" w:rsidTr="00D94A35">
        <w:tc>
          <w:tcPr>
            <w:tcW w:w="6374" w:type="dxa"/>
            <w:shd w:val="clear" w:color="auto" w:fill="EDEDED" w:themeFill="accent3" w:themeFillTint="33"/>
            <w:vAlign w:val="center"/>
          </w:tcPr>
          <w:p w:rsidR="00B60C8F" w:rsidRPr="00567026" w:rsidRDefault="00B60C8F" w:rsidP="00B60C8F">
            <w:pPr>
              <w:bidi w:val="0"/>
              <w:spacing w:after="0" w:line="276" w:lineRule="auto"/>
              <w:jc w:val="center"/>
              <w:rPr>
                <w:rFonts w:ascii="Times New Roman" w:hAnsi="Times New Roman" w:cs="Times New Roman"/>
                <w:sz w:val="22"/>
                <w:szCs w:val="22"/>
                <w:rtl/>
                <w:lang w:bidi="ar-JO"/>
              </w:rPr>
            </w:pPr>
            <w:r w:rsidRPr="00567026">
              <w:rPr>
                <w:rFonts w:ascii="Times New Roman" w:hAnsi="Times New Roman" w:cs="Times New Roman"/>
                <w:sz w:val="22"/>
                <w:szCs w:val="22"/>
                <w:lang w:bidi="ar-JO"/>
              </w:rPr>
              <w:t>Item</w:t>
            </w:r>
          </w:p>
        </w:tc>
        <w:tc>
          <w:tcPr>
            <w:tcW w:w="1276" w:type="dxa"/>
            <w:shd w:val="clear" w:color="auto" w:fill="EDEDED" w:themeFill="accent3" w:themeFillTint="33"/>
            <w:vAlign w:val="center"/>
          </w:tcPr>
          <w:p w:rsidR="00B60C8F" w:rsidRPr="00567026" w:rsidRDefault="00B60C8F" w:rsidP="00B60C8F">
            <w:pPr>
              <w:bidi w:val="0"/>
              <w:spacing w:after="0" w:line="276" w:lineRule="auto"/>
              <w:jc w:val="center"/>
              <w:rPr>
                <w:rFonts w:ascii="Times New Roman" w:hAnsi="Times New Roman" w:cs="Times New Roman"/>
                <w:sz w:val="22"/>
                <w:szCs w:val="22"/>
              </w:rPr>
            </w:pPr>
            <w:r w:rsidRPr="00567026">
              <w:rPr>
                <w:rFonts w:ascii="Times New Roman" w:hAnsi="Times New Roman" w:cs="Times New Roman"/>
                <w:color w:val="202124"/>
                <w:sz w:val="22"/>
                <w:szCs w:val="22"/>
                <w:lang w:val="en"/>
              </w:rPr>
              <w:t>Example</w:t>
            </w:r>
            <w:r w:rsidRPr="00567026">
              <w:rPr>
                <w:rFonts w:ascii="Times New Roman" w:hAnsi="Times New Roman" w:cs="Times New Roman"/>
                <w:color w:val="202124"/>
                <w:sz w:val="22"/>
                <w:szCs w:val="22"/>
                <w:rtl/>
                <w:lang w:val="en"/>
              </w:rPr>
              <w:t xml:space="preserve"> </w:t>
            </w:r>
            <w:r w:rsidRPr="00567026">
              <w:rPr>
                <w:rFonts w:ascii="Times New Roman" w:hAnsi="Times New Roman" w:cs="Times New Roman"/>
                <w:color w:val="202124"/>
                <w:sz w:val="22"/>
                <w:szCs w:val="22"/>
              </w:rPr>
              <w:t>1</w:t>
            </w:r>
          </w:p>
        </w:tc>
        <w:tc>
          <w:tcPr>
            <w:tcW w:w="1270" w:type="dxa"/>
            <w:shd w:val="clear" w:color="auto" w:fill="EDEDED" w:themeFill="accent3" w:themeFillTint="33"/>
            <w:vAlign w:val="center"/>
          </w:tcPr>
          <w:p w:rsidR="00B60C8F" w:rsidRPr="00567026" w:rsidRDefault="00B60C8F" w:rsidP="00B60C8F">
            <w:pPr>
              <w:bidi w:val="0"/>
              <w:spacing w:after="0" w:line="276" w:lineRule="auto"/>
              <w:jc w:val="center"/>
              <w:rPr>
                <w:rFonts w:ascii="Times New Roman" w:hAnsi="Times New Roman" w:cs="Times New Roman"/>
                <w:sz w:val="22"/>
                <w:szCs w:val="22"/>
              </w:rPr>
            </w:pPr>
            <w:r w:rsidRPr="00567026">
              <w:rPr>
                <w:rFonts w:ascii="Times New Roman" w:hAnsi="Times New Roman" w:cs="Times New Roman"/>
                <w:color w:val="202124"/>
                <w:sz w:val="22"/>
                <w:szCs w:val="22"/>
                <w:lang w:val="en"/>
              </w:rPr>
              <w:t>Example 2</w:t>
            </w:r>
          </w:p>
        </w:tc>
      </w:tr>
      <w:tr w:rsidR="00B60C8F" w:rsidTr="00567026">
        <w:tc>
          <w:tcPr>
            <w:tcW w:w="6374" w:type="dxa"/>
          </w:tcPr>
          <w:p w:rsidR="00B60C8F" w:rsidRPr="00D94A35" w:rsidRDefault="00B60C8F" w:rsidP="007735EC">
            <w:pPr>
              <w:bidi w:val="0"/>
              <w:spacing w:after="0" w:line="276" w:lineRule="auto"/>
              <w:jc w:val="left"/>
              <w:rPr>
                <w:rFonts w:ascii="Times New Roman" w:hAnsi="Times New Roman" w:cs="Times New Roman"/>
                <w:b w:val="0"/>
                <w:bCs w:val="0"/>
                <w:sz w:val="24"/>
                <w:szCs w:val="24"/>
              </w:rPr>
            </w:pPr>
            <w:r w:rsidRPr="00D94A35">
              <w:rPr>
                <w:rFonts w:ascii="Times New Roman" w:hAnsi="Times New Roman" w:cs="Times New Roman"/>
                <w:b w:val="0"/>
                <w:bCs w:val="0"/>
                <w:sz w:val="24"/>
                <w:szCs w:val="24"/>
              </w:rPr>
              <w:t>CET1</w:t>
            </w:r>
          </w:p>
        </w:tc>
        <w:tc>
          <w:tcPr>
            <w:tcW w:w="1276" w:type="dxa"/>
            <w:vAlign w:val="center"/>
          </w:tcPr>
          <w:p w:rsidR="00B60C8F" w:rsidRPr="00D94A35" w:rsidRDefault="007735EC" w:rsidP="00B60C8F">
            <w:pPr>
              <w:bidi w:val="0"/>
              <w:spacing w:after="0" w:line="276" w:lineRule="auto"/>
              <w:jc w:val="center"/>
              <w:rPr>
                <w:rFonts w:ascii="Times New Roman" w:hAnsi="Times New Roman" w:cs="Times New Roman"/>
                <w:b w:val="0"/>
                <w:bCs w:val="0"/>
                <w:sz w:val="24"/>
                <w:szCs w:val="24"/>
              </w:rPr>
            </w:pPr>
            <w:r w:rsidRPr="00D94A35">
              <w:rPr>
                <w:rFonts w:ascii="Times New Roman" w:hAnsi="Times New Roman" w:cs="Times New Roman"/>
                <w:b w:val="0"/>
                <w:bCs w:val="0"/>
                <w:sz w:val="24"/>
                <w:szCs w:val="24"/>
              </w:rPr>
              <w:t>95</w:t>
            </w:r>
          </w:p>
        </w:tc>
        <w:tc>
          <w:tcPr>
            <w:tcW w:w="1270" w:type="dxa"/>
            <w:vAlign w:val="center"/>
          </w:tcPr>
          <w:p w:rsidR="00B60C8F" w:rsidRPr="00D94A35" w:rsidRDefault="007735EC" w:rsidP="00B60C8F">
            <w:pPr>
              <w:bidi w:val="0"/>
              <w:spacing w:after="0" w:line="276" w:lineRule="auto"/>
              <w:jc w:val="center"/>
              <w:rPr>
                <w:rFonts w:ascii="Times New Roman" w:hAnsi="Times New Roman" w:cs="Times New Roman"/>
                <w:b w:val="0"/>
                <w:bCs w:val="0"/>
                <w:sz w:val="24"/>
                <w:szCs w:val="24"/>
              </w:rPr>
            </w:pPr>
            <w:r w:rsidRPr="00D94A35">
              <w:rPr>
                <w:rFonts w:ascii="Times New Roman" w:hAnsi="Times New Roman" w:cs="Times New Roman"/>
                <w:b w:val="0"/>
                <w:bCs w:val="0"/>
                <w:sz w:val="24"/>
                <w:szCs w:val="24"/>
              </w:rPr>
              <w:t>95</w:t>
            </w:r>
          </w:p>
        </w:tc>
      </w:tr>
      <w:tr w:rsidR="00B60C8F" w:rsidTr="00567026">
        <w:tc>
          <w:tcPr>
            <w:tcW w:w="6374" w:type="dxa"/>
          </w:tcPr>
          <w:p w:rsidR="00B60C8F" w:rsidRPr="00D94A35" w:rsidRDefault="007735EC" w:rsidP="00D94A35">
            <w:pPr>
              <w:bidi w:val="0"/>
              <w:spacing w:after="0" w:line="276" w:lineRule="auto"/>
              <w:rPr>
                <w:rFonts w:ascii="Times New Roman" w:hAnsi="Times New Roman" w:cs="Times New Roman"/>
                <w:b w:val="0"/>
                <w:bCs w:val="0"/>
                <w:sz w:val="24"/>
                <w:szCs w:val="24"/>
              </w:rPr>
            </w:pPr>
            <w:r w:rsidRPr="00D94A35">
              <w:rPr>
                <w:rStyle w:val="tlid-translation"/>
                <w:rFonts w:ascii="Times New Roman" w:hAnsi="Times New Roman" w:cs="Times New Roman"/>
                <w:b w:val="0"/>
                <w:bCs w:val="0"/>
                <w:sz w:val="24"/>
                <w:szCs w:val="24"/>
                <w:lang w:val="en" w:bidi="ar"/>
              </w:rPr>
              <w:t>Investments in the capital of banks, financial companies and insurance companies that are less than (10%) of the capital of these companies</w:t>
            </w:r>
          </w:p>
        </w:tc>
        <w:tc>
          <w:tcPr>
            <w:tcW w:w="1276" w:type="dxa"/>
            <w:vAlign w:val="center"/>
          </w:tcPr>
          <w:p w:rsidR="00B60C8F" w:rsidRPr="00D94A35" w:rsidRDefault="007735EC" w:rsidP="00B60C8F">
            <w:pPr>
              <w:bidi w:val="0"/>
              <w:spacing w:after="0" w:line="276" w:lineRule="auto"/>
              <w:jc w:val="center"/>
              <w:rPr>
                <w:rFonts w:ascii="Times New Roman" w:hAnsi="Times New Roman" w:cs="Times New Roman"/>
                <w:b w:val="0"/>
                <w:bCs w:val="0"/>
                <w:sz w:val="24"/>
                <w:szCs w:val="24"/>
              </w:rPr>
            </w:pPr>
            <w:r w:rsidRPr="00D94A35">
              <w:rPr>
                <w:rFonts w:ascii="Times New Roman" w:hAnsi="Times New Roman" w:cs="Times New Roman"/>
                <w:b w:val="0"/>
                <w:bCs w:val="0"/>
                <w:sz w:val="24"/>
                <w:szCs w:val="24"/>
              </w:rPr>
              <w:t>20</w:t>
            </w:r>
          </w:p>
        </w:tc>
        <w:tc>
          <w:tcPr>
            <w:tcW w:w="1270" w:type="dxa"/>
            <w:vAlign w:val="center"/>
          </w:tcPr>
          <w:p w:rsidR="00B60C8F" w:rsidRPr="00D94A35" w:rsidRDefault="007735EC" w:rsidP="00B60C8F">
            <w:pPr>
              <w:bidi w:val="0"/>
              <w:spacing w:after="0" w:line="276" w:lineRule="auto"/>
              <w:jc w:val="center"/>
              <w:rPr>
                <w:rFonts w:ascii="Times New Roman" w:hAnsi="Times New Roman" w:cs="Times New Roman"/>
                <w:b w:val="0"/>
                <w:bCs w:val="0"/>
                <w:sz w:val="24"/>
                <w:szCs w:val="24"/>
              </w:rPr>
            </w:pPr>
            <w:r w:rsidRPr="00D94A35">
              <w:rPr>
                <w:rFonts w:ascii="Times New Roman" w:hAnsi="Times New Roman" w:cs="Times New Roman"/>
                <w:b w:val="0"/>
                <w:bCs w:val="0"/>
                <w:sz w:val="24"/>
                <w:szCs w:val="24"/>
              </w:rPr>
              <w:t>20</w:t>
            </w:r>
          </w:p>
        </w:tc>
      </w:tr>
      <w:tr w:rsidR="00B60C8F" w:rsidTr="00567026">
        <w:tc>
          <w:tcPr>
            <w:tcW w:w="6374" w:type="dxa"/>
          </w:tcPr>
          <w:p w:rsidR="00B60C8F" w:rsidRPr="00D94A35" w:rsidRDefault="007735EC" w:rsidP="007735EC">
            <w:pPr>
              <w:bidi w:val="0"/>
              <w:spacing w:after="0" w:line="276" w:lineRule="auto"/>
              <w:jc w:val="left"/>
              <w:rPr>
                <w:rFonts w:ascii="Times New Roman" w:hAnsi="Times New Roman" w:cs="Times New Roman"/>
                <w:b w:val="0"/>
                <w:bCs w:val="0"/>
                <w:sz w:val="24"/>
                <w:szCs w:val="24"/>
              </w:rPr>
            </w:pPr>
            <w:r w:rsidRPr="00D94A35">
              <w:rPr>
                <w:rFonts w:ascii="Times New Roman" w:hAnsi="Times New Roman" w:cs="Times New Roman"/>
                <w:b w:val="0"/>
                <w:bCs w:val="0"/>
                <w:sz w:val="24"/>
                <w:szCs w:val="24"/>
              </w:rPr>
              <w:t xml:space="preserve">       CET1</w:t>
            </w:r>
          </w:p>
        </w:tc>
        <w:tc>
          <w:tcPr>
            <w:tcW w:w="1276" w:type="dxa"/>
            <w:vAlign w:val="center"/>
          </w:tcPr>
          <w:p w:rsidR="00B60C8F" w:rsidRPr="00D94A35" w:rsidRDefault="007735EC" w:rsidP="00B60C8F">
            <w:pPr>
              <w:bidi w:val="0"/>
              <w:spacing w:after="0" w:line="276" w:lineRule="auto"/>
              <w:jc w:val="center"/>
              <w:rPr>
                <w:rFonts w:ascii="Times New Roman" w:hAnsi="Times New Roman" w:cs="Times New Roman"/>
                <w:b w:val="0"/>
                <w:bCs w:val="0"/>
                <w:sz w:val="24"/>
                <w:szCs w:val="24"/>
              </w:rPr>
            </w:pPr>
            <w:r w:rsidRPr="00D94A35">
              <w:rPr>
                <w:rFonts w:ascii="Times New Roman" w:hAnsi="Times New Roman" w:cs="Times New Roman"/>
                <w:b w:val="0"/>
                <w:bCs w:val="0"/>
                <w:sz w:val="24"/>
                <w:szCs w:val="24"/>
              </w:rPr>
              <w:t>7</w:t>
            </w:r>
          </w:p>
        </w:tc>
        <w:tc>
          <w:tcPr>
            <w:tcW w:w="1270" w:type="dxa"/>
            <w:vAlign w:val="center"/>
          </w:tcPr>
          <w:p w:rsidR="00B60C8F" w:rsidRPr="00D94A35" w:rsidRDefault="007735EC" w:rsidP="00B60C8F">
            <w:pPr>
              <w:bidi w:val="0"/>
              <w:spacing w:after="0" w:line="276" w:lineRule="auto"/>
              <w:jc w:val="center"/>
              <w:rPr>
                <w:rFonts w:ascii="Times New Roman" w:hAnsi="Times New Roman" w:cs="Times New Roman"/>
                <w:b w:val="0"/>
                <w:bCs w:val="0"/>
                <w:sz w:val="24"/>
                <w:szCs w:val="24"/>
              </w:rPr>
            </w:pPr>
            <w:r w:rsidRPr="00D94A35">
              <w:rPr>
                <w:rFonts w:ascii="Times New Roman" w:hAnsi="Times New Roman" w:cs="Times New Roman"/>
                <w:b w:val="0"/>
                <w:bCs w:val="0"/>
                <w:sz w:val="24"/>
                <w:szCs w:val="24"/>
              </w:rPr>
              <w:t>20</w:t>
            </w:r>
          </w:p>
        </w:tc>
      </w:tr>
      <w:tr w:rsidR="00B60C8F" w:rsidTr="00567026">
        <w:tc>
          <w:tcPr>
            <w:tcW w:w="6374" w:type="dxa"/>
          </w:tcPr>
          <w:p w:rsidR="00B60C8F" w:rsidRPr="00D94A35" w:rsidRDefault="007735EC" w:rsidP="007735EC">
            <w:pPr>
              <w:bidi w:val="0"/>
              <w:spacing w:after="0" w:line="276" w:lineRule="auto"/>
              <w:jc w:val="left"/>
              <w:rPr>
                <w:rFonts w:ascii="Times New Roman" w:hAnsi="Times New Roman" w:cs="Times New Roman"/>
                <w:b w:val="0"/>
                <w:bCs w:val="0"/>
                <w:sz w:val="24"/>
                <w:szCs w:val="24"/>
              </w:rPr>
            </w:pPr>
            <w:r w:rsidRPr="00D94A35">
              <w:rPr>
                <w:rFonts w:ascii="Times New Roman" w:hAnsi="Times New Roman" w:cs="Times New Roman"/>
                <w:b w:val="0"/>
                <w:bCs w:val="0"/>
                <w:sz w:val="24"/>
                <w:szCs w:val="24"/>
              </w:rPr>
              <w:t xml:space="preserve">       AT1</w:t>
            </w:r>
          </w:p>
        </w:tc>
        <w:tc>
          <w:tcPr>
            <w:tcW w:w="1276" w:type="dxa"/>
            <w:vAlign w:val="center"/>
          </w:tcPr>
          <w:p w:rsidR="00B60C8F" w:rsidRPr="00D94A35" w:rsidRDefault="007735EC" w:rsidP="00B60C8F">
            <w:pPr>
              <w:bidi w:val="0"/>
              <w:spacing w:after="0" w:line="276" w:lineRule="auto"/>
              <w:jc w:val="center"/>
              <w:rPr>
                <w:rFonts w:ascii="Times New Roman" w:hAnsi="Times New Roman" w:cs="Times New Roman"/>
                <w:b w:val="0"/>
                <w:bCs w:val="0"/>
                <w:sz w:val="24"/>
                <w:szCs w:val="24"/>
              </w:rPr>
            </w:pPr>
            <w:r w:rsidRPr="00D94A35">
              <w:rPr>
                <w:rFonts w:ascii="Times New Roman" w:hAnsi="Times New Roman" w:cs="Times New Roman"/>
                <w:b w:val="0"/>
                <w:bCs w:val="0"/>
                <w:sz w:val="24"/>
                <w:szCs w:val="24"/>
              </w:rPr>
              <w:t>6</w:t>
            </w:r>
          </w:p>
        </w:tc>
        <w:tc>
          <w:tcPr>
            <w:tcW w:w="1270" w:type="dxa"/>
            <w:vAlign w:val="center"/>
          </w:tcPr>
          <w:p w:rsidR="00B60C8F" w:rsidRPr="00D94A35" w:rsidRDefault="007735EC" w:rsidP="00B60C8F">
            <w:pPr>
              <w:bidi w:val="0"/>
              <w:spacing w:after="0" w:line="276" w:lineRule="auto"/>
              <w:jc w:val="center"/>
              <w:rPr>
                <w:rFonts w:ascii="Times New Roman" w:hAnsi="Times New Roman" w:cs="Times New Roman"/>
                <w:b w:val="0"/>
                <w:bCs w:val="0"/>
                <w:sz w:val="24"/>
                <w:szCs w:val="24"/>
              </w:rPr>
            </w:pPr>
            <w:r w:rsidRPr="00D94A35">
              <w:rPr>
                <w:rFonts w:ascii="Times New Roman" w:hAnsi="Times New Roman" w:cs="Times New Roman"/>
                <w:b w:val="0"/>
                <w:bCs w:val="0"/>
                <w:sz w:val="24"/>
                <w:szCs w:val="24"/>
              </w:rPr>
              <w:t>0</w:t>
            </w:r>
          </w:p>
        </w:tc>
      </w:tr>
      <w:tr w:rsidR="007735EC" w:rsidTr="00567026">
        <w:tc>
          <w:tcPr>
            <w:tcW w:w="6374" w:type="dxa"/>
          </w:tcPr>
          <w:p w:rsidR="007735EC" w:rsidRPr="00D94A35" w:rsidRDefault="007735EC" w:rsidP="007735EC">
            <w:pPr>
              <w:bidi w:val="0"/>
              <w:spacing w:after="0" w:line="276" w:lineRule="auto"/>
              <w:jc w:val="left"/>
              <w:rPr>
                <w:rFonts w:ascii="Times New Roman" w:hAnsi="Times New Roman" w:cs="Times New Roman"/>
                <w:b w:val="0"/>
                <w:bCs w:val="0"/>
                <w:sz w:val="24"/>
                <w:szCs w:val="24"/>
              </w:rPr>
            </w:pPr>
            <w:r w:rsidRPr="00D94A35">
              <w:rPr>
                <w:rFonts w:ascii="Times New Roman" w:hAnsi="Times New Roman" w:cs="Times New Roman"/>
                <w:b w:val="0"/>
                <w:bCs w:val="0"/>
                <w:sz w:val="24"/>
                <w:szCs w:val="24"/>
              </w:rPr>
              <w:t xml:space="preserve">       T2</w:t>
            </w:r>
          </w:p>
        </w:tc>
        <w:tc>
          <w:tcPr>
            <w:tcW w:w="1276" w:type="dxa"/>
            <w:vAlign w:val="center"/>
          </w:tcPr>
          <w:p w:rsidR="007735EC" w:rsidRPr="00D94A35" w:rsidRDefault="007735EC" w:rsidP="00B60C8F">
            <w:pPr>
              <w:bidi w:val="0"/>
              <w:spacing w:after="0" w:line="276" w:lineRule="auto"/>
              <w:jc w:val="center"/>
              <w:rPr>
                <w:rFonts w:ascii="Times New Roman" w:hAnsi="Times New Roman" w:cs="Times New Roman"/>
                <w:b w:val="0"/>
                <w:bCs w:val="0"/>
                <w:sz w:val="24"/>
                <w:szCs w:val="24"/>
              </w:rPr>
            </w:pPr>
            <w:r w:rsidRPr="00D94A35">
              <w:rPr>
                <w:rFonts w:ascii="Times New Roman" w:hAnsi="Times New Roman" w:cs="Times New Roman"/>
                <w:b w:val="0"/>
                <w:bCs w:val="0"/>
                <w:sz w:val="24"/>
                <w:szCs w:val="24"/>
              </w:rPr>
              <w:t>7</w:t>
            </w:r>
          </w:p>
        </w:tc>
        <w:tc>
          <w:tcPr>
            <w:tcW w:w="1270" w:type="dxa"/>
            <w:vAlign w:val="center"/>
          </w:tcPr>
          <w:p w:rsidR="007735EC" w:rsidRPr="00D94A35" w:rsidRDefault="007735EC" w:rsidP="00B60C8F">
            <w:pPr>
              <w:bidi w:val="0"/>
              <w:spacing w:after="0" w:line="276" w:lineRule="auto"/>
              <w:jc w:val="center"/>
              <w:rPr>
                <w:rFonts w:ascii="Times New Roman" w:hAnsi="Times New Roman" w:cs="Times New Roman"/>
                <w:b w:val="0"/>
                <w:bCs w:val="0"/>
                <w:sz w:val="24"/>
                <w:szCs w:val="24"/>
              </w:rPr>
            </w:pPr>
            <w:r w:rsidRPr="00D94A35">
              <w:rPr>
                <w:rFonts w:ascii="Times New Roman" w:hAnsi="Times New Roman" w:cs="Times New Roman"/>
                <w:b w:val="0"/>
                <w:bCs w:val="0"/>
                <w:sz w:val="24"/>
                <w:szCs w:val="24"/>
              </w:rPr>
              <w:t>0</w:t>
            </w:r>
          </w:p>
        </w:tc>
      </w:tr>
      <w:tr w:rsidR="007735EC" w:rsidTr="00567026">
        <w:tc>
          <w:tcPr>
            <w:tcW w:w="6374" w:type="dxa"/>
          </w:tcPr>
          <w:p w:rsidR="007735EC" w:rsidRPr="00D94A35" w:rsidRDefault="00567026" w:rsidP="00567026">
            <w:pPr>
              <w:bidi w:val="0"/>
              <w:spacing w:after="0" w:line="276" w:lineRule="auto"/>
              <w:jc w:val="left"/>
              <w:rPr>
                <w:rFonts w:ascii="Times New Roman" w:hAnsi="Times New Roman" w:cs="Times New Roman"/>
                <w:b w:val="0"/>
                <w:bCs w:val="0"/>
                <w:sz w:val="24"/>
                <w:szCs w:val="24"/>
              </w:rPr>
            </w:pPr>
            <w:r>
              <w:rPr>
                <w:rFonts w:ascii="Times New Roman" w:hAnsi="Times New Roman" w:cs="Times New Roman"/>
                <w:b w:val="0"/>
                <w:bCs w:val="0"/>
                <w:sz w:val="24"/>
                <w:szCs w:val="24"/>
              </w:rPr>
              <w:t>(10%) o</w:t>
            </w:r>
            <w:r w:rsidR="007735EC" w:rsidRPr="00D94A35">
              <w:rPr>
                <w:rFonts w:ascii="Times New Roman" w:hAnsi="Times New Roman" w:cs="Times New Roman"/>
                <w:b w:val="0"/>
                <w:bCs w:val="0"/>
                <w:sz w:val="24"/>
                <w:szCs w:val="24"/>
              </w:rPr>
              <w:t xml:space="preserve">f </w:t>
            </w:r>
            <w:r>
              <w:rPr>
                <w:rFonts w:ascii="Times New Roman" w:hAnsi="Times New Roman" w:cs="Times New Roman"/>
                <w:b w:val="0"/>
                <w:bCs w:val="0"/>
                <w:sz w:val="24"/>
                <w:szCs w:val="24"/>
              </w:rPr>
              <w:t>CET1</w:t>
            </w:r>
            <w:r w:rsidR="007735EC" w:rsidRPr="00D94A35">
              <w:rPr>
                <w:rFonts w:ascii="Times New Roman" w:hAnsi="Times New Roman" w:cs="Times New Roman"/>
                <w:b w:val="0"/>
                <w:bCs w:val="0"/>
                <w:sz w:val="24"/>
                <w:szCs w:val="24"/>
              </w:rPr>
              <w:t xml:space="preserve"> </w:t>
            </w:r>
          </w:p>
        </w:tc>
        <w:tc>
          <w:tcPr>
            <w:tcW w:w="1276" w:type="dxa"/>
            <w:vAlign w:val="center"/>
          </w:tcPr>
          <w:p w:rsidR="007735EC" w:rsidRPr="00D94A35" w:rsidRDefault="007735EC" w:rsidP="00B60C8F">
            <w:pPr>
              <w:bidi w:val="0"/>
              <w:spacing w:after="0" w:line="276" w:lineRule="auto"/>
              <w:jc w:val="center"/>
              <w:rPr>
                <w:rFonts w:ascii="Times New Roman" w:hAnsi="Times New Roman" w:cs="Times New Roman"/>
                <w:b w:val="0"/>
                <w:bCs w:val="0"/>
                <w:sz w:val="24"/>
                <w:szCs w:val="24"/>
              </w:rPr>
            </w:pPr>
            <w:r w:rsidRPr="00D94A35">
              <w:rPr>
                <w:rFonts w:ascii="Times New Roman" w:hAnsi="Times New Roman" w:cs="Times New Roman"/>
                <w:b w:val="0"/>
                <w:bCs w:val="0"/>
                <w:sz w:val="24"/>
                <w:szCs w:val="24"/>
              </w:rPr>
              <w:t>9.5</w:t>
            </w:r>
          </w:p>
        </w:tc>
        <w:tc>
          <w:tcPr>
            <w:tcW w:w="1270" w:type="dxa"/>
            <w:vAlign w:val="center"/>
          </w:tcPr>
          <w:p w:rsidR="007735EC" w:rsidRPr="00D94A35" w:rsidRDefault="007735EC" w:rsidP="00B60C8F">
            <w:pPr>
              <w:bidi w:val="0"/>
              <w:spacing w:after="0" w:line="276" w:lineRule="auto"/>
              <w:jc w:val="center"/>
              <w:rPr>
                <w:rFonts w:ascii="Times New Roman" w:hAnsi="Times New Roman" w:cs="Times New Roman"/>
                <w:b w:val="0"/>
                <w:bCs w:val="0"/>
                <w:sz w:val="24"/>
                <w:szCs w:val="24"/>
              </w:rPr>
            </w:pPr>
            <w:r w:rsidRPr="00D94A35">
              <w:rPr>
                <w:rFonts w:ascii="Times New Roman" w:hAnsi="Times New Roman" w:cs="Times New Roman"/>
                <w:b w:val="0"/>
                <w:bCs w:val="0"/>
                <w:sz w:val="24"/>
                <w:szCs w:val="24"/>
              </w:rPr>
              <w:t>9.5</w:t>
            </w:r>
          </w:p>
        </w:tc>
      </w:tr>
      <w:tr w:rsidR="007735EC" w:rsidTr="00567026">
        <w:tc>
          <w:tcPr>
            <w:tcW w:w="6374" w:type="dxa"/>
          </w:tcPr>
          <w:p w:rsidR="007735EC" w:rsidRPr="00D94A35" w:rsidRDefault="007735EC" w:rsidP="007735EC">
            <w:pPr>
              <w:bidi w:val="0"/>
              <w:spacing w:after="0" w:line="276" w:lineRule="auto"/>
              <w:jc w:val="left"/>
              <w:rPr>
                <w:rFonts w:ascii="Times New Roman" w:hAnsi="Times New Roman" w:cs="Times New Roman"/>
                <w:b w:val="0"/>
                <w:bCs w:val="0"/>
                <w:sz w:val="24"/>
                <w:szCs w:val="24"/>
              </w:rPr>
            </w:pPr>
            <w:r w:rsidRPr="00D94A35">
              <w:rPr>
                <w:rFonts w:ascii="Times New Roman" w:hAnsi="Times New Roman" w:cs="Times New Roman"/>
                <w:b w:val="0"/>
                <w:bCs w:val="0"/>
                <w:sz w:val="24"/>
                <w:szCs w:val="24"/>
              </w:rPr>
              <w:t>Investments exceed 10% of the bank’s common equity</w:t>
            </w:r>
            <w:r w:rsidR="00567026">
              <w:rPr>
                <w:rFonts w:ascii="Times New Roman" w:hAnsi="Times New Roman" w:cs="Times New Roman"/>
                <w:b w:val="0"/>
                <w:bCs w:val="0"/>
                <w:sz w:val="24"/>
                <w:szCs w:val="24"/>
              </w:rPr>
              <w:t xml:space="preserve"> CET1</w:t>
            </w:r>
          </w:p>
        </w:tc>
        <w:tc>
          <w:tcPr>
            <w:tcW w:w="1276" w:type="dxa"/>
            <w:vAlign w:val="center"/>
          </w:tcPr>
          <w:p w:rsidR="007735EC" w:rsidRPr="00D94A35" w:rsidRDefault="007735EC" w:rsidP="00B60C8F">
            <w:pPr>
              <w:bidi w:val="0"/>
              <w:spacing w:after="0" w:line="276" w:lineRule="auto"/>
              <w:jc w:val="center"/>
              <w:rPr>
                <w:rFonts w:ascii="Times New Roman" w:hAnsi="Times New Roman" w:cs="Times New Roman"/>
                <w:b w:val="0"/>
                <w:bCs w:val="0"/>
                <w:sz w:val="24"/>
                <w:szCs w:val="24"/>
              </w:rPr>
            </w:pPr>
            <w:r w:rsidRPr="00D94A35">
              <w:rPr>
                <w:rFonts w:ascii="Times New Roman" w:hAnsi="Times New Roman" w:cs="Times New Roman"/>
                <w:b w:val="0"/>
                <w:bCs w:val="0"/>
                <w:sz w:val="24"/>
                <w:szCs w:val="24"/>
              </w:rPr>
              <w:t>10.5</w:t>
            </w:r>
          </w:p>
        </w:tc>
        <w:tc>
          <w:tcPr>
            <w:tcW w:w="1270" w:type="dxa"/>
            <w:vAlign w:val="center"/>
          </w:tcPr>
          <w:p w:rsidR="007735EC" w:rsidRPr="00D94A35" w:rsidRDefault="007735EC" w:rsidP="00B60C8F">
            <w:pPr>
              <w:bidi w:val="0"/>
              <w:spacing w:after="0" w:line="276" w:lineRule="auto"/>
              <w:jc w:val="center"/>
              <w:rPr>
                <w:rFonts w:ascii="Times New Roman" w:hAnsi="Times New Roman" w:cs="Times New Roman"/>
                <w:b w:val="0"/>
                <w:bCs w:val="0"/>
                <w:sz w:val="24"/>
                <w:szCs w:val="24"/>
              </w:rPr>
            </w:pPr>
            <w:r w:rsidRPr="00D94A35">
              <w:rPr>
                <w:rFonts w:ascii="Times New Roman" w:hAnsi="Times New Roman" w:cs="Times New Roman"/>
                <w:b w:val="0"/>
                <w:bCs w:val="0"/>
                <w:sz w:val="24"/>
                <w:szCs w:val="24"/>
              </w:rPr>
              <w:t>10.5</w:t>
            </w:r>
          </w:p>
        </w:tc>
      </w:tr>
      <w:tr w:rsidR="007735EC" w:rsidTr="00567026">
        <w:tc>
          <w:tcPr>
            <w:tcW w:w="6374" w:type="dxa"/>
          </w:tcPr>
          <w:p w:rsidR="007735EC" w:rsidRPr="00D94A35" w:rsidRDefault="007735EC" w:rsidP="007735EC">
            <w:pPr>
              <w:bidi w:val="0"/>
              <w:spacing w:after="0" w:line="276" w:lineRule="auto"/>
              <w:jc w:val="left"/>
              <w:rPr>
                <w:rFonts w:ascii="Times New Roman" w:hAnsi="Times New Roman" w:cs="Times New Roman"/>
                <w:b w:val="0"/>
                <w:bCs w:val="0"/>
                <w:sz w:val="24"/>
                <w:szCs w:val="24"/>
              </w:rPr>
            </w:pPr>
            <w:r w:rsidRPr="00D94A35">
              <w:rPr>
                <w:rFonts w:ascii="Times New Roman" w:hAnsi="Times New Roman" w:cs="Times New Roman"/>
                <w:b w:val="0"/>
                <w:bCs w:val="0"/>
                <w:sz w:val="24"/>
                <w:szCs w:val="24"/>
              </w:rPr>
              <w:t>Deduction from CET1   10.5*7/20  Or 10.5*20/20</w:t>
            </w:r>
          </w:p>
        </w:tc>
        <w:tc>
          <w:tcPr>
            <w:tcW w:w="1276" w:type="dxa"/>
            <w:vAlign w:val="center"/>
          </w:tcPr>
          <w:p w:rsidR="007735EC" w:rsidRPr="00D94A35" w:rsidRDefault="007735EC" w:rsidP="00B60C8F">
            <w:pPr>
              <w:bidi w:val="0"/>
              <w:spacing w:after="0" w:line="276" w:lineRule="auto"/>
              <w:jc w:val="center"/>
              <w:rPr>
                <w:rFonts w:ascii="Times New Roman" w:hAnsi="Times New Roman" w:cs="Times New Roman"/>
                <w:b w:val="0"/>
                <w:bCs w:val="0"/>
                <w:sz w:val="24"/>
                <w:szCs w:val="24"/>
              </w:rPr>
            </w:pPr>
            <w:r w:rsidRPr="00D94A35">
              <w:rPr>
                <w:rFonts w:ascii="Times New Roman" w:hAnsi="Times New Roman" w:cs="Times New Roman"/>
                <w:b w:val="0"/>
                <w:bCs w:val="0"/>
                <w:sz w:val="24"/>
                <w:szCs w:val="24"/>
              </w:rPr>
              <w:t>3.675</w:t>
            </w:r>
          </w:p>
        </w:tc>
        <w:tc>
          <w:tcPr>
            <w:tcW w:w="1270" w:type="dxa"/>
            <w:vAlign w:val="center"/>
          </w:tcPr>
          <w:p w:rsidR="007735EC" w:rsidRPr="00D94A35" w:rsidRDefault="007735EC" w:rsidP="00B60C8F">
            <w:pPr>
              <w:bidi w:val="0"/>
              <w:spacing w:after="0" w:line="276" w:lineRule="auto"/>
              <w:jc w:val="center"/>
              <w:rPr>
                <w:rFonts w:ascii="Times New Roman" w:hAnsi="Times New Roman" w:cs="Times New Roman"/>
                <w:b w:val="0"/>
                <w:bCs w:val="0"/>
                <w:sz w:val="24"/>
                <w:szCs w:val="24"/>
              </w:rPr>
            </w:pPr>
            <w:r w:rsidRPr="00D94A35">
              <w:rPr>
                <w:rFonts w:ascii="Times New Roman" w:hAnsi="Times New Roman" w:cs="Times New Roman"/>
                <w:b w:val="0"/>
                <w:bCs w:val="0"/>
                <w:sz w:val="24"/>
                <w:szCs w:val="24"/>
              </w:rPr>
              <w:t>10.5</w:t>
            </w:r>
          </w:p>
        </w:tc>
      </w:tr>
      <w:tr w:rsidR="007735EC" w:rsidTr="00567026">
        <w:tc>
          <w:tcPr>
            <w:tcW w:w="6374" w:type="dxa"/>
          </w:tcPr>
          <w:p w:rsidR="007735EC" w:rsidRPr="00D94A35" w:rsidRDefault="007735EC" w:rsidP="007735EC">
            <w:pPr>
              <w:bidi w:val="0"/>
              <w:spacing w:after="0" w:line="276" w:lineRule="auto"/>
              <w:jc w:val="left"/>
              <w:rPr>
                <w:rFonts w:ascii="Times New Roman" w:hAnsi="Times New Roman" w:cs="Times New Roman"/>
                <w:b w:val="0"/>
                <w:bCs w:val="0"/>
                <w:sz w:val="24"/>
                <w:szCs w:val="24"/>
              </w:rPr>
            </w:pPr>
            <w:r w:rsidRPr="00D94A35">
              <w:rPr>
                <w:rFonts w:ascii="Times New Roman" w:hAnsi="Times New Roman" w:cs="Times New Roman"/>
                <w:b w:val="0"/>
                <w:bCs w:val="0"/>
                <w:sz w:val="24"/>
                <w:szCs w:val="24"/>
              </w:rPr>
              <w:t>Deduction from AT1     10.5*6/20  Or 10.5*0/20</w:t>
            </w:r>
          </w:p>
        </w:tc>
        <w:tc>
          <w:tcPr>
            <w:tcW w:w="1276" w:type="dxa"/>
            <w:vAlign w:val="center"/>
          </w:tcPr>
          <w:p w:rsidR="007735EC" w:rsidRPr="00D94A35" w:rsidRDefault="007735EC" w:rsidP="00B60C8F">
            <w:pPr>
              <w:bidi w:val="0"/>
              <w:spacing w:after="0" w:line="276" w:lineRule="auto"/>
              <w:jc w:val="center"/>
              <w:rPr>
                <w:rFonts w:ascii="Times New Roman" w:hAnsi="Times New Roman" w:cs="Times New Roman"/>
                <w:b w:val="0"/>
                <w:bCs w:val="0"/>
                <w:sz w:val="24"/>
                <w:szCs w:val="24"/>
              </w:rPr>
            </w:pPr>
            <w:r w:rsidRPr="00D94A35">
              <w:rPr>
                <w:rFonts w:ascii="Times New Roman" w:hAnsi="Times New Roman" w:cs="Times New Roman"/>
                <w:b w:val="0"/>
                <w:bCs w:val="0"/>
                <w:sz w:val="24"/>
                <w:szCs w:val="24"/>
              </w:rPr>
              <w:t>3.15</w:t>
            </w:r>
          </w:p>
        </w:tc>
        <w:tc>
          <w:tcPr>
            <w:tcW w:w="1270" w:type="dxa"/>
            <w:vAlign w:val="center"/>
          </w:tcPr>
          <w:p w:rsidR="007735EC" w:rsidRPr="00D94A35" w:rsidRDefault="007735EC" w:rsidP="00B60C8F">
            <w:pPr>
              <w:bidi w:val="0"/>
              <w:spacing w:after="0" w:line="276" w:lineRule="auto"/>
              <w:jc w:val="center"/>
              <w:rPr>
                <w:rFonts w:ascii="Times New Roman" w:hAnsi="Times New Roman" w:cs="Times New Roman"/>
                <w:b w:val="0"/>
                <w:bCs w:val="0"/>
                <w:sz w:val="24"/>
                <w:szCs w:val="24"/>
              </w:rPr>
            </w:pPr>
            <w:r w:rsidRPr="00D94A35">
              <w:rPr>
                <w:rFonts w:ascii="Times New Roman" w:hAnsi="Times New Roman" w:cs="Times New Roman"/>
                <w:b w:val="0"/>
                <w:bCs w:val="0"/>
                <w:sz w:val="24"/>
                <w:szCs w:val="24"/>
              </w:rPr>
              <w:t>0</w:t>
            </w:r>
          </w:p>
        </w:tc>
      </w:tr>
      <w:tr w:rsidR="007735EC" w:rsidTr="00567026">
        <w:tc>
          <w:tcPr>
            <w:tcW w:w="6374" w:type="dxa"/>
          </w:tcPr>
          <w:p w:rsidR="007735EC" w:rsidRPr="00D94A35" w:rsidRDefault="007735EC" w:rsidP="007735EC">
            <w:pPr>
              <w:bidi w:val="0"/>
              <w:spacing w:after="0" w:line="276" w:lineRule="auto"/>
              <w:jc w:val="left"/>
              <w:rPr>
                <w:rFonts w:ascii="Times New Roman" w:hAnsi="Times New Roman" w:cs="Times New Roman"/>
                <w:b w:val="0"/>
                <w:bCs w:val="0"/>
                <w:sz w:val="24"/>
                <w:szCs w:val="24"/>
              </w:rPr>
            </w:pPr>
            <w:r w:rsidRPr="00D94A35">
              <w:rPr>
                <w:rFonts w:ascii="Times New Roman" w:hAnsi="Times New Roman" w:cs="Times New Roman"/>
                <w:b w:val="0"/>
                <w:bCs w:val="0"/>
                <w:sz w:val="24"/>
                <w:szCs w:val="24"/>
              </w:rPr>
              <w:t>Deduction from T2        10.5*7/20  Or 10.5*0/20</w:t>
            </w:r>
          </w:p>
        </w:tc>
        <w:tc>
          <w:tcPr>
            <w:tcW w:w="1276" w:type="dxa"/>
            <w:vAlign w:val="center"/>
          </w:tcPr>
          <w:p w:rsidR="007735EC" w:rsidRPr="00D94A35" w:rsidRDefault="007735EC" w:rsidP="00B60C8F">
            <w:pPr>
              <w:bidi w:val="0"/>
              <w:spacing w:after="0" w:line="276" w:lineRule="auto"/>
              <w:jc w:val="center"/>
              <w:rPr>
                <w:rFonts w:ascii="Times New Roman" w:hAnsi="Times New Roman" w:cs="Times New Roman"/>
                <w:b w:val="0"/>
                <w:bCs w:val="0"/>
                <w:sz w:val="24"/>
                <w:szCs w:val="24"/>
              </w:rPr>
            </w:pPr>
            <w:r w:rsidRPr="00D94A35">
              <w:rPr>
                <w:rFonts w:ascii="Times New Roman" w:hAnsi="Times New Roman" w:cs="Times New Roman"/>
                <w:b w:val="0"/>
                <w:bCs w:val="0"/>
                <w:sz w:val="24"/>
                <w:szCs w:val="24"/>
              </w:rPr>
              <w:t>3.675</w:t>
            </w:r>
          </w:p>
        </w:tc>
        <w:tc>
          <w:tcPr>
            <w:tcW w:w="1270" w:type="dxa"/>
            <w:vAlign w:val="center"/>
          </w:tcPr>
          <w:p w:rsidR="007735EC" w:rsidRPr="00D94A35" w:rsidRDefault="007735EC" w:rsidP="00B60C8F">
            <w:pPr>
              <w:bidi w:val="0"/>
              <w:spacing w:after="0" w:line="276" w:lineRule="auto"/>
              <w:jc w:val="center"/>
              <w:rPr>
                <w:rFonts w:ascii="Times New Roman" w:hAnsi="Times New Roman" w:cs="Times New Roman"/>
                <w:b w:val="0"/>
                <w:bCs w:val="0"/>
                <w:sz w:val="24"/>
                <w:szCs w:val="24"/>
              </w:rPr>
            </w:pPr>
            <w:r w:rsidRPr="00D94A35">
              <w:rPr>
                <w:rFonts w:ascii="Times New Roman" w:hAnsi="Times New Roman" w:cs="Times New Roman"/>
                <w:b w:val="0"/>
                <w:bCs w:val="0"/>
                <w:sz w:val="24"/>
                <w:szCs w:val="24"/>
              </w:rPr>
              <w:t>0</w:t>
            </w:r>
          </w:p>
        </w:tc>
      </w:tr>
      <w:tr w:rsidR="007735EC" w:rsidTr="00567026">
        <w:tc>
          <w:tcPr>
            <w:tcW w:w="6374" w:type="dxa"/>
          </w:tcPr>
          <w:p w:rsidR="007735EC" w:rsidRPr="00D94A35" w:rsidRDefault="00A20410" w:rsidP="007735EC">
            <w:pPr>
              <w:bidi w:val="0"/>
              <w:spacing w:after="0" w:line="276" w:lineRule="auto"/>
              <w:jc w:val="left"/>
              <w:rPr>
                <w:rFonts w:ascii="Times New Roman" w:hAnsi="Times New Roman" w:cs="Times New Roman"/>
                <w:b w:val="0"/>
                <w:bCs w:val="0"/>
                <w:sz w:val="24"/>
                <w:szCs w:val="24"/>
              </w:rPr>
            </w:pPr>
            <w:r w:rsidRPr="00D94A35">
              <w:rPr>
                <w:rFonts w:ascii="Times New Roman" w:hAnsi="Times New Roman" w:cs="Times New Roman"/>
                <w:b w:val="0"/>
                <w:bCs w:val="0"/>
                <w:color w:val="202124"/>
                <w:sz w:val="24"/>
                <w:szCs w:val="24"/>
                <w:lang w:val="en"/>
              </w:rPr>
              <w:t>The remaining investments are weighed in proportion to their risk weight</w:t>
            </w:r>
          </w:p>
        </w:tc>
        <w:tc>
          <w:tcPr>
            <w:tcW w:w="1276" w:type="dxa"/>
            <w:vAlign w:val="center"/>
          </w:tcPr>
          <w:p w:rsidR="007735EC" w:rsidRPr="00D94A35" w:rsidRDefault="00A20410" w:rsidP="00B60C8F">
            <w:pPr>
              <w:bidi w:val="0"/>
              <w:spacing w:after="0" w:line="276" w:lineRule="auto"/>
              <w:jc w:val="center"/>
              <w:rPr>
                <w:rFonts w:ascii="Times New Roman" w:hAnsi="Times New Roman" w:cs="Times New Roman"/>
                <w:b w:val="0"/>
                <w:bCs w:val="0"/>
                <w:sz w:val="24"/>
                <w:szCs w:val="24"/>
              </w:rPr>
            </w:pPr>
            <w:r w:rsidRPr="00D94A35">
              <w:rPr>
                <w:rFonts w:ascii="Times New Roman" w:hAnsi="Times New Roman" w:cs="Times New Roman"/>
                <w:b w:val="0"/>
                <w:bCs w:val="0"/>
                <w:sz w:val="24"/>
                <w:szCs w:val="24"/>
              </w:rPr>
              <w:t>9.5</w:t>
            </w:r>
          </w:p>
        </w:tc>
        <w:tc>
          <w:tcPr>
            <w:tcW w:w="1270" w:type="dxa"/>
            <w:vAlign w:val="center"/>
          </w:tcPr>
          <w:p w:rsidR="007735EC" w:rsidRPr="00D94A35" w:rsidRDefault="00A20410" w:rsidP="00B60C8F">
            <w:pPr>
              <w:bidi w:val="0"/>
              <w:spacing w:after="0" w:line="276" w:lineRule="auto"/>
              <w:jc w:val="center"/>
              <w:rPr>
                <w:rFonts w:ascii="Times New Roman" w:hAnsi="Times New Roman" w:cs="Times New Roman"/>
                <w:b w:val="0"/>
                <w:bCs w:val="0"/>
                <w:sz w:val="24"/>
                <w:szCs w:val="24"/>
              </w:rPr>
            </w:pPr>
            <w:r w:rsidRPr="00D94A35">
              <w:rPr>
                <w:rFonts w:ascii="Times New Roman" w:hAnsi="Times New Roman" w:cs="Times New Roman"/>
                <w:b w:val="0"/>
                <w:bCs w:val="0"/>
                <w:sz w:val="24"/>
                <w:szCs w:val="24"/>
              </w:rPr>
              <w:t>9.5</w:t>
            </w:r>
          </w:p>
        </w:tc>
      </w:tr>
      <w:bookmarkEnd w:id="62"/>
    </w:tbl>
    <w:p w:rsidR="00505A8B" w:rsidRDefault="00505A8B" w:rsidP="00505A8B">
      <w:pPr>
        <w:rPr>
          <w:lang w:bidi="ar-JO"/>
        </w:rPr>
      </w:pPr>
    </w:p>
    <w:p w:rsidR="00505A8B" w:rsidRDefault="00505A8B" w:rsidP="00505A8B">
      <w:pPr>
        <w:rPr>
          <w:lang w:bidi="ar-JO"/>
        </w:rPr>
      </w:pPr>
    </w:p>
    <w:p w:rsidR="00505A8B" w:rsidRDefault="00505A8B" w:rsidP="00505A8B">
      <w:pPr>
        <w:rPr>
          <w:rtl/>
          <w:lang w:bidi="ar-JO"/>
        </w:rPr>
      </w:pPr>
    </w:p>
    <w:p w:rsidR="00505A8B" w:rsidRDefault="00505A8B" w:rsidP="00505A8B">
      <w:pPr>
        <w:rPr>
          <w:rtl/>
          <w:lang w:bidi="ar-JO"/>
        </w:rPr>
      </w:pPr>
    </w:p>
    <w:p w:rsidR="00505A8B" w:rsidRDefault="00505A8B" w:rsidP="00505A8B">
      <w:pPr>
        <w:rPr>
          <w:rtl/>
          <w:lang w:bidi="ar-JO"/>
        </w:rPr>
      </w:pPr>
    </w:p>
    <w:p w:rsidR="00505A8B" w:rsidRDefault="00505A8B" w:rsidP="00505A8B">
      <w:pPr>
        <w:rPr>
          <w:rtl/>
          <w:lang w:bidi="ar-JO"/>
        </w:rPr>
      </w:pPr>
    </w:p>
    <w:p w:rsidR="00505A8B" w:rsidRDefault="00505A8B" w:rsidP="00505A8B">
      <w:pPr>
        <w:rPr>
          <w:rtl/>
          <w:lang w:bidi="ar-JO"/>
        </w:rPr>
      </w:pPr>
    </w:p>
    <w:p w:rsidR="00505A8B" w:rsidRDefault="00505A8B" w:rsidP="00505A8B">
      <w:pPr>
        <w:rPr>
          <w:lang w:bidi="ar-JO"/>
        </w:rPr>
      </w:pPr>
    </w:p>
    <w:p w:rsidR="00D94A35" w:rsidRDefault="00D94A35" w:rsidP="00505A8B">
      <w:pPr>
        <w:rPr>
          <w:lang w:bidi="ar-JO"/>
        </w:rPr>
      </w:pPr>
    </w:p>
    <w:p w:rsidR="00D94A35" w:rsidRDefault="00D94A35" w:rsidP="00505A8B">
      <w:pPr>
        <w:rPr>
          <w:lang w:bidi="ar-JO"/>
        </w:rPr>
      </w:pPr>
    </w:p>
    <w:p w:rsidR="00D94A35" w:rsidRDefault="00D94A35" w:rsidP="00505A8B">
      <w:pPr>
        <w:rPr>
          <w:rtl/>
          <w:lang w:bidi="ar-JO"/>
        </w:rPr>
      </w:pPr>
    </w:p>
    <w:p w:rsidR="00505A8B" w:rsidRDefault="00505A8B" w:rsidP="00505A8B">
      <w:pPr>
        <w:rPr>
          <w:lang w:bidi="ar-JO"/>
        </w:rPr>
      </w:pPr>
    </w:p>
    <w:p w:rsidR="00C0031B" w:rsidRDefault="00C0031B" w:rsidP="00505A8B">
      <w:pPr>
        <w:rPr>
          <w:lang w:bidi="ar-JO"/>
        </w:rPr>
      </w:pPr>
    </w:p>
    <w:p w:rsidR="00F06631" w:rsidRDefault="00F06631" w:rsidP="00505A8B">
      <w:pPr>
        <w:rPr>
          <w:rtl/>
          <w:lang w:bidi="ar-JO"/>
        </w:rPr>
      </w:pPr>
    </w:p>
    <w:p w:rsidR="00A20410" w:rsidRPr="00F06631" w:rsidRDefault="00A20410" w:rsidP="00B66B27">
      <w:pPr>
        <w:pStyle w:val="Heading1"/>
        <w:pBdr>
          <w:bottom w:val="single" w:sz="4" w:space="1" w:color="auto"/>
        </w:pBdr>
        <w:bidi w:val="0"/>
        <w:jc w:val="center"/>
        <w:rPr>
          <w:rFonts w:asciiTheme="majorBidi" w:hAnsiTheme="majorBidi" w:cstheme="majorBidi"/>
          <w:b/>
          <w:bCs/>
        </w:rPr>
      </w:pPr>
      <w:bookmarkStart w:id="64" w:name="_Toc65354412"/>
      <w:r w:rsidRPr="00F06631">
        <w:rPr>
          <w:rFonts w:asciiTheme="majorBidi" w:hAnsiTheme="majorBidi" w:cstheme="majorBidi"/>
          <w:b/>
          <w:bCs/>
        </w:rPr>
        <w:lastRenderedPageBreak/>
        <w:t xml:space="preserve">Annex (4) </w:t>
      </w:r>
      <w:bookmarkStart w:id="65" w:name="_Toc465255830"/>
      <w:r w:rsidRPr="00F06631">
        <w:rPr>
          <w:rFonts w:asciiTheme="majorBidi" w:hAnsiTheme="majorBidi" w:cstheme="majorBidi"/>
          <w:b/>
          <w:bCs/>
        </w:rPr>
        <w:t>Threshold deductions illustrative example</w:t>
      </w:r>
      <w:bookmarkEnd w:id="64"/>
    </w:p>
    <w:p w:rsidR="00F06631" w:rsidRPr="00B66B27" w:rsidRDefault="00F06631" w:rsidP="00F06631">
      <w:pPr>
        <w:bidi w:val="0"/>
        <w:rPr>
          <w:sz w:val="12"/>
          <w:szCs w:val="12"/>
          <w:lang w:bidi="ar-JO"/>
        </w:rPr>
      </w:pPr>
    </w:p>
    <w:tbl>
      <w:tblPr>
        <w:tblStyle w:val="TableGrid"/>
        <w:bidiVisual/>
        <w:tblW w:w="0" w:type="auto"/>
        <w:tblLook w:val="04A0" w:firstRow="1" w:lastRow="0" w:firstColumn="1" w:lastColumn="0" w:noHBand="0" w:noVBand="1"/>
      </w:tblPr>
      <w:tblGrid>
        <w:gridCol w:w="2409"/>
        <w:gridCol w:w="6511"/>
      </w:tblGrid>
      <w:tr w:rsidR="00A20410" w:rsidRPr="00C0031B" w:rsidTr="00FB10DF">
        <w:tc>
          <w:tcPr>
            <w:tcW w:w="2409" w:type="dxa"/>
            <w:shd w:val="clear" w:color="auto" w:fill="EDEDED" w:themeFill="accent3" w:themeFillTint="33"/>
          </w:tcPr>
          <w:bookmarkEnd w:id="65"/>
          <w:p w:rsidR="00A20410" w:rsidRPr="00C0031B" w:rsidRDefault="00BD7B5D" w:rsidP="00BD7B5D">
            <w:pPr>
              <w:bidi w:val="0"/>
              <w:jc w:val="center"/>
              <w:rPr>
                <w:rFonts w:ascii="Times New Roman" w:hAnsi="Times New Roman" w:cs="Times New Roman"/>
                <w:sz w:val="22"/>
                <w:szCs w:val="22"/>
                <w:rtl/>
                <w:lang w:bidi="ar-JO"/>
              </w:rPr>
            </w:pPr>
            <w:r w:rsidRPr="00C0031B">
              <w:rPr>
                <w:rFonts w:ascii="Times New Roman" w:hAnsi="Times New Roman" w:cs="Times New Roman"/>
                <w:sz w:val="22"/>
                <w:szCs w:val="22"/>
                <w:lang w:bidi="ar-JO"/>
              </w:rPr>
              <w:t>Million JD</w:t>
            </w:r>
          </w:p>
        </w:tc>
        <w:tc>
          <w:tcPr>
            <w:tcW w:w="6511" w:type="dxa"/>
            <w:shd w:val="clear" w:color="auto" w:fill="EDEDED" w:themeFill="accent3" w:themeFillTint="33"/>
          </w:tcPr>
          <w:p w:rsidR="00A20410" w:rsidRPr="00C0031B" w:rsidRDefault="00BD7B5D" w:rsidP="00BD7B5D">
            <w:pPr>
              <w:bidi w:val="0"/>
              <w:jc w:val="center"/>
              <w:rPr>
                <w:rFonts w:ascii="Times New Roman" w:hAnsi="Times New Roman" w:cs="Times New Roman"/>
                <w:sz w:val="22"/>
                <w:szCs w:val="22"/>
                <w:rtl/>
                <w:lang w:bidi="ar-JO"/>
              </w:rPr>
            </w:pPr>
            <w:r w:rsidRPr="00C0031B">
              <w:rPr>
                <w:rFonts w:ascii="Times New Roman" w:hAnsi="Times New Roman" w:cs="Times New Roman"/>
                <w:sz w:val="22"/>
                <w:szCs w:val="22"/>
                <w:lang w:bidi="ar-JO"/>
              </w:rPr>
              <w:t>Item</w:t>
            </w:r>
          </w:p>
        </w:tc>
      </w:tr>
      <w:tr w:rsidR="00A20410" w:rsidRPr="00C0031B" w:rsidTr="00061831">
        <w:tc>
          <w:tcPr>
            <w:tcW w:w="2409" w:type="dxa"/>
            <w:vAlign w:val="center"/>
          </w:tcPr>
          <w:p w:rsidR="00A20410" w:rsidRPr="00C0031B" w:rsidRDefault="00BD7B5D" w:rsidP="00356EDE">
            <w:pPr>
              <w:bidi w:val="0"/>
              <w:spacing w:after="0"/>
              <w:jc w:val="center"/>
              <w:rPr>
                <w:rFonts w:ascii="Times New Roman" w:hAnsi="Times New Roman" w:cs="Times New Roman"/>
                <w:b w:val="0"/>
                <w:bCs w:val="0"/>
                <w:sz w:val="22"/>
                <w:szCs w:val="22"/>
                <w:rtl/>
                <w:lang w:bidi="ar-JO"/>
              </w:rPr>
            </w:pPr>
            <w:r w:rsidRPr="00C0031B">
              <w:rPr>
                <w:rFonts w:ascii="Times New Roman" w:hAnsi="Times New Roman" w:cs="Times New Roman"/>
                <w:b w:val="0"/>
                <w:bCs w:val="0"/>
                <w:sz w:val="22"/>
                <w:szCs w:val="22"/>
                <w:lang w:bidi="ar-JO"/>
              </w:rPr>
              <w:t>95</w:t>
            </w:r>
          </w:p>
        </w:tc>
        <w:tc>
          <w:tcPr>
            <w:tcW w:w="6511" w:type="dxa"/>
            <w:vAlign w:val="center"/>
          </w:tcPr>
          <w:p w:rsidR="00A20410" w:rsidRPr="00C0031B" w:rsidRDefault="00385884" w:rsidP="00356EDE">
            <w:pPr>
              <w:bidi w:val="0"/>
              <w:spacing w:after="0"/>
              <w:rPr>
                <w:rFonts w:ascii="Times New Roman" w:hAnsi="Times New Roman" w:cs="Times New Roman"/>
                <w:b w:val="0"/>
                <w:bCs w:val="0"/>
                <w:sz w:val="22"/>
                <w:szCs w:val="22"/>
                <w:rtl/>
                <w:lang w:bidi="ar-JO"/>
              </w:rPr>
            </w:pPr>
            <w:r w:rsidRPr="00C0031B">
              <w:rPr>
                <w:rFonts w:ascii="Times New Roman" w:hAnsi="Times New Roman" w:cs="Times New Roman"/>
                <w:b w:val="0"/>
                <w:bCs w:val="0"/>
                <w:sz w:val="22"/>
                <w:szCs w:val="22"/>
              </w:rPr>
              <w:t>T</w:t>
            </w:r>
            <w:r w:rsidR="00BD7B5D" w:rsidRPr="00C0031B">
              <w:rPr>
                <w:rFonts w:ascii="Times New Roman" w:hAnsi="Times New Roman" w:cs="Times New Roman"/>
                <w:b w:val="0"/>
                <w:bCs w:val="0"/>
                <w:sz w:val="22"/>
                <w:szCs w:val="22"/>
              </w:rPr>
              <w:t>he bank’s common equity CET1</w:t>
            </w:r>
          </w:p>
        </w:tc>
      </w:tr>
      <w:tr w:rsidR="00A20410" w:rsidRPr="00C0031B" w:rsidTr="00061831">
        <w:tc>
          <w:tcPr>
            <w:tcW w:w="2409" w:type="dxa"/>
            <w:vAlign w:val="center"/>
          </w:tcPr>
          <w:p w:rsidR="00A20410" w:rsidRPr="00C0031B" w:rsidRDefault="00BD7B5D" w:rsidP="00356EDE">
            <w:pPr>
              <w:bidi w:val="0"/>
              <w:spacing w:after="0"/>
              <w:jc w:val="center"/>
              <w:rPr>
                <w:rFonts w:ascii="Times New Roman" w:hAnsi="Times New Roman" w:cs="Times New Roman"/>
                <w:b w:val="0"/>
                <w:bCs w:val="0"/>
                <w:sz w:val="22"/>
                <w:szCs w:val="22"/>
                <w:rtl/>
                <w:lang w:bidi="ar-JO"/>
              </w:rPr>
            </w:pPr>
            <w:r w:rsidRPr="00C0031B">
              <w:rPr>
                <w:rFonts w:ascii="Times New Roman" w:hAnsi="Times New Roman" w:cs="Times New Roman"/>
                <w:b w:val="0"/>
                <w:bCs w:val="0"/>
                <w:sz w:val="22"/>
                <w:szCs w:val="22"/>
                <w:lang w:bidi="ar-JO"/>
              </w:rPr>
              <w:t>20</w:t>
            </w:r>
          </w:p>
        </w:tc>
        <w:tc>
          <w:tcPr>
            <w:tcW w:w="6511" w:type="dxa"/>
            <w:vAlign w:val="center"/>
          </w:tcPr>
          <w:p w:rsidR="00A20410" w:rsidRPr="00C0031B" w:rsidRDefault="00BD7B5D" w:rsidP="00356EDE">
            <w:pPr>
              <w:bidi w:val="0"/>
              <w:spacing w:after="0"/>
              <w:rPr>
                <w:rFonts w:ascii="Times New Roman" w:hAnsi="Times New Roman" w:cs="Times New Roman"/>
                <w:b w:val="0"/>
                <w:bCs w:val="0"/>
                <w:sz w:val="22"/>
                <w:szCs w:val="22"/>
                <w:rtl/>
                <w:lang w:bidi="ar-JO"/>
              </w:rPr>
            </w:pPr>
            <w:r w:rsidRPr="00C0031B">
              <w:rPr>
                <w:rStyle w:val="tlid-translation"/>
                <w:rFonts w:ascii="Times New Roman" w:hAnsi="Times New Roman" w:cs="Times New Roman"/>
                <w:b w:val="0"/>
                <w:bCs w:val="0"/>
                <w:sz w:val="22"/>
                <w:szCs w:val="22"/>
                <w:lang w:val="en" w:bidi="ar"/>
              </w:rPr>
              <w:t>Investments in the capital of banks, financial companies and insurance companies that are more than (10%) of the capital of these companies</w:t>
            </w:r>
          </w:p>
        </w:tc>
      </w:tr>
      <w:tr w:rsidR="00BD7B5D" w:rsidRPr="00C0031B" w:rsidTr="00061831">
        <w:tc>
          <w:tcPr>
            <w:tcW w:w="2409" w:type="dxa"/>
            <w:vAlign w:val="center"/>
          </w:tcPr>
          <w:p w:rsidR="00BD7B5D" w:rsidRPr="00C0031B" w:rsidRDefault="00BD7B5D" w:rsidP="00356EDE">
            <w:pPr>
              <w:bidi w:val="0"/>
              <w:spacing w:after="0"/>
              <w:jc w:val="center"/>
              <w:rPr>
                <w:rFonts w:ascii="Times New Roman" w:hAnsi="Times New Roman" w:cs="Times New Roman"/>
                <w:b w:val="0"/>
                <w:bCs w:val="0"/>
                <w:sz w:val="22"/>
                <w:szCs w:val="22"/>
                <w:rtl/>
                <w:lang w:bidi="ar-JO"/>
              </w:rPr>
            </w:pPr>
            <w:r w:rsidRPr="00C0031B">
              <w:rPr>
                <w:rFonts w:ascii="Times New Roman" w:hAnsi="Times New Roman" w:cs="Times New Roman"/>
                <w:b w:val="0"/>
                <w:bCs w:val="0"/>
                <w:sz w:val="22"/>
                <w:szCs w:val="22"/>
                <w:lang w:bidi="ar-JO"/>
              </w:rPr>
              <w:t>15</w:t>
            </w:r>
          </w:p>
        </w:tc>
        <w:tc>
          <w:tcPr>
            <w:tcW w:w="6511" w:type="dxa"/>
            <w:vAlign w:val="center"/>
          </w:tcPr>
          <w:p w:rsidR="00BD7B5D" w:rsidRPr="00C0031B" w:rsidRDefault="00BD7B5D" w:rsidP="00356EDE">
            <w:pPr>
              <w:bidi w:val="0"/>
              <w:spacing w:after="0" w:line="276" w:lineRule="auto"/>
              <w:jc w:val="left"/>
              <w:rPr>
                <w:rFonts w:ascii="Times New Roman" w:hAnsi="Times New Roman" w:cs="Times New Roman"/>
                <w:b w:val="0"/>
                <w:bCs w:val="0"/>
                <w:sz w:val="22"/>
                <w:szCs w:val="22"/>
              </w:rPr>
            </w:pPr>
            <w:r w:rsidRPr="00C0031B">
              <w:rPr>
                <w:rFonts w:ascii="Times New Roman" w:hAnsi="Times New Roman" w:cs="Times New Roman"/>
                <w:b w:val="0"/>
                <w:bCs w:val="0"/>
                <w:sz w:val="22"/>
                <w:szCs w:val="22"/>
              </w:rPr>
              <w:t xml:space="preserve">       CET1</w:t>
            </w:r>
          </w:p>
        </w:tc>
      </w:tr>
      <w:tr w:rsidR="00BD7B5D" w:rsidRPr="00C0031B" w:rsidTr="00061831">
        <w:tc>
          <w:tcPr>
            <w:tcW w:w="2409" w:type="dxa"/>
            <w:vAlign w:val="center"/>
          </w:tcPr>
          <w:p w:rsidR="00BD7B5D" w:rsidRPr="00C0031B" w:rsidRDefault="00BD7B5D" w:rsidP="00356EDE">
            <w:pPr>
              <w:bidi w:val="0"/>
              <w:spacing w:after="0"/>
              <w:jc w:val="center"/>
              <w:rPr>
                <w:rFonts w:ascii="Times New Roman" w:hAnsi="Times New Roman" w:cs="Times New Roman"/>
                <w:b w:val="0"/>
                <w:bCs w:val="0"/>
                <w:sz w:val="22"/>
                <w:szCs w:val="22"/>
                <w:rtl/>
                <w:lang w:bidi="ar-JO"/>
              </w:rPr>
            </w:pPr>
            <w:r w:rsidRPr="00C0031B">
              <w:rPr>
                <w:rFonts w:ascii="Times New Roman" w:hAnsi="Times New Roman" w:cs="Times New Roman"/>
                <w:b w:val="0"/>
                <w:bCs w:val="0"/>
                <w:sz w:val="22"/>
                <w:szCs w:val="22"/>
                <w:lang w:bidi="ar-JO"/>
              </w:rPr>
              <w:t>3</w:t>
            </w:r>
          </w:p>
        </w:tc>
        <w:tc>
          <w:tcPr>
            <w:tcW w:w="6511" w:type="dxa"/>
            <w:vAlign w:val="center"/>
          </w:tcPr>
          <w:p w:rsidR="00BD7B5D" w:rsidRPr="00C0031B" w:rsidRDefault="00BD7B5D" w:rsidP="00356EDE">
            <w:pPr>
              <w:bidi w:val="0"/>
              <w:spacing w:after="0" w:line="276" w:lineRule="auto"/>
              <w:jc w:val="left"/>
              <w:rPr>
                <w:rFonts w:ascii="Times New Roman" w:hAnsi="Times New Roman" w:cs="Times New Roman"/>
                <w:b w:val="0"/>
                <w:bCs w:val="0"/>
                <w:sz w:val="22"/>
                <w:szCs w:val="22"/>
              </w:rPr>
            </w:pPr>
            <w:r w:rsidRPr="00C0031B">
              <w:rPr>
                <w:rFonts w:ascii="Times New Roman" w:hAnsi="Times New Roman" w:cs="Times New Roman"/>
                <w:b w:val="0"/>
                <w:bCs w:val="0"/>
                <w:sz w:val="22"/>
                <w:szCs w:val="22"/>
              </w:rPr>
              <w:t xml:space="preserve">       AT1 *</w:t>
            </w:r>
          </w:p>
        </w:tc>
      </w:tr>
      <w:tr w:rsidR="00BD7B5D" w:rsidRPr="00C0031B" w:rsidTr="00061831">
        <w:tc>
          <w:tcPr>
            <w:tcW w:w="2409" w:type="dxa"/>
            <w:vAlign w:val="center"/>
          </w:tcPr>
          <w:p w:rsidR="00BD7B5D" w:rsidRPr="00C0031B" w:rsidRDefault="00BD7B5D" w:rsidP="00356EDE">
            <w:pPr>
              <w:bidi w:val="0"/>
              <w:spacing w:after="0"/>
              <w:jc w:val="center"/>
              <w:rPr>
                <w:rFonts w:ascii="Times New Roman" w:hAnsi="Times New Roman" w:cs="Times New Roman"/>
                <w:b w:val="0"/>
                <w:bCs w:val="0"/>
                <w:sz w:val="22"/>
                <w:szCs w:val="22"/>
                <w:rtl/>
                <w:lang w:bidi="ar-JO"/>
              </w:rPr>
            </w:pPr>
            <w:r w:rsidRPr="00C0031B">
              <w:rPr>
                <w:rFonts w:ascii="Times New Roman" w:hAnsi="Times New Roman" w:cs="Times New Roman"/>
                <w:b w:val="0"/>
                <w:bCs w:val="0"/>
                <w:sz w:val="22"/>
                <w:szCs w:val="22"/>
                <w:lang w:bidi="ar-JO"/>
              </w:rPr>
              <w:t>2</w:t>
            </w:r>
          </w:p>
        </w:tc>
        <w:tc>
          <w:tcPr>
            <w:tcW w:w="6511" w:type="dxa"/>
            <w:vAlign w:val="center"/>
          </w:tcPr>
          <w:p w:rsidR="00BD7B5D" w:rsidRPr="00C0031B" w:rsidRDefault="00BD7B5D" w:rsidP="00356EDE">
            <w:pPr>
              <w:bidi w:val="0"/>
              <w:spacing w:after="0" w:line="276" w:lineRule="auto"/>
              <w:jc w:val="left"/>
              <w:rPr>
                <w:rFonts w:ascii="Times New Roman" w:hAnsi="Times New Roman" w:cs="Times New Roman"/>
                <w:b w:val="0"/>
                <w:bCs w:val="0"/>
                <w:sz w:val="22"/>
                <w:szCs w:val="22"/>
              </w:rPr>
            </w:pPr>
            <w:r w:rsidRPr="00C0031B">
              <w:rPr>
                <w:rFonts w:ascii="Times New Roman" w:hAnsi="Times New Roman" w:cs="Times New Roman"/>
                <w:b w:val="0"/>
                <w:bCs w:val="0"/>
                <w:sz w:val="22"/>
                <w:szCs w:val="22"/>
              </w:rPr>
              <w:t xml:space="preserve">       T2 *</w:t>
            </w:r>
          </w:p>
        </w:tc>
      </w:tr>
      <w:tr w:rsidR="00BD7B5D" w:rsidRPr="00C0031B" w:rsidTr="00061831">
        <w:tc>
          <w:tcPr>
            <w:tcW w:w="2409" w:type="dxa"/>
            <w:vAlign w:val="center"/>
          </w:tcPr>
          <w:p w:rsidR="00BD7B5D" w:rsidRPr="00C0031B" w:rsidRDefault="00BD7B5D" w:rsidP="00356EDE">
            <w:pPr>
              <w:bidi w:val="0"/>
              <w:spacing w:after="0"/>
              <w:jc w:val="center"/>
              <w:rPr>
                <w:rFonts w:ascii="Times New Roman" w:hAnsi="Times New Roman" w:cs="Times New Roman"/>
                <w:b w:val="0"/>
                <w:bCs w:val="0"/>
                <w:sz w:val="22"/>
                <w:szCs w:val="22"/>
                <w:rtl/>
                <w:lang w:bidi="ar-JO"/>
              </w:rPr>
            </w:pPr>
            <w:r w:rsidRPr="00C0031B">
              <w:rPr>
                <w:rFonts w:ascii="Times New Roman" w:hAnsi="Times New Roman" w:cs="Times New Roman"/>
                <w:b w:val="0"/>
                <w:bCs w:val="0"/>
                <w:sz w:val="22"/>
                <w:szCs w:val="22"/>
                <w:lang w:bidi="ar-JO"/>
              </w:rPr>
              <w:t>20</w:t>
            </w:r>
          </w:p>
        </w:tc>
        <w:tc>
          <w:tcPr>
            <w:tcW w:w="6511" w:type="dxa"/>
            <w:vAlign w:val="center"/>
          </w:tcPr>
          <w:p w:rsidR="00BD7B5D" w:rsidRPr="00C0031B" w:rsidRDefault="00BD7B5D" w:rsidP="00356EDE">
            <w:pPr>
              <w:bidi w:val="0"/>
              <w:spacing w:after="0"/>
              <w:rPr>
                <w:rFonts w:ascii="Times New Roman" w:hAnsi="Times New Roman" w:cs="Times New Roman"/>
                <w:b w:val="0"/>
                <w:bCs w:val="0"/>
                <w:sz w:val="22"/>
                <w:szCs w:val="22"/>
                <w:rtl/>
                <w:lang w:bidi="ar-JO"/>
              </w:rPr>
            </w:pPr>
            <w:r w:rsidRPr="00C0031B">
              <w:rPr>
                <w:rFonts w:ascii="Times New Roman" w:hAnsi="Times New Roman" w:cs="Times New Roman"/>
                <w:b w:val="0"/>
                <w:bCs w:val="0"/>
                <w:color w:val="202124"/>
                <w:sz w:val="22"/>
                <w:szCs w:val="22"/>
                <w:lang w:val="en"/>
              </w:rPr>
              <w:t>Deferred tax assets due to temporary differences</w:t>
            </w:r>
          </w:p>
        </w:tc>
      </w:tr>
    </w:tbl>
    <w:p w:rsidR="00505A8B" w:rsidRPr="00385884" w:rsidRDefault="007236E6" w:rsidP="00385884">
      <w:pPr>
        <w:bidi w:val="0"/>
        <w:ind w:left="142" w:hanging="142"/>
        <w:rPr>
          <w:rFonts w:ascii="Times New Roman" w:hAnsi="Times New Roman" w:cs="Times New Roman"/>
          <w:b w:val="0"/>
          <w:bCs w:val="0"/>
          <w:color w:val="202124"/>
          <w:sz w:val="22"/>
          <w:szCs w:val="22"/>
          <w:lang w:val="en"/>
        </w:rPr>
      </w:pPr>
      <w:r>
        <w:rPr>
          <w:lang w:bidi="ar-JO"/>
        </w:rPr>
        <w:t xml:space="preserve">* </w:t>
      </w:r>
      <w:r w:rsidRPr="00385884">
        <w:rPr>
          <w:rFonts w:ascii="Times New Roman" w:hAnsi="Times New Roman" w:cs="Times New Roman"/>
          <w:b w:val="0"/>
          <w:bCs w:val="0"/>
          <w:color w:val="202124"/>
          <w:sz w:val="22"/>
          <w:szCs w:val="22"/>
          <w:lang w:val="en"/>
        </w:rPr>
        <w:t>Any capital instruments other than CET1 are fully deducted from the corresponding capital item in the bank's capital. In other words, if the bank invests in capital instrument (AT1) with a certain amount, it must be deducted from the AT1 in the corresponding capital.</w:t>
      </w:r>
    </w:p>
    <w:p w:rsidR="007236E6" w:rsidRPr="00EB05C5" w:rsidRDefault="007236E6" w:rsidP="007236E6">
      <w:pPr>
        <w:bidi w:val="0"/>
        <w:rPr>
          <w:color w:val="202124"/>
          <w:sz w:val="6"/>
          <w:szCs w:val="6"/>
          <w:lang w:val="en"/>
        </w:rPr>
      </w:pPr>
    </w:p>
    <w:p w:rsidR="00FB10DF" w:rsidRPr="00385884" w:rsidRDefault="007236E6" w:rsidP="002D3899">
      <w:pPr>
        <w:bidi w:val="0"/>
        <w:ind w:left="284" w:hanging="284"/>
        <w:rPr>
          <w:rFonts w:ascii="Times New Roman" w:hAnsi="Times New Roman" w:cs="Times New Roman"/>
          <w:color w:val="202124"/>
          <w:sz w:val="24"/>
          <w:szCs w:val="24"/>
          <w:lang w:val="en"/>
        </w:rPr>
      </w:pPr>
      <w:r w:rsidRPr="00385884">
        <w:rPr>
          <w:rFonts w:ascii="Times New Roman" w:hAnsi="Times New Roman" w:cs="Times New Roman"/>
          <w:color w:val="202124"/>
          <w:sz w:val="24"/>
          <w:szCs w:val="24"/>
          <w:lang w:val="en"/>
        </w:rPr>
        <w:t xml:space="preserve">First </w:t>
      </w:r>
      <w:r w:rsidR="00385884">
        <w:rPr>
          <w:rFonts w:ascii="Times New Roman" w:hAnsi="Times New Roman" w:cs="Times New Roman"/>
          <w:sz w:val="24"/>
          <w:szCs w:val="24"/>
          <w:lang w:bidi="ar-JO"/>
        </w:rPr>
        <w:t>t</w:t>
      </w:r>
      <w:r w:rsidRPr="00385884">
        <w:rPr>
          <w:rFonts w:ascii="Times New Roman" w:hAnsi="Times New Roman" w:cs="Times New Roman"/>
          <w:sz w:val="24"/>
          <w:szCs w:val="24"/>
          <w:lang w:bidi="ar-JO"/>
        </w:rPr>
        <w:t xml:space="preserve">hreshold deduction: </w:t>
      </w:r>
      <w:r w:rsidR="00FB10DF" w:rsidRPr="00385884">
        <w:rPr>
          <w:rFonts w:ascii="Times New Roman" w:hAnsi="Times New Roman" w:cs="Times New Roman"/>
          <w:sz w:val="24"/>
          <w:szCs w:val="24"/>
          <w:lang w:bidi="ar-JO"/>
        </w:rPr>
        <w:t xml:space="preserve">more </w:t>
      </w:r>
      <w:r w:rsidR="00FB10DF" w:rsidRPr="00385884">
        <w:rPr>
          <w:rFonts w:ascii="Times New Roman" w:hAnsi="Times New Roman" w:cs="Times New Roman"/>
          <w:color w:val="202124"/>
          <w:sz w:val="24"/>
          <w:szCs w:val="24"/>
          <w:lang w:val="en"/>
        </w:rPr>
        <w:t xml:space="preserve">than (10%) of each item </w:t>
      </w:r>
      <w:r w:rsidR="002D3899" w:rsidRPr="00385884">
        <w:rPr>
          <w:rFonts w:ascii="Times New Roman" w:hAnsi="Times New Roman" w:cs="Times New Roman"/>
          <w:color w:val="202124"/>
          <w:sz w:val="24"/>
          <w:szCs w:val="24"/>
          <w:lang w:val="en"/>
        </w:rPr>
        <w:t>of CET1</w:t>
      </w:r>
    </w:p>
    <w:tbl>
      <w:tblPr>
        <w:tblStyle w:val="TableGrid"/>
        <w:tblW w:w="0" w:type="auto"/>
        <w:tblLook w:val="04A0" w:firstRow="1" w:lastRow="0" w:firstColumn="1" w:lastColumn="0" w:noHBand="0" w:noVBand="1"/>
      </w:tblPr>
      <w:tblGrid>
        <w:gridCol w:w="7083"/>
        <w:gridCol w:w="1837"/>
      </w:tblGrid>
      <w:tr w:rsidR="00FB10DF" w:rsidRPr="00C0031B" w:rsidTr="00061831">
        <w:tc>
          <w:tcPr>
            <w:tcW w:w="7083" w:type="dxa"/>
            <w:shd w:val="clear" w:color="auto" w:fill="EDEDED" w:themeFill="accent3" w:themeFillTint="33"/>
            <w:vAlign w:val="center"/>
          </w:tcPr>
          <w:p w:rsidR="00FB10DF" w:rsidRPr="00C0031B" w:rsidRDefault="00FB10DF" w:rsidP="00FB10DF">
            <w:pPr>
              <w:bidi w:val="0"/>
              <w:jc w:val="center"/>
              <w:rPr>
                <w:rStyle w:val="jlqj4b"/>
                <w:rFonts w:ascii="Times New Roman" w:hAnsi="Times New Roman" w:cs="Times New Roman"/>
                <w:sz w:val="22"/>
                <w:szCs w:val="22"/>
                <w:lang w:val="en" w:bidi="ar"/>
              </w:rPr>
            </w:pPr>
            <w:r w:rsidRPr="00C0031B">
              <w:rPr>
                <w:rFonts w:ascii="Times New Roman" w:hAnsi="Times New Roman" w:cs="Times New Roman"/>
                <w:sz w:val="22"/>
                <w:szCs w:val="22"/>
                <w:lang w:bidi="ar-JO"/>
              </w:rPr>
              <w:t>Item</w:t>
            </w:r>
          </w:p>
        </w:tc>
        <w:tc>
          <w:tcPr>
            <w:tcW w:w="1837" w:type="dxa"/>
            <w:shd w:val="clear" w:color="auto" w:fill="EDEDED" w:themeFill="accent3" w:themeFillTint="33"/>
            <w:vAlign w:val="center"/>
          </w:tcPr>
          <w:p w:rsidR="00FB10DF" w:rsidRPr="00C0031B" w:rsidRDefault="00FB10DF" w:rsidP="00FB10DF">
            <w:pPr>
              <w:bidi w:val="0"/>
              <w:jc w:val="center"/>
              <w:rPr>
                <w:rFonts w:ascii="Times New Roman" w:hAnsi="Times New Roman" w:cs="Times New Roman"/>
                <w:sz w:val="22"/>
                <w:szCs w:val="22"/>
                <w:rtl/>
                <w:lang w:bidi="ar-JO"/>
              </w:rPr>
            </w:pPr>
            <w:r w:rsidRPr="00C0031B">
              <w:rPr>
                <w:rFonts w:ascii="Times New Roman" w:hAnsi="Times New Roman" w:cs="Times New Roman"/>
                <w:sz w:val="22"/>
                <w:szCs w:val="22"/>
                <w:lang w:bidi="ar-JO"/>
              </w:rPr>
              <w:t>Million JD</w:t>
            </w:r>
          </w:p>
        </w:tc>
      </w:tr>
      <w:tr w:rsidR="00FB10DF" w:rsidRPr="00C0031B" w:rsidTr="00061831">
        <w:tc>
          <w:tcPr>
            <w:tcW w:w="7083" w:type="dxa"/>
            <w:vAlign w:val="center"/>
          </w:tcPr>
          <w:p w:rsidR="00FB10DF" w:rsidRPr="00C0031B" w:rsidRDefault="00FB10DF" w:rsidP="00061831">
            <w:pPr>
              <w:bidi w:val="0"/>
              <w:spacing w:after="0"/>
              <w:rPr>
                <w:rFonts w:ascii="Times New Roman" w:hAnsi="Times New Roman" w:cs="Times New Roman"/>
                <w:b w:val="0"/>
                <w:bCs w:val="0"/>
                <w:sz w:val="22"/>
                <w:szCs w:val="22"/>
              </w:rPr>
            </w:pPr>
            <w:r w:rsidRPr="00C0031B">
              <w:rPr>
                <w:rFonts w:ascii="Times New Roman" w:hAnsi="Times New Roman" w:cs="Times New Roman"/>
                <w:b w:val="0"/>
                <w:bCs w:val="0"/>
                <w:sz w:val="22"/>
                <w:szCs w:val="22"/>
              </w:rPr>
              <w:t xml:space="preserve">10% of CET1 </w:t>
            </w:r>
          </w:p>
        </w:tc>
        <w:tc>
          <w:tcPr>
            <w:tcW w:w="1837" w:type="dxa"/>
            <w:vAlign w:val="center"/>
          </w:tcPr>
          <w:p w:rsidR="00FB10DF" w:rsidRPr="00C0031B" w:rsidRDefault="00FB10DF" w:rsidP="00061831">
            <w:pPr>
              <w:bidi w:val="0"/>
              <w:spacing w:after="0"/>
              <w:jc w:val="center"/>
              <w:rPr>
                <w:rFonts w:ascii="Times New Roman" w:hAnsi="Times New Roman" w:cs="Times New Roman"/>
                <w:b w:val="0"/>
                <w:bCs w:val="0"/>
                <w:sz w:val="22"/>
                <w:szCs w:val="22"/>
              </w:rPr>
            </w:pPr>
            <w:r w:rsidRPr="00C0031B">
              <w:rPr>
                <w:rFonts w:ascii="Times New Roman" w:hAnsi="Times New Roman" w:cs="Times New Roman"/>
                <w:b w:val="0"/>
                <w:bCs w:val="0"/>
                <w:sz w:val="22"/>
                <w:szCs w:val="22"/>
              </w:rPr>
              <w:t>9.5</w:t>
            </w:r>
          </w:p>
        </w:tc>
      </w:tr>
      <w:tr w:rsidR="00FB10DF" w:rsidRPr="00C0031B" w:rsidTr="00061831">
        <w:tc>
          <w:tcPr>
            <w:tcW w:w="7083" w:type="dxa"/>
            <w:vAlign w:val="center"/>
          </w:tcPr>
          <w:p w:rsidR="00FB10DF" w:rsidRPr="00C0031B" w:rsidRDefault="00FB10DF" w:rsidP="00061831">
            <w:pPr>
              <w:bidi w:val="0"/>
              <w:spacing w:after="0"/>
              <w:rPr>
                <w:rFonts w:ascii="Times New Roman" w:hAnsi="Times New Roman" w:cs="Times New Roman"/>
                <w:b w:val="0"/>
                <w:bCs w:val="0"/>
                <w:sz w:val="22"/>
                <w:szCs w:val="22"/>
              </w:rPr>
            </w:pPr>
            <w:r w:rsidRPr="00C0031B">
              <w:rPr>
                <w:rFonts w:ascii="Times New Roman" w:hAnsi="Times New Roman" w:cs="Times New Roman"/>
                <w:b w:val="0"/>
                <w:bCs w:val="0"/>
                <w:sz w:val="22"/>
                <w:szCs w:val="22"/>
              </w:rPr>
              <w:t xml:space="preserve">Deduction from CET1 (15-9.5=5.5)  </w:t>
            </w:r>
          </w:p>
        </w:tc>
        <w:tc>
          <w:tcPr>
            <w:tcW w:w="1837" w:type="dxa"/>
            <w:vAlign w:val="center"/>
          </w:tcPr>
          <w:p w:rsidR="00FB10DF" w:rsidRPr="00C0031B" w:rsidRDefault="00FB10DF" w:rsidP="00061831">
            <w:pPr>
              <w:bidi w:val="0"/>
              <w:spacing w:after="0"/>
              <w:jc w:val="center"/>
              <w:rPr>
                <w:rFonts w:ascii="Times New Roman" w:hAnsi="Times New Roman" w:cs="Times New Roman"/>
                <w:b w:val="0"/>
                <w:bCs w:val="0"/>
                <w:sz w:val="22"/>
                <w:szCs w:val="22"/>
              </w:rPr>
            </w:pPr>
            <w:r w:rsidRPr="00C0031B">
              <w:rPr>
                <w:rFonts w:ascii="Times New Roman" w:hAnsi="Times New Roman" w:cs="Times New Roman"/>
                <w:b w:val="0"/>
                <w:bCs w:val="0"/>
                <w:sz w:val="22"/>
                <w:szCs w:val="22"/>
              </w:rPr>
              <w:t>5.5</w:t>
            </w:r>
          </w:p>
        </w:tc>
      </w:tr>
      <w:tr w:rsidR="00FB10DF" w:rsidRPr="00C0031B" w:rsidTr="00061831">
        <w:tc>
          <w:tcPr>
            <w:tcW w:w="7083" w:type="dxa"/>
            <w:vAlign w:val="center"/>
          </w:tcPr>
          <w:p w:rsidR="00FB10DF" w:rsidRPr="00C0031B" w:rsidRDefault="00FB10DF" w:rsidP="00061831">
            <w:pPr>
              <w:bidi w:val="0"/>
              <w:spacing w:after="0"/>
              <w:rPr>
                <w:rFonts w:ascii="Times New Roman" w:hAnsi="Times New Roman" w:cs="Times New Roman"/>
                <w:b w:val="0"/>
                <w:bCs w:val="0"/>
                <w:sz w:val="22"/>
                <w:szCs w:val="22"/>
              </w:rPr>
            </w:pPr>
            <w:r w:rsidRPr="00C0031B">
              <w:rPr>
                <w:rFonts w:ascii="Times New Roman" w:hAnsi="Times New Roman" w:cs="Times New Roman"/>
                <w:b w:val="0"/>
                <w:bCs w:val="0"/>
                <w:sz w:val="22"/>
                <w:szCs w:val="22"/>
              </w:rPr>
              <w:t xml:space="preserve">Deduction from AT1  </w:t>
            </w:r>
          </w:p>
        </w:tc>
        <w:tc>
          <w:tcPr>
            <w:tcW w:w="1837" w:type="dxa"/>
            <w:vAlign w:val="center"/>
          </w:tcPr>
          <w:p w:rsidR="00FB10DF" w:rsidRPr="00C0031B" w:rsidRDefault="00FB10DF" w:rsidP="00061831">
            <w:pPr>
              <w:bidi w:val="0"/>
              <w:spacing w:after="0"/>
              <w:jc w:val="center"/>
              <w:rPr>
                <w:rFonts w:ascii="Times New Roman" w:hAnsi="Times New Roman" w:cs="Times New Roman"/>
                <w:b w:val="0"/>
                <w:bCs w:val="0"/>
                <w:sz w:val="22"/>
                <w:szCs w:val="22"/>
              </w:rPr>
            </w:pPr>
            <w:r w:rsidRPr="00C0031B">
              <w:rPr>
                <w:rFonts w:ascii="Times New Roman" w:hAnsi="Times New Roman" w:cs="Times New Roman"/>
                <w:b w:val="0"/>
                <w:bCs w:val="0"/>
                <w:sz w:val="22"/>
                <w:szCs w:val="22"/>
              </w:rPr>
              <w:t>3</w:t>
            </w:r>
          </w:p>
        </w:tc>
      </w:tr>
      <w:tr w:rsidR="00FB10DF" w:rsidRPr="00C0031B" w:rsidTr="00061831">
        <w:tc>
          <w:tcPr>
            <w:tcW w:w="7083" w:type="dxa"/>
            <w:vAlign w:val="center"/>
          </w:tcPr>
          <w:p w:rsidR="00FB10DF" w:rsidRPr="00C0031B" w:rsidRDefault="00FB10DF" w:rsidP="00061831">
            <w:pPr>
              <w:bidi w:val="0"/>
              <w:spacing w:after="0"/>
              <w:rPr>
                <w:rFonts w:ascii="Times New Roman" w:hAnsi="Times New Roman" w:cs="Times New Roman"/>
                <w:b w:val="0"/>
                <w:bCs w:val="0"/>
                <w:sz w:val="22"/>
                <w:szCs w:val="22"/>
              </w:rPr>
            </w:pPr>
            <w:r w:rsidRPr="00C0031B">
              <w:rPr>
                <w:rFonts w:ascii="Times New Roman" w:hAnsi="Times New Roman" w:cs="Times New Roman"/>
                <w:b w:val="0"/>
                <w:bCs w:val="0"/>
                <w:sz w:val="22"/>
                <w:szCs w:val="22"/>
              </w:rPr>
              <w:t xml:space="preserve">Deduction from T2  </w:t>
            </w:r>
          </w:p>
        </w:tc>
        <w:tc>
          <w:tcPr>
            <w:tcW w:w="1837" w:type="dxa"/>
            <w:vAlign w:val="center"/>
          </w:tcPr>
          <w:p w:rsidR="00FB10DF" w:rsidRPr="00C0031B" w:rsidRDefault="00FB10DF" w:rsidP="00061831">
            <w:pPr>
              <w:bidi w:val="0"/>
              <w:spacing w:after="0"/>
              <w:jc w:val="center"/>
              <w:rPr>
                <w:rFonts w:ascii="Times New Roman" w:hAnsi="Times New Roman" w:cs="Times New Roman"/>
                <w:b w:val="0"/>
                <w:bCs w:val="0"/>
                <w:sz w:val="22"/>
                <w:szCs w:val="22"/>
              </w:rPr>
            </w:pPr>
            <w:r w:rsidRPr="00C0031B">
              <w:rPr>
                <w:rFonts w:ascii="Times New Roman" w:hAnsi="Times New Roman" w:cs="Times New Roman"/>
                <w:b w:val="0"/>
                <w:bCs w:val="0"/>
                <w:sz w:val="22"/>
                <w:szCs w:val="22"/>
              </w:rPr>
              <w:t>2</w:t>
            </w:r>
          </w:p>
        </w:tc>
      </w:tr>
      <w:tr w:rsidR="00FB10DF" w:rsidRPr="00C0031B" w:rsidTr="00061831">
        <w:tc>
          <w:tcPr>
            <w:tcW w:w="7083" w:type="dxa"/>
            <w:vAlign w:val="center"/>
          </w:tcPr>
          <w:p w:rsidR="00FB10DF" w:rsidRPr="00C0031B" w:rsidRDefault="00FB10DF" w:rsidP="00061831">
            <w:pPr>
              <w:bidi w:val="0"/>
              <w:spacing w:after="0"/>
              <w:rPr>
                <w:rFonts w:ascii="Times New Roman" w:hAnsi="Times New Roman" w:cs="Times New Roman"/>
                <w:b w:val="0"/>
                <w:bCs w:val="0"/>
                <w:sz w:val="22"/>
                <w:szCs w:val="22"/>
              </w:rPr>
            </w:pPr>
            <w:r w:rsidRPr="00C0031B">
              <w:rPr>
                <w:rFonts w:ascii="Times New Roman" w:hAnsi="Times New Roman" w:cs="Times New Roman"/>
                <w:b w:val="0"/>
                <w:bCs w:val="0"/>
                <w:color w:val="202124"/>
                <w:sz w:val="22"/>
                <w:szCs w:val="22"/>
                <w:lang w:val="en"/>
              </w:rPr>
              <w:t>Deferred tax assets due to temporary differences (20-9.5=10.5)</w:t>
            </w:r>
          </w:p>
        </w:tc>
        <w:tc>
          <w:tcPr>
            <w:tcW w:w="1837" w:type="dxa"/>
            <w:vAlign w:val="center"/>
          </w:tcPr>
          <w:p w:rsidR="00FB10DF" w:rsidRPr="00C0031B" w:rsidRDefault="00FB10DF" w:rsidP="00061831">
            <w:pPr>
              <w:bidi w:val="0"/>
              <w:spacing w:after="0"/>
              <w:jc w:val="center"/>
              <w:rPr>
                <w:rFonts w:ascii="Times New Roman" w:hAnsi="Times New Roman" w:cs="Times New Roman"/>
                <w:b w:val="0"/>
                <w:bCs w:val="0"/>
                <w:sz w:val="22"/>
                <w:szCs w:val="22"/>
              </w:rPr>
            </w:pPr>
            <w:r w:rsidRPr="00C0031B">
              <w:rPr>
                <w:rFonts w:ascii="Times New Roman" w:hAnsi="Times New Roman" w:cs="Times New Roman"/>
                <w:b w:val="0"/>
                <w:bCs w:val="0"/>
                <w:sz w:val="22"/>
                <w:szCs w:val="22"/>
              </w:rPr>
              <w:t>10.5</w:t>
            </w:r>
          </w:p>
        </w:tc>
      </w:tr>
      <w:tr w:rsidR="00FB10DF" w:rsidRPr="00C0031B" w:rsidTr="00061831">
        <w:tc>
          <w:tcPr>
            <w:tcW w:w="7083" w:type="dxa"/>
            <w:vAlign w:val="center"/>
          </w:tcPr>
          <w:p w:rsidR="00FB10DF" w:rsidRPr="00C0031B" w:rsidRDefault="00FB10DF" w:rsidP="00061831">
            <w:pPr>
              <w:bidi w:val="0"/>
              <w:spacing w:after="0"/>
              <w:rPr>
                <w:rFonts w:ascii="Times New Roman" w:hAnsi="Times New Roman" w:cs="Times New Roman"/>
                <w:b w:val="0"/>
                <w:bCs w:val="0"/>
                <w:color w:val="202124"/>
                <w:sz w:val="22"/>
                <w:szCs w:val="22"/>
                <w:lang w:val="en"/>
              </w:rPr>
            </w:pPr>
            <w:r w:rsidRPr="00C0031B">
              <w:rPr>
                <w:rFonts w:ascii="Times New Roman" w:hAnsi="Times New Roman" w:cs="Times New Roman"/>
                <w:b w:val="0"/>
                <w:bCs w:val="0"/>
                <w:color w:val="202124"/>
                <w:sz w:val="22"/>
                <w:szCs w:val="22"/>
                <w:lang w:val="en"/>
              </w:rPr>
              <w:t>Remaining from the investments and deferred tax assets due to temporary differences</w:t>
            </w:r>
          </w:p>
        </w:tc>
        <w:tc>
          <w:tcPr>
            <w:tcW w:w="1837" w:type="dxa"/>
            <w:vAlign w:val="center"/>
          </w:tcPr>
          <w:p w:rsidR="00FB10DF" w:rsidRPr="00C0031B" w:rsidRDefault="00FB10DF" w:rsidP="00061831">
            <w:pPr>
              <w:bidi w:val="0"/>
              <w:spacing w:after="0"/>
              <w:jc w:val="center"/>
              <w:rPr>
                <w:rFonts w:ascii="Times New Roman" w:hAnsi="Times New Roman" w:cs="Times New Roman"/>
                <w:b w:val="0"/>
                <w:bCs w:val="0"/>
                <w:sz w:val="22"/>
                <w:szCs w:val="22"/>
              </w:rPr>
            </w:pPr>
            <w:r w:rsidRPr="00C0031B">
              <w:rPr>
                <w:rFonts w:ascii="Times New Roman" w:hAnsi="Times New Roman" w:cs="Times New Roman"/>
                <w:b w:val="0"/>
                <w:bCs w:val="0"/>
                <w:sz w:val="22"/>
                <w:szCs w:val="22"/>
              </w:rPr>
              <w:t>9.5+9.5=19</w:t>
            </w:r>
          </w:p>
        </w:tc>
      </w:tr>
    </w:tbl>
    <w:p w:rsidR="00505A8B" w:rsidRPr="00EB05C5" w:rsidRDefault="00505A8B" w:rsidP="00505A8B">
      <w:pPr>
        <w:rPr>
          <w:sz w:val="14"/>
          <w:szCs w:val="14"/>
          <w:rtl/>
          <w:lang w:bidi="ar-JO"/>
        </w:rPr>
      </w:pPr>
    </w:p>
    <w:p w:rsidR="00505A8B" w:rsidRPr="001823FD" w:rsidRDefault="002D3899" w:rsidP="00EB05C5">
      <w:pPr>
        <w:bidi w:val="0"/>
        <w:rPr>
          <w:rFonts w:ascii="Times New Roman" w:hAnsi="Times New Roman" w:cs="Times New Roman"/>
          <w:color w:val="202124"/>
          <w:sz w:val="24"/>
          <w:szCs w:val="24"/>
          <w:lang w:val="en"/>
        </w:rPr>
      </w:pPr>
      <w:r w:rsidRPr="001823FD">
        <w:rPr>
          <w:rFonts w:ascii="Times New Roman" w:hAnsi="Times New Roman" w:cs="Times New Roman"/>
          <w:color w:val="202124"/>
          <w:sz w:val="24"/>
          <w:szCs w:val="24"/>
          <w:lang w:val="en"/>
        </w:rPr>
        <w:t xml:space="preserve">Second </w:t>
      </w:r>
      <w:r w:rsidR="00AA3402" w:rsidRPr="001823FD">
        <w:rPr>
          <w:rFonts w:ascii="Times New Roman" w:hAnsi="Times New Roman" w:cs="Times New Roman"/>
          <w:sz w:val="24"/>
          <w:szCs w:val="24"/>
          <w:lang w:bidi="ar-JO"/>
        </w:rPr>
        <w:t>t</w:t>
      </w:r>
      <w:r w:rsidRPr="001823FD">
        <w:rPr>
          <w:rFonts w:ascii="Times New Roman" w:hAnsi="Times New Roman" w:cs="Times New Roman"/>
          <w:sz w:val="24"/>
          <w:szCs w:val="24"/>
          <w:lang w:bidi="ar-JO"/>
        </w:rPr>
        <w:t xml:space="preserve">hreshold deduction: </w:t>
      </w:r>
      <w:r w:rsidR="00EB05C5" w:rsidRPr="001823FD">
        <w:rPr>
          <w:rFonts w:ascii="Times New Roman" w:hAnsi="Times New Roman" w:cs="Times New Roman"/>
          <w:sz w:val="24"/>
          <w:szCs w:val="24"/>
          <w:lang w:bidi="ar-JO"/>
        </w:rPr>
        <w:t xml:space="preserve">more </w:t>
      </w:r>
      <w:r w:rsidR="00EB05C5" w:rsidRPr="001823FD">
        <w:rPr>
          <w:rFonts w:ascii="Times New Roman" w:hAnsi="Times New Roman" w:cs="Times New Roman"/>
          <w:color w:val="202124"/>
          <w:sz w:val="24"/>
          <w:szCs w:val="24"/>
          <w:lang w:val="en"/>
        </w:rPr>
        <w:t>than (15%) of aggregate CET1</w:t>
      </w:r>
    </w:p>
    <w:p w:rsidR="00EB05C5" w:rsidRDefault="00EB05C5" w:rsidP="001823FD">
      <w:pPr>
        <w:pStyle w:val="ListParagraph"/>
        <w:numPr>
          <w:ilvl w:val="0"/>
          <w:numId w:val="48"/>
        </w:numPr>
        <w:bidi w:val="0"/>
        <w:ind w:left="567" w:hanging="425"/>
        <w:rPr>
          <w:b w:val="0"/>
          <w:bCs w:val="0"/>
          <w:sz w:val="24"/>
          <w:szCs w:val="24"/>
          <w:lang w:bidi="ar-JO"/>
        </w:rPr>
      </w:pPr>
      <w:r w:rsidRPr="00EB05C5">
        <w:rPr>
          <w:b w:val="0"/>
          <w:bCs w:val="0"/>
          <w:sz w:val="24"/>
          <w:szCs w:val="24"/>
          <w:lang w:bidi="ar-JO"/>
        </w:rPr>
        <w:t>30/9/2016 – 31/12/2018</w:t>
      </w:r>
    </w:p>
    <w:tbl>
      <w:tblPr>
        <w:tblStyle w:val="TableGrid"/>
        <w:tblW w:w="0" w:type="auto"/>
        <w:tblInd w:w="562" w:type="dxa"/>
        <w:tblLook w:val="04A0" w:firstRow="1" w:lastRow="0" w:firstColumn="1" w:lastColumn="0" w:noHBand="0" w:noVBand="1"/>
      </w:tblPr>
      <w:tblGrid>
        <w:gridCol w:w="6804"/>
        <w:gridCol w:w="1418"/>
      </w:tblGrid>
      <w:tr w:rsidR="00EB05C5" w:rsidRPr="00C0031B" w:rsidTr="00AA3402">
        <w:tc>
          <w:tcPr>
            <w:tcW w:w="6804" w:type="dxa"/>
            <w:shd w:val="clear" w:color="auto" w:fill="E7E6E6" w:themeFill="background2"/>
            <w:vAlign w:val="center"/>
          </w:tcPr>
          <w:p w:rsidR="00EB05C5" w:rsidRPr="00C0031B" w:rsidRDefault="00EB05C5" w:rsidP="00AA3402">
            <w:pPr>
              <w:bidi w:val="0"/>
              <w:spacing w:after="0"/>
              <w:jc w:val="center"/>
              <w:rPr>
                <w:rStyle w:val="jlqj4b"/>
                <w:rFonts w:ascii="Times New Roman" w:hAnsi="Times New Roman" w:cs="Times New Roman"/>
                <w:sz w:val="22"/>
                <w:szCs w:val="22"/>
                <w:lang w:val="en" w:bidi="ar"/>
              </w:rPr>
            </w:pPr>
            <w:r w:rsidRPr="00C0031B">
              <w:rPr>
                <w:rFonts w:ascii="Times New Roman" w:hAnsi="Times New Roman" w:cs="Times New Roman"/>
                <w:sz w:val="22"/>
                <w:szCs w:val="22"/>
                <w:lang w:bidi="ar-JO"/>
              </w:rPr>
              <w:t>Item</w:t>
            </w:r>
          </w:p>
        </w:tc>
        <w:tc>
          <w:tcPr>
            <w:tcW w:w="1418" w:type="dxa"/>
            <w:shd w:val="clear" w:color="auto" w:fill="E7E6E6" w:themeFill="background2"/>
            <w:vAlign w:val="center"/>
          </w:tcPr>
          <w:p w:rsidR="00EB05C5" w:rsidRPr="00C0031B" w:rsidRDefault="00EB05C5" w:rsidP="00AA3402">
            <w:pPr>
              <w:bidi w:val="0"/>
              <w:spacing w:after="0"/>
              <w:jc w:val="center"/>
              <w:rPr>
                <w:rFonts w:ascii="Times New Roman" w:hAnsi="Times New Roman" w:cs="Times New Roman"/>
                <w:sz w:val="22"/>
                <w:szCs w:val="22"/>
                <w:rtl/>
                <w:lang w:bidi="ar-JO"/>
              </w:rPr>
            </w:pPr>
            <w:r w:rsidRPr="00C0031B">
              <w:rPr>
                <w:rFonts w:ascii="Times New Roman" w:hAnsi="Times New Roman" w:cs="Times New Roman"/>
                <w:sz w:val="22"/>
                <w:szCs w:val="22"/>
                <w:lang w:bidi="ar-JO"/>
              </w:rPr>
              <w:t>Million JD</w:t>
            </w:r>
          </w:p>
        </w:tc>
      </w:tr>
      <w:tr w:rsidR="00EB05C5" w:rsidRPr="00C0031B" w:rsidTr="00AA3402">
        <w:tc>
          <w:tcPr>
            <w:tcW w:w="6804" w:type="dxa"/>
            <w:vAlign w:val="center"/>
          </w:tcPr>
          <w:p w:rsidR="00EB05C5" w:rsidRPr="00C0031B" w:rsidRDefault="00AA3402" w:rsidP="00AA3402">
            <w:pPr>
              <w:pStyle w:val="ListParagraph"/>
              <w:bidi w:val="0"/>
              <w:spacing w:after="0"/>
              <w:ind w:left="0"/>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rPr>
              <w:t>15% of the Common Equity Tier 1 capital (95*15%)</w:t>
            </w:r>
          </w:p>
        </w:tc>
        <w:tc>
          <w:tcPr>
            <w:tcW w:w="1418" w:type="dxa"/>
            <w:vAlign w:val="center"/>
          </w:tcPr>
          <w:p w:rsidR="00EB05C5" w:rsidRPr="00C0031B" w:rsidRDefault="00AA3402" w:rsidP="003B534C">
            <w:pPr>
              <w:pStyle w:val="ListParagraph"/>
              <w:bidi w:val="0"/>
              <w:spacing w:after="0"/>
              <w:ind w:left="0"/>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14.25</w:t>
            </w:r>
          </w:p>
        </w:tc>
      </w:tr>
      <w:tr w:rsidR="00EB05C5" w:rsidRPr="00C0031B" w:rsidTr="00AA3402">
        <w:tc>
          <w:tcPr>
            <w:tcW w:w="6804" w:type="dxa"/>
            <w:vAlign w:val="center"/>
          </w:tcPr>
          <w:p w:rsidR="00AA3402" w:rsidRPr="00C0031B" w:rsidRDefault="00AA3402" w:rsidP="00AA3402">
            <w:pPr>
              <w:pStyle w:val="ListParagraph"/>
              <w:bidi w:val="0"/>
              <w:spacing w:after="0"/>
              <w:ind w:left="0"/>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 xml:space="preserve">Deduction from CET1 that exceed the second threshold </w:t>
            </w:r>
          </w:p>
          <w:p w:rsidR="00AA3402" w:rsidRPr="00C0031B" w:rsidRDefault="00AA3402" w:rsidP="00AA3402">
            <w:pPr>
              <w:pStyle w:val="ListParagraph"/>
              <w:bidi w:val="0"/>
              <w:spacing w:after="0"/>
              <w:ind w:left="0"/>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35-5.5-10.5=19</w:t>
            </w:r>
            <w:r w:rsidR="001823FD">
              <w:rPr>
                <w:rFonts w:ascii="Times New Roman" w:hAnsi="Times New Roman" w:cs="Times New Roman"/>
                <w:b w:val="0"/>
                <w:bCs w:val="0"/>
                <w:sz w:val="22"/>
                <w:szCs w:val="22"/>
                <w:lang w:bidi="ar-JO"/>
              </w:rPr>
              <w:t xml:space="preserve"> </w:t>
            </w:r>
            <w:r w:rsidR="001823FD">
              <w:rPr>
                <w:rStyle w:val="FootnoteReference"/>
                <w:rFonts w:ascii="Times New Roman" w:hAnsi="Times New Roman" w:cs="Times New Roman"/>
                <w:b w:val="0"/>
                <w:bCs w:val="0"/>
                <w:sz w:val="22"/>
                <w:szCs w:val="22"/>
                <w:lang w:bidi="ar-JO"/>
              </w:rPr>
              <w:footnoteReference w:id="22"/>
            </w:r>
          </w:p>
          <w:p w:rsidR="00AA3402" w:rsidRPr="00C0031B" w:rsidRDefault="00AA3402" w:rsidP="00AA3402">
            <w:pPr>
              <w:pStyle w:val="ListParagraph"/>
              <w:bidi w:val="0"/>
              <w:spacing w:after="0"/>
              <w:ind w:left="0"/>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19-14.25=4.75</w:t>
            </w:r>
          </w:p>
        </w:tc>
        <w:tc>
          <w:tcPr>
            <w:tcW w:w="1418" w:type="dxa"/>
            <w:vAlign w:val="center"/>
          </w:tcPr>
          <w:p w:rsidR="00EB05C5" w:rsidRPr="00C0031B" w:rsidRDefault="00AA3402" w:rsidP="003B534C">
            <w:pPr>
              <w:pStyle w:val="ListParagraph"/>
              <w:bidi w:val="0"/>
              <w:spacing w:after="0"/>
              <w:ind w:left="0"/>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4.75</w:t>
            </w:r>
          </w:p>
        </w:tc>
      </w:tr>
      <w:tr w:rsidR="00EB05C5" w:rsidRPr="00C0031B" w:rsidTr="00AA3402">
        <w:tc>
          <w:tcPr>
            <w:tcW w:w="6804" w:type="dxa"/>
            <w:vAlign w:val="center"/>
          </w:tcPr>
          <w:p w:rsidR="00EB05C5" w:rsidRPr="00C0031B" w:rsidRDefault="00AA3402" w:rsidP="001823FD">
            <w:pPr>
              <w:pStyle w:val="ListParagraph"/>
              <w:bidi w:val="0"/>
              <w:spacing w:after="0"/>
              <w:ind w:left="0"/>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Total of deductions from CET1 (10.5+5.5+4.75)</w:t>
            </w:r>
          </w:p>
        </w:tc>
        <w:tc>
          <w:tcPr>
            <w:tcW w:w="1418" w:type="dxa"/>
            <w:vAlign w:val="center"/>
          </w:tcPr>
          <w:p w:rsidR="00EB05C5" w:rsidRPr="00C0031B" w:rsidRDefault="00AA3402" w:rsidP="003B534C">
            <w:pPr>
              <w:pStyle w:val="ListParagraph"/>
              <w:bidi w:val="0"/>
              <w:spacing w:after="0"/>
              <w:ind w:left="0"/>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20.75</w:t>
            </w:r>
          </w:p>
        </w:tc>
      </w:tr>
    </w:tbl>
    <w:p w:rsidR="001823FD" w:rsidRDefault="001823FD" w:rsidP="001823FD">
      <w:pPr>
        <w:pStyle w:val="ListParagraph"/>
        <w:bidi w:val="0"/>
        <w:ind w:left="567"/>
        <w:rPr>
          <w:rFonts w:ascii="Times New Roman" w:hAnsi="Times New Roman" w:cs="Times New Roman"/>
          <w:b w:val="0"/>
          <w:bCs w:val="0"/>
          <w:sz w:val="24"/>
          <w:szCs w:val="24"/>
          <w:lang w:bidi="ar-JO"/>
        </w:rPr>
      </w:pPr>
    </w:p>
    <w:p w:rsidR="00EB05C5" w:rsidRDefault="001823FD" w:rsidP="001823FD">
      <w:pPr>
        <w:pStyle w:val="ListParagraph"/>
        <w:numPr>
          <w:ilvl w:val="0"/>
          <w:numId w:val="48"/>
        </w:numPr>
        <w:bidi w:val="0"/>
        <w:ind w:left="567" w:hanging="425"/>
        <w:rPr>
          <w:rFonts w:ascii="Times New Roman" w:hAnsi="Times New Roman" w:cs="Times New Roman"/>
          <w:b w:val="0"/>
          <w:bCs w:val="0"/>
          <w:sz w:val="24"/>
          <w:szCs w:val="24"/>
          <w:lang w:bidi="ar-JO"/>
        </w:rPr>
      </w:pPr>
      <w:r>
        <w:rPr>
          <w:rFonts w:ascii="Times New Roman" w:hAnsi="Times New Roman" w:cs="Times New Roman"/>
          <w:b w:val="0"/>
          <w:bCs w:val="0"/>
          <w:sz w:val="24"/>
          <w:szCs w:val="24"/>
          <w:lang w:bidi="ar-JO"/>
        </w:rPr>
        <w:t>From</w:t>
      </w:r>
      <w:r w:rsidR="00AA3402" w:rsidRPr="00AA3402">
        <w:rPr>
          <w:rFonts w:ascii="Times New Roman" w:hAnsi="Times New Roman" w:cs="Times New Roman"/>
          <w:b w:val="0"/>
          <w:bCs w:val="0"/>
          <w:sz w:val="24"/>
          <w:szCs w:val="24"/>
          <w:lang w:bidi="ar-JO"/>
        </w:rPr>
        <w:t xml:space="preserve"> 1/1/2019</w:t>
      </w:r>
    </w:p>
    <w:tbl>
      <w:tblPr>
        <w:tblStyle w:val="TableGrid"/>
        <w:tblW w:w="0" w:type="auto"/>
        <w:tblInd w:w="562" w:type="dxa"/>
        <w:tblLook w:val="04A0" w:firstRow="1" w:lastRow="0" w:firstColumn="1" w:lastColumn="0" w:noHBand="0" w:noVBand="1"/>
      </w:tblPr>
      <w:tblGrid>
        <w:gridCol w:w="6804"/>
        <w:gridCol w:w="1418"/>
      </w:tblGrid>
      <w:tr w:rsidR="00AA3402" w:rsidRPr="00C0031B" w:rsidTr="007748D7">
        <w:tc>
          <w:tcPr>
            <w:tcW w:w="6804" w:type="dxa"/>
            <w:shd w:val="clear" w:color="auto" w:fill="E7E6E6" w:themeFill="background2"/>
            <w:vAlign w:val="center"/>
          </w:tcPr>
          <w:p w:rsidR="00AA3402" w:rsidRPr="00C0031B" w:rsidRDefault="00AA3402" w:rsidP="007748D7">
            <w:pPr>
              <w:bidi w:val="0"/>
              <w:spacing w:after="0"/>
              <w:jc w:val="center"/>
              <w:rPr>
                <w:rStyle w:val="jlqj4b"/>
                <w:rFonts w:ascii="Times New Roman" w:hAnsi="Times New Roman" w:cs="Times New Roman"/>
                <w:sz w:val="22"/>
                <w:szCs w:val="22"/>
                <w:lang w:val="en" w:bidi="ar"/>
              </w:rPr>
            </w:pPr>
            <w:r w:rsidRPr="00C0031B">
              <w:rPr>
                <w:rFonts w:ascii="Times New Roman" w:hAnsi="Times New Roman" w:cs="Times New Roman"/>
                <w:sz w:val="22"/>
                <w:szCs w:val="22"/>
                <w:lang w:bidi="ar-JO"/>
              </w:rPr>
              <w:t>Item</w:t>
            </w:r>
          </w:p>
        </w:tc>
        <w:tc>
          <w:tcPr>
            <w:tcW w:w="1418" w:type="dxa"/>
            <w:shd w:val="clear" w:color="auto" w:fill="E7E6E6" w:themeFill="background2"/>
            <w:vAlign w:val="center"/>
          </w:tcPr>
          <w:p w:rsidR="00AA3402" w:rsidRPr="00C0031B" w:rsidRDefault="00AA3402" w:rsidP="007748D7">
            <w:pPr>
              <w:bidi w:val="0"/>
              <w:spacing w:after="0"/>
              <w:jc w:val="center"/>
              <w:rPr>
                <w:rFonts w:ascii="Times New Roman" w:hAnsi="Times New Roman" w:cs="Times New Roman"/>
                <w:sz w:val="22"/>
                <w:szCs w:val="22"/>
                <w:rtl/>
                <w:lang w:bidi="ar-JO"/>
              </w:rPr>
            </w:pPr>
            <w:r w:rsidRPr="00C0031B">
              <w:rPr>
                <w:rFonts w:ascii="Times New Roman" w:hAnsi="Times New Roman" w:cs="Times New Roman"/>
                <w:sz w:val="22"/>
                <w:szCs w:val="22"/>
                <w:lang w:bidi="ar-JO"/>
              </w:rPr>
              <w:t>Million JD</w:t>
            </w:r>
          </w:p>
        </w:tc>
      </w:tr>
      <w:tr w:rsidR="00AA3402" w:rsidRPr="00C0031B" w:rsidTr="007748D7">
        <w:tc>
          <w:tcPr>
            <w:tcW w:w="6804" w:type="dxa"/>
            <w:vAlign w:val="center"/>
          </w:tcPr>
          <w:p w:rsidR="00AA3402" w:rsidRPr="00C0031B" w:rsidRDefault="00AA3402" w:rsidP="003B534C">
            <w:pPr>
              <w:pStyle w:val="ListParagraph"/>
              <w:bidi w:val="0"/>
              <w:spacing w:after="0"/>
              <w:ind w:left="0"/>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rPr>
              <w:t xml:space="preserve">15% of the Common Equity Tier 1 capital </w:t>
            </w:r>
            <w:r w:rsidR="003B534C" w:rsidRPr="00C0031B">
              <w:rPr>
                <w:rFonts w:ascii="Times New Roman" w:hAnsi="Times New Roman" w:cs="Times New Roman"/>
                <w:b w:val="0"/>
                <w:bCs w:val="0"/>
                <w:sz w:val="22"/>
                <w:szCs w:val="22"/>
              </w:rPr>
              <w:t>(95-35=60*17.65%)</w:t>
            </w:r>
          </w:p>
        </w:tc>
        <w:tc>
          <w:tcPr>
            <w:tcW w:w="1418" w:type="dxa"/>
            <w:vAlign w:val="center"/>
          </w:tcPr>
          <w:p w:rsidR="00AA3402" w:rsidRPr="00C0031B" w:rsidRDefault="003B534C" w:rsidP="003B534C">
            <w:pPr>
              <w:pStyle w:val="ListParagraph"/>
              <w:bidi w:val="0"/>
              <w:spacing w:after="0"/>
              <w:ind w:left="0"/>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10.59</w:t>
            </w:r>
          </w:p>
        </w:tc>
      </w:tr>
      <w:tr w:rsidR="00AA3402" w:rsidRPr="00C0031B" w:rsidTr="007748D7">
        <w:tc>
          <w:tcPr>
            <w:tcW w:w="6804" w:type="dxa"/>
            <w:vAlign w:val="center"/>
          </w:tcPr>
          <w:p w:rsidR="00AA3402" w:rsidRPr="00C0031B" w:rsidRDefault="00AA3402" w:rsidP="007748D7">
            <w:pPr>
              <w:pStyle w:val="ListParagraph"/>
              <w:bidi w:val="0"/>
              <w:spacing w:after="0"/>
              <w:ind w:left="0"/>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 xml:space="preserve">Deduction from CET1 that exceed the second threshold </w:t>
            </w:r>
          </w:p>
          <w:p w:rsidR="00AA3402" w:rsidRPr="00C0031B" w:rsidRDefault="00AA3402" w:rsidP="007748D7">
            <w:pPr>
              <w:pStyle w:val="ListParagraph"/>
              <w:bidi w:val="0"/>
              <w:spacing w:after="0"/>
              <w:ind w:left="0"/>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35-5.5-10.5</w:t>
            </w:r>
            <w:r w:rsidR="003B534C" w:rsidRPr="00C0031B">
              <w:rPr>
                <w:rFonts w:ascii="Times New Roman" w:hAnsi="Times New Roman" w:cs="Times New Roman"/>
                <w:b w:val="0"/>
                <w:bCs w:val="0"/>
                <w:sz w:val="22"/>
                <w:szCs w:val="22"/>
                <w:lang w:bidi="ar-JO"/>
              </w:rPr>
              <w:t xml:space="preserve"> </w:t>
            </w:r>
            <w:r w:rsidRPr="00C0031B">
              <w:rPr>
                <w:rFonts w:ascii="Times New Roman" w:hAnsi="Times New Roman" w:cs="Times New Roman"/>
                <w:b w:val="0"/>
                <w:bCs w:val="0"/>
                <w:sz w:val="22"/>
                <w:szCs w:val="22"/>
                <w:lang w:bidi="ar-JO"/>
              </w:rPr>
              <w:t>=</w:t>
            </w:r>
            <w:r w:rsidR="003B534C" w:rsidRPr="00C0031B">
              <w:rPr>
                <w:rFonts w:ascii="Times New Roman" w:hAnsi="Times New Roman" w:cs="Times New Roman"/>
                <w:b w:val="0"/>
                <w:bCs w:val="0"/>
                <w:sz w:val="22"/>
                <w:szCs w:val="22"/>
                <w:lang w:bidi="ar-JO"/>
              </w:rPr>
              <w:t xml:space="preserve"> </w:t>
            </w:r>
            <w:r w:rsidRPr="00C0031B">
              <w:rPr>
                <w:rFonts w:ascii="Times New Roman" w:hAnsi="Times New Roman" w:cs="Times New Roman"/>
                <w:b w:val="0"/>
                <w:bCs w:val="0"/>
                <w:sz w:val="22"/>
                <w:szCs w:val="22"/>
                <w:lang w:bidi="ar-JO"/>
              </w:rPr>
              <w:t>19</w:t>
            </w:r>
          </w:p>
          <w:p w:rsidR="00AA3402" w:rsidRPr="00C0031B" w:rsidRDefault="00AA3402" w:rsidP="003B534C">
            <w:pPr>
              <w:pStyle w:val="ListParagraph"/>
              <w:bidi w:val="0"/>
              <w:spacing w:after="0"/>
              <w:ind w:left="0"/>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19-</w:t>
            </w:r>
            <w:r w:rsidR="003B534C" w:rsidRPr="00C0031B">
              <w:rPr>
                <w:rFonts w:ascii="Times New Roman" w:hAnsi="Times New Roman" w:cs="Times New Roman"/>
                <w:b w:val="0"/>
                <w:bCs w:val="0"/>
                <w:sz w:val="22"/>
                <w:szCs w:val="22"/>
                <w:lang w:bidi="ar-JO"/>
              </w:rPr>
              <w:t>10.59 = 8.41</w:t>
            </w:r>
          </w:p>
        </w:tc>
        <w:tc>
          <w:tcPr>
            <w:tcW w:w="1418" w:type="dxa"/>
            <w:vAlign w:val="center"/>
          </w:tcPr>
          <w:p w:rsidR="00AA3402" w:rsidRPr="00C0031B" w:rsidRDefault="003B534C" w:rsidP="003B534C">
            <w:pPr>
              <w:pStyle w:val="ListParagraph"/>
              <w:bidi w:val="0"/>
              <w:spacing w:after="0"/>
              <w:ind w:left="0"/>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8.41</w:t>
            </w:r>
          </w:p>
        </w:tc>
      </w:tr>
      <w:tr w:rsidR="00AA3402" w:rsidRPr="00C0031B" w:rsidTr="007748D7">
        <w:tc>
          <w:tcPr>
            <w:tcW w:w="6804" w:type="dxa"/>
            <w:vAlign w:val="center"/>
          </w:tcPr>
          <w:p w:rsidR="00AA3402" w:rsidRPr="00C0031B" w:rsidRDefault="00AA3402" w:rsidP="003B534C">
            <w:pPr>
              <w:pStyle w:val="ListParagraph"/>
              <w:bidi w:val="0"/>
              <w:spacing w:after="0"/>
              <w:ind w:left="0"/>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 xml:space="preserve">Total of deductions from CET1 </w:t>
            </w:r>
            <w:r w:rsidR="003B534C" w:rsidRPr="00C0031B">
              <w:rPr>
                <w:rFonts w:ascii="Times New Roman" w:hAnsi="Times New Roman" w:cs="Times New Roman"/>
                <w:b w:val="0"/>
                <w:bCs w:val="0"/>
                <w:sz w:val="22"/>
                <w:szCs w:val="22"/>
                <w:lang w:bidi="ar-JO"/>
              </w:rPr>
              <w:t>(8.41+10.5+5.5)</w:t>
            </w:r>
          </w:p>
        </w:tc>
        <w:tc>
          <w:tcPr>
            <w:tcW w:w="1418" w:type="dxa"/>
            <w:vAlign w:val="center"/>
          </w:tcPr>
          <w:p w:rsidR="00AA3402" w:rsidRPr="00C0031B" w:rsidRDefault="003B534C" w:rsidP="003B534C">
            <w:pPr>
              <w:pStyle w:val="ListParagraph"/>
              <w:bidi w:val="0"/>
              <w:spacing w:after="0"/>
              <w:ind w:left="0"/>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24.41</w:t>
            </w:r>
          </w:p>
        </w:tc>
      </w:tr>
    </w:tbl>
    <w:p w:rsidR="00AA3402" w:rsidRPr="00AA3402" w:rsidRDefault="00AA3402" w:rsidP="00AA3402">
      <w:pPr>
        <w:pStyle w:val="ListParagraph"/>
        <w:bidi w:val="0"/>
        <w:ind w:left="567"/>
        <w:rPr>
          <w:rFonts w:ascii="Times New Roman" w:hAnsi="Times New Roman" w:cs="Times New Roman"/>
          <w:b w:val="0"/>
          <w:bCs w:val="0"/>
          <w:sz w:val="24"/>
          <w:szCs w:val="24"/>
          <w:lang w:bidi="ar-JO"/>
        </w:rPr>
      </w:pPr>
    </w:p>
    <w:p w:rsidR="003B534C" w:rsidRPr="004101A4" w:rsidRDefault="003B534C" w:rsidP="00B66B27">
      <w:pPr>
        <w:pStyle w:val="Heading1"/>
        <w:pBdr>
          <w:bottom w:val="single" w:sz="4" w:space="1" w:color="auto"/>
        </w:pBdr>
        <w:bidi w:val="0"/>
        <w:jc w:val="center"/>
        <w:rPr>
          <w:rFonts w:asciiTheme="majorBidi" w:hAnsiTheme="majorBidi" w:cstheme="majorBidi"/>
          <w:b/>
          <w:bCs/>
          <w:rtl/>
        </w:rPr>
      </w:pPr>
      <w:bookmarkStart w:id="66" w:name="_Toc65354413"/>
      <w:r w:rsidRPr="004101A4">
        <w:rPr>
          <w:rFonts w:asciiTheme="majorBidi" w:hAnsiTheme="majorBidi" w:cstheme="majorBidi"/>
          <w:b/>
          <w:bCs/>
        </w:rPr>
        <w:lastRenderedPageBreak/>
        <w:t>Annex (5)</w:t>
      </w:r>
      <w:r w:rsidR="00B66B27" w:rsidRPr="004101A4">
        <w:rPr>
          <w:rFonts w:asciiTheme="majorBidi" w:hAnsiTheme="majorBidi" w:cstheme="majorBidi"/>
          <w:b/>
          <w:bCs/>
        </w:rPr>
        <w:t xml:space="preserve"> </w:t>
      </w:r>
      <w:r w:rsidRPr="004101A4">
        <w:rPr>
          <w:rFonts w:asciiTheme="majorBidi" w:hAnsiTheme="majorBidi" w:cstheme="majorBidi"/>
          <w:b/>
          <w:bCs/>
        </w:rPr>
        <w:t>The regulatory capital</w:t>
      </w:r>
      <w:bookmarkEnd w:id="66"/>
    </w:p>
    <w:p w:rsidR="00505A8B" w:rsidRDefault="00505A8B" w:rsidP="00505A8B">
      <w:pPr>
        <w:jc w:val="center"/>
        <w:rPr>
          <w:sz w:val="28"/>
          <w:szCs w:val="28"/>
        </w:rPr>
      </w:pPr>
    </w:p>
    <w:p w:rsidR="003B534C" w:rsidRPr="00C0031B" w:rsidRDefault="003B534C" w:rsidP="00505A8B">
      <w:pPr>
        <w:jc w:val="center"/>
        <w:rPr>
          <w:rFonts w:ascii="Times New Roman" w:hAnsi="Times New Roman" w:cs="Times New Roman"/>
          <w:sz w:val="24"/>
          <w:szCs w:val="24"/>
        </w:rPr>
      </w:pPr>
      <w:r w:rsidRPr="00C0031B">
        <w:rPr>
          <w:rFonts w:ascii="Times New Roman" w:hAnsi="Times New Roman" w:cs="Times New Roman"/>
          <w:sz w:val="24"/>
          <w:szCs w:val="24"/>
        </w:rPr>
        <w:t xml:space="preserve">As of   </w:t>
      </w:r>
      <w:proofErr w:type="gramStart"/>
      <w:r w:rsidRPr="00C0031B">
        <w:rPr>
          <w:rFonts w:ascii="Times New Roman" w:hAnsi="Times New Roman" w:cs="Times New Roman"/>
          <w:sz w:val="24"/>
          <w:szCs w:val="24"/>
        </w:rPr>
        <w:t>/  /</w:t>
      </w:r>
      <w:proofErr w:type="gramEnd"/>
      <w:r w:rsidRPr="00C0031B">
        <w:rPr>
          <w:rFonts w:ascii="Times New Roman" w:hAnsi="Times New Roman" w:cs="Times New Roman"/>
          <w:sz w:val="24"/>
          <w:szCs w:val="24"/>
        </w:rPr>
        <w:t xml:space="preserve">  </w:t>
      </w:r>
    </w:p>
    <w:tbl>
      <w:tblPr>
        <w:tblStyle w:val="TableGrid"/>
        <w:bidiVisual/>
        <w:tblW w:w="0" w:type="auto"/>
        <w:jc w:val="right"/>
        <w:tblLook w:val="04A0" w:firstRow="1" w:lastRow="0" w:firstColumn="1" w:lastColumn="0" w:noHBand="0" w:noVBand="1"/>
      </w:tblPr>
      <w:tblGrid>
        <w:gridCol w:w="853"/>
        <w:gridCol w:w="8067"/>
      </w:tblGrid>
      <w:tr w:rsidR="003E635D" w:rsidRPr="00C0031B" w:rsidTr="009D223A">
        <w:trPr>
          <w:jc w:val="right"/>
        </w:trPr>
        <w:tc>
          <w:tcPr>
            <w:tcW w:w="8920" w:type="dxa"/>
            <w:gridSpan w:val="2"/>
            <w:shd w:val="clear" w:color="auto" w:fill="E7E6E6" w:themeFill="background2"/>
          </w:tcPr>
          <w:p w:rsidR="003E635D" w:rsidRPr="00C0031B" w:rsidRDefault="00B051B2" w:rsidP="009D223A">
            <w:pPr>
              <w:pStyle w:val="ListParagraph"/>
              <w:numPr>
                <w:ilvl w:val="0"/>
                <w:numId w:val="33"/>
              </w:numPr>
              <w:bidi w:val="0"/>
              <w:jc w:val="center"/>
              <w:rPr>
                <w:rFonts w:ascii="Times New Roman" w:hAnsi="Times New Roman" w:cs="Times New Roman"/>
                <w:sz w:val="22"/>
                <w:szCs w:val="22"/>
                <w:rtl/>
              </w:rPr>
            </w:pPr>
            <w:r w:rsidRPr="00C0031B">
              <w:rPr>
                <w:rFonts w:ascii="Times New Roman" w:hAnsi="Times New Roman" w:cs="Times New Roman"/>
                <w:sz w:val="22"/>
                <w:szCs w:val="22"/>
              </w:rPr>
              <w:t>Common Equity Tier 1 Capital</w:t>
            </w:r>
          </w:p>
        </w:tc>
      </w:tr>
      <w:tr w:rsidR="00C21D0B" w:rsidRPr="00C0031B" w:rsidTr="009D223A">
        <w:trPr>
          <w:jc w:val="right"/>
        </w:trPr>
        <w:tc>
          <w:tcPr>
            <w:tcW w:w="853" w:type="dxa"/>
          </w:tcPr>
          <w:p w:rsidR="00C21D0B" w:rsidRPr="00C0031B" w:rsidRDefault="00C21D0B" w:rsidP="009D223A">
            <w:pPr>
              <w:bidi w:val="0"/>
              <w:spacing w:after="0"/>
              <w:jc w:val="center"/>
              <w:rPr>
                <w:rFonts w:ascii="Times New Roman" w:hAnsi="Times New Roman" w:cs="Times New Roman"/>
                <w:b w:val="0"/>
                <w:bCs w:val="0"/>
                <w:sz w:val="22"/>
                <w:szCs w:val="22"/>
                <w:rtl/>
              </w:rPr>
            </w:pPr>
          </w:p>
        </w:tc>
        <w:tc>
          <w:tcPr>
            <w:tcW w:w="8067" w:type="dxa"/>
          </w:tcPr>
          <w:p w:rsidR="00C21D0B" w:rsidRPr="00C0031B" w:rsidRDefault="0086360B" w:rsidP="009D223A">
            <w:pPr>
              <w:bidi w:val="0"/>
              <w:spacing w:after="0"/>
              <w:jc w:val="left"/>
              <w:rPr>
                <w:rFonts w:ascii="Times New Roman" w:hAnsi="Times New Roman" w:cs="Times New Roman"/>
                <w:b w:val="0"/>
                <w:bCs w:val="0"/>
                <w:sz w:val="22"/>
                <w:szCs w:val="22"/>
                <w:rtl/>
              </w:rPr>
            </w:pPr>
            <w:r w:rsidRPr="00C0031B">
              <w:rPr>
                <w:rFonts w:ascii="Times New Roman" w:hAnsi="Times New Roman" w:cs="Times New Roman"/>
                <w:b w:val="0"/>
                <w:bCs w:val="0"/>
                <w:sz w:val="22"/>
                <w:szCs w:val="22"/>
              </w:rPr>
              <w:t xml:space="preserve">Share Capital </w:t>
            </w:r>
          </w:p>
        </w:tc>
      </w:tr>
      <w:tr w:rsidR="00C21D0B" w:rsidRPr="00C0031B" w:rsidTr="009D223A">
        <w:trPr>
          <w:jc w:val="right"/>
        </w:trPr>
        <w:tc>
          <w:tcPr>
            <w:tcW w:w="853" w:type="dxa"/>
          </w:tcPr>
          <w:p w:rsidR="00C21D0B" w:rsidRPr="00C0031B" w:rsidRDefault="00C21D0B" w:rsidP="009D223A">
            <w:pPr>
              <w:bidi w:val="0"/>
              <w:spacing w:after="0"/>
              <w:jc w:val="center"/>
              <w:rPr>
                <w:rFonts w:ascii="Times New Roman" w:hAnsi="Times New Roman" w:cs="Times New Roman"/>
                <w:b w:val="0"/>
                <w:bCs w:val="0"/>
                <w:sz w:val="22"/>
                <w:szCs w:val="22"/>
                <w:rtl/>
              </w:rPr>
            </w:pPr>
          </w:p>
        </w:tc>
        <w:tc>
          <w:tcPr>
            <w:tcW w:w="8067" w:type="dxa"/>
          </w:tcPr>
          <w:p w:rsidR="00C21D0B" w:rsidRPr="00C0031B" w:rsidRDefault="0086360B" w:rsidP="009D223A">
            <w:pPr>
              <w:bidi w:val="0"/>
              <w:spacing w:after="0"/>
              <w:jc w:val="left"/>
              <w:rPr>
                <w:rFonts w:ascii="Times New Roman" w:hAnsi="Times New Roman" w:cs="Times New Roman"/>
                <w:b w:val="0"/>
                <w:bCs w:val="0"/>
                <w:sz w:val="22"/>
                <w:szCs w:val="22"/>
                <w:rtl/>
              </w:rPr>
            </w:pPr>
            <w:r w:rsidRPr="00C0031B">
              <w:rPr>
                <w:rFonts w:ascii="Times New Roman" w:hAnsi="Times New Roman" w:cs="Times New Roman"/>
                <w:b w:val="0"/>
                <w:bCs w:val="0"/>
                <w:sz w:val="22"/>
                <w:szCs w:val="22"/>
              </w:rPr>
              <w:t xml:space="preserve">Retained earnings (losses) </w:t>
            </w:r>
          </w:p>
        </w:tc>
      </w:tr>
      <w:tr w:rsidR="0086360B" w:rsidRPr="00C0031B" w:rsidTr="009D223A">
        <w:trPr>
          <w:jc w:val="right"/>
        </w:trPr>
        <w:tc>
          <w:tcPr>
            <w:tcW w:w="853" w:type="dxa"/>
          </w:tcPr>
          <w:p w:rsidR="0086360B" w:rsidRPr="00C0031B" w:rsidRDefault="000542D4" w:rsidP="009D223A">
            <w:pPr>
              <w:bidi w:val="0"/>
              <w:spacing w:after="0"/>
              <w:jc w:val="center"/>
              <w:rPr>
                <w:rFonts w:ascii="Times New Roman" w:hAnsi="Times New Roman" w:cs="Times New Roman"/>
                <w:b w:val="0"/>
                <w:bCs w:val="0"/>
                <w:sz w:val="22"/>
                <w:szCs w:val="22"/>
                <w:rtl/>
              </w:rPr>
            </w:pPr>
            <w:r w:rsidRPr="00C0031B">
              <w:rPr>
                <w:rFonts w:ascii="Times New Roman" w:hAnsi="Times New Roman" w:cs="Times New Roman"/>
                <w:b w:val="0"/>
                <w:bCs w:val="0"/>
                <w:sz w:val="22"/>
                <w:szCs w:val="22"/>
              </w:rPr>
              <w:t>0</w:t>
            </w:r>
          </w:p>
        </w:tc>
        <w:tc>
          <w:tcPr>
            <w:tcW w:w="8067" w:type="dxa"/>
          </w:tcPr>
          <w:p w:rsidR="0086360B" w:rsidRPr="00C0031B" w:rsidRDefault="000542D4" w:rsidP="009D223A">
            <w:pPr>
              <w:bidi w:val="0"/>
              <w:spacing w:after="0"/>
              <w:jc w:val="left"/>
              <w:rPr>
                <w:rFonts w:ascii="Times New Roman" w:hAnsi="Times New Roman" w:cs="Times New Roman"/>
                <w:b w:val="0"/>
                <w:bCs w:val="0"/>
                <w:sz w:val="22"/>
                <w:szCs w:val="22"/>
              </w:rPr>
            </w:pPr>
            <w:r w:rsidRPr="00C0031B">
              <w:rPr>
                <w:rFonts w:ascii="Times New Roman" w:hAnsi="Times New Roman" w:cs="Times New Roman"/>
                <w:b w:val="0"/>
                <w:bCs w:val="0"/>
                <w:sz w:val="22"/>
                <w:szCs w:val="22"/>
              </w:rPr>
              <w:t xml:space="preserve">Other comprehensive income items </w:t>
            </w:r>
          </w:p>
        </w:tc>
      </w:tr>
      <w:tr w:rsidR="000542D4" w:rsidRPr="00C0031B" w:rsidTr="009D223A">
        <w:trPr>
          <w:jc w:val="right"/>
        </w:trPr>
        <w:tc>
          <w:tcPr>
            <w:tcW w:w="853" w:type="dxa"/>
          </w:tcPr>
          <w:p w:rsidR="000542D4" w:rsidRPr="00C0031B" w:rsidRDefault="000542D4" w:rsidP="009D223A">
            <w:pPr>
              <w:bidi w:val="0"/>
              <w:spacing w:after="0"/>
              <w:jc w:val="center"/>
              <w:rPr>
                <w:rFonts w:ascii="Times New Roman" w:hAnsi="Times New Roman" w:cs="Times New Roman"/>
                <w:b w:val="0"/>
                <w:bCs w:val="0"/>
                <w:sz w:val="22"/>
                <w:szCs w:val="22"/>
                <w:rtl/>
              </w:rPr>
            </w:pPr>
          </w:p>
        </w:tc>
        <w:tc>
          <w:tcPr>
            <w:tcW w:w="8067" w:type="dxa"/>
          </w:tcPr>
          <w:p w:rsidR="000542D4" w:rsidRPr="00C0031B" w:rsidRDefault="000542D4" w:rsidP="009D223A">
            <w:pPr>
              <w:bidi w:val="0"/>
              <w:spacing w:after="0"/>
              <w:jc w:val="left"/>
              <w:rPr>
                <w:rFonts w:ascii="Times New Roman" w:hAnsi="Times New Roman" w:cs="Times New Roman"/>
                <w:b w:val="0"/>
                <w:bCs w:val="0"/>
                <w:sz w:val="22"/>
                <w:szCs w:val="22"/>
              </w:rPr>
            </w:pPr>
            <w:r w:rsidRPr="00C0031B">
              <w:rPr>
                <w:rFonts w:ascii="Times New Roman" w:hAnsi="Times New Roman" w:cs="Times New Roman"/>
                <w:b w:val="0"/>
                <w:bCs w:val="0"/>
                <w:sz w:val="22"/>
                <w:szCs w:val="22"/>
              </w:rPr>
              <w:t xml:space="preserve">          Cumulative change in fair value in full</w:t>
            </w:r>
          </w:p>
        </w:tc>
      </w:tr>
      <w:tr w:rsidR="000542D4" w:rsidRPr="00C0031B" w:rsidTr="009D223A">
        <w:trPr>
          <w:jc w:val="right"/>
        </w:trPr>
        <w:tc>
          <w:tcPr>
            <w:tcW w:w="853" w:type="dxa"/>
          </w:tcPr>
          <w:p w:rsidR="000542D4" w:rsidRPr="00C0031B" w:rsidRDefault="000542D4" w:rsidP="009D223A">
            <w:pPr>
              <w:bidi w:val="0"/>
              <w:spacing w:after="0"/>
              <w:jc w:val="center"/>
              <w:rPr>
                <w:rFonts w:ascii="Times New Roman" w:hAnsi="Times New Roman" w:cs="Times New Roman"/>
                <w:b w:val="0"/>
                <w:bCs w:val="0"/>
                <w:sz w:val="22"/>
                <w:szCs w:val="22"/>
                <w:rtl/>
              </w:rPr>
            </w:pPr>
          </w:p>
        </w:tc>
        <w:tc>
          <w:tcPr>
            <w:tcW w:w="8067" w:type="dxa"/>
          </w:tcPr>
          <w:p w:rsidR="000542D4" w:rsidRPr="00C0031B" w:rsidRDefault="000542D4" w:rsidP="009D223A">
            <w:pPr>
              <w:bidi w:val="0"/>
              <w:spacing w:after="0"/>
              <w:jc w:val="left"/>
              <w:rPr>
                <w:rFonts w:ascii="Times New Roman" w:hAnsi="Times New Roman" w:cs="Times New Roman"/>
                <w:b w:val="0"/>
                <w:bCs w:val="0"/>
                <w:sz w:val="22"/>
                <w:szCs w:val="22"/>
              </w:rPr>
            </w:pPr>
            <w:r w:rsidRPr="00C0031B">
              <w:rPr>
                <w:rFonts w:ascii="Times New Roman" w:hAnsi="Times New Roman" w:cs="Times New Roman"/>
                <w:b w:val="0"/>
                <w:bCs w:val="0"/>
                <w:sz w:val="22"/>
                <w:szCs w:val="22"/>
              </w:rPr>
              <w:t xml:space="preserve">          Exchange differences arising from the translation of foreign operations   </w:t>
            </w:r>
          </w:p>
        </w:tc>
      </w:tr>
      <w:tr w:rsidR="000542D4" w:rsidRPr="00C0031B" w:rsidTr="009D223A">
        <w:trPr>
          <w:jc w:val="right"/>
        </w:trPr>
        <w:tc>
          <w:tcPr>
            <w:tcW w:w="853" w:type="dxa"/>
          </w:tcPr>
          <w:p w:rsidR="000542D4" w:rsidRPr="00C0031B" w:rsidRDefault="000542D4" w:rsidP="009D223A">
            <w:pPr>
              <w:bidi w:val="0"/>
              <w:spacing w:after="0"/>
              <w:jc w:val="center"/>
              <w:rPr>
                <w:rFonts w:ascii="Times New Roman" w:hAnsi="Times New Roman" w:cs="Times New Roman"/>
                <w:b w:val="0"/>
                <w:bCs w:val="0"/>
                <w:sz w:val="22"/>
                <w:szCs w:val="22"/>
                <w:rtl/>
              </w:rPr>
            </w:pPr>
          </w:p>
        </w:tc>
        <w:tc>
          <w:tcPr>
            <w:tcW w:w="8067" w:type="dxa"/>
          </w:tcPr>
          <w:p w:rsidR="000542D4" w:rsidRPr="00C0031B" w:rsidRDefault="003F04CC" w:rsidP="009D223A">
            <w:pPr>
              <w:bidi w:val="0"/>
              <w:spacing w:after="0"/>
              <w:jc w:val="left"/>
              <w:rPr>
                <w:rFonts w:ascii="Times New Roman" w:hAnsi="Times New Roman" w:cs="Times New Roman"/>
                <w:b w:val="0"/>
                <w:bCs w:val="0"/>
                <w:sz w:val="22"/>
                <w:szCs w:val="22"/>
              </w:rPr>
            </w:pPr>
            <w:r w:rsidRPr="00C0031B">
              <w:rPr>
                <w:rFonts w:ascii="Times New Roman" w:hAnsi="Times New Roman" w:cs="Times New Roman"/>
                <w:b w:val="0"/>
                <w:bCs w:val="0"/>
                <w:sz w:val="22"/>
                <w:szCs w:val="22"/>
              </w:rPr>
              <w:t xml:space="preserve">          Cash flow hedge reserve relates to assets that are not fair value</w:t>
            </w:r>
            <w:r w:rsidR="00D83D14" w:rsidRPr="00C0031B">
              <w:rPr>
                <w:rFonts w:ascii="Times New Roman" w:hAnsi="Times New Roman" w:cs="Times New Roman"/>
                <w:b w:val="0"/>
                <w:bCs w:val="0"/>
                <w:sz w:val="22"/>
                <w:szCs w:val="22"/>
              </w:rPr>
              <w:t>d</w:t>
            </w:r>
          </w:p>
        </w:tc>
      </w:tr>
      <w:tr w:rsidR="000542D4" w:rsidRPr="00C0031B" w:rsidTr="009D223A">
        <w:trPr>
          <w:jc w:val="right"/>
        </w:trPr>
        <w:tc>
          <w:tcPr>
            <w:tcW w:w="853" w:type="dxa"/>
          </w:tcPr>
          <w:p w:rsidR="000542D4" w:rsidRPr="00C0031B" w:rsidRDefault="000542D4" w:rsidP="009D223A">
            <w:pPr>
              <w:bidi w:val="0"/>
              <w:spacing w:after="0"/>
              <w:jc w:val="center"/>
              <w:rPr>
                <w:rFonts w:ascii="Times New Roman" w:hAnsi="Times New Roman" w:cs="Times New Roman"/>
                <w:b w:val="0"/>
                <w:bCs w:val="0"/>
                <w:sz w:val="22"/>
                <w:szCs w:val="22"/>
                <w:rtl/>
              </w:rPr>
            </w:pPr>
          </w:p>
        </w:tc>
        <w:tc>
          <w:tcPr>
            <w:tcW w:w="8067" w:type="dxa"/>
          </w:tcPr>
          <w:p w:rsidR="000542D4" w:rsidRPr="00C0031B" w:rsidRDefault="007748D7" w:rsidP="009D223A">
            <w:pPr>
              <w:bidi w:val="0"/>
              <w:spacing w:after="0"/>
              <w:jc w:val="left"/>
              <w:rPr>
                <w:rFonts w:ascii="Times New Roman" w:hAnsi="Times New Roman" w:cs="Times New Roman"/>
                <w:b w:val="0"/>
                <w:bCs w:val="0"/>
                <w:sz w:val="22"/>
                <w:szCs w:val="22"/>
              </w:rPr>
            </w:pPr>
            <w:r w:rsidRPr="00C0031B">
              <w:rPr>
                <w:rFonts w:ascii="Times New Roman" w:hAnsi="Times New Roman" w:cs="Times New Roman"/>
                <w:b w:val="0"/>
                <w:bCs w:val="0"/>
                <w:sz w:val="22"/>
                <w:szCs w:val="22"/>
              </w:rPr>
              <w:t xml:space="preserve">Share premium </w:t>
            </w:r>
            <w:r w:rsidR="0008706C" w:rsidRPr="00C0031B">
              <w:rPr>
                <w:rFonts w:ascii="Times New Roman" w:hAnsi="Times New Roman" w:cs="Times New Roman"/>
                <w:b w:val="0"/>
                <w:bCs w:val="0"/>
                <w:sz w:val="22"/>
                <w:szCs w:val="22"/>
              </w:rPr>
              <w:t>(discount)</w:t>
            </w:r>
          </w:p>
        </w:tc>
      </w:tr>
      <w:tr w:rsidR="0008706C" w:rsidRPr="00C0031B" w:rsidTr="009D223A">
        <w:trPr>
          <w:jc w:val="right"/>
        </w:trPr>
        <w:tc>
          <w:tcPr>
            <w:tcW w:w="853" w:type="dxa"/>
          </w:tcPr>
          <w:p w:rsidR="0008706C" w:rsidRPr="00C0031B" w:rsidRDefault="0008706C" w:rsidP="009D223A">
            <w:pPr>
              <w:bidi w:val="0"/>
              <w:spacing w:after="0"/>
              <w:jc w:val="center"/>
              <w:rPr>
                <w:rFonts w:ascii="Times New Roman" w:hAnsi="Times New Roman" w:cs="Times New Roman"/>
                <w:b w:val="0"/>
                <w:bCs w:val="0"/>
                <w:sz w:val="22"/>
                <w:szCs w:val="22"/>
                <w:rtl/>
              </w:rPr>
            </w:pPr>
          </w:p>
        </w:tc>
        <w:tc>
          <w:tcPr>
            <w:tcW w:w="8067" w:type="dxa"/>
          </w:tcPr>
          <w:p w:rsidR="0008706C" w:rsidRPr="00C0031B" w:rsidRDefault="0008706C" w:rsidP="009D223A">
            <w:pPr>
              <w:bidi w:val="0"/>
              <w:spacing w:after="0"/>
              <w:jc w:val="left"/>
              <w:rPr>
                <w:rFonts w:ascii="Times New Roman" w:hAnsi="Times New Roman" w:cs="Times New Roman"/>
                <w:b w:val="0"/>
                <w:bCs w:val="0"/>
                <w:sz w:val="22"/>
                <w:szCs w:val="22"/>
              </w:rPr>
            </w:pPr>
            <w:r w:rsidRPr="00C0031B">
              <w:rPr>
                <w:rFonts w:ascii="Times New Roman" w:hAnsi="Times New Roman" w:cs="Times New Roman"/>
                <w:b w:val="0"/>
                <w:bCs w:val="0"/>
                <w:sz w:val="22"/>
                <w:szCs w:val="22"/>
              </w:rPr>
              <w:t xml:space="preserve">Statutory reserve </w:t>
            </w:r>
          </w:p>
        </w:tc>
      </w:tr>
      <w:tr w:rsidR="0008706C" w:rsidRPr="00C0031B" w:rsidTr="009D223A">
        <w:trPr>
          <w:jc w:val="right"/>
        </w:trPr>
        <w:tc>
          <w:tcPr>
            <w:tcW w:w="853" w:type="dxa"/>
          </w:tcPr>
          <w:p w:rsidR="0008706C" w:rsidRPr="00C0031B" w:rsidRDefault="0008706C" w:rsidP="009D223A">
            <w:pPr>
              <w:bidi w:val="0"/>
              <w:spacing w:after="0"/>
              <w:jc w:val="center"/>
              <w:rPr>
                <w:rFonts w:ascii="Times New Roman" w:hAnsi="Times New Roman" w:cs="Times New Roman"/>
                <w:b w:val="0"/>
                <w:bCs w:val="0"/>
                <w:sz w:val="22"/>
                <w:szCs w:val="22"/>
                <w:rtl/>
              </w:rPr>
            </w:pPr>
          </w:p>
        </w:tc>
        <w:tc>
          <w:tcPr>
            <w:tcW w:w="8067" w:type="dxa"/>
          </w:tcPr>
          <w:p w:rsidR="0008706C" w:rsidRPr="00C0031B" w:rsidRDefault="0008706C" w:rsidP="009D223A">
            <w:pPr>
              <w:bidi w:val="0"/>
              <w:spacing w:after="0"/>
              <w:jc w:val="left"/>
              <w:rPr>
                <w:rFonts w:ascii="Times New Roman" w:hAnsi="Times New Roman" w:cs="Times New Roman"/>
                <w:b w:val="0"/>
                <w:bCs w:val="0"/>
                <w:sz w:val="22"/>
                <w:szCs w:val="22"/>
              </w:rPr>
            </w:pPr>
            <w:r w:rsidRPr="00C0031B">
              <w:rPr>
                <w:rFonts w:ascii="Times New Roman" w:hAnsi="Times New Roman" w:cs="Times New Roman"/>
                <w:b w:val="0"/>
                <w:bCs w:val="0"/>
                <w:sz w:val="22"/>
                <w:szCs w:val="22"/>
              </w:rPr>
              <w:t xml:space="preserve">Voluntary reserve </w:t>
            </w:r>
          </w:p>
        </w:tc>
      </w:tr>
      <w:tr w:rsidR="0008706C" w:rsidRPr="00C0031B" w:rsidTr="009D223A">
        <w:trPr>
          <w:jc w:val="right"/>
        </w:trPr>
        <w:tc>
          <w:tcPr>
            <w:tcW w:w="853" w:type="dxa"/>
          </w:tcPr>
          <w:p w:rsidR="0008706C" w:rsidRPr="00C0031B" w:rsidRDefault="0008706C" w:rsidP="009D223A">
            <w:pPr>
              <w:bidi w:val="0"/>
              <w:spacing w:after="0"/>
              <w:jc w:val="center"/>
              <w:rPr>
                <w:rFonts w:ascii="Times New Roman" w:hAnsi="Times New Roman" w:cs="Times New Roman"/>
                <w:b w:val="0"/>
                <w:bCs w:val="0"/>
                <w:sz w:val="22"/>
                <w:szCs w:val="22"/>
                <w:rtl/>
              </w:rPr>
            </w:pPr>
          </w:p>
        </w:tc>
        <w:tc>
          <w:tcPr>
            <w:tcW w:w="8067" w:type="dxa"/>
          </w:tcPr>
          <w:p w:rsidR="0008706C" w:rsidRPr="00C0031B" w:rsidRDefault="0008706C" w:rsidP="009D223A">
            <w:pPr>
              <w:bidi w:val="0"/>
              <w:spacing w:after="0"/>
              <w:jc w:val="left"/>
              <w:rPr>
                <w:rFonts w:ascii="Times New Roman" w:hAnsi="Times New Roman" w:cs="Times New Roman"/>
                <w:b w:val="0"/>
                <w:bCs w:val="0"/>
                <w:sz w:val="22"/>
                <w:szCs w:val="22"/>
              </w:rPr>
            </w:pPr>
            <w:r w:rsidRPr="00C0031B">
              <w:rPr>
                <w:rFonts w:ascii="Times New Roman" w:hAnsi="Times New Roman" w:cs="Times New Roman"/>
                <w:b w:val="0"/>
                <w:bCs w:val="0"/>
                <w:sz w:val="22"/>
                <w:szCs w:val="22"/>
              </w:rPr>
              <w:t>Treasury share premium</w:t>
            </w:r>
          </w:p>
        </w:tc>
      </w:tr>
      <w:tr w:rsidR="0008706C" w:rsidRPr="00C0031B" w:rsidTr="009D223A">
        <w:trPr>
          <w:jc w:val="right"/>
        </w:trPr>
        <w:tc>
          <w:tcPr>
            <w:tcW w:w="853" w:type="dxa"/>
          </w:tcPr>
          <w:p w:rsidR="0008706C" w:rsidRPr="00C0031B" w:rsidRDefault="0008706C" w:rsidP="009D223A">
            <w:pPr>
              <w:bidi w:val="0"/>
              <w:spacing w:after="0"/>
              <w:jc w:val="center"/>
              <w:rPr>
                <w:rFonts w:ascii="Times New Roman" w:hAnsi="Times New Roman" w:cs="Times New Roman"/>
                <w:b w:val="0"/>
                <w:bCs w:val="0"/>
                <w:sz w:val="22"/>
                <w:szCs w:val="22"/>
                <w:rtl/>
              </w:rPr>
            </w:pPr>
          </w:p>
        </w:tc>
        <w:tc>
          <w:tcPr>
            <w:tcW w:w="8067" w:type="dxa"/>
          </w:tcPr>
          <w:p w:rsidR="0008706C" w:rsidRPr="00C0031B" w:rsidRDefault="0008706C" w:rsidP="009D223A">
            <w:pPr>
              <w:bidi w:val="0"/>
              <w:spacing w:after="0"/>
              <w:jc w:val="left"/>
              <w:rPr>
                <w:rFonts w:ascii="Times New Roman" w:hAnsi="Times New Roman" w:cs="Times New Roman"/>
                <w:b w:val="0"/>
                <w:bCs w:val="0"/>
                <w:sz w:val="22"/>
                <w:szCs w:val="22"/>
              </w:rPr>
            </w:pPr>
            <w:r w:rsidRPr="00C0031B">
              <w:rPr>
                <w:rFonts w:ascii="Times New Roman" w:hAnsi="Times New Roman" w:cs="Times New Roman"/>
                <w:b w:val="0"/>
                <w:bCs w:val="0"/>
                <w:sz w:val="22"/>
                <w:szCs w:val="22"/>
              </w:rPr>
              <w:t>Other reserves approved by the Central Bank</w:t>
            </w:r>
          </w:p>
        </w:tc>
      </w:tr>
      <w:tr w:rsidR="0008706C" w:rsidRPr="00C0031B" w:rsidTr="009D223A">
        <w:trPr>
          <w:jc w:val="right"/>
        </w:trPr>
        <w:tc>
          <w:tcPr>
            <w:tcW w:w="853" w:type="dxa"/>
          </w:tcPr>
          <w:p w:rsidR="0008706C" w:rsidRPr="00C0031B" w:rsidRDefault="0008706C" w:rsidP="009D223A">
            <w:pPr>
              <w:bidi w:val="0"/>
              <w:spacing w:after="0"/>
              <w:jc w:val="center"/>
              <w:rPr>
                <w:rFonts w:ascii="Times New Roman" w:hAnsi="Times New Roman" w:cs="Times New Roman"/>
                <w:b w:val="0"/>
                <w:bCs w:val="0"/>
                <w:sz w:val="22"/>
                <w:szCs w:val="22"/>
                <w:rtl/>
              </w:rPr>
            </w:pPr>
          </w:p>
        </w:tc>
        <w:tc>
          <w:tcPr>
            <w:tcW w:w="8067" w:type="dxa"/>
          </w:tcPr>
          <w:p w:rsidR="0008706C" w:rsidRPr="00C0031B" w:rsidRDefault="0008706C" w:rsidP="009D223A">
            <w:pPr>
              <w:bidi w:val="0"/>
              <w:spacing w:after="0"/>
              <w:jc w:val="left"/>
              <w:rPr>
                <w:rFonts w:ascii="Times New Roman" w:hAnsi="Times New Roman" w:cs="Times New Roman"/>
                <w:b w:val="0"/>
                <w:bCs w:val="0"/>
                <w:sz w:val="22"/>
                <w:szCs w:val="22"/>
              </w:rPr>
            </w:pPr>
            <w:r w:rsidRPr="00C0031B">
              <w:rPr>
                <w:rFonts w:ascii="Times New Roman" w:hAnsi="Times New Roman" w:cs="Times New Roman"/>
                <w:b w:val="0"/>
                <w:bCs w:val="0"/>
                <w:sz w:val="22"/>
                <w:szCs w:val="22"/>
              </w:rPr>
              <w:t>Minority interest</w:t>
            </w:r>
          </w:p>
        </w:tc>
      </w:tr>
      <w:tr w:rsidR="0008706C" w:rsidRPr="00C0031B" w:rsidTr="009D223A">
        <w:trPr>
          <w:jc w:val="right"/>
        </w:trPr>
        <w:tc>
          <w:tcPr>
            <w:tcW w:w="853" w:type="dxa"/>
            <w:shd w:val="clear" w:color="auto" w:fill="E7E6E6" w:themeFill="background2"/>
          </w:tcPr>
          <w:p w:rsidR="0008706C" w:rsidRPr="00C0031B" w:rsidRDefault="00874DCF" w:rsidP="009D223A">
            <w:pPr>
              <w:bidi w:val="0"/>
              <w:spacing w:after="0"/>
              <w:jc w:val="center"/>
              <w:rPr>
                <w:rFonts w:ascii="Times New Roman" w:hAnsi="Times New Roman" w:cs="Times New Roman"/>
                <w:b w:val="0"/>
                <w:bCs w:val="0"/>
                <w:sz w:val="22"/>
                <w:szCs w:val="22"/>
                <w:rtl/>
              </w:rPr>
            </w:pPr>
            <w:r w:rsidRPr="00C0031B">
              <w:rPr>
                <w:rFonts w:ascii="Times New Roman" w:hAnsi="Times New Roman" w:cs="Times New Roman"/>
                <w:b w:val="0"/>
                <w:bCs w:val="0"/>
                <w:sz w:val="22"/>
                <w:szCs w:val="22"/>
              </w:rPr>
              <w:t>0</w:t>
            </w:r>
          </w:p>
        </w:tc>
        <w:tc>
          <w:tcPr>
            <w:tcW w:w="8067" w:type="dxa"/>
            <w:shd w:val="clear" w:color="auto" w:fill="E7E6E6" w:themeFill="background2"/>
          </w:tcPr>
          <w:p w:rsidR="0008706C" w:rsidRPr="00C0031B" w:rsidRDefault="00874DCF" w:rsidP="009D223A">
            <w:pPr>
              <w:bidi w:val="0"/>
              <w:spacing w:after="0"/>
              <w:jc w:val="left"/>
              <w:rPr>
                <w:rFonts w:ascii="Times New Roman" w:hAnsi="Times New Roman" w:cs="Times New Roman"/>
                <w:sz w:val="22"/>
                <w:szCs w:val="22"/>
              </w:rPr>
            </w:pPr>
            <w:r w:rsidRPr="00C0031B">
              <w:rPr>
                <w:rFonts w:ascii="Times New Roman" w:hAnsi="Times New Roman" w:cs="Times New Roman"/>
                <w:sz w:val="22"/>
                <w:szCs w:val="22"/>
              </w:rPr>
              <w:t>Total of Common Equity Tier 1 Capital</w:t>
            </w:r>
          </w:p>
        </w:tc>
      </w:tr>
      <w:tr w:rsidR="003F04CC" w:rsidRPr="00C0031B" w:rsidTr="009D223A">
        <w:trPr>
          <w:jc w:val="right"/>
        </w:trPr>
        <w:tc>
          <w:tcPr>
            <w:tcW w:w="853" w:type="dxa"/>
            <w:shd w:val="clear" w:color="auto" w:fill="auto"/>
          </w:tcPr>
          <w:p w:rsidR="003F04CC" w:rsidRPr="00C0031B" w:rsidRDefault="003F04CC" w:rsidP="009D223A">
            <w:pPr>
              <w:bidi w:val="0"/>
              <w:spacing w:after="0"/>
              <w:jc w:val="center"/>
              <w:rPr>
                <w:rFonts w:ascii="Times New Roman" w:hAnsi="Times New Roman" w:cs="Times New Roman"/>
                <w:b w:val="0"/>
                <w:bCs w:val="0"/>
                <w:sz w:val="22"/>
                <w:szCs w:val="22"/>
              </w:rPr>
            </w:pPr>
          </w:p>
        </w:tc>
        <w:tc>
          <w:tcPr>
            <w:tcW w:w="8067" w:type="dxa"/>
            <w:shd w:val="clear" w:color="auto" w:fill="auto"/>
          </w:tcPr>
          <w:p w:rsidR="003F04CC" w:rsidRPr="00C0031B" w:rsidRDefault="003F04CC" w:rsidP="009D223A">
            <w:pPr>
              <w:bidi w:val="0"/>
              <w:spacing w:after="0"/>
              <w:jc w:val="left"/>
              <w:rPr>
                <w:rFonts w:ascii="Times New Roman" w:hAnsi="Times New Roman" w:cs="Times New Roman"/>
                <w:sz w:val="22"/>
                <w:szCs w:val="22"/>
              </w:rPr>
            </w:pPr>
            <w:r w:rsidRPr="00C0031B">
              <w:rPr>
                <w:rStyle w:val="tlid-translation"/>
                <w:rFonts w:ascii="Times New Roman" w:hAnsi="Times New Roman" w:cs="Times New Roman"/>
                <w:sz w:val="22"/>
                <w:szCs w:val="22"/>
                <w:lang w:val="en" w:bidi="ar"/>
              </w:rPr>
              <w:t>Regulatory adjustments</w:t>
            </w:r>
          </w:p>
        </w:tc>
      </w:tr>
      <w:tr w:rsidR="003F04CC" w:rsidRPr="00C0031B" w:rsidTr="009D223A">
        <w:trPr>
          <w:jc w:val="right"/>
        </w:trPr>
        <w:tc>
          <w:tcPr>
            <w:tcW w:w="853" w:type="dxa"/>
            <w:shd w:val="clear" w:color="auto" w:fill="auto"/>
          </w:tcPr>
          <w:p w:rsidR="003F04CC" w:rsidRPr="00C0031B" w:rsidRDefault="003F04CC" w:rsidP="009D223A">
            <w:pPr>
              <w:bidi w:val="0"/>
              <w:spacing w:after="0"/>
              <w:jc w:val="center"/>
              <w:rPr>
                <w:rFonts w:ascii="Times New Roman" w:hAnsi="Times New Roman" w:cs="Times New Roman"/>
                <w:b w:val="0"/>
                <w:bCs w:val="0"/>
                <w:sz w:val="22"/>
                <w:szCs w:val="22"/>
              </w:rPr>
            </w:pPr>
          </w:p>
        </w:tc>
        <w:tc>
          <w:tcPr>
            <w:tcW w:w="8067" w:type="dxa"/>
            <w:shd w:val="clear" w:color="auto" w:fill="auto"/>
          </w:tcPr>
          <w:p w:rsidR="003F04CC" w:rsidRPr="00C0031B" w:rsidRDefault="003F04CC" w:rsidP="009D223A">
            <w:pPr>
              <w:bidi w:val="0"/>
              <w:spacing w:after="0" w:line="276" w:lineRule="auto"/>
              <w:jc w:val="left"/>
              <w:rPr>
                <w:rFonts w:ascii="Times New Roman" w:hAnsi="Times New Roman" w:cs="Times New Roman"/>
                <w:b w:val="0"/>
                <w:bCs w:val="0"/>
                <w:sz w:val="22"/>
                <w:szCs w:val="22"/>
                <w:lang w:val="en" w:bidi="ar"/>
              </w:rPr>
            </w:pPr>
            <w:r w:rsidRPr="00C0031B">
              <w:rPr>
                <w:rStyle w:val="tlid-translation"/>
                <w:rFonts w:ascii="Times New Roman" w:hAnsi="Times New Roman" w:cs="Times New Roman"/>
                <w:b w:val="0"/>
                <w:bCs w:val="0"/>
                <w:sz w:val="22"/>
                <w:szCs w:val="22"/>
                <w:lang w:val="en" w:bidi="ar"/>
              </w:rPr>
              <w:t xml:space="preserve">          Goodwill and other intangibles</w:t>
            </w:r>
            <w:r w:rsidR="004101A4">
              <w:rPr>
                <w:rStyle w:val="tlid-translation"/>
                <w:rFonts w:ascii="Times New Roman" w:hAnsi="Times New Roman" w:cs="Times New Roman"/>
                <w:b w:val="0"/>
                <w:bCs w:val="0"/>
                <w:sz w:val="22"/>
                <w:szCs w:val="22"/>
                <w:lang w:val="en" w:bidi="ar"/>
              </w:rPr>
              <w:t xml:space="preserve"> assets</w:t>
            </w:r>
          </w:p>
        </w:tc>
      </w:tr>
      <w:tr w:rsidR="003F04CC" w:rsidRPr="00C0031B" w:rsidTr="009D223A">
        <w:trPr>
          <w:jc w:val="right"/>
        </w:trPr>
        <w:tc>
          <w:tcPr>
            <w:tcW w:w="853" w:type="dxa"/>
            <w:shd w:val="clear" w:color="auto" w:fill="auto"/>
          </w:tcPr>
          <w:p w:rsidR="003F04CC" w:rsidRPr="00C0031B" w:rsidRDefault="003F04CC" w:rsidP="009D223A">
            <w:pPr>
              <w:bidi w:val="0"/>
              <w:spacing w:after="0"/>
              <w:jc w:val="center"/>
              <w:rPr>
                <w:rFonts w:ascii="Times New Roman" w:hAnsi="Times New Roman" w:cs="Times New Roman"/>
                <w:b w:val="0"/>
                <w:bCs w:val="0"/>
                <w:sz w:val="22"/>
                <w:szCs w:val="22"/>
              </w:rPr>
            </w:pPr>
          </w:p>
        </w:tc>
        <w:tc>
          <w:tcPr>
            <w:tcW w:w="8067" w:type="dxa"/>
            <w:shd w:val="clear" w:color="auto" w:fill="auto"/>
          </w:tcPr>
          <w:p w:rsidR="003F04CC" w:rsidRPr="00C0031B" w:rsidRDefault="003F04CC" w:rsidP="009D223A">
            <w:pPr>
              <w:bidi w:val="0"/>
              <w:spacing w:after="0"/>
              <w:jc w:val="left"/>
              <w:rPr>
                <w:rStyle w:val="tlid-translation"/>
                <w:sz w:val="22"/>
                <w:szCs w:val="22"/>
                <w:lang w:val="en" w:bidi="ar"/>
              </w:rPr>
            </w:pPr>
            <w:r w:rsidRPr="00C0031B">
              <w:rPr>
                <w:rStyle w:val="tlid-translation"/>
                <w:rFonts w:ascii="Times New Roman" w:hAnsi="Times New Roman" w:cs="Times New Roman"/>
                <w:b w:val="0"/>
                <w:bCs w:val="0"/>
                <w:sz w:val="22"/>
                <w:szCs w:val="22"/>
                <w:lang w:val="en" w:bidi="ar"/>
              </w:rPr>
              <w:t xml:space="preserve">          Deferred tax assets</w:t>
            </w:r>
          </w:p>
        </w:tc>
      </w:tr>
      <w:tr w:rsidR="003F04CC" w:rsidRPr="00C0031B" w:rsidTr="009D223A">
        <w:trPr>
          <w:jc w:val="right"/>
        </w:trPr>
        <w:tc>
          <w:tcPr>
            <w:tcW w:w="853" w:type="dxa"/>
            <w:shd w:val="clear" w:color="auto" w:fill="auto"/>
          </w:tcPr>
          <w:p w:rsidR="003F04CC" w:rsidRPr="00C0031B" w:rsidRDefault="003F04CC" w:rsidP="009D223A">
            <w:pPr>
              <w:bidi w:val="0"/>
              <w:spacing w:after="0"/>
              <w:jc w:val="center"/>
              <w:rPr>
                <w:rFonts w:ascii="Times New Roman" w:hAnsi="Times New Roman" w:cs="Times New Roman"/>
                <w:b w:val="0"/>
                <w:bCs w:val="0"/>
                <w:sz w:val="22"/>
                <w:szCs w:val="22"/>
              </w:rPr>
            </w:pPr>
          </w:p>
        </w:tc>
        <w:tc>
          <w:tcPr>
            <w:tcW w:w="8067" w:type="dxa"/>
            <w:shd w:val="clear" w:color="auto" w:fill="auto"/>
          </w:tcPr>
          <w:p w:rsidR="003F04CC" w:rsidRPr="00C0031B" w:rsidRDefault="003F04CC" w:rsidP="008B118E">
            <w:pPr>
              <w:bidi w:val="0"/>
              <w:spacing w:after="0"/>
              <w:ind w:firstLine="608"/>
              <w:jc w:val="left"/>
              <w:rPr>
                <w:rStyle w:val="tlid-translation"/>
                <w:rFonts w:ascii="Times New Roman" w:hAnsi="Times New Roman" w:cs="Times New Roman"/>
                <w:b w:val="0"/>
                <w:bCs w:val="0"/>
                <w:sz w:val="22"/>
                <w:szCs w:val="22"/>
                <w:lang w:val="en" w:bidi="ar"/>
              </w:rPr>
            </w:pPr>
            <w:r w:rsidRPr="00C0031B">
              <w:rPr>
                <w:rStyle w:val="tlid-translation"/>
                <w:rFonts w:ascii="Times New Roman" w:hAnsi="Times New Roman" w:cs="Times New Roman"/>
                <w:b w:val="0"/>
                <w:bCs w:val="0"/>
                <w:sz w:val="22"/>
                <w:szCs w:val="22"/>
                <w:lang w:val="en" w:bidi="ar"/>
              </w:rPr>
              <w:t>Cash flow hedge reserve relates to assets that are not fair valued</w:t>
            </w:r>
          </w:p>
        </w:tc>
      </w:tr>
      <w:tr w:rsidR="003F04CC" w:rsidRPr="00C0031B" w:rsidTr="009D223A">
        <w:trPr>
          <w:jc w:val="right"/>
        </w:trPr>
        <w:tc>
          <w:tcPr>
            <w:tcW w:w="853" w:type="dxa"/>
            <w:shd w:val="clear" w:color="auto" w:fill="auto"/>
          </w:tcPr>
          <w:p w:rsidR="003F04CC" w:rsidRPr="00C0031B" w:rsidRDefault="003F04CC" w:rsidP="009D223A">
            <w:pPr>
              <w:bidi w:val="0"/>
              <w:spacing w:after="0"/>
              <w:jc w:val="center"/>
              <w:rPr>
                <w:rFonts w:ascii="Times New Roman" w:hAnsi="Times New Roman" w:cs="Times New Roman"/>
                <w:b w:val="0"/>
                <w:bCs w:val="0"/>
                <w:sz w:val="22"/>
                <w:szCs w:val="22"/>
              </w:rPr>
            </w:pPr>
          </w:p>
        </w:tc>
        <w:tc>
          <w:tcPr>
            <w:tcW w:w="8067" w:type="dxa"/>
            <w:shd w:val="clear" w:color="auto" w:fill="auto"/>
          </w:tcPr>
          <w:p w:rsidR="003F04CC" w:rsidRPr="00C0031B" w:rsidRDefault="009D223A" w:rsidP="008B118E">
            <w:pPr>
              <w:bidi w:val="0"/>
              <w:spacing w:after="0"/>
              <w:ind w:firstLine="608"/>
              <w:jc w:val="left"/>
              <w:rPr>
                <w:rStyle w:val="tlid-translation"/>
                <w:rFonts w:ascii="Times New Roman" w:hAnsi="Times New Roman" w:cs="Times New Roman"/>
                <w:b w:val="0"/>
                <w:bCs w:val="0"/>
                <w:sz w:val="22"/>
                <w:szCs w:val="22"/>
                <w:lang w:val="en" w:bidi="ar"/>
              </w:rPr>
            </w:pPr>
            <w:r w:rsidRPr="00C0031B">
              <w:rPr>
                <w:rStyle w:val="tlid-translation"/>
                <w:rFonts w:ascii="Times New Roman" w:hAnsi="Times New Roman" w:cs="Times New Roman"/>
                <w:b w:val="0"/>
                <w:bCs w:val="0"/>
                <w:sz w:val="22"/>
                <w:szCs w:val="22"/>
                <w:lang w:val="en" w:bidi="ar"/>
              </w:rPr>
              <w:t>Gain on sale related to securitisation transactions</w:t>
            </w:r>
          </w:p>
        </w:tc>
      </w:tr>
      <w:tr w:rsidR="003F04CC" w:rsidRPr="00C0031B" w:rsidTr="009D223A">
        <w:trPr>
          <w:jc w:val="right"/>
        </w:trPr>
        <w:tc>
          <w:tcPr>
            <w:tcW w:w="853" w:type="dxa"/>
            <w:shd w:val="clear" w:color="auto" w:fill="auto"/>
          </w:tcPr>
          <w:p w:rsidR="003F04CC" w:rsidRPr="00C0031B" w:rsidRDefault="003F04CC" w:rsidP="009D223A">
            <w:pPr>
              <w:bidi w:val="0"/>
              <w:spacing w:after="0"/>
              <w:jc w:val="center"/>
              <w:rPr>
                <w:rFonts w:ascii="Times New Roman" w:hAnsi="Times New Roman" w:cs="Times New Roman"/>
                <w:b w:val="0"/>
                <w:bCs w:val="0"/>
                <w:sz w:val="22"/>
                <w:szCs w:val="22"/>
              </w:rPr>
            </w:pPr>
          </w:p>
        </w:tc>
        <w:tc>
          <w:tcPr>
            <w:tcW w:w="8067" w:type="dxa"/>
            <w:shd w:val="clear" w:color="auto" w:fill="auto"/>
          </w:tcPr>
          <w:p w:rsidR="003F04CC" w:rsidRPr="00C0031B" w:rsidRDefault="009D223A" w:rsidP="008B118E">
            <w:pPr>
              <w:bidi w:val="0"/>
              <w:spacing w:after="0"/>
              <w:ind w:left="608"/>
              <w:jc w:val="left"/>
              <w:rPr>
                <w:rStyle w:val="tlid-translation"/>
                <w:rFonts w:ascii="Times New Roman" w:hAnsi="Times New Roman" w:cs="Times New Roman"/>
                <w:b w:val="0"/>
                <w:bCs w:val="0"/>
                <w:sz w:val="22"/>
                <w:szCs w:val="22"/>
                <w:lang w:val="en" w:bidi="ar"/>
              </w:rPr>
            </w:pPr>
            <w:r w:rsidRPr="00C0031B">
              <w:rPr>
                <w:rStyle w:val="tlid-translation"/>
                <w:rFonts w:ascii="Times New Roman" w:hAnsi="Times New Roman" w:cs="Times New Roman"/>
                <w:b w:val="0"/>
                <w:bCs w:val="0"/>
                <w:sz w:val="22"/>
                <w:szCs w:val="22"/>
                <w:lang w:val="en" w:bidi="ar"/>
              </w:rPr>
              <w:t>Cumulative gains and losses due to changes in own credit risk on fair valued financial liabilities</w:t>
            </w:r>
          </w:p>
        </w:tc>
      </w:tr>
      <w:tr w:rsidR="009D223A" w:rsidRPr="00C0031B" w:rsidTr="009D223A">
        <w:trPr>
          <w:jc w:val="right"/>
        </w:trPr>
        <w:tc>
          <w:tcPr>
            <w:tcW w:w="853" w:type="dxa"/>
            <w:shd w:val="clear" w:color="auto" w:fill="auto"/>
          </w:tcPr>
          <w:p w:rsidR="009D223A" w:rsidRPr="00C0031B" w:rsidRDefault="009D223A" w:rsidP="009D223A">
            <w:pPr>
              <w:bidi w:val="0"/>
              <w:spacing w:after="0"/>
              <w:jc w:val="center"/>
              <w:rPr>
                <w:rFonts w:ascii="Times New Roman" w:hAnsi="Times New Roman" w:cs="Times New Roman"/>
                <w:b w:val="0"/>
                <w:bCs w:val="0"/>
                <w:sz w:val="22"/>
                <w:szCs w:val="22"/>
              </w:rPr>
            </w:pPr>
          </w:p>
        </w:tc>
        <w:tc>
          <w:tcPr>
            <w:tcW w:w="8067" w:type="dxa"/>
            <w:shd w:val="clear" w:color="auto" w:fill="auto"/>
          </w:tcPr>
          <w:p w:rsidR="009D223A" w:rsidRPr="00C0031B" w:rsidRDefault="009D223A" w:rsidP="008B118E">
            <w:pPr>
              <w:bidi w:val="0"/>
              <w:spacing w:after="0"/>
              <w:ind w:left="608"/>
              <w:jc w:val="left"/>
              <w:rPr>
                <w:rStyle w:val="tlid-translation"/>
                <w:rFonts w:ascii="Times New Roman" w:hAnsi="Times New Roman" w:cs="Times New Roman"/>
                <w:b w:val="0"/>
                <w:bCs w:val="0"/>
                <w:sz w:val="22"/>
                <w:szCs w:val="22"/>
                <w:lang w:val="en" w:bidi="ar"/>
              </w:rPr>
            </w:pPr>
            <w:r w:rsidRPr="00C0031B">
              <w:rPr>
                <w:rStyle w:val="tlid-translation"/>
                <w:rFonts w:ascii="Times New Roman" w:hAnsi="Times New Roman" w:cs="Times New Roman"/>
                <w:b w:val="0"/>
                <w:bCs w:val="0"/>
                <w:sz w:val="22"/>
                <w:szCs w:val="22"/>
                <w:lang w:val="en" w:bidi="ar"/>
              </w:rPr>
              <w:t>Investments in own shares (treasury stock)</w:t>
            </w:r>
          </w:p>
        </w:tc>
      </w:tr>
      <w:tr w:rsidR="009D223A" w:rsidRPr="00C0031B" w:rsidTr="009D223A">
        <w:trPr>
          <w:jc w:val="right"/>
        </w:trPr>
        <w:tc>
          <w:tcPr>
            <w:tcW w:w="853" w:type="dxa"/>
            <w:shd w:val="clear" w:color="auto" w:fill="auto"/>
          </w:tcPr>
          <w:p w:rsidR="009D223A" w:rsidRPr="00C0031B" w:rsidRDefault="009D223A" w:rsidP="009D223A">
            <w:pPr>
              <w:bidi w:val="0"/>
              <w:spacing w:after="0"/>
              <w:jc w:val="center"/>
              <w:rPr>
                <w:rFonts w:ascii="Times New Roman" w:hAnsi="Times New Roman" w:cs="Times New Roman"/>
                <w:b w:val="0"/>
                <w:bCs w:val="0"/>
                <w:sz w:val="22"/>
                <w:szCs w:val="22"/>
              </w:rPr>
            </w:pPr>
          </w:p>
        </w:tc>
        <w:tc>
          <w:tcPr>
            <w:tcW w:w="8067" w:type="dxa"/>
            <w:shd w:val="clear" w:color="auto" w:fill="auto"/>
          </w:tcPr>
          <w:p w:rsidR="009D223A" w:rsidRPr="00C0031B" w:rsidRDefault="009D223A" w:rsidP="008B118E">
            <w:pPr>
              <w:bidi w:val="0"/>
              <w:spacing w:after="0"/>
              <w:ind w:left="608"/>
              <w:jc w:val="left"/>
              <w:rPr>
                <w:rStyle w:val="tlid-translation"/>
                <w:rFonts w:ascii="Times New Roman" w:hAnsi="Times New Roman" w:cs="Times New Roman"/>
                <w:b w:val="0"/>
                <w:bCs w:val="0"/>
                <w:sz w:val="22"/>
                <w:szCs w:val="22"/>
                <w:lang w:val="en" w:bidi="ar"/>
              </w:rPr>
            </w:pPr>
            <w:r w:rsidRPr="00C0031B">
              <w:rPr>
                <w:rStyle w:val="tlid-translation"/>
                <w:rFonts w:ascii="Times New Roman" w:hAnsi="Times New Roman" w:cs="Times New Roman"/>
                <w:b w:val="0"/>
                <w:bCs w:val="0"/>
                <w:sz w:val="22"/>
                <w:szCs w:val="22"/>
                <w:lang w:val="en" w:bidi="ar"/>
              </w:rPr>
              <w:t>Deferred provisions with the approval of the Central Bank (if any)</w:t>
            </w:r>
          </w:p>
        </w:tc>
      </w:tr>
      <w:tr w:rsidR="009D223A" w:rsidRPr="00C0031B" w:rsidTr="009D223A">
        <w:trPr>
          <w:jc w:val="right"/>
        </w:trPr>
        <w:tc>
          <w:tcPr>
            <w:tcW w:w="853" w:type="dxa"/>
            <w:shd w:val="clear" w:color="auto" w:fill="auto"/>
          </w:tcPr>
          <w:p w:rsidR="009D223A" w:rsidRPr="00C0031B" w:rsidRDefault="009D223A" w:rsidP="009D223A">
            <w:pPr>
              <w:bidi w:val="0"/>
              <w:spacing w:after="0"/>
              <w:jc w:val="center"/>
              <w:rPr>
                <w:rFonts w:ascii="Times New Roman" w:hAnsi="Times New Roman" w:cs="Times New Roman"/>
                <w:b w:val="0"/>
                <w:bCs w:val="0"/>
                <w:sz w:val="22"/>
                <w:szCs w:val="22"/>
              </w:rPr>
            </w:pPr>
          </w:p>
        </w:tc>
        <w:tc>
          <w:tcPr>
            <w:tcW w:w="8067" w:type="dxa"/>
            <w:shd w:val="clear" w:color="auto" w:fill="auto"/>
          </w:tcPr>
          <w:p w:rsidR="009D223A" w:rsidRPr="00C0031B" w:rsidRDefault="009D223A" w:rsidP="008B118E">
            <w:pPr>
              <w:bidi w:val="0"/>
              <w:spacing w:after="0"/>
              <w:ind w:left="608"/>
              <w:jc w:val="left"/>
              <w:rPr>
                <w:rStyle w:val="tlid-translation"/>
                <w:rFonts w:ascii="Times New Roman" w:hAnsi="Times New Roman" w:cs="Times New Roman"/>
                <w:b w:val="0"/>
                <w:bCs w:val="0"/>
                <w:sz w:val="22"/>
                <w:szCs w:val="22"/>
                <w:lang w:val="en" w:bidi="ar"/>
              </w:rPr>
            </w:pPr>
            <w:r w:rsidRPr="00C0031B">
              <w:rPr>
                <w:rStyle w:val="tlid-translation"/>
                <w:rFonts w:ascii="Times New Roman" w:hAnsi="Times New Roman" w:cs="Times New Roman"/>
                <w:b w:val="0"/>
                <w:bCs w:val="0"/>
                <w:sz w:val="22"/>
                <w:szCs w:val="22"/>
                <w:lang w:val="en" w:bidi="ar"/>
              </w:rPr>
              <w:t>Investments in the capitals of subsidiaries that are not consolidated with the bank’s accounts, as described in annex no. (1)</w:t>
            </w:r>
          </w:p>
        </w:tc>
      </w:tr>
      <w:tr w:rsidR="009D223A" w:rsidRPr="00C0031B" w:rsidTr="009D223A">
        <w:trPr>
          <w:jc w:val="right"/>
        </w:trPr>
        <w:tc>
          <w:tcPr>
            <w:tcW w:w="853" w:type="dxa"/>
            <w:shd w:val="clear" w:color="auto" w:fill="auto"/>
          </w:tcPr>
          <w:p w:rsidR="009D223A" w:rsidRPr="00C0031B" w:rsidRDefault="009D223A" w:rsidP="009D223A">
            <w:pPr>
              <w:bidi w:val="0"/>
              <w:spacing w:after="0"/>
              <w:jc w:val="center"/>
              <w:rPr>
                <w:rFonts w:ascii="Times New Roman" w:hAnsi="Times New Roman" w:cs="Times New Roman"/>
                <w:b w:val="0"/>
                <w:bCs w:val="0"/>
                <w:sz w:val="22"/>
                <w:szCs w:val="22"/>
              </w:rPr>
            </w:pPr>
          </w:p>
        </w:tc>
        <w:tc>
          <w:tcPr>
            <w:tcW w:w="8067" w:type="dxa"/>
            <w:shd w:val="clear" w:color="auto" w:fill="auto"/>
          </w:tcPr>
          <w:p w:rsidR="009D223A" w:rsidRPr="00C0031B" w:rsidRDefault="009D223A" w:rsidP="008B118E">
            <w:pPr>
              <w:bidi w:val="0"/>
              <w:spacing w:after="0"/>
              <w:ind w:left="608"/>
              <w:jc w:val="left"/>
              <w:rPr>
                <w:rStyle w:val="tlid-translation"/>
                <w:rFonts w:ascii="Times New Roman" w:hAnsi="Times New Roman" w:cs="Times New Roman"/>
                <w:b w:val="0"/>
                <w:bCs w:val="0"/>
                <w:sz w:val="22"/>
                <w:szCs w:val="22"/>
                <w:lang w:val="en" w:bidi="ar"/>
              </w:rPr>
            </w:pPr>
            <w:r w:rsidRPr="00C0031B">
              <w:rPr>
                <w:rStyle w:val="tlid-translation"/>
                <w:rFonts w:ascii="Times New Roman" w:hAnsi="Times New Roman" w:cs="Times New Roman"/>
                <w:b w:val="0"/>
                <w:bCs w:val="0"/>
                <w:sz w:val="22"/>
                <w:szCs w:val="22"/>
                <w:lang w:val="en" w:bidi="ar"/>
              </w:rPr>
              <w:t>Reciprocal cross holdings in the capital of banking, financial and insurance entities within CET1</w:t>
            </w:r>
          </w:p>
        </w:tc>
      </w:tr>
      <w:tr w:rsidR="009D223A" w:rsidRPr="00C0031B" w:rsidTr="009D223A">
        <w:trPr>
          <w:jc w:val="right"/>
        </w:trPr>
        <w:tc>
          <w:tcPr>
            <w:tcW w:w="853" w:type="dxa"/>
            <w:shd w:val="clear" w:color="auto" w:fill="auto"/>
          </w:tcPr>
          <w:p w:rsidR="009D223A" w:rsidRPr="00C0031B" w:rsidRDefault="009D223A" w:rsidP="009D223A">
            <w:pPr>
              <w:bidi w:val="0"/>
              <w:spacing w:after="0"/>
              <w:jc w:val="center"/>
              <w:rPr>
                <w:rFonts w:ascii="Times New Roman" w:hAnsi="Times New Roman" w:cs="Times New Roman"/>
                <w:b w:val="0"/>
                <w:bCs w:val="0"/>
                <w:sz w:val="22"/>
                <w:szCs w:val="22"/>
              </w:rPr>
            </w:pPr>
          </w:p>
        </w:tc>
        <w:tc>
          <w:tcPr>
            <w:tcW w:w="8067" w:type="dxa"/>
            <w:shd w:val="clear" w:color="auto" w:fill="auto"/>
          </w:tcPr>
          <w:p w:rsidR="009D223A" w:rsidRPr="00C0031B" w:rsidRDefault="009D223A" w:rsidP="008B118E">
            <w:pPr>
              <w:bidi w:val="0"/>
              <w:spacing w:after="0"/>
              <w:ind w:left="608"/>
              <w:jc w:val="left"/>
              <w:rPr>
                <w:rStyle w:val="tlid-translation"/>
                <w:rFonts w:ascii="Times New Roman" w:hAnsi="Times New Roman" w:cs="Times New Roman"/>
                <w:b w:val="0"/>
                <w:bCs w:val="0"/>
                <w:sz w:val="22"/>
                <w:szCs w:val="22"/>
                <w:lang w:val="en" w:bidi="ar"/>
              </w:rPr>
            </w:pPr>
            <w:r w:rsidRPr="00C0031B">
              <w:rPr>
                <w:rStyle w:val="tlid-translation"/>
                <w:rFonts w:ascii="Times New Roman" w:hAnsi="Times New Roman" w:cs="Times New Roman"/>
                <w:b w:val="0"/>
                <w:bCs w:val="0"/>
                <w:sz w:val="22"/>
                <w:szCs w:val="22"/>
                <w:lang w:val="en" w:bidi="ar"/>
              </w:rPr>
              <w:t>Investments in the capital of banking, financial and insurance entities where the bank own less than 10% (According to what is indicated in the instructions)</w:t>
            </w:r>
          </w:p>
        </w:tc>
      </w:tr>
      <w:tr w:rsidR="009D223A" w:rsidRPr="00C0031B" w:rsidTr="009D223A">
        <w:trPr>
          <w:jc w:val="right"/>
        </w:trPr>
        <w:tc>
          <w:tcPr>
            <w:tcW w:w="853" w:type="dxa"/>
            <w:shd w:val="clear" w:color="auto" w:fill="auto"/>
          </w:tcPr>
          <w:p w:rsidR="009D223A" w:rsidRPr="00C0031B" w:rsidRDefault="009D223A" w:rsidP="009D223A">
            <w:pPr>
              <w:bidi w:val="0"/>
              <w:spacing w:after="0"/>
              <w:jc w:val="center"/>
              <w:rPr>
                <w:rFonts w:ascii="Times New Roman" w:hAnsi="Times New Roman" w:cs="Times New Roman"/>
                <w:b w:val="0"/>
                <w:bCs w:val="0"/>
                <w:sz w:val="22"/>
                <w:szCs w:val="22"/>
              </w:rPr>
            </w:pPr>
          </w:p>
        </w:tc>
        <w:tc>
          <w:tcPr>
            <w:tcW w:w="8067" w:type="dxa"/>
            <w:shd w:val="clear" w:color="auto" w:fill="auto"/>
          </w:tcPr>
          <w:p w:rsidR="009D223A" w:rsidRPr="00C0031B" w:rsidRDefault="009D223A" w:rsidP="008B118E">
            <w:pPr>
              <w:bidi w:val="0"/>
              <w:spacing w:after="0"/>
              <w:ind w:left="608"/>
              <w:jc w:val="left"/>
              <w:rPr>
                <w:rStyle w:val="tlid-translation"/>
                <w:rFonts w:ascii="Times New Roman" w:hAnsi="Times New Roman" w:cs="Times New Roman"/>
                <w:b w:val="0"/>
                <w:bCs w:val="0"/>
                <w:sz w:val="22"/>
                <w:szCs w:val="22"/>
                <w:lang w:val="en" w:bidi="ar"/>
              </w:rPr>
            </w:pPr>
            <w:r w:rsidRPr="00C0031B">
              <w:rPr>
                <w:rStyle w:val="tlid-translation"/>
                <w:rFonts w:ascii="Times New Roman" w:hAnsi="Times New Roman" w:cs="Times New Roman"/>
                <w:b w:val="0"/>
                <w:bCs w:val="0"/>
                <w:sz w:val="22"/>
                <w:szCs w:val="22"/>
                <w:lang w:val="en" w:bidi="ar"/>
              </w:rPr>
              <w:t>Significant investments in the capital of banking, financial and insurance entities that are outside the scope of regulatory consolidation where the bank owns more than 10%</w:t>
            </w:r>
          </w:p>
        </w:tc>
      </w:tr>
      <w:tr w:rsidR="009D223A" w:rsidRPr="00C0031B" w:rsidTr="009D223A">
        <w:trPr>
          <w:jc w:val="right"/>
        </w:trPr>
        <w:tc>
          <w:tcPr>
            <w:tcW w:w="853" w:type="dxa"/>
            <w:shd w:val="clear" w:color="auto" w:fill="auto"/>
          </w:tcPr>
          <w:p w:rsidR="009D223A" w:rsidRPr="00C0031B" w:rsidRDefault="009D223A" w:rsidP="009D223A">
            <w:pPr>
              <w:bidi w:val="0"/>
              <w:spacing w:after="0"/>
              <w:jc w:val="center"/>
              <w:rPr>
                <w:rFonts w:ascii="Times New Roman" w:hAnsi="Times New Roman" w:cs="Times New Roman"/>
                <w:b w:val="0"/>
                <w:bCs w:val="0"/>
                <w:sz w:val="22"/>
                <w:szCs w:val="22"/>
              </w:rPr>
            </w:pPr>
          </w:p>
        </w:tc>
        <w:tc>
          <w:tcPr>
            <w:tcW w:w="8067" w:type="dxa"/>
            <w:shd w:val="clear" w:color="auto" w:fill="auto"/>
          </w:tcPr>
          <w:p w:rsidR="009D223A" w:rsidRPr="00C0031B" w:rsidRDefault="009D223A" w:rsidP="008B118E">
            <w:pPr>
              <w:bidi w:val="0"/>
              <w:spacing w:after="0"/>
              <w:ind w:left="608"/>
              <w:jc w:val="left"/>
              <w:rPr>
                <w:rStyle w:val="tlid-translation"/>
                <w:rFonts w:ascii="Times New Roman" w:hAnsi="Times New Roman" w:cs="Times New Roman"/>
                <w:b w:val="0"/>
                <w:bCs w:val="0"/>
                <w:sz w:val="22"/>
                <w:szCs w:val="22"/>
                <w:lang w:val="en" w:bidi="ar"/>
              </w:rPr>
            </w:pPr>
            <w:r w:rsidRPr="00C0031B">
              <w:rPr>
                <w:rStyle w:val="tlid-translation"/>
                <w:rFonts w:ascii="Times New Roman" w:hAnsi="Times New Roman" w:cs="Times New Roman"/>
                <w:b w:val="0"/>
                <w:bCs w:val="0"/>
                <w:sz w:val="22"/>
                <w:szCs w:val="22"/>
                <w:lang w:val="en" w:bidi="ar"/>
              </w:rPr>
              <w:t xml:space="preserve">Deferred tax assets (DTAs) </w:t>
            </w:r>
            <w:r w:rsidR="008B118E" w:rsidRPr="00C0031B">
              <w:rPr>
                <w:rStyle w:val="tlid-translation"/>
                <w:rFonts w:ascii="Times New Roman" w:hAnsi="Times New Roman" w:cs="Times New Roman"/>
                <w:b w:val="0"/>
                <w:bCs w:val="0"/>
                <w:sz w:val="22"/>
                <w:szCs w:val="22"/>
                <w:lang w:val="en" w:bidi="ar"/>
              </w:rPr>
              <w:t>that arise from the investments in First threshold (10%)</w:t>
            </w:r>
          </w:p>
        </w:tc>
      </w:tr>
      <w:tr w:rsidR="009D223A" w:rsidRPr="00C0031B" w:rsidTr="009D223A">
        <w:trPr>
          <w:jc w:val="right"/>
        </w:trPr>
        <w:tc>
          <w:tcPr>
            <w:tcW w:w="853" w:type="dxa"/>
            <w:shd w:val="clear" w:color="auto" w:fill="auto"/>
          </w:tcPr>
          <w:p w:rsidR="009D223A" w:rsidRPr="00C0031B" w:rsidRDefault="009D223A" w:rsidP="009D223A">
            <w:pPr>
              <w:bidi w:val="0"/>
              <w:spacing w:after="0"/>
              <w:jc w:val="center"/>
              <w:rPr>
                <w:rFonts w:ascii="Times New Roman" w:hAnsi="Times New Roman" w:cs="Times New Roman"/>
                <w:b w:val="0"/>
                <w:bCs w:val="0"/>
                <w:sz w:val="22"/>
                <w:szCs w:val="22"/>
              </w:rPr>
            </w:pPr>
          </w:p>
        </w:tc>
        <w:tc>
          <w:tcPr>
            <w:tcW w:w="8067" w:type="dxa"/>
            <w:shd w:val="clear" w:color="auto" w:fill="auto"/>
          </w:tcPr>
          <w:p w:rsidR="009D223A" w:rsidRPr="00C0031B" w:rsidRDefault="009D223A" w:rsidP="008B118E">
            <w:pPr>
              <w:bidi w:val="0"/>
              <w:spacing w:after="0"/>
              <w:ind w:left="608"/>
              <w:jc w:val="left"/>
              <w:rPr>
                <w:rStyle w:val="tlid-translation"/>
                <w:rFonts w:ascii="Times New Roman" w:hAnsi="Times New Roman" w:cs="Times New Roman"/>
                <w:b w:val="0"/>
                <w:bCs w:val="0"/>
                <w:sz w:val="22"/>
                <w:szCs w:val="22"/>
                <w:lang w:val="en" w:bidi="ar"/>
              </w:rPr>
            </w:pPr>
            <w:r w:rsidRPr="00C0031B">
              <w:rPr>
                <w:rStyle w:val="tlid-translation"/>
                <w:rFonts w:ascii="Times New Roman" w:hAnsi="Times New Roman" w:cs="Times New Roman"/>
                <w:b w:val="0"/>
                <w:bCs w:val="0"/>
                <w:sz w:val="22"/>
                <w:szCs w:val="22"/>
                <w:lang w:val="en" w:bidi="ar"/>
              </w:rPr>
              <w:t xml:space="preserve"> (DTAs) </w:t>
            </w:r>
            <w:r w:rsidR="008B118E" w:rsidRPr="00C0031B">
              <w:rPr>
                <w:rStyle w:val="tlid-translation"/>
                <w:rFonts w:ascii="Times New Roman" w:hAnsi="Times New Roman" w:cs="Times New Roman"/>
                <w:b w:val="0"/>
                <w:bCs w:val="0"/>
                <w:sz w:val="22"/>
                <w:szCs w:val="22"/>
                <w:lang w:val="en" w:bidi="ar"/>
              </w:rPr>
              <w:t>that arise from the investments in second threshold (15%)</w:t>
            </w:r>
          </w:p>
        </w:tc>
      </w:tr>
      <w:tr w:rsidR="008B118E" w:rsidRPr="00C0031B" w:rsidTr="008B118E">
        <w:trPr>
          <w:jc w:val="right"/>
        </w:trPr>
        <w:tc>
          <w:tcPr>
            <w:tcW w:w="853" w:type="dxa"/>
            <w:shd w:val="clear" w:color="auto" w:fill="E7E6E6" w:themeFill="background2"/>
          </w:tcPr>
          <w:p w:rsidR="008B118E" w:rsidRPr="00C0031B" w:rsidRDefault="008B118E" w:rsidP="009D223A">
            <w:pPr>
              <w:bidi w:val="0"/>
              <w:spacing w:after="0"/>
              <w:jc w:val="center"/>
              <w:rPr>
                <w:rFonts w:ascii="Times New Roman" w:hAnsi="Times New Roman" w:cs="Times New Roman"/>
                <w:b w:val="0"/>
                <w:bCs w:val="0"/>
                <w:sz w:val="22"/>
                <w:szCs w:val="22"/>
              </w:rPr>
            </w:pPr>
            <w:r w:rsidRPr="00C0031B">
              <w:rPr>
                <w:rFonts w:ascii="Times New Roman" w:hAnsi="Times New Roman" w:cs="Times New Roman"/>
                <w:b w:val="0"/>
                <w:bCs w:val="0"/>
                <w:sz w:val="22"/>
                <w:szCs w:val="22"/>
              </w:rPr>
              <w:t>0</w:t>
            </w:r>
          </w:p>
        </w:tc>
        <w:tc>
          <w:tcPr>
            <w:tcW w:w="8067" w:type="dxa"/>
            <w:shd w:val="clear" w:color="auto" w:fill="E7E6E6" w:themeFill="background2"/>
          </w:tcPr>
          <w:p w:rsidR="008B118E" w:rsidRPr="00C0031B" w:rsidRDefault="008B118E" w:rsidP="008B118E">
            <w:pPr>
              <w:bidi w:val="0"/>
              <w:spacing w:after="0"/>
              <w:jc w:val="left"/>
              <w:rPr>
                <w:rStyle w:val="tlid-translation"/>
                <w:rFonts w:ascii="Times New Roman" w:hAnsi="Times New Roman" w:cs="Times New Roman"/>
                <w:sz w:val="22"/>
                <w:szCs w:val="22"/>
                <w:lang w:val="en" w:bidi="ar"/>
              </w:rPr>
            </w:pPr>
            <w:r w:rsidRPr="00C0031B">
              <w:rPr>
                <w:rStyle w:val="tlid-translation"/>
                <w:rFonts w:ascii="Times New Roman" w:hAnsi="Times New Roman" w:cs="Times New Roman"/>
                <w:sz w:val="22"/>
                <w:szCs w:val="22"/>
                <w:lang w:val="en" w:bidi="ar"/>
              </w:rPr>
              <w:t>Net of CET1</w:t>
            </w:r>
          </w:p>
        </w:tc>
      </w:tr>
    </w:tbl>
    <w:p w:rsidR="00C21D0B" w:rsidRDefault="00C21D0B" w:rsidP="00505A8B">
      <w:pPr>
        <w:jc w:val="center"/>
        <w:rPr>
          <w:sz w:val="28"/>
          <w:szCs w:val="28"/>
        </w:rPr>
      </w:pPr>
    </w:p>
    <w:p w:rsidR="00C0031B" w:rsidRDefault="00C0031B" w:rsidP="00505A8B">
      <w:pPr>
        <w:jc w:val="center"/>
        <w:rPr>
          <w:sz w:val="28"/>
          <w:szCs w:val="28"/>
        </w:rPr>
      </w:pPr>
    </w:p>
    <w:p w:rsidR="00C0031B" w:rsidRDefault="00C0031B" w:rsidP="00505A8B">
      <w:pPr>
        <w:jc w:val="center"/>
        <w:rPr>
          <w:sz w:val="28"/>
          <w:szCs w:val="28"/>
        </w:rPr>
      </w:pPr>
    </w:p>
    <w:p w:rsidR="00B66B27" w:rsidRDefault="00B66B27" w:rsidP="00505A8B">
      <w:pPr>
        <w:jc w:val="center"/>
        <w:rPr>
          <w:sz w:val="28"/>
          <w:szCs w:val="28"/>
        </w:rPr>
      </w:pPr>
    </w:p>
    <w:p w:rsidR="00B66B27" w:rsidRDefault="00B66B27" w:rsidP="00505A8B">
      <w:pPr>
        <w:jc w:val="center"/>
        <w:rPr>
          <w:sz w:val="28"/>
          <w:szCs w:val="28"/>
        </w:rPr>
      </w:pPr>
    </w:p>
    <w:tbl>
      <w:tblPr>
        <w:tblStyle w:val="TableGrid"/>
        <w:bidiVisual/>
        <w:tblW w:w="0" w:type="auto"/>
        <w:jc w:val="right"/>
        <w:tblLook w:val="04A0" w:firstRow="1" w:lastRow="0" w:firstColumn="1" w:lastColumn="0" w:noHBand="0" w:noVBand="1"/>
      </w:tblPr>
      <w:tblGrid>
        <w:gridCol w:w="853"/>
        <w:gridCol w:w="8067"/>
      </w:tblGrid>
      <w:tr w:rsidR="00264598" w:rsidRPr="00C0031B" w:rsidTr="004D43C2">
        <w:trPr>
          <w:jc w:val="right"/>
        </w:trPr>
        <w:tc>
          <w:tcPr>
            <w:tcW w:w="8920" w:type="dxa"/>
            <w:gridSpan w:val="2"/>
            <w:shd w:val="clear" w:color="auto" w:fill="E7E6E6" w:themeFill="background2"/>
          </w:tcPr>
          <w:p w:rsidR="00264598" w:rsidRPr="00C0031B" w:rsidRDefault="00264598" w:rsidP="009836E3">
            <w:pPr>
              <w:pStyle w:val="ListParagraph"/>
              <w:numPr>
                <w:ilvl w:val="0"/>
                <w:numId w:val="33"/>
              </w:numPr>
              <w:bidi w:val="0"/>
              <w:jc w:val="center"/>
              <w:rPr>
                <w:rFonts w:ascii="Times New Roman" w:hAnsi="Times New Roman" w:cs="Times New Roman"/>
                <w:sz w:val="22"/>
                <w:szCs w:val="22"/>
                <w:rtl/>
              </w:rPr>
            </w:pPr>
            <w:r w:rsidRPr="00C0031B">
              <w:rPr>
                <w:rFonts w:ascii="Times New Roman" w:hAnsi="Times New Roman" w:cs="Times New Roman"/>
                <w:sz w:val="22"/>
                <w:szCs w:val="22"/>
              </w:rPr>
              <w:lastRenderedPageBreak/>
              <w:t>Additional Tier 1</w:t>
            </w:r>
          </w:p>
        </w:tc>
      </w:tr>
      <w:tr w:rsidR="00264598" w:rsidRPr="00C0031B" w:rsidTr="004D43C2">
        <w:trPr>
          <w:jc w:val="right"/>
        </w:trPr>
        <w:tc>
          <w:tcPr>
            <w:tcW w:w="853" w:type="dxa"/>
          </w:tcPr>
          <w:p w:rsidR="00264598" w:rsidRPr="00C0031B" w:rsidRDefault="00264598" w:rsidP="004D43C2">
            <w:pPr>
              <w:bidi w:val="0"/>
              <w:spacing w:after="0"/>
              <w:jc w:val="center"/>
              <w:rPr>
                <w:rFonts w:ascii="Times New Roman" w:hAnsi="Times New Roman" w:cs="Times New Roman"/>
                <w:b w:val="0"/>
                <w:bCs w:val="0"/>
                <w:sz w:val="22"/>
                <w:szCs w:val="22"/>
                <w:rtl/>
              </w:rPr>
            </w:pPr>
          </w:p>
        </w:tc>
        <w:tc>
          <w:tcPr>
            <w:tcW w:w="8067" w:type="dxa"/>
          </w:tcPr>
          <w:p w:rsidR="00264598" w:rsidRPr="00C0031B" w:rsidRDefault="00006ACC" w:rsidP="009836E3">
            <w:pPr>
              <w:bidi w:val="0"/>
              <w:spacing w:after="0"/>
              <w:jc w:val="left"/>
              <w:rPr>
                <w:rStyle w:val="tlid-translation"/>
                <w:sz w:val="22"/>
                <w:szCs w:val="22"/>
                <w:rtl/>
                <w:lang w:val="en"/>
              </w:rPr>
            </w:pPr>
            <w:r w:rsidRPr="00C0031B">
              <w:rPr>
                <w:rStyle w:val="tlid-translation"/>
                <w:rFonts w:ascii="Times New Roman" w:hAnsi="Times New Roman" w:cs="Times New Roman"/>
                <w:b w:val="0"/>
                <w:bCs w:val="0"/>
                <w:sz w:val="22"/>
                <w:szCs w:val="22"/>
                <w:lang w:bidi="ar"/>
              </w:rPr>
              <w:t xml:space="preserve">Long-term bonds convertible </w:t>
            </w:r>
            <w:r w:rsidR="009836E3" w:rsidRPr="00C0031B">
              <w:rPr>
                <w:rStyle w:val="tlid-translation"/>
                <w:rFonts w:ascii="Times New Roman" w:hAnsi="Times New Roman" w:cs="Times New Roman"/>
                <w:b w:val="0"/>
                <w:bCs w:val="0"/>
                <w:sz w:val="22"/>
                <w:szCs w:val="22"/>
                <w:lang w:bidi="ar"/>
              </w:rPr>
              <w:t>to common</w:t>
            </w:r>
            <w:r w:rsidRPr="00C0031B">
              <w:rPr>
                <w:rStyle w:val="tlid-translation"/>
                <w:rFonts w:ascii="Times New Roman" w:hAnsi="Times New Roman" w:cs="Times New Roman"/>
                <w:b w:val="0"/>
                <w:bCs w:val="0"/>
                <w:sz w:val="22"/>
                <w:szCs w:val="22"/>
                <w:lang w:bidi="ar"/>
              </w:rPr>
              <w:t xml:space="preserve"> shares</w:t>
            </w:r>
          </w:p>
        </w:tc>
      </w:tr>
      <w:tr w:rsidR="00264598" w:rsidRPr="00C0031B" w:rsidTr="004D43C2">
        <w:trPr>
          <w:jc w:val="right"/>
        </w:trPr>
        <w:tc>
          <w:tcPr>
            <w:tcW w:w="853" w:type="dxa"/>
          </w:tcPr>
          <w:p w:rsidR="00264598" w:rsidRPr="00C0031B" w:rsidRDefault="00264598" w:rsidP="004D43C2">
            <w:pPr>
              <w:bidi w:val="0"/>
              <w:spacing w:after="0"/>
              <w:jc w:val="center"/>
              <w:rPr>
                <w:rFonts w:ascii="Times New Roman" w:hAnsi="Times New Roman" w:cs="Times New Roman"/>
                <w:b w:val="0"/>
                <w:bCs w:val="0"/>
                <w:sz w:val="22"/>
                <w:szCs w:val="22"/>
                <w:rtl/>
              </w:rPr>
            </w:pPr>
          </w:p>
        </w:tc>
        <w:tc>
          <w:tcPr>
            <w:tcW w:w="8067" w:type="dxa"/>
          </w:tcPr>
          <w:p w:rsidR="00264598" w:rsidRPr="00C0031B" w:rsidRDefault="00006ACC" w:rsidP="004D43C2">
            <w:pPr>
              <w:bidi w:val="0"/>
              <w:spacing w:after="0"/>
              <w:jc w:val="left"/>
              <w:rPr>
                <w:rFonts w:ascii="Times New Roman" w:hAnsi="Times New Roman" w:cs="Times New Roman"/>
                <w:b w:val="0"/>
                <w:bCs w:val="0"/>
                <w:sz w:val="22"/>
                <w:szCs w:val="22"/>
                <w:rtl/>
              </w:rPr>
            </w:pPr>
            <w:r w:rsidRPr="00C0031B">
              <w:rPr>
                <w:rStyle w:val="tlid-translation"/>
                <w:rFonts w:ascii="Times New Roman" w:hAnsi="Times New Roman" w:cs="Times New Roman"/>
                <w:b w:val="0"/>
                <w:bCs w:val="0"/>
                <w:sz w:val="22"/>
                <w:szCs w:val="22"/>
                <w:lang w:val="en" w:bidi="ar"/>
              </w:rPr>
              <w:t>non-accumulating preferred shares</w:t>
            </w:r>
          </w:p>
        </w:tc>
      </w:tr>
      <w:tr w:rsidR="00264598" w:rsidRPr="00C0031B" w:rsidTr="004D43C2">
        <w:trPr>
          <w:jc w:val="right"/>
        </w:trPr>
        <w:tc>
          <w:tcPr>
            <w:tcW w:w="853" w:type="dxa"/>
          </w:tcPr>
          <w:p w:rsidR="00264598" w:rsidRPr="00C0031B" w:rsidRDefault="00264598" w:rsidP="004D43C2">
            <w:pPr>
              <w:bidi w:val="0"/>
              <w:spacing w:after="0"/>
              <w:jc w:val="center"/>
              <w:rPr>
                <w:rFonts w:ascii="Times New Roman" w:hAnsi="Times New Roman" w:cs="Times New Roman"/>
                <w:b w:val="0"/>
                <w:bCs w:val="0"/>
                <w:sz w:val="22"/>
                <w:szCs w:val="22"/>
                <w:rtl/>
              </w:rPr>
            </w:pPr>
          </w:p>
        </w:tc>
        <w:tc>
          <w:tcPr>
            <w:tcW w:w="8067" w:type="dxa"/>
          </w:tcPr>
          <w:p w:rsidR="00264598" w:rsidRPr="00C0031B" w:rsidRDefault="00006ACC" w:rsidP="004D43C2">
            <w:pPr>
              <w:bidi w:val="0"/>
              <w:spacing w:after="0"/>
              <w:jc w:val="left"/>
              <w:rPr>
                <w:rFonts w:ascii="Times New Roman" w:hAnsi="Times New Roman" w:cs="Times New Roman"/>
                <w:b w:val="0"/>
                <w:bCs w:val="0"/>
                <w:sz w:val="22"/>
                <w:szCs w:val="22"/>
              </w:rPr>
            </w:pPr>
            <w:r w:rsidRPr="00C0031B">
              <w:rPr>
                <w:rStyle w:val="tlid-translation"/>
                <w:rFonts w:ascii="Times New Roman" w:hAnsi="Times New Roman" w:cs="Times New Roman"/>
                <w:b w:val="0"/>
                <w:bCs w:val="0"/>
                <w:sz w:val="22"/>
                <w:szCs w:val="22"/>
                <w:lang w:val="en" w:bidi="ar"/>
              </w:rPr>
              <w:t>Instruments issued by the bank that meet the criteria for inclusion in Additional Tier 1 capital</w:t>
            </w:r>
          </w:p>
        </w:tc>
      </w:tr>
      <w:tr w:rsidR="00264598" w:rsidRPr="00C0031B" w:rsidTr="004D43C2">
        <w:trPr>
          <w:jc w:val="right"/>
        </w:trPr>
        <w:tc>
          <w:tcPr>
            <w:tcW w:w="853" w:type="dxa"/>
          </w:tcPr>
          <w:p w:rsidR="00264598" w:rsidRPr="00C0031B" w:rsidRDefault="00264598" w:rsidP="004D43C2">
            <w:pPr>
              <w:bidi w:val="0"/>
              <w:spacing w:after="0"/>
              <w:jc w:val="center"/>
              <w:rPr>
                <w:rFonts w:ascii="Times New Roman" w:hAnsi="Times New Roman" w:cs="Times New Roman"/>
                <w:b w:val="0"/>
                <w:bCs w:val="0"/>
                <w:sz w:val="22"/>
                <w:szCs w:val="22"/>
                <w:rtl/>
              </w:rPr>
            </w:pPr>
          </w:p>
        </w:tc>
        <w:tc>
          <w:tcPr>
            <w:tcW w:w="8067" w:type="dxa"/>
          </w:tcPr>
          <w:p w:rsidR="00264598" w:rsidRPr="00C0031B" w:rsidRDefault="00006ACC" w:rsidP="004D43C2">
            <w:pPr>
              <w:bidi w:val="0"/>
              <w:spacing w:after="0"/>
              <w:jc w:val="left"/>
              <w:rPr>
                <w:rFonts w:ascii="Times New Roman" w:hAnsi="Times New Roman" w:cs="Times New Roman"/>
                <w:b w:val="0"/>
                <w:bCs w:val="0"/>
                <w:sz w:val="22"/>
                <w:szCs w:val="22"/>
              </w:rPr>
            </w:pPr>
            <w:r w:rsidRPr="00C0031B">
              <w:rPr>
                <w:rStyle w:val="tlid-translation"/>
                <w:rFonts w:ascii="Times New Roman" w:hAnsi="Times New Roman" w:cs="Times New Roman"/>
                <w:b w:val="0"/>
                <w:bCs w:val="0"/>
                <w:sz w:val="22"/>
                <w:szCs w:val="22"/>
                <w:lang w:val="en" w:bidi="ar"/>
              </w:rPr>
              <w:t>Stock surplus (share premium)</w:t>
            </w:r>
          </w:p>
        </w:tc>
      </w:tr>
      <w:tr w:rsidR="00264598" w:rsidRPr="00C0031B" w:rsidTr="004D43C2">
        <w:trPr>
          <w:jc w:val="right"/>
        </w:trPr>
        <w:tc>
          <w:tcPr>
            <w:tcW w:w="853" w:type="dxa"/>
          </w:tcPr>
          <w:p w:rsidR="00264598" w:rsidRPr="00C0031B" w:rsidRDefault="00264598" w:rsidP="004D43C2">
            <w:pPr>
              <w:bidi w:val="0"/>
              <w:spacing w:after="0"/>
              <w:jc w:val="center"/>
              <w:rPr>
                <w:rFonts w:ascii="Times New Roman" w:hAnsi="Times New Roman" w:cs="Times New Roman"/>
                <w:b w:val="0"/>
                <w:bCs w:val="0"/>
                <w:sz w:val="22"/>
                <w:szCs w:val="22"/>
                <w:rtl/>
              </w:rPr>
            </w:pPr>
          </w:p>
        </w:tc>
        <w:tc>
          <w:tcPr>
            <w:tcW w:w="8067" w:type="dxa"/>
          </w:tcPr>
          <w:p w:rsidR="00264598" w:rsidRPr="00C0031B" w:rsidRDefault="00006ACC" w:rsidP="004D43C2">
            <w:pPr>
              <w:bidi w:val="0"/>
              <w:spacing w:after="0"/>
              <w:jc w:val="left"/>
              <w:rPr>
                <w:rFonts w:ascii="Times New Roman" w:hAnsi="Times New Roman" w:cs="Times New Roman"/>
                <w:b w:val="0"/>
                <w:bCs w:val="0"/>
                <w:sz w:val="22"/>
                <w:szCs w:val="22"/>
              </w:rPr>
            </w:pPr>
            <w:r w:rsidRPr="00C0031B">
              <w:rPr>
                <w:rStyle w:val="tlid-translation"/>
                <w:rFonts w:ascii="Times New Roman" w:hAnsi="Times New Roman" w:cs="Times New Roman"/>
                <w:b w:val="0"/>
                <w:bCs w:val="0"/>
                <w:sz w:val="22"/>
                <w:szCs w:val="22"/>
                <w:lang w:val="en" w:bidi="ar"/>
              </w:rPr>
              <w:t>Minority interest</w:t>
            </w:r>
          </w:p>
        </w:tc>
      </w:tr>
      <w:tr w:rsidR="00264598" w:rsidRPr="00C0031B" w:rsidTr="00006ACC">
        <w:trPr>
          <w:jc w:val="right"/>
        </w:trPr>
        <w:tc>
          <w:tcPr>
            <w:tcW w:w="853" w:type="dxa"/>
            <w:shd w:val="clear" w:color="auto" w:fill="E7E6E6" w:themeFill="background2"/>
          </w:tcPr>
          <w:p w:rsidR="00264598" w:rsidRPr="00C0031B" w:rsidRDefault="00006ACC" w:rsidP="004D43C2">
            <w:pPr>
              <w:bidi w:val="0"/>
              <w:spacing w:after="0"/>
              <w:jc w:val="center"/>
              <w:rPr>
                <w:rFonts w:ascii="Times New Roman" w:hAnsi="Times New Roman" w:cs="Times New Roman"/>
                <w:b w:val="0"/>
                <w:bCs w:val="0"/>
                <w:sz w:val="22"/>
                <w:szCs w:val="22"/>
                <w:rtl/>
              </w:rPr>
            </w:pPr>
            <w:r w:rsidRPr="00C0031B">
              <w:rPr>
                <w:rFonts w:ascii="Times New Roman" w:hAnsi="Times New Roman" w:cs="Times New Roman"/>
                <w:b w:val="0"/>
                <w:bCs w:val="0"/>
                <w:sz w:val="22"/>
                <w:szCs w:val="22"/>
              </w:rPr>
              <w:t>0</w:t>
            </w:r>
          </w:p>
        </w:tc>
        <w:tc>
          <w:tcPr>
            <w:tcW w:w="8067" w:type="dxa"/>
            <w:shd w:val="clear" w:color="auto" w:fill="E7E6E6" w:themeFill="background2"/>
          </w:tcPr>
          <w:p w:rsidR="00264598" w:rsidRPr="00C0031B" w:rsidRDefault="00006ACC" w:rsidP="004D43C2">
            <w:pPr>
              <w:bidi w:val="0"/>
              <w:spacing w:after="0"/>
              <w:jc w:val="left"/>
              <w:rPr>
                <w:rFonts w:ascii="Times New Roman" w:hAnsi="Times New Roman" w:cs="Times New Roman"/>
                <w:b w:val="0"/>
                <w:bCs w:val="0"/>
                <w:sz w:val="22"/>
                <w:szCs w:val="22"/>
              </w:rPr>
            </w:pPr>
            <w:r w:rsidRPr="00C0031B">
              <w:rPr>
                <w:rFonts w:ascii="Times New Roman" w:hAnsi="Times New Roman" w:cs="Times New Roman"/>
                <w:b w:val="0"/>
                <w:bCs w:val="0"/>
                <w:sz w:val="22"/>
                <w:szCs w:val="22"/>
              </w:rPr>
              <w:t>Total of AT1</w:t>
            </w:r>
          </w:p>
        </w:tc>
      </w:tr>
      <w:tr w:rsidR="00264598" w:rsidRPr="00C0031B" w:rsidTr="004D43C2">
        <w:trPr>
          <w:jc w:val="right"/>
        </w:trPr>
        <w:tc>
          <w:tcPr>
            <w:tcW w:w="853" w:type="dxa"/>
          </w:tcPr>
          <w:p w:rsidR="00264598" w:rsidRPr="00C0031B" w:rsidRDefault="00264598" w:rsidP="004D43C2">
            <w:pPr>
              <w:bidi w:val="0"/>
              <w:spacing w:after="0"/>
              <w:jc w:val="center"/>
              <w:rPr>
                <w:rFonts w:ascii="Times New Roman" w:hAnsi="Times New Roman" w:cs="Times New Roman"/>
                <w:b w:val="0"/>
                <w:bCs w:val="0"/>
                <w:sz w:val="22"/>
                <w:szCs w:val="22"/>
                <w:rtl/>
              </w:rPr>
            </w:pPr>
          </w:p>
        </w:tc>
        <w:tc>
          <w:tcPr>
            <w:tcW w:w="8067" w:type="dxa"/>
          </w:tcPr>
          <w:p w:rsidR="00264598" w:rsidRPr="00C0031B" w:rsidRDefault="00006ACC" w:rsidP="004D43C2">
            <w:pPr>
              <w:bidi w:val="0"/>
              <w:spacing w:after="0"/>
              <w:jc w:val="left"/>
              <w:rPr>
                <w:rFonts w:ascii="Times New Roman" w:hAnsi="Times New Roman" w:cs="Times New Roman"/>
                <w:b w:val="0"/>
                <w:bCs w:val="0"/>
                <w:sz w:val="22"/>
                <w:szCs w:val="22"/>
              </w:rPr>
            </w:pPr>
            <w:r w:rsidRPr="00C0031B">
              <w:rPr>
                <w:rStyle w:val="tlid-translation"/>
                <w:rFonts w:ascii="Times New Roman" w:hAnsi="Times New Roman" w:cs="Times New Roman"/>
                <w:sz w:val="22"/>
                <w:szCs w:val="22"/>
                <w:lang w:val="en" w:bidi="ar"/>
              </w:rPr>
              <w:t>Regulatory adjustments</w:t>
            </w:r>
          </w:p>
        </w:tc>
      </w:tr>
      <w:tr w:rsidR="00264598" w:rsidRPr="00C0031B" w:rsidTr="004D43C2">
        <w:trPr>
          <w:jc w:val="right"/>
        </w:trPr>
        <w:tc>
          <w:tcPr>
            <w:tcW w:w="853" w:type="dxa"/>
          </w:tcPr>
          <w:p w:rsidR="00264598" w:rsidRPr="00C0031B" w:rsidRDefault="00264598" w:rsidP="004D43C2">
            <w:pPr>
              <w:bidi w:val="0"/>
              <w:spacing w:after="0"/>
              <w:jc w:val="center"/>
              <w:rPr>
                <w:rFonts w:ascii="Times New Roman" w:hAnsi="Times New Roman" w:cs="Times New Roman"/>
                <w:b w:val="0"/>
                <w:bCs w:val="0"/>
                <w:sz w:val="22"/>
                <w:szCs w:val="22"/>
                <w:rtl/>
              </w:rPr>
            </w:pPr>
          </w:p>
        </w:tc>
        <w:tc>
          <w:tcPr>
            <w:tcW w:w="8067" w:type="dxa"/>
          </w:tcPr>
          <w:p w:rsidR="00264598" w:rsidRPr="00C0031B" w:rsidRDefault="00006ACC" w:rsidP="009836E3">
            <w:pPr>
              <w:bidi w:val="0"/>
              <w:spacing w:after="0"/>
              <w:ind w:left="325"/>
              <w:rPr>
                <w:rFonts w:ascii="Times New Roman" w:hAnsi="Times New Roman" w:cs="Times New Roman"/>
                <w:b w:val="0"/>
                <w:bCs w:val="0"/>
                <w:sz w:val="22"/>
                <w:szCs w:val="22"/>
              </w:rPr>
            </w:pPr>
            <w:r w:rsidRPr="00C0031B">
              <w:rPr>
                <w:rStyle w:val="tlid-translation"/>
                <w:rFonts w:ascii="Times New Roman" w:hAnsi="Times New Roman" w:cs="Times New Roman"/>
                <w:b w:val="0"/>
                <w:bCs w:val="0"/>
                <w:sz w:val="22"/>
                <w:szCs w:val="22"/>
                <w:lang w:val="en" w:bidi="ar"/>
              </w:rPr>
              <w:t xml:space="preserve">Reciprocal cross holdings in the capital of banking, financial and insurance entities within </w:t>
            </w:r>
            <w:r w:rsidR="009836E3" w:rsidRPr="00C0031B">
              <w:rPr>
                <w:rStyle w:val="tlid-translation"/>
                <w:rFonts w:ascii="Times New Roman" w:hAnsi="Times New Roman" w:cs="Times New Roman"/>
                <w:b w:val="0"/>
                <w:bCs w:val="0"/>
                <w:sz w:val="22"/>
                <w:szCs w:val="22"/>
                <w:lang w:val="en" w:bidi="ar"/>
              </w:rPr>
              <w:t>AT1</w:t>
            </w:r>
          </w:p>
        </w:tc>
      </w:tr>
      <w:tr w:rsidR="00264598" w:rsidRPr="00C0031B" w:rsidTr="004D43C2">
        <w:trPr>
          <w:jc w:val="right"/>
        </w:trPr>
        <w:tc>
          <w:tcPr>
            <w:tcW w:w="853" w:type="dxa"/>
          </w:tcPr>
          <w:p w:rsidR="00264598" w:rsidRPr="00C0031B" w:rsidRDefault="00264598" w:rsidP="004D43C2">
            <w:pPr>
              <w:bidi w:val="0"/>
              <w:spacing w:after="0"/>
              <w:jc w:val="center"/>
              <w:rPr>
                <w:rFonts w:ascii="Times New Roman" w:hAnsi="Times New Roman" w:cs="Times New Roman"/>
                <w:b w:val="0"/>
                <w:bCs w:val="0"/>
                <w:sz w:val="22"/>
                <w:szCs w:val="22"/>
                <w:rtl/>
              </w:rPr>
            </w:pPr>
          </w:p>
        </w:tc>
        <w:tc>
          <w:tcPr>
            <w:tcW w:w="8067" w:type="dxa"/>
          </w:tcPr>
          <w:p w:rsidR="00264598" w:rsidRPr="00C0031B" w:rsidRDefault="009836E3" w:rsidP="009836E3">
            <w:pPr>
              <w:bidi w:val="0"/>
              <w:spacing w:after="0"/>
              <w:ind w:left="325"/>
              <w:rPr>
                <w:rFonts w:ascii="Times New Roman" w:hAnsi="Times New Roman" w:cs="Times New Roman"/>
                <w:b w:val="0"/>
                <w:bCs w:val="0"/>
                <w:sz w:val="22"/>
                <w:szCs w:val="22"/>
              </w:rPr>
            </w:pPr>
            <w:r w:rsidRPr="00C0031B">
              <w:rPr>
                <w:rStyle w:val="tlid-translation"/>
                <w:rFonts w:ascii="Times New Roman" w:hAnsi="Times New Roman" w:cs="Times New Roman"/>
                <w:b w:val="0"/>
                <w:bCs w:val="0"/>
                <w:sz w:val="22"/>
                <w:szCs w:val="22"/>
                <w:lang w:val="en" w:bidi="ar"/>
              </w:rPr>
              <w:t>Investments in the capital of banking, financial and insurance entities where the bank own less than 10% (According to what is indicated in the instructions)</w:t>
            </w:r>
          </w:p>
        </w:tc>
      </w:tr>
      <w:tr w:rsidR="00264598" w:rsidRPr="00C0031B" w:rsidTr="004D43C2">
        <w:trPr>
          <w:jc w:val="right"/>
        </w:trPr>
        <w:tc>
          <w:tcPr>
            <w:tcW w:w="853" w:type="dxa"/>
          </w:tcPr>
          <w:p w:rsidR="00264598" w:rsidRPr="00C0031B" w:rsidRDefault="00264598" w:rsidP="004D43C2">
            <w:pPr>
              <w:bidi w:val="0"/>
              <w:spacing w:after="0"/>
              <w:jc w:val="center"/>
              <w:rPr>
                <w:rFonts w:ascii="Times New Roman" w:hAnsi="Times New Roman" w:cs="Times New Roman"/>
                <w:b w:val="0"/>
                <w:bCs w:val="0"/>
                <w:sz w:val="22"/>
                <w:szCs w:val="22"/>
                <w:rtl/>
              </w:rPr>
            </w:pPr>
          </w:p>
        </w:tc>
        <w:tc>
          <w:tcPr>
            <w:tcW w:w="8067" w:type="dxa"/>
          </w:tcPr>
          <w:p w:rsidR="00264598" w:rsidRPr="00C0031B" w:rsidRDefault="009836E3" w:rsidP="009836E3">
            <w:pPr>
              <w:bidi w:val="0"/>
              <w:spacing w:after="0"/>
              <w:ind w:left="325"/>
              <w:rPr>
                <w:rFonts w:ascii="Times New Roman" w:hAnsi="Times New Roman" w:cs="Times New Roman"/>
                <w:b w:val="0"/>
                <w:bCs w:val="0"/>
                <w:sz w:val="22"/>
                <w:szCs w:val="22"/>
              </w:rPr>
            </w:pPr>
            <w:r w:rsidRPr="00C0031B">
              <w:rPr>
                <w:rStyle w:val="tlid-translation"/>
                <w:rFonts w:ascii="Times New Roman" w:hAnsi="Times New Roman" w:cs="Times New Roman"/>
                <w:b w:val="0"/>
                <w:bCs w:val="0"/>
                <w:sz w:val="22"/>
                <w:szCs w:val="22"/>
                <w:lang w:val="en" w:bidi="ar"/>
              </w:rPr>
              <w:t>Investments in the capital of banking, financial and insurance entities where the bank own more than 10% (According to what is indicated in the instructions)</w:t>
            </w:r>
          </w:p>
        </w:tc>
      </w:tr>
      <w:tr w:rsidR="00264598" w:rsidRPr="00C0031B" w:rsidTr="004D43C2">
        <w:trPr>
          <w:jc w:val="right"/>
        </w:trPr>
        <w:tc>
          <w:tcPr>
            <w:tcW w:w="853" w:type="dxa"/>
            <w:shd w:val="clear" w:color="auto" w:fill="E7E6E6" w:themeFill="background2"/>
          </w:tcPr>
          <w:p w:rsidR="00264598" w:rsidRPr="00C0031B" w:rsidRDefault="009836E3" w:rsidP="004D43C2">
            <w:pPr>
              <w:bidi w:val="0"/>
              <w:spacing w:after="0"/>
              <w:jc w:val="center"/>
              <w:rPr>
                <w:rFonts w:ascii="Times New Roman" w:hAnsi="Times New Roman" w:cs="Times New Roman"/>
                <w:sz w:val="22"/>
                <w:szCs w:val="22"/>
                <w:rtl/>
              </w:rPr>
            </w:pPr>
            <w:r w:rsidRPr="00C0031B">
              <w:rPr>
                <w:rFonts w:ascii="Times New Roman" w:hAnsi="Times New Roman" w:cs="Times New Roman"/>
                <w:sz w:val="22"/>
                <w:szCs w:val="22"/>
              </w:rPr>
              <w:t>0</w:t>
            </w:r>
          </w:p>
        </w:tc>
        <w:tc>
          <w:tcPr>
            <w:tcW w:w="8067" w:type="dxa"/>
            <w:shd w:val="clear" w:color="auto" w:fill="E7E6E6" w:themeFill="background2"/>
          </w:tcPr>
          <w:p w:rsidR="00264598" w:rsidRPr="00C0031B" w:rsidRDefault="009836E3" w:rsidP="004D43C2">
            <w:pPr>
              <w:bidi w:val="0"/>
              <w:spacing w:after="0"/>
              <w:jc w:val="left"/>
              <w:rPr>
                <w:rFonts w:ascii="Times New Roman" w:hAnsi="Times New Roman" w:cs="Times New Roman"/>
                <w:sz w:val="22"/>
                <w:szCs w:val="22"/>
              </w:rPr>
            </w:pPr>
            <w:r w:rsidRPr="00C0031B">
              <w:rPr>
                <w:rFonts w:ascii="Times New Roman" w:hAnsi="Times New Roman" w:cs="Times New Roman"/>
                <w:sz w:val="22"/>
                <w:szCs w:val="22"/>
              </w:rPr>
              <w:t>Net of AT1</w:t>
            </w:r>
          </w:p>
        </w:tc>
      </w:tr>
      <w:tr w:rsidR="00264598" w:rsidRPr="00C0031B" w:rsidTr="009836E3">
        <w:trPr>
          <w:jc w:val="right"/>
        </w:trPr>
        <w:tc>
          <w:tcPr>
            <w:tcW w:w="853" w:type="dxa"/>
            <w:shd w:val="clear" w:color="auto" w:fill="E7E6E6" w:themeFill="background2"/>
          </w:tcPr>
          <w:p w:rsidR="00264598" w:rsidRPr="00C0031B" w:rsidRDefault="009836E3" w:rsidP="004D43C2">
            <w:pPr>
              <w:bidi w:val="0"/>
              <w:spacing w:after="0"/>
              <w:jc w:val="center"/>
              <w:rPr>
                <w:rFonts w:ascii="Times New Roman" w:hAnsi="Times New Roman" w:cs="Times New Roman"/>
                <w:sz w:val="22"/>
                <w:szCs w:val="22"/>
              </w:rPr>
            </w:pPr>
            <w:r w:rsidRPr="00C0031B">
              <w:rPr>
                <w:rFonts w:ascii="Times New Roman" w:hAnsi="Times New Roman" w:cs="Times New Roman"/>
                <w:sz w:val="22"/>
                <w:szCs w:val="22"/>
              </w:rPr>
              <w:t>0</w:t>
            </w:r>
          </w:p>
        </w:tc>
        <w:tc>
          <w:tcPr>
            <w:tcW w:w="8067" w:type="dxa"/>
            <w:shd w:val="clear" w:color="auto" w:fill="E7E6E6" w:themeFill="background2"/>
          </w:tcPr>
          <w:p w:rsidR="00264598" w:rsidRPr="00C0031B" w:rsidRDefault="009836E3" w:rsidP="004D43C2">
            <w:pPr>
              <w:bidi w:val="0"/>
              <w:spacing w:after="0"/>
              <w:jc w:val="left"/>
              <w:rPr>
                <w:rFonts w:ascii="Times New Roman" w:hAnsi="Times New Roman" w:cs="Times New Roman"/>
                <w:sz w:val="22"/>
                <w:szCs w:val="22"/>
              </w:rPr>
            </w:pPr>
            <w:r w:rsidRPr="00C0031B">
              <w:rPr>
                <w:rFonts w:ascii="Times New Roman" w:hAnsi="Times New Roman" w:cs="Times New Roman"/>
                <w:sz w:val="22"/>
                <w:szCs w:val="22"/>
              </w:rPr>
              <w:t>Net of T1</w:t>
            </w:r>
          </w:p>
        </w:tc>
      </w:tr>
      <w:tr w:rsidR="00264598" w:rsidRPr="00C0031B" w:rsidTr="009836E3">
        <w:trPr>
          <w:jc w:val="right"/>
        </w:trPr>
        <w:tc>
          <w:tcPr>
            <w:tcW w:w="853" w:type="dxa"/>
            <w:shd w:val="clear" w:color="auto" w:fill="E7E6E6" w:themeFill="background2"/>
          </w:tcPr>
          <w:p w:rsidR="00264598" w:rsidRPr="00C0031B" w:rsidRDefault="00264598" w:rsidP="004D43C2">
            <w:pPr>
              <w:bidi w:val="0"/>
              <w:spacing w:after="0"/>
              <w:jc w:val="center"/>
              <w:rPr>
                <w:rFonts w:ascii="Times New Roman" w:hAnsi="Times New Roman" w:cs="Times New Roman"/>
                <w:sz w:val="22"/>
                <w:szCs w:val="22"/>
              </w:rPr>
            </w:pPr>
          </w:p>
        </w:tc>
        <w:tc>
          <w:tcPr>
            <w:tcW w:w="8067" w:type="dxa"/>
            <w:shd w:val="clear" w:color="auto" w:fill="E7E6E6" w:themeFill="background2"/>
          </w:tcPr>
          <w:p w:rsidR="00264598" w:rsidRPr="00C0031B" w:rsidRDefault="009836E3" w:rsidP="009836E3">
            <w:pPr>
              <w:pStyle w:val="ListParagraph"/>
              <w:numPr>
                <w:ilvl w:val="0"/>
                <w:numId w:val="33"/>
              </w:numPr>
              <w:bidi w:val="0"/>
              <w:spacing w:after="0" w:line="276" w:lineRule="auto"/>
              <w:jc w:val="center"/>
              <w:rPr>
                <w:rFonts w:ascii="Times New Roman" w:hAnsi="Times New Roman" w:cs="Times New Roman"/>
                <w:sz w:val="22"/>
                <w:szCs w:val="22"/>
                <w:lang w:val="en" w:bidi="ar"/>
              </w:rPr>
            </w:pPr>
            <w:r w:rsidRPr="00C0031B">
              <w:rPr>
                <w:rFonts w:ascii="Times New Roman" w:hAnsi="Times New Roman" w:cs="Times New Roman"/>
                <w:sz w:val="22"/>
                <w:szCs w:val="22"/>
                <w:lang w:val="en" w:bidi="ar"/>
              </w:rPr>
              <w:t>Tier 2</w:t>
            </w:r>
          </w:p>
        </w:tc>
      </w:tr>
      <w:tr w:rsidR="00264598" w:rsidRPr="00C0031B" w:rsidTr="004D43C2">
        <w:trPr>
          <w:jc w:val="right"/>
        </w:trPr>
        <w:tc>
          <w:tcPr>
            <w:tcW w:w="853" w:type="dxa"/>
            <w:shd w:val="clear" w:color="auto" w:fill="auto"/>
          </w:tcPr>
          <w:p w:rsidR="00264598" w:rsidRPr="00C0031B" w:rsidRDefault="00264598" w:rsidP="004D43C2">
            <w:pPr>
              <w:bidi w:val="0"/>
              <w:spacing w:after="0"/>
              <w:jc w:val="center"/>
              <w:rPr>
                <w:rFonts w:ascii="Times New Roman" w:hAnsi="Times New Roman" w:cs="Times New Roman"/>
                <w:b w:val="0"/>
                <w:bCs w:val="0"/>
                <w:sz w:val="22"/>
                <w:szCs w:val="22"/>
              </w:rPr>
            </w:pPr>
          </w:p>
        </w:tc>
        <w:tc>
          <w:tcPr>
            <w:tcW w:w="8067" w:type="dxa"/>
            <w:shd w:val="clear" w:color="auto" w:fill="auto"/>
          </w:tcPr>
          <w:p w:rsidR="00264598" w:rsidRPr="00C0031B" w:rsidRDefault="009836E3" w:rsidP="009836E3">
            <w:pPr>
              <w:bidi w:val="0"/>
              <w:spacing w:after="0"/>
              <w:rPr>
                <w:rStyle w:val="tlid-translation"/>
                <w:sz w:val="22"/>
                <w:szCs w:val="22"/>
                <w:lang w:val="en" w:bidi="ar"/>
              </w:rPr>
            </w:pPr>
            <w:r w:rsidRPr="00C0031B">
              <w:rPr>
                <w:rStyle w:val="tlid-translation"/>
                <w:rFonts w:ascii="Times New Roman" w:hAnsi="Times New Roman" w:cs="Times New Roman"/>
                <w:b w:val="0"/>
                <w:bCs w:val="0"/>
                <w:sz w:val="22"/>
                <w:szCs w:val="22"/>
                <w:lang w:val="en" w:bidi="ar"/>
              </w:rPr>
              <w:t>Instruments issued by the bank that meet the criteria for inclusion in Tier 2 capital</w:t>
            </w:r>
          </w:p>
        </w:tc>
      </w:tr>
      <w:tr w:rsidR="00264598" w:rsidRPr="00C0031B" w:rsidTr="004D43C2">
        <w:trPr>
          <w:jc w:val="right"/>
        </w:trPr>
        <w:tc>
          <w:tcPr>
            <w:tcW w:w="853" w:type="dxa"/>
            <w:shd w:val="clear" w:color="auto" w:fill="auto"/>
          </w:tcPr>
          <w:p w:rsidR="00264598" w:rsidRPr="00C0031B" w:rsidRDefault="00264598" w:rsidP="004D43C2">
            <w:pPr>
              <w:bidi w:val="0"/>
              <w:spacing w:after="0"/>
              <w:jc w:val="center"/>
              <w:rPr>
                <w:rFonts w:ascii="Times New Roman" w:hAnsi="Times New Roman" w:cs="Times New Roman"/>
                <w:b w:val="0"/>
                <w:bCs w:val="0"/>
                <w:sz w:val="22"/>
                <w:szCs w:val="22"/>
              </w:rPr>
            </w:pPr>
          </w:p>
        </w:tc>
        <w:tc>
          <w:tcPr>
            <w:tcW w:w="8067" w:type="dxa"/>
            <w:shd w:val="clear" w:color="auto" w:fill="auto"/>
          </w:tcPr>
          <w:p w:rsidR="00264598" w:rsidRPr="00C0031B" w:rsidRDefault="009836E3" w:rsidP="009836E3">
            <w:pPr>
              <w:bidi w:val="0"/>
              <w:spacing w:after="0"/>
              <w:rPr>
                <w:rStyle w:val="tlid-translation"/>
                <w:rFonts w:ascii="Times New Roman" w:hAnsi="Times New Roman" w:cs="Times New Roman"/>
                <w:b w:val="0"/>
                <w:bCs w:val="0"/>
                <w:sz w:val="22"/>
                <w:szCs w:val="22"/>
                <w:lang w:val="en" w:bidi="ar"/>
              </w:rPr>
            </w:pPr>
            <w:r w:rsidRPr="00C0031B">
              <w:rPr>
                <w:rStyle w:val="tlid-translation"/>
                <w:rFonts w:ascii="Times New Roman" w:hAnsi="Times New Roman" w:cs="Times New Roman"/>
                <w:b w:val="0"/>
                <w:bCs w:val="0"/>
                <w:sz w:val="22"/>
                <w:szCs w:val="22"/>
                <w:lang w:val="en" w:bidi="ar"/>
              </w:rPr>
              <w:t>Stock surplus (share premium)</w:t>
            </w:r>
          </w:p>
        </w:tc>
      </w:tr>
      <w:tr w:rsidR="00264598" w:rsidRPr="00C0031B" w:rsidTr="004D43C2">
        <w:trPr>
          <w:jc w:val="right"/>
        </w:trPr>
        <w:tc>
          <w:tcPr>
            <w:tcW w:w="853" w:type="dxa"/>
            <w:shd w:val="clear" w:color="auto" w:fill="auto"/>
          </w:tcPr>
          <w:p w:rsidR="00264598" w:rsidRPr="00C0031B" w:rsidRDefault="00264598" w:rsidP="004D43C2">
            <w:pPr>
              <w:bidi w:val="0"/>
              <w:spacing w:after="0"/>
              <w:jc w:val="center"/>
              <w:rPr>
                <w:rFonts w:ascii="Times New Roman" w:hAnsi="Times New Roman" w:cs="Times New Roman"/>
                <w:b w:val="0"/>
                <w:bCs w:val="0"/>
                <w:sz w:val="22"/>
                <w:szCs w:val="22"/>
              </w:rPr>
            </w:pPr>
          </w:p>
        </w:tc>
        <w:tc>
          <w:tcPr>
            <w:tcW w:w="8067" w:type="dxa"/>
            <w:shd w:val="clear" w:color="auto" w:fill="auto"/>
          </w:tcPr>
          <w:p w:rsidR="00264598" w:rsidRPr="00C0031B" w:rsidRDefault="009836E3" w:rsidP="009836E3">
            <w:pPr>
              <w:bidi w:val="0"/>
              <w:spacing w:after="0"/>
              <w:rPr>
                <w:rStyle w:val="tlid-translation"/>
                <w:rFonts w:ascii="Times New Roman" w:hAnsi="Times New Roman" w:cs="Times New Roman"/>
                <w:b w:val="0"/>
                <w:bCs w:val="0"/>
                <w:sz w:val="22"/>
                <w:szCs w:val="22"/>
                <w:lang w:val="en" w:bidi="ar"/>
              </w:rPr>
            </w:pPr>
            <w:r w:rsidRPr="00C0031B">
              <w:rPr>
                <w:rStyle w:val="tlid-translation"/>
                <w:rFonts w:ascii="Times New Roman" w:hAnsi="Times New Roman" w:cs="Times New Roman"/>
                <w:b w:val="0"/>
                <w:bCs w:val="0"/>
                <w:sz w:val="22"/>
                <w:szCs w:val="22"/>
                <w:lang w:val="en" w:bidi="ar"/>
              </w:rPr>
              <w:t>General provisions/general loan-loss reserves:  will be limited to a maximum of 1.25 percentage points of credit risk-weighted risk assets</w:t>
            </w:r>
          </w:p>
        </w:tc>
      </w:tr>
      <w:tr w:rsidR="00264598" w:rsidRPr="00C0031B" w:rsidTr="004D43C2">
        <w:trPr>
          <w:jc w:val="right"/>
        </w:trPr>
        <w:tc>
          <w:tcPr>
            <w:tcW w:w="853" w:type="dxa"/>
            <w:shd w:val="clear" w:color="auto" w:fill="auto"/>
          </w:tcPr>
          <w:p w:rsidR="00264598" w:rsidRPr="00C0031B" w:rsidRDefault="00264598" w:rsidP="004D43C2">
            <w:pPr>
              <w:bidi w:val="0"/>
              <w:spacing w:after="0"/>
              <w:jc w:val="center"/>
              <w:rPr>
                <w:rFonts w:ascii="Times New Roman" w:hAnsi="Times New Roman" w:cs="Times New Roman"/>
                <w:b w:val="0"/>
                <w:bCs w:val="0"/>
                <w:sz w:val="22"/>
                <w:szCs w:val="22"/>
              </w:rPr>
            </w:pPr>
          </w:p>
        </w:tc>
        <w:tc>
          <w:tcPr>
            <w:tcW w:w="8067" w:type="dxa"/>
            <w:shd w:val="clear" w:color="auto" w:fill="auto"/>
          </w:tcPr>
          <w:p w:rsidR="00264598" w:rsidRPr="00C0031B" w:rsidRDefault="009836E3" w:rsidP="009836E3">
            <w:pPr>
              <w:bidi w:val="0"/>
              <w:spacing w:after="0"/>
              <w:ind w:left="608" w:hanging="567"/>
              <w:rPr>
                <w:rStyle w:val="tlid-translation"/>
                <w:rFonts w:ascii="Times New Roman" w:hAnsi="Times New Roman" w:cs="Times New Roman"/>
                <w:b w:val="0"/>
                <w:bCs w:val="0"/>
                <w:sz w:val="22"/>
                <w:szCs w:val="22"/>
                <w:lang w:val="en" w:bidi="ar"/>
              </w:rPr>
            </w:pPr>
            <w:r w:rsidRPr="00C0031B">
              <w:rPr>
                <w:rStyle w:val="tlid-translation"/>
                <w:rFonts w:ascii="Times New Roman" w:hAnsi="Times New Roman" w:cs="Times New Roman"/>
                <w:b w:val="0"/>
                <w:bCs w:val="0"/>
                <w:sz w:val="22"/>
                <w:szCs w:val="22"/>
                <w:lang w:val="en" w:bidi="ar"/>
              </w:rPr>
              <w:t>Minority interest</w:t>
            </w:r>
          </w:p>
        </w:tc>
      </w:tr>
      <w:tr w:rsidR="00264598" w:rsidRPr="00C0031B" w:rsidTr="009836E3">
        <w:trPr>
          <w:jc w:val="right"/>
        </w:trPr>
        <w:tc>
          <w:tcPr>
            <w:tcW w:w="853" w:type="dxa"/>
            <w:shd w:val="clear" w:color="auto" w:fill="E7E6E6" w:themeFill="background2"/>
          </w:tcPr>
          <w:p w:rsidR="00264598" w:rsidRPr="00C0031B" w:rsidRDefault="009836E3" w:rsidP="004D43C2">
            <w:pPr>
              <w:bidi w:val="0"/>
              <w:spacing w:after="0"/>
              <w:jc w:val="center"/>
              <w:rPr>
                <w:rFonts w:ascii="Times New Roman" w:hAnsi="Times New Roman" w:cs="Times New Roman"/>
                <w:sz w:val="22"/>
                <w:szCs w:val="22"/>
              </w:rPr>
            </w:pPr>
            <w:r w:rsidRPr="00C0031B">
              <w:rPr>
                <w:rFonts w:ascii="Times New Roman" w:hAnsi="Times New Roman" w:cs="Times New Roman"/>
                <w:sz w:val="22"/>
                <w:szCs w:val="22"/>
              </w:rPr>
              <w:t>0</w:t>
            </w:r>
          </w:p>
        </w:tc>
        <w:tc>
          <w:tcPr>
            <w:tcW w:w="8067" w:type="dxa"/>
            <w:shd w:val="clear" w:color="auto" w:fill="E7E6E6" w:themeFill="background2"/>
          </w:tcPr>
          <w:p w:rsidR="00264598" w:rsidRPr="00C0031B" w:rsidRDefault="009836E3" w:rsidP="004D43C2">
            <w:pPr>
              <w:bidi w:val="0"/>
              <w:spacing w:after="0"/>
              <w:ind w:left="608"/>
              <w:jc w:val="left"/>
              <w:rPr>
                <w:rStyle w:val="tlid-translation"/>
                <w:rFonts w:ascii="Times New Roman" w:hAnsi="Times New Roman" w:cs="Times New Roman"/>
                <w:sz w:val="22"/>
                <w:szCs w:val="22"/>
                <w:lang w:val="en" w:bidi="ar"/>
              </w:rPr>
            </w:pPr>
            <w:r w:rsidRPr="00C0031B">
              <w:rPr>
                <w:rStyle w:val="tlid-translation"/>
                <w:rFonts w:ascii="Times New Roman" w:hAnsi="Times New Roman" w:cs="Times New Roman"/>
                <w:sz w:val="22"/>
                <w:szCs w:val="22"/>
                <w:lang w:val="en" w:bidi="ar"/>
              </w:rPr>
              <w:t>Total of T2</w:t>
            </w:r>
          </w:p>
        </w:tc>
      </w:tr>
      <w:tr w:rsidR="00264598" w:rsidRPr="00C0031B" w:rsidTr="004D43C2">
        <w:trPr>
          <w:jc w:val="right"/>
        </w:trPr>
        <w:tc>
          <w:tcPr>
            <w:tcW w:w="853" w:type="dxa"/>
            <w:shd w:val="clear" w:color="auto" w:fill="auto"/>
          </w:tcPr>
          <w:p w:rsidR="00264598" w:rsidRPr="00C0031B" w:rsidRDefault="009836E3" w:rsidP="004D43C2">
            <w:pPr>
              <w:bidi w:val="0"/>
              <w:spacing w:after="0"/>
              <w:jc w:val="center"/>
              <w:rPr>
                <w:rFonts w:ascii="Times New Roman" w:hAnsi="Times New Roman" w:cs="Times New Roman"/>
                <w:b w:val="0"/>
                <w:bCs w:val="0"/>
                <w:sz w:val="22"/>
                <w:szCs w:val="22"/>
              </w:rPr>
            </w:pPr>
            <w:r w:rsidRPr="00C0031B">
              <w:rPr>
                <w:rFonts w:ascii="Times New Roman" w:hAnsi="Times New Roman" w:cs="Times New Roman"/>
                <w:b w:val="0"/>
                <w:bCs w:val="0"/>
                <w:sz w:val="22"/>
                <w:szCs w:val="22"/>
              </w:rPr>
              <w:t>0</w:t>
            </w:r>
          </w:p>
        </w:tc>
        <w:tc>
          <w:tcPr>
            <w:tcW w:w="8067" w:type="dxa"/>
            <w:shd w:val="clear" w:color="auto" w:fill="auto"/>
          </w:tcPr>
          <w:p w:rsidR="00264598" w:rsidRPr="00C0031B" w:rsidRDefault="009836E3" w:rsidP="009836E3">
            <w:pPr>
              <w:bidi w:val="0"/>
              <w:spacing w:after="0"/>
              <w:ind w:left="608" w:hanging="567"/>
              <w:jc w:val="left"/>
              <w:rPr>
                <w:rStyle w:val="tlid-translation"/>
                <w:rFonts w:ascii="Times New Roman" w:hAnsi="Times New Roman" w:cs="Times New Roman"/>
                <w:b w:val="0"/>
                <w:bCs w:val="0"/>
                <w:sz w:val="22"/>
                <w:szCs w:val="22"/>
                <w:lang w:val="en" w:bidi="ar"/>
              </w:rPr>
            </w:pPr>
            <w:r w:rsidRPr="00C0031B">
              <w:rPr>
                <w:rStyle w:val="tlid-translation"/>
                <w:rFonts w:ascii="Times New Roman" w:hAnsi="Times New Roman" w:cs="Times New Roman"/>
                <w:sz w:val="22"/>
                <w:szCs w:val="22"/>
                <w:lang w:val="en" w:bidi="ar"/>
              </w:rPr>
              <w:t>Regulatory adjustments</w:t>
            </w:r>
          </w:p>
        </w:tc>
      </w:tr>
      <w:tr w:rsidR="00264598" w:rsidRPr="00C0031B" w:rsidTr="004D43C2">
        <w:trPr>
          <w:jc w:val="right"/>
        </w:trPr>
        <w:tc>
          <w:tcPr>
            <w:tcW w:w="853" w:type="dxa"/>
            <w:shd w:val="clear" w:color="auto" w:fill="auto"/>
          </w:tcPr>
          <w:p w:rsidR="00264598" w:rsidRPr="00C0031B" w:rsidRDefault="00264598" w:rsidP="004D43C2">
            <w:pPr>
              <w:bidi w:val="0"/>
              <w:spacing w:after="0"/>
              <w:jc w:val="center"/>
              <w:rPr>
                <w:rFonts w:ascii="Times New Roman" w:hAnsi="Times New Roman" w:cs="Times New Roman"/>
                <w:b w:val="0"/>
                <w:bCs w:val="0"/>
                <w:sz w:val="22"/>
                <w:szCs w:val="22"/>
              </w:rPr>
            </w:pPr>
          </w:p>
        </w:tc>
        <w:tc>
          <w:tcPr>
            <w:tcW w:w="8067" w:type="dxa"/>
            <w:shd w:val="clear" w:color="auto" w:fill="auto"/>
          </w:tcPr>
          <w:p w:rsidR="00264598" w:rsidRPr="00C0031B" w:rsidRDefault="009836E3" w:rsidP="009836E3">
            <w:pPr>
              <w:bidi w:val="0"/>
              <w:spacing w:after="0"/>
              <w:ind w:left="325"/>
              <w:rPr>
                <w:rStyle w:val="tlid-translation"/>
                <w:rFonts w:ascii="Times New Roman" w:hAnsi="Times New Roman" w:cs="Times New Roman"/>
                <w:b w:val="0"/>
                <w:bCs w:val="0"/>
                <w:sz w:val="22"/>
                <w:szCs w:val="22"/>
                <w:lang w:val="en" w:bidi="ar"/>
              </w:rPr>
            </w:pPr>
            <w:r w:rsidRPr="00C0031B">
              <w:rPr>
                <w:rStyle w:val="tlid-translation"/>
                <w:rFonts w:ascii="Times New Roman" w:hAnsi="Times New Roman" w:cs="Times New Roman"/>
                <w:b w:val="0"/>
                <w:bCs w:val="0"/>
                <w:sz w:val="22"/>
                <w:szCs w:val="22"/>
                <w:lang w:val="en" w:bidi="ar"/>
              </w:rPr>
              <w:t>Investments in the capitals of subsidiaries that are not consolidated with the bank’s accounts, as described in annex no. (1)</w:t>
            </w:r>
          </w:p>
        </w:tc>
      </w:tr>
      <w:tr w:rsidR="00264598" w:rsidRPr="00C0031B" w:rsidTr="004D43C2">
        <w:trPr>
          <w:jc w:val="right"/>
        </w:trPr>
        <w:tc>
          <w:tcPr>
            <w:tcW w:w="853" w:type="dxa"/>
            <w:shd w:val="clear" w:color="auto" w:fill="auto"/>
          </w:tcPr>
          <w:p w:rsidR="00264598" w:rsidRPr="00C0031B" w:rsidRDefault="00264598" w:rsidP="004D43C2">
            <w:pPr>
              <w:bidi w:val="0"/>
              <w:spacing w:after="0"/>
              <w:jc w:val="center"/>
              <w:rPr>
                <w:rFonts w:ascii="Times New Roman" w:hAnsi="Times New Roman" w:cs="Times New Roman"/>
                <w:b w:val="0"/>
                <w:bCs w:val="0"/>
                <w:sz w:val="22"/>
                <w:szCs w:val="22"/>
              </w:rPr>
            </w:pPr>
          </w:p>
        </w:tc>
        <w:tc>
          <w:tcPr>
            <w:tcW w:w="8067" w:type="dxa"/>
            <w:shd w:val="clear" w:color="auto" w:fill="auto"/>
          </w:tcPr>
          <w:p w:rsidR="00264598" w:rsidRPr="00C0031B" w:rsidRDefault="009836E3" w:rsidP="009836E3">
            <w:pPr>
              <w:bidi w:val="0"/>
              <w:spacing w:after="0"/>
              <w:ind w:left="325"/>
              <w:rPr>
                <w:rStyle w:val="tlid-translation"/>
                <w:rFonts w:ascii="Times New Roman" w:hAnsi="Times New Roman" w:cs="Times New Roman"/>
                <w:b w:val="0"/>
                <w:bCs w:val="0"/>
                <w:sz w:val="22"/>
                <w:szCs w:val="22"/>
                <w:lang w:val="en" w:bidi="ar"/>
              </w:rPr>
            </w:pPr>
            <w:r w:rsidRPr="00C0031B">
              <w:rPr>
                <w:rStyle w:val="tlid-translation"/>
                <w:rFonts w:ascii="Times New Roman" w:hAnsi="Times New Roman" w:cs="Times New Roman"/>
                <w:b w:val="0"/>
                <w:bCs w:val="0"/>
                <w:sz w:val="22"/>
                <w:szCs w:val="22"/>
                <w:lang w:val="en" w:bidi="ar"/>
              </w:rPr>
              <w:t>Reciprocal cross holdings in the capital of banking, financial and insurance entities within T2</w:t>
            </w:r>
          </w:p>
        </w:tc>
      </w:tr>
      <w:tr w:rsidR="009836E3" w:rsidRPr="00C0031B" w:rsidTr="004D43C2">
        <w:trPr>
          <w:jc w:val="right"/>
        </w:trPr>
        <w:tc>
          <w:tcPr>
            <w:tcW w:w="853" w:type="dxa"/>
            <w:shd w:val="clear" w:color="auto" w:fill="auto"/>
          </w:tcPr>
          <w:p w:rsidR="009836E3" w:rsidRPr="00C0031B" w:rsidRDefault="009836E3" w:rsidP="009836E3">
            <w:pPr>
              <w:bidi w:val="0"/>
              <w:spacing w:after="0"/>
              <w:jc w:val="center"/>
              <w:rPr>
                <w:rFonts w:ascii="Times New Roman" w:hAnsi="Times New Roman" w:cs="Times New Roman"/>
                <w:b w:val="0"/>
                <w:bCs w:val="0"/>
                <w:sz w:val="22"/>
                <w:szCs w:val="22"/>
              </w:rPr>
            </w:pPr>
          </w:p>
        </w:tc>
        <w:tc>
          <w:tcPr>
            <w:tcW w:w="8067" w:type="dxa"/>
            <w:shd w:val="clear" w:color="auto" w:fill="auto"/>
          </w:tcPr>
          <w:p w:rsidR="009836E3" w:rsidRPr="00C0031B" w:rsidRDefault="009836E3" w:rsidP="009836E3">
            <w:pPr>
              <w:bidi w:val="0"/>
              <w:spacing w:after="0"/>
              <w:ind w:left="325"/>
              <w:rPr>
                <w:rFonts w:ascii="Times New Roman" w:hAnsi="Times New Roman" w:cs="Times New Roman"/>
                <w:b w:val="0"/>
                <w:bCs w:val="0"/>
                <w:sz w:val="22"/>
                <w:szCs w:val="22"/>
              </w:rPr>
            </w:pPr>
            <w:r w:rsidRPr="00C0031B">
              <w:rPr>
                <w:rStyle w:val="tlid-translation"/>
                <w:rFonts w:ascii="Times New Roman" w:hAnsi="Times New Roman" w:cs="Times New Roman"/>
                <w:b w:val="0"/>
                <w:bCs w:val="0"/>
                <w:sz w:val="22"/>
                <w:szCs w:val="22"/>
                <w:lang w:val="en" w:bidi="ar"/>
              </w:rPr>
              <w:t>Investments in the capital of banking, financial and insurance entities where the bank own less than 10% (According to what is indicated in the instructions)</w:t>
            </w:r>
          </w:p>
        </w:tc>
      </w:tr>
      <w:tr w:rsidR="009836E3" w:rsidRPr="00C0031B" w:rsidTr="004D43C2">
        <w:trPr>
          <w:jc w:val="right"/>
        </w:trPr>
        <w:tc>
          <w:tcPr>
            <w:tcW w:w="853" w:type="dxa"/>
            <w:shd w:val="clear" w:color="auto" w:fill="auto"/>
          </w:tcPr>
          <w:p w:rsidR="009836E3" w:rsidRPr="00C0031B" w:rsidRDefault="009836E3" w:rsidP="009836E3">
            <w:pPr>
              <w:bidi w:val="0"/>
              <w:spacing w:after="0"/>
              <w:jc w:val="center"/>
              <w:rPr>
                <w:rFonts w:ascii="Times New Roman" w:hAnsi="Times New Roman" w:cs="Times New Roman"/>
                <w:b w:val="0"/>
                <w:bCs w:val="0"/>
                <w:sz w:val="22"/>
                <w:szCs w:val="22"/>
              </w:rPr>
            </w:pPr>
          </w:p>
        </w:tc>
        <w:tc>
          <w:tcPr>
            <w:tcW w:w="8067" w:type="dxa"/>
            <w:shd w:val="clear" w:color="auto" w:fill="auto"/>
          </w:tcPr>
          <w:p w:rsidR="009836E3" w:rsidRPr="00C0031B" w:rsidRDefault="009836E3" w:rsidP="009836E3">
            <w:pPr>
              <w:bidi w:val="0"/>
              <w:spacing w:after="0"/>
              <w:ind w:left="325"/>
              <w:rPr>
                <w:rFonts w:ascii="Times New Roman" w:hAnsi="Times New Roman" w:cs="Times New Roman"/>
                <w:b w:val="0"/>
                <w:bCs w:val="0"/>
                <w:sz w:val="22"/>
                <w:szCs w:val="22"/>
              </w:rPr>
            </w:pPr>
            <w:r w:rsidRPr="00C0031B">
              <w:rPr>
                <w:rStyle w:val="tlid-translation"/>
                <w:rFonts w:ascii="Times New Roman" w:hAnsi="Times New Roman" w:cs="Times New Roman"/>
                <w:b w:val="0"/>
                <w:bCs w:val="0"/>
                <w:sz w:val="22"/>
                <w:szCs w:val="22"/>
                <w:lang w:val="en" w:bidi="ar"/>
              </w:rPr>
              <w:t>Investments in the capital of banking, financial and insurance entities where the bank own more than 10% (According to what is indicated in the instructions)</w:t>
            </w:r>
          </w:p>
        </w:tc>
      </w:tr>
      <w:tr w:rsidR="00264598" w:rsidRPr="00C0031B" w:rsidTr="004C02FF">
        <w:trPr>
          <w:jc w:val="right"/>
        </w:trPr>
        <w:tc>
          <w:tcPr>
            <w:tcW w:w="853" w:type="dxa"/>
            <w:shd w:val="clear" w:color="auto" w:fill="E7E6E6" w:themeFill="background2"/>
          </w:tcPr>
          <w:p w:rsidR="00264598" w:rsidRPr="00C0031B" w:rsidRDefault="00264598" w:rsidP="004D43C2">
            <w:pPr>
              <w:bidi w:val="0"/>
              <w:spacing w:after="0"/>
              <w:jc w:val="center"/>
              <w:rPr>
                <w:rFonts w:ascii="Times New Roman" w:hAnsi="Times New Roman" w:cs="Times New Roman"/>
                <w:b w:val="0"/>
                <w:bCs w:val="0"/>
                <w:sz w:val="22"/>
                <w:szCs w:val="22"/>
              </w:rPr>
            </w:pPr>
          </w:p>
        </w:tc>
        <w:tc>
          <w:tcPr>
            <w:tcW w:w="8067" w:type="dxa"/>
            <w:shd w:val="clear" w:color="auto" w:fill="E7E6E6" w:themeFill="background2"/>
          </w:tcPr>
          <w:p w:rsidR="00264598" w:rsidRPr="00C0031B" w:rsidRDefault="004C02FF" w:rsidP="004C02FF">
            <w:pPr>
              <w:bidi w:val="0"/>
              <w:spacing w:after="0"/>
              <w:ind w:left="608" w:hanging="567"/>
              <w:jc w:val="left"/>
              <w:rPr>
                <w:rStyle w:val="tlid-translation"/>
                <w:rFonts w:ascii="Times New Roman" w:hAnsi="Times New Roman" w:cs="Times New Roman"/>
                <w:sz w:val="22"/>
                <w:szCs w:val="22"/>
                <w:lang w:val="en" w:bidi="ar"/>
              </w:rPr>
            </w:pPr>
            <w:r w:rsidRPr="00C0031B">
              <w:rPr>
                <w:rStyle w:val="tlid-translation"/>
                <w:rFonts w:ascii="Times New Roman" w:hAnsi="Times New Roman" w:cs="Times New Roman"/>
                <w:sz w:val="22"/>
                <w:szCs w:val="22"/>
                <w:lang w:val="en" w:bidi="ar"/>
              </w:rPr>
              <w:t>Net of T2</w:t>
            </w:r>
          </w:p>
        </w:tc>
      </w:tr>
      <w:tr w:rsidR="00264598" w:rsidRPr="00C0031B" w:rsidTr="004101A4">
        <w:trPr>
          <w:jc w:val="right"/>
        </w:trPr>
        <w:tc>
          <w:tcPr>
            <w:tcW w:w="853" w:type="dxa"/>
            <w:shd w:val="clear" w:color="auto" w:fill="DEEAF6" w:themeFill="accent1" w:themeFillTint="33"/>
          </w:tcPr>
          <w:p w:rsidR="00264598" w:rsidRPr="00C0031B" w:rsidRDefault="00264598" w:rsidP="004D43C2">
            <w:pPr>
              <w:bidi w:val="0"/>
              <w:spacing w:after="0"/>
              <w:jc w:val="center"/>
              <w:rPr>
                <w:rFonts w:ascii="Times New Roman" w:hAnsi="Times New Roman" w:cs="Times New Roman"/>
                <w:b w:val="0"/>
                <w:bCs w:val="0"/>
                <w:sz w:val="22"/>
                <w:szCs w:val="22"/>
              </w:rPr>
            </w:pPr>
            <w:r w:rsidRPr="00C0031B">
              <w:rPr>
                <w:rFonts w:ascii="Times New Roman" w:hAnsi="Times New Roman" w:cs="Times New Roman"/>
                <w:b w:val="0"/>
                <w:bCs w:val="0"/>
                <w:sz w:val="22"/>
                <w:szCs w:val="22"/>
              </w:rPr>
              <w:t>0</w:t>
            </w:r>
          </w:p>
        </w:tc>
        <w:tc>
          <w:tcPr>
            <w:tcW w:w="8067" w:type="dxa"/>
            <w:shd w:val="clear" w:color="auto" w:fill="DEEAF6" w:themeFill="accent1" w:themeFillTint="33"/>
            <w:vAlign w:val="center"/>
          </w:tcPr>
          <w:p w:rsidR="00264598" w:rsidRPr="00C0031B" w:rsidRDefault="004C02FF" w:rsidP="004101A4">
            <w:pPr>
              <w:spacing w:after="0"/>
              <w:jc w:val="center"/>
              <w:rPr>
                <w:rStyle w:val="tlid-translation"/>
                <w:rFonts w:ascii="Times New Roman" w:hAnsi="Times New Roman" w:cs="Times New Roman"/>
                <w:sz w:val="22"/>
                <w:szCs w:val="22"/>
              </w:rPr>
            </w:pPr>
            <w:r w:rsidRPr="00C0031B">
              <w:rPr>
                <w:rFonts w:ascii="Times New Roman" w:hAnsi="Times New Roman" w:cs="Times New Roman"/>
                <w:sz w:val="22"/>
                <w:szCs w:val="22"/>
              </w:rPr>
              <w:t>The regulatory capital</w:t>
            </w:r>
          </w:p>
        </w:tc>
      </w:tr>
    </w:tbl>
    <w:p w:rsidR="00505A8B" w:rsidRPr="004C02FF" w:rsidRDefault="004C02FF" w:rsidP="004C02FF">
      <w:pPr>
        <w:rPr>
          <w:rFonts w:ascii="Times New Roman" w:hAnsi="Times New Roman" w:cs="Times New Roman"/>
          <w:b w:val="0"/>
          <w:bCs w:val="0"/>
          <w:sz w:val="22"/>
          <w:szCs w:val="22"/>
          <w:rtl/>
          <w:lang w:bidi="ar-JO"/>
        </w:rPr>
      </w:pPr>
      <w:r w:rsidRPr="004C02FF">
        <w:rPr>
          <w:rFonts w:ascii="Times New Roman" w:hAnsi="Times New Roman" w:cs="Times New Roman"/>
          <w:b w:val="0"/>
          <w:bCs w:val="0"/>
          <w:color w:val="202124"/>
          <w:sz w:val="22"/>
          <w:szCs w:val="22"/>
          <w:lang w:val="en"/>
        </w:rPr>
        <w:t xml:space="preserve">It is filled out at </w:t>
      </w:r>
      <w:r>
        <w:rPr>
          <w:rFonts w:ascii="Times New Roman" w:hAnsi="Times New Roman" w:cs="Times New Roman"/>
          <w:b w:val="0"/>
          <w:bCs w:val="0"/>
          <w:color w:val="202124"/>
          <w:sz w:val="22"/>
          <w:szCs w:val="22"/>
          <w:lang w:val="en"/>
        </w:rPr>
        <w:t>the level of the banking group,</w:t>
      </w:r>
      <w:r w:rsidRPr="004C02FF">
        <w:rPr>
          <w:rFonts w:ascii="Times New Roman" w:hAnsi="Times New Roman" w:cs="Times New Roman"/>
          <w:b w:val="0"/>
          <w:bCs w:val="0"/>
          <w:color w:val="202124"/>
          <w:sz w:val="22"/>
          <w:szCs w:val="22"/>
          <w:lang w:val="en"/>
        </w:rPr>
        <w:t xml:space="preserve"> Jordan and abroad branches, and Jordan branches </w:t>
      </w:r>
    </w:p>
    <w:p w:rsidR="00505A8B" w:rsidRPr="004C02FF" w:rsidRDefault="00505A8B" w:rsidP="00505A8B">
      <w:pPr>
        <w:rPr>
          <w:color w:val="FF0000"/>
          <w:rtl/>
          <w:lang w:bidi="ar-JO"/>
        </w:rPr>
      </w:pPr>
    </w:p>
    <w:p w:rsidR="00505A8B" w:rsidRDefault="00505A8B" w:rsidP="00505A8B">
      <w:pPr>
        <w:rPr>
          <w:lang w:bidi="ar-JO"/>
        </w:rPr>
      </w:pPr>
    </w:p>
    <w:p w:rsidR="00A135D7" w:rsidRDefault="00A135D7" w:rsidP="00505A8B">
      <w:pPr>
        <w:rPr>
          <w:lang w:bidi="ar-JO"/>
        </w:rPr>
      </w:pPr>
    </w:p>
    <w:p w:rsidR="00A135D7" w:rsidRDefault="00A135D7" w:rsidP="00505A8B">
      <w:pPr>
        <w:rPr>
          <w:rtl/>
          <w:lang w:bidi="ar-JO"/>
        </w:rPr>
      </w:pPr>
    </w:p>
    <w:p w:rsidR="004D43C2" w:rsidRDefault="004D43C2" w:rsidP="00505A8B">
      <w:pPr>
        <w:pStyle w:val="Caption"/>
        <w:jc w:val="center"/>
        <w:rPr>
          <w:b/>
          <w:bCs/>
          <w:color w:val="auto"/>
          <w:sz w:val="28"/>
          <w:szCs w:val="28"/>
        </w:rPr>
      </w:pPr>
      <w:bookmarkStart w:id="67" w:name="_Toc465255832"/>
    </w:p>
    <w:p w:rsidR="004D43C2" w:rsidRDefault="004D43C2" w:rsidP="004D43C2">
      <w:pPr>
        <w:bidi w:val="0"/>
        <w:spacing w:after="0" w:line="276" w:lineRule="auto"/>
        <w:rPr>
          <w:sz w:val="28"/>
          <w:szCs w:val="28"/>
        </w:rPr>
      </w:pPr>
    </w:p>
    <w:p w:rsidR="00C0031B" w:rsidRDefault="00C0031B" w:rsidP="00C0031B">
      <w:pPr>
        <w:bidi w:val="0"/>
        <w:spacing w:after="0" w:line="276" w:lineRule="auto"/>
        <w:rPr>
          <w:sz w:val="28"/>
          <w:szCs w:val="28"/>
        </w:rPr>
      </w:pPr>
    </w:p>
    <w:p w:rsidR="004D43C2" w:rsidRPr="00F06631" w:rsidRDefault="004D43C2" w:rsidP="00B66B27">
      <w:pPr>
        <w:pStyle w:val="Heading1"/>
        <w:pBdr>
          <w:bottom w:val="single" w:sz="4" w:space="1" w:color="auto"/>
        </w:pBdr>
        <w:bidi w:val="0"/>
        <w:jc w:val="center"/>
        <w:rPr>
          <w:rFonts w:asciiTheme="majorBidi" w:hAnsiTheme="majorBidi" w:cstheme="majorBidi"/>
          <w:b/>
          <w:bCs/>
        </w:rPr>
      </w:pPr>
      <w:bookmarkStart w:id="68" w:name="_Toc65354414"/>
      <w:r w:rsidRPr="00F06631">
        <w:rPr>
          <w:rFonts w:asciiTheme="majorBidi" w:hAnsiTheme="majorBidi" w:cstheme="majorBidi"/>
          <w:b/>
          <w:bCs/>
        </w:rPr>
        <w:lastRenderedPageBreak/>
        <w:t>Annex no. (6)</w:t>
      </w:r>
      <w:r w:rsidR="00B66B27">
        <w:rPr>
          <w:rFonts w:asciiTheme="majorBidi" w:hAnsiTheme="majorBidi" w:cstheme="majorBidi"/>
          <w:b/>
          <w:bCs/>
        </w:rPr>
        <w:t xml:space="preserve"> </w:t>
      </w:r>
      <w:r w:rsidRPr="00F06631">
        <w:rPr>
          <w:rFonts w:asciiTheme="majorBidi" w:hAnsiTheme="majorBidi" w:cstheme="majorBidi"/>
          <w:b/>
          <w:bCs/>
        </w:rPr>
        <w:t xml:space="preserve">The steps that the Central Bank will follow regarding the </w:t>
      </w:r>
      <w:r w:rsidR="00491B62" w:rsidRPr="00F06631">
        <w:rPr>
          <w:rFonts w:asciiTheme="majorBidi" w:hAnsiTheme="majorBidi" w:cstheme="majorBidi"/>
          <w:b/>
          <w:bCs/>
        </w:rPr>
        <w:t>countercyclical buffer</w:t>
      </w:r>
      <w:bookmarkEnd w:id="68"/>
    </w:p>
    <w:p w:rsidR="004D43C2" w:rsidRPr="00CC4B29" w:rsidRDefault="004D43C2" w:rsidP="00234A30">
      <w:pPr>
        <w:pStyle w:val="Caption"/>
        <w:bidi w:val="0"/>
        <w:spacing w:line="276" w:lineRule="auto"/>
        <w:rPr>
          <w:rFonts w:ascii="Times New Roman" w:hAnsi="Times New Roman" w:cs="Times New Roman"/>
          <w:color w:val="auto"/>
          <w:sz w:val="28"/>
          <w:szCs w:val="28"/>
          <w:highlight w:val="yellow"/>
        </w:rPr>
      </w:pPr>
    </w:p>
    <w:p w:rsidR="00505A8B" w:rsidRPr="004101A4" w:rsidRDefault="00491B62" w:rsidP="00234A30">
      <w:pPr>
        <w:bidi w:val="0"/>
        <w:spacing w:line="276" w:lineRule="auto"/>
        <w:rPr>
          <w:rFonts w:ascii="Times New Roman" w:hAnsi="Times New Roman" w:cs="Times New Roman"/>
          <w:b w:val="0"/>
          <w:bCs w:val="0"/>
          <w:sz w:val="24"/>
          <w:szCs w:val="24"/>
        </w:rPr>
      </w:pPr>
      <w:r w:rsidRPr="004101A4">
        <w:rPr>
          <w:rFonts w:ascii="Times New Roman" w:hAnsi="Times New Roman" w:cs="Times New Roman"/>
          <w:b w:val="0"/>
          <w:bCs w:val="0"/>
          <w:color w:val="202124"/>
          <w:sz w:val="24"/>
          <w:szCs w:val="24"/>
          <w:lang w:val="en"/>
        </w:rPr>
        <w:t xml:space="preserve">The </w:t>
      </w:r>
      <w:r w:rsidRPr="004101A4">
        <w:rPr>
          <w:rFonts w:ascii="Times New Roman" w:hAnsi="Times New Roman" w:cs="Times New Roman"/>
          <w:b w:val="0"/>
          <w:bCs w:val="0"/>
          <w:sz w:val="24"/>
          <w:szCs w:val="24"/>
        </w:rPr>
        <w:t>countercyclical buffer</w:t>
      </w:r>
      <w:r w:rsidRPr="004101A4">
        <w:rPr>
          <w:rFonts w:ascii="Times New Roman" w:hAnsi="Times New Roman" w:cs="Times New Roman"/>
          <w:b w:val="0"/>
          <w:bCs w:val="0"/>
          <w:color w:val="202124"/>
          <w:sz w:val="24"/>
          <w:szCs w:val="24"/>
          <w:lang w:val="en"/>
        </w:rPr>
        <w:t xml:space="preserve"> calculation includes the following steps:</w:t>
      </w:r>
      <w:bookmarkEnd w:id="67"/>
    </w:p>
    <w:p w:rsidR="00491B62" w:rsidRPr="004101A4" w:rsidRDefault="00491B62" w:rsidP="004101A4">
      <w:pPr>
        <w:pStyle w:val="ListParagraph"/>
        <w:numPr>
          <w:ilvl w:val="0"/>
          <w:numId w:val="37"/>
        </w:numPr>
        <w:bidi w:val="0"/>
        <w:spacing w:line="276" w:lineRule="auto"/>
        <w:ind w:hanging="578"/>
        <w:rPr>
          <w:rFonts w:ascii="Times New Roman" w:hAnsi="Times New Roman" w:cs="Times New Roman"/>
          <w:b w:val="0"/>
          <w:bCs w:val="0"/>
          <w:sz w:val="24"/>
          <w:szCs w:val="24"/>
          <w:lang w:bidi="ar-JO"/>
        </w:rPr>
      </w:pPr>
      <w:r w:rsidRPr="004101A4">
        <w:rPr>
          <w:rFonts w:ascii="Times New Roman" w:hAnsi="Times New Roman" w:cs="Times New Roman"/>
          <w:b w:val="0"/>
          <w:bCs w:val="0"/>
          <w:sz w:val="24"/>
          <w:szCs w:val="24"/>
        </w:rPr>
        <w:t>Calculate the private sector credit-to-GDP ratio.</w:t>
      </w:r>
    </w:p>
    <w:p w:rsidR="00491B62" w:rsidRPr="004101A4" w:rsidRDefault="00491B62" w:rsidP="00234A30">
      <w:pPr>
        <w:pStyle w:val="ListParagraph"/>
        <w:numPr>
          <w:ilvl w:val="0"/>
          <w:numId w:val="37"/>
        </w:numPr>
        <w:bidi w:val="0"/>
        <w:spacing w:line="276" w:lineRule="auto"/>
        <w:ind w:hanging="578"/>
        <w:rPr>
          <w:rFonts w:ascii="Times New Roman" w:hAnsi="Times New Roman" w:cs="Times New Roman"/>
          <w:b w:val="0"/>
          <w:bCs w:val="0"/>
          <w:sz w:val="24"/>
          <w:szCs w:val="24"/>
          <w:lang w:bidi="ar-JO"/>
        </w:rPr>
      </w:pPr>
      <w:r w:rsidRPr="004101A4">
        <w:rPr>
          <w:rFonts w:ascii="Times New Roman" w:hAnsi="Times New Roman" w:cs="Times New Roman"/>
          <w:b w:val="0"/>
          <w:bCs w:val="0"/>
          <w:color w:val="202124"/>
          <w:sz w:val="24"/>
          <w:szCs w:val="24"/>
          <w:lang w:val="en"/>
        </w:rPr>
        <w:t>Estimate the credit-to-GDP gap (</w:t>
      </w:r>
      <w:r w:rsidRPr="004101A4">
        <w:rPr>
          <w:rFonts w:ascii="Times New Roman" w:hAnsi="Times New Roman" w:cs="Times New Roman"/>
          <w:b w:val="0"/>
          <w:bCs w:val="0"/>
          <w:sz w:val="24"/>
          <w:szCs w:val="24"/>
        </w:rPr>
        <w:t>the gap between the ratio and its trend</w:t>
      </w:r>
      <w:r w:rsidRPr="004101A4">
        <w:rPr>
          <w:rFonts w:ascii="Times New Roman" w:hAnsi="Times New Roman" w:cs="Times New Roman"/>
          <w:b w:val="0"/>
          <w:bCs w:val="0"/>
          <w:color w:val="202124"/>
          <w:sz w:val="24"/>
          <w:szCs w:val="24"/>
          <w:lang w:val="en"/>
        </w:rPr>
        <w:t>), using statistical measures.</w:t>
      </w:r>
    </w:p>
    <w:p w:rsidR="00491B62" w:rsidRPr="004101A4" w:rsidRDefault="00234A30" w:rsidP="00234A30">
      <w:pPr>
        <w:pStyle w:val="ListParagraph"/>
        <w:numPr>
          <w:ilvl w:val="0"/>
          <w:numId w:val="37"/>
        </w:numPr>
        <w:bidi w:val="0"/>
        <w:spacing w:line="276" w:lineRule="auto"/>
        <w:ind w:hanging="578"/>
        <w:rPr>
          <w:rFonts w:ascii="Times New Roman" w:hAnsi="Times New Roman" w:cs="Times New Roman"/>
          <w:b w:val="0"/>
          <w:bCs w:val="0"/>
          <w:sz w:val="24"/>
          <w:szCs w:val="24"/>
          <w:lang w:bidi="ar-JO"/>
        </w:rPr>
      </w:pPr>
      <w:r w:rsidRPr="004101A4">
        <w:rPr>
          <w:rFonts w:ascii="Times New Roman" w:hAnsi="Times New Roman" w:cs="Times New Roman"/>
          <w:b w:val="0"/>
          <w:bCs w:val="0"/>
          <w:color w:val="202124"/>
          <w:sz w:val="24"/>
          <w:szCs w:val="24"/>
          <w:lang w:val="en"/>
        </w:rPr>
        <w:t>Calculate</w:t>
      </w:r>
      <w:r w:rsidR="00491B62" w:rsidRPr="004101A4">
        <w:rPr>
          <w:rFonts w:ascii="Times New Roman" w:hAnsi="Times New Roman" w:cs="Times New Roman"/>
          <w:b w:val="0"/>
          <w:bCs w:val="0"/>
          <w:color w:val="202124"/>
          <w:sz w:val="24"/>
          <w:szCs w:val="24"/>
          <w:lang w:val="en"/>
        </w:rPr>
        <w:t xml:space="preserve"> the required buffer based on the estimated gap, as follows:</w:t>
      </w:r>
    </w:p>
    <w:p w:rsidR="00491B62" w:rsidRPr="004101A4" w:rsidRDefault="00491B62" w:rsidP="00D94462">
      <w:pPr>
        <w:pStyle w:val="ListParagraph"/>
        <w:numPr>
          <w:ilvl w:val="0"/>
          <w:numId w:val="46"/>
        </w:numPr>
        <w:bidi w:val="0"/>
        <w:spacing w:line="276" w:lineRule="auto"/>
        <w:ind w:left="1276" w:hanging="567"/>
        <w:rPr>
          <w:rFonts w:ascii="Times New Roman" w:hAnsi="Times New Roman" w:cs="Times New Roman"/>
          <w:b w:val="0"/>
          <w:bCs w:val="0"/>
          <w:sz w:val="24"/>
          <w:szCs w:val="24"/>
          <w:lang w:bidi="ar-JO"/>
        </w:rPr>
      </w:pPr>
      <w:r w:rsidRPr="004101A4">
        <w:rPr>
          <w:rFonts w:ascii="Times New Roman" w:hAnsi="Times New Roman" w:cs="Times New Roman"/>
          <w:b w:val="0"/>
          <w:bCs w:val="0"/>
          <w:color w:val="202124"/>
          <w:sz w:val="24"/>
          <w:szCs w:val="24"/>
          <w:lang w:val="en"/>
        </w:rPr>
        <w:t>If the gap is less than (2%), the buffer is zero.</w:t>
      </w:r>
    </w:p>
    <w:p w:rsidR="00491B62" w:rsidRPr="004101A4" w:rsidRDefault="00491B62" w:rsidP="00D94462">
      <w:pPr>
        <w:pStyle w:val="ListParagraph"/>
        <w:numPr>
          <w:ilvl w:val="0"/>
          <w:numId w:val="46"/>
        </w:numPr>
        <w:bidi w:val="0"/>
        <w:spacing w:line="276" w:lineRule="auto"/>
        <w:ind w:left="1276" w:hanging="567"/>
        <w:rPr>
          <w:rFonts w:ascii="Times New Roman" w:hAnsi="Times New Roman" w:cs="Times New Roman"/>
          <w:b w:val="0"/>
          <w:bCs w:val="0"/>
          <w:sz w:val="24"/>
          <w:szCs w:val="24"/>
          <w:lang w:bidi="ar-JO"/>
        </w:rPr>
      </w:pPr>
      <w:r w:rsidRPr="004101A4">
        <w:rPr>
          <w:rFonts w:ascii="Times New Roman" w:hAnsi="Times New Roman" w:cs="Times New Roman"/>
          <w:b w:val="0"/>
          <w:bCs w:val="0"/>
          <w:color w:val="202124"/>
          <w:sz w:val="24"/>
          <w:szCs w:val="24"/>
          <w:lang w:val="en"/>
        </w:rPr>
        <w:t>If the gap exceeds (10%), the buffer is (2.5%).</w:t>
      </w:r>
    </w:p>
    <w:p w:rsidR="00491B62" w:rsidRPr="004101A4" w:rsidRDefault="00491B62" w:rsidP="00D94462">
      <w:pPr>
        <w:pStyle w:val="ListParagraph"/>
        <w:numPr>
          <w:ilvl w:val="0"/>
          <w:numId w:val="46"/>
        </w:numPr>
        <w:bidi w:val="0"/>
        <w:spacing w:line="276" w:lineRule="auto"/>
        <w:ind w:left="1276" w:hanging="567"/>
        <w:rPr>
          <w:rFonts w:ascii="Times New Roman" w:hAnsi="Times New Roman" w:cs="Times New Roman"/>
          <w:b w:val="0"/>
          <w:bCs w:val="0"/>
          <w:sz w:val="24"/>
          <w:szCs w:val="24"/>
          <w:lang w:bidi="ar-JO"/>
        </w:rPr>
      </w:pPr>
      <w:r w:rsidRPr="004101A4">
        <w:rPr>
          <w:rFonts w:ascii="Times New Roman" w:hAnsi="Times New Roman" w:cs="Times New Roman"/>
          <w:b w:val="0"/>
          <w:bCs w:val="0"/>
          <w:color w:val="202124"/>
          <w:sz w:val="24"/>
          <w:szCs w:val="24"/>
          <w:lang w:val="en"/>
        </w:rPr>
        <w:t xml:space="preserve">If the gap ranges between the </w:t>
      </w:r>
      <w:r w:rsidR="00234A30" w:rsidRPr="004101A4">
        <w:rPr>
          <w:rFonts w:ascii="Times New Roman" w:hAnsi="Times New Roman" w:cs="Times New Roman"/>
          <w:b w:val="0"/>
          <w:bCs w:val="0"/>
          <w:color w:val="202124"/>
          <w:sz w:val="24"/>
          <w:szCs w:val="24"/>
          <w:lang w:val="en"/>
        </w:rPr>
        <w:t xml:space="preserve">minimum limit and the upper limit that </w:t>
      </w:r>
      <w:r w:rsidRPr="004101A4">
        <w:rPr>
          <w:rFonts w:ascii="Times New Roman" w:hAnsi="Times New Roman" w:cs="Times New Roman"/>
          <w:b w:val="0"/>
          <w:bCs w:val="0"/>
          <w:color w:val="202124"/>
          <w:sz w:val="24"/>
          <w:szCs w:val="24"/>
          <w:lang w:val="en"/>
        </w:rPr>
        <w:t>mentioned</w:t>
      </w:r>
      <w:r w:rsidR="00234A30" w:rsidRPr="004101A4">
        <w:rPr>
          <w:rFonts w:ascii="Times New Roman" w:hAnsi="Times New Roman" w:cs="Times New Roman"/>
          <w:b w:val="0"/>
          <w:bCs w:val="0"/>
          <w:color w:val="202124"/>
          <w:sz w:val="24"/>
          <w:szCs w:val="24"/>
          <w:lang w:val="en"/>
        </w:rPr>
        <w:t xml:space="preserve"> above</w:t>
      </w:r>
      <w:r w:rsidRPr="004101A4">
        <w:rPr>
          <w:rFonts w:ascii="Times New Roman" w:hAnsi="Times New Roman" w:cs="Times New Roman"/>
          <w:b w:val="0"/>
          <w:bCs w:val="0"/>
          <w:color w:val="202124"/>
          <w:sz w:val="24"/>
          <w:szCs w:val="24"/>
          <w:lang w:val="en"/>
        </w:rPr>
        <w:t xml:space="preserve">, the </w:t>
      </w:r>
      <w:r w:rsidR="00234A30" w:rsidRPr="004101A4">
        <w:rPr>
          <w:rFonts w:ascii="Times New Roman" w:hAnsi="Times New Roman" w:cs="Times New Roman"/>
          <w:b w:val="0"/>
          <w:bCs w:val="0"/>
          <w:color w:val="202124"/>
          <w:sz w:val="24"/>
          <w:szCs w:val="24"/>
          <w:lang w:val="en"/>
        </w:rPr>
        <w:t>buffer is:</w:t>
      </w:r>
    </w:p>
    <w:p w:rsidR="00234A30" w:rsidRPr="004101A4" w:rsidRDefault="00234A30" w:rsidP="00234A30">
      <w:pPr>
        <w:pStyle w:val="ListParagraph"/>
        <w:bidi w:val="0"/>
        <w:spacing w:line="276" w:lineRule="auto"/>
        <w:ind w:left="1835"/>
        <w:rPr>
          <w:rFonts w:ascii="Times New Roman" w:hAnsi="Times New Roman" w:cs="Times New Roman"/>
          <w:b w:val="0"/>
          <w:bCs w:val="0"/>
          <w:color w:val="202124"/>
          <w:sz w:val="24"/>
          <w:szCs w:val="24"/>
          <w:lang w:val="en"/>
        </w:rPr>
      </w:pPr>
      <w:r w:rsidRPr="004101A4">
        <w:rPr>
          <w:rFonts w:ascii="Times New Roman" w:hAnsi="Times New Roman" w:cs="Times New Roman"/>
          <w:b w:val="0"/>
          <w:bCs w:val="0"/>
          <w:color w:val="202124"/>
          <w:sz w:val="24"/>
          <w:szCs w:val="24"/>
          <w:lang w:val="en"/>
        </w:rPr>
        <w:t>(GAP-2%)*2.5%/8%</w:t>
      </w:r>
    </w:p>
    <w:p w:rsidR="00234A30" w:rsidRPr="004101A4" w:rsidRDefault="00234A30" w:rsidP="00234A30">
      <w:pPr>
        <w:pStyle w:val="ListParagraph"/>
        <w:bidi w:val="0"/>
        <w:spacing w:line="276" w:lineRule="auto"/>
        <w:ind w:left="1835"/>
        <w:rPr>
          <w:rFonts w:ascii="Times New Roman" w:hAnsi="Times New Roman" w:cs="Times New Roman"/>
          <w:b w:val="0"/>
          <w:bCs w:val="0"/>
          <w:color w:val="202124"/>
          <w:sz w:val="24"/>
          <w:szCs w:val="24"/>
          <w:lang w:val="en"/>
        </w:rPr>
      </w:pPr>
    </w:p>
    <w:p w:rsidR="00234A30" w:rsidRPr="00C0031B" w:rsidRDefault="00234A30" w:rsidP="00234A30">
      <w:pPr>
        <w:pStyle w:val="ListParagraph"/>
        <w:bidi w:val="0"/>
        <w:spacing w:line="276" w:lineRule="auto"/>
        <w:ind w:left="142"/>
        <w:rPr>
          <w:rFonts w:ascii="Times New Roman" w:hAnsi="Times New Roman" w:cs="Times New Roman"/>
          <w:b w:val="0"/>
          <w:bCs w:val="0"/>
          <w:sz w:val="24"/>
          <w:szCs w:val="24"/>
          <w:rtl/>
          <w:lang w:bidi="ar-JO"/>
        </w:rPr>
      </w:pPr>
      <w:r w:rsidRPr="004101A4">
        <w:rPr>
          <w:rFonts w:ascii="Times New Roman" w:hAnsi="Times New Roman" w:cs="Times New Roman"/>
          <w:b w:val="0"/>
          <w:bCs w:val="0"/>
          <w:color w:val="202124"/>
          <w:sz w:val="24"/>
          <w:szCs w:val="24"/>
          <w:lang w:val="en"/>
        </w:rPr>
        <w:t>The Central Bank of Jordan will assess the need to increase or decrease the buffer according to systemic risk trends, before imposing the buffer, the central bank will give banks a grace period of (12) months for compliance in order to give banks sufficient time to fulfill the additional capital requirements, as for the reduction process, it is directly implementable as soon as it is announced by the Central Bank.</w:t>
      </w:r>
    </w:p>
    <w:p w:rsidR="00505A8B" w:rsidRPr="004A31B4" w:rsidRDefault="00505A8B" w:rsidP="00505A8B">
      <w:pPr>
        <w:rPr>
          <w:b w:val="0"/>
          <w:bCs w:val="0"/>
          <w:rtl/>
          <w:lang w:bidi="ar-JO"/>
        </w:rPr>
      </w:pPr>
    </w:p>
    <w:p w:rsidR="00505A8B" w:rsidRDefault="00505A8B" w:rsidP="00505A8B">
      <w:pPr>
        <w:rPr>
          <w:rtl/>
          <w:lang w:bidi="ar-JO"/>
        </w:rPr>
      </w:pPr>
    </w:p>
    <w:p w:rsidR="00505A8B" w:rsidRDefault="00505A8B" w:rsidP="00505A8B">
      <w:pPr>
        <w:rPr>
          <w:rtl/>
          <w:lang w:bidi="ar-JO"/>
        </w:rPr>
      </w:pPr>
    </w:p>
    <w:p w:rsidR="00505A8B" w:rsidRDefault="00505A8B" w:rsidP="00505A8B">
      <w:pPr>
        <w:rPr>
          <w:rtl/>
          <w:lang w:bidi="ar-JO"/>
        </w:rPr>
      </w:pPr>
    </w:p>
    <w:p w:rsidR="00505A8B" w:rsidRDefault="00505A8B" w:rsidP="00505A8B">
      <w:pPr>
        <w:rPr>
          <w:rtl/>
          <w:lang w:bidi="ar-JO"/>
        </w:rPr>
      </w:pPr>
    </w:p>
    <w:p w:rsidR="00505A8B" w:rsidRDefault="00505A8B" w:rsidP="00505A8B">
      <w:pPr>
        <w:rPr>
          <w:rtl/>
          <w:lang w:bidi="ar-JO"/>
        </w:rPr>
      </w:pPr>
    </w:p>
    <w:p w:rsidR="00505A8B" w:rsidRDefault="00505A8B" w:rsidP="00505A8B">
      <w:pPr>
        <w:rPr>
          <w:rtl/>
          <w:lang w:bidi="ar-JO"/>
        </w:rPr>
      </w:pPr>
    </w:p>
    <w:p w:rsidR="00505A8B" w:rsidRDefault="00505A8B" w:rsidP="00505A8B">
      <w:pPr>
        <w:rPr>
          <w:rtl/>
          <w:lang w:bidi="ar-JO"/>
        </w:rPr>
      </w:pPr>
    </w:p>
    <w:p w:rsidR="00505A8B" w:rsidRDefault="00505A8B" w:rsidP="00505A8B">
      <w:pPr>
        <w:rPr>
          <w:rtl/>
          <w:lang w:bidi="ar-JO"/>
        </w:rPr>
      </w:pPr>
    </w:p>
    <w:p w:rsidR="00505A8B" w:rsidRDefault="00505A8B" w:rsidP="00505A8B">
      <w:pPr>
        <w:framePr w:w="6497" w:wrap="auto" w:hAnchor="text"/>
        <w:rPr>
          <w:rtl/>
          <w:lang w:bidi="ar-JO"/>
        </w:rPr>
        <w:sectPr w:rsidR="00505A8B" w:rsidSect="00565969">
          <w:headerReference w:type="even" r:id="rId9"/>
          <w:headerReference w:type="default" r:id="rId10"/>
          <w:footerReference w:type="default" r:id="rId11"/>
          <w:headerReference w:type="first" r:id="rId12"/>
          <w:pgSz w:w="11906" w:h="16838"/>
          <w:pgMar w:top="1440" w:right="1558" w:bottom="1440" w:left="1418" w:header="708" w:footer="708" w:gutter="0"/>
          <w:cols w:space="708"/>
          <w:titlePg/>
          <w:bidi/>
          <w:rtlGutter/>
          <w:docGrid w:linePitch="360"/>
        </w:sectPr>
      </w:pPr>
    </w:p>
    <w:p w:rsidR="00505A8B" w:rsidRPr="00F06631" w:rsidRDefault="00233532" w:rsidP="00B66B27">
      <w:pPr>
        <w:pStyle w:val="Heading1"/>
        <w:pBdr>
          <w:bottom w:val="single" w:sz="4" w:space="1" w:color="auto"/>
        </w:pBdr>
        <w:bidi w:val="0"/>
        <w:jc w:val="center"/>
        <w:rPr>
          <w:rFonts w:asciiTheme="majorBidi" w:hAnsiTheme="majorBidi" w:cstheme="majorBidi"/>
          <w:b/>
          <w:bCs/>
        </w:rPr>
      </w:pPr>
      <w:bookmarkStart w:id="69" w:name="_Toc65354415"/>
      <w:r w:rsidRPr="00F06631">
        <w:rPr>
          <w:rFonts w:asciiTheme="majorBidi" w:hAnsiTheme="majorBidi" w:cstheme="majorBidi"/>
          <w:b/>
          <w:bCs/>
        </w:rPr>
        <w:lastRenderedPageBreak/>
        <w:t>Annex (7)</w:t>
      </w:r>
      <w:r w:rsidR="00B66B27">
        <w:rPr>
          <w:rFonts w:asciiTheme="majorBidi" w:hAnsiTheme="majorBidi" w:cstheme="majorBidi"/>
          <w:b/>
          <w:bCs/>
        </w:rPr>
        <w:t xml:space="preserve"> </w:t>
      </w:r>
      <w:r w:rsidR="00505A8B" w:rsidRPr="00F06631">
        <w:rPr>
          <w:rFonts w:asciiTheme="majorBidi" w:hAnsiTheme="majorBidi" w:cstheme="majorBidi"/>
          <w:b/>
          <w:bCs/>
        </w:rPr>
        <w:t>External Risk Rating Mapping</w:t>
      </w:r>
      <w:bookmarkEnd w:id="69"/>
    </w:p>
    <w:p w:rsidR="00505A8B" w:rsidRDefault="00505A8B" w:rsidP="00505A8B">
      <w:pPr>
        <w:rPr>
          <w:rtl/>
        </w:rPr>
      </w:pPr>
    </w:p>
    <w:tbl>
      <w:tblPr>
        <w:tblW w:w="14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433"/>
        <w:gridCol w:w="1495"/>
        <w:gridCol w:w="236"/>
        <w:gridCol w:w="1088"/>
        <w:gridCol w:w="388"/>
        <w:gridCol w:w="746"/>
        <w:gridCol w:w="1418"/>
        <w:gridCol w:w="425"/>
        <w:gridCol w:w="1276"/>
        <w:gridCol w:w="1559"/>
        <w:gridCol w:w="1916"/>
        <w:gridCol w:w="1363"/>
        <w:gridCol w:w="6"/>
      </w:tblGrid>
      <w:tr w:rsidR="00505A8B" w:rsidRPr="00C0031B" w:rsidTr="0001223F">
        <w:trPr>
          <w:cantSplit/>
          <w:trHeight w:val="605"/>
          <w:jc w:val="center"/>
        </w:trPr>
        <w:tc>
          <w:tcPr>
            <w:tcW w:w="4483" w:type="dxa"/>
            <w:gridSpan w:val="3"/>
            <w:shd w:val="clear" w:color="auto" w:fill="F2F2F2"/>
            <w:tcMar>
              <w:left w:w="57" w:type="dxa"/>
              <w:right w:w="57" w:type="dxa"/>
            </w:tcMar>
            <w:vAlign w:val="center"/>
          </w:tcPr>
          <w:p w:rsidR="00505A8B" w:rsidRPr="00C0031B" w:rsidRDefault="00505A8B" w:rsidP="0001223F">
            <w:pPr>
              <w:spacing w:after="0"/>
              <w:jc w:val="center"/>
              <w:rPr>
                <w:rFonts w:ascii="Times New Roman" w:eastAsia="Times New Roman" w:hAnsi="Times New Roman"/>
                <w:sz w:val="22"/>
                <w:szCs w:val="22"/>
                <w:lang w:eastAsia="ar-SA" w:bidi="ar-JO"/>
              </w:rPr>
            </w:pPr>
            <w:r w:rsidRPr="00C0031B">
              <w:rPr>
                <w:rFonts w:ascii="Times New Roman" w:eastAsia="Times New Roman" w:hAnsi="Times New Roman"/>
                <w:sz w:val="22"/>
                <w:szCs w:val="22"/>
                <w:lang w:eastAsia="ar-SA" w:bidi="ar-JO"/>
              </w:rPr>
              <w:t>Long Term Rating Assessment</w:t>
            </w:r>
          </w:p>
        </w:tc>
        <w:tc>
          <w:tcPr>
            <w:tcW w:w="236" w:type="dxa"/>
            <w:vMerge w:val="restart"/>
            <w:shd w:val="clear" w:color="auto" w:fill="F2F2F2"/>
          </w:tcPr>
          <w:p w:rsidR="00505A8B" w:rsidRPr="00C0031B" w:rsidRDefault="00505A8B" w:rsidP="0001223F">
            <w:pPr>
              <w:bidi w:val="0"/>
              <w:spacing w:after="0"/>
              <w:jc w:val="center"/>
              <w:rPr>
                <w:rFonts w:ascii="Times New Roman" w:eastAsia="Times New Roman" w:hAnsi="Times New Roman"/>
                <w:sz w:val="22"/>
                <w:szCs w:val="22"/>
                <w:lang w:eastAsia="ar-SA" w:bidi="ar-JO"/>
              </w:rPr>
            </w:pPr>
          </w:p>
        </w:tc>
        <w:tc>
          <w:tcPr>
            <w:tcW w:w="3640" w:type="dxa"/>
            <w:gridSpan w:val="4"/>
            <w:shd w:val="clear" w:color="auto" w:fill="F2F2F2"/>
            <w:tcMar>
              <w:left w:w="57" w:type="dxa"/>
              <w:right w:w="57" w:type="dxa"/>
            </w:tcMar>
            <w:vAlign w:val="center"/>
          </w:tcPr>
          <w:p w:rsidR="00505A8B" w:rsidRPr="00C0031B" w:rsidRDefault="00505A8B" w:rsidP="0001223F">
            <w:pPr>
              <w:spacing w:after="0"/>
              <w:jc w:val="center"/>
              <w:rPr>
                <w:rFonts w:ascii="Times New Roman" w:eastAsia="Times New Roman" w:hAnsi="Times New Roman"/>
                <w:sz w:val="22"/>
                <w:szCs w:val="22"/>
                <w:lang w:eastAsia="ar-SA" w:bidi="ar-JO"/>
              </w:rPr>
            </w:pPr>
            <w:r w:rsidRPr="00C0031B">
              <w:rPr>
                <w:rFonts w:ascii="Times New Roman" w:eastAsia="Times New Roman" w:hAnsi="Times New Roman"/>
                <w:sz w:val="22"/>
                <w:szCs w:val="22"/>
                <w:lang w:eastAsia="ar-SA" w:bidi="ar-JO"/>
              </w:rPr>
              <w:t>Short Term Rating Assessment</w:t>
            </w:r>
          </w:p>
        </w:tc>
        <w:tc>
          <w:tcPr>
            <w:tcW w:w="425" w:type="dxa"/>
            <w:vMerge w:val="restart"/>
            <w:shd w:val="clear" w:color="auto" w:fill="F2F2F2"/>
          </w:tcPr>
          <w:p w:rsidR="00505A8B" w:rsidRPr="00C0031B" w:rsidRDefault="00505A8B" w:rsidP="0001223F">
            <w:pPr>
              <w:bidi w:val="0"/>
              <w:spacing w:after="0"/>
              <w:jc w:val="center"/>
              <w:rPr>
                <w:rFonts w:ascii="Times New Roman" w:eastAsia="Times New Roman" w:hAnsi="Times New Roman"/>
                <w:sz w:val="22"/>
                <w:szCs w:val="22"/>
                <w:lang w:eastAsia="ar-SA" w:bidi="ar-JO"/>
              </w:rPr>
            </w:pPr>
          </w:p>
        </w:tc>
        <w:tc>
          <w:tcPr>
            <w:tcW w:w="6120" w:type="dxa"/>
            <w:gridSpan w:val="5"/>
            <w:shd w:val="clear" w:color="auto" w:fill="F2F2F2"/>
            <w:tcMar>
              <w:left w:w="57" w:type="dxa"/>
              <w:right w:w="57" w:type="dxa"/>
            </w:tcMar>
            <w:vAlign w:val="center"/>
          </w:tcPr>
          <w:p w:rsidR="00505A8B" w:rsidRPr="00C0031B" w:rsidRDefault="00505A8B" w:rsidP="0001223F">
            <w:pPr>
              <w:bidi w:val="0"/>
              <w:spacing w:after="0"/>
              <w:jc w:val="center"/>
              <w:rPr>
                <w:rFonts w:ascii="Times New Roman" w:eastAsia="Times New Roman" w:hAnsi="Times New Roman"/>
                <w:sz w:val="22"/>
                <w:szCs w:val="22"/>
                <w:lang w:eastAsia="ar-SA" w:bidi="ar-JO"/>
              </w:rPr>
            </w:pPr>
            <w:r w:rsidRPr="00C0031B">
              <w:rPr>
                <w:rFonts w:ascii="Times New Roman" w:eastAsia="Times New Roman" w:hAnsi="Times New Roman"/>
                <w:sz w:val="22"/>
                <w:szCs w:val="22"/>
                <w:lang w:eastAsia="ar-SA" w:bidi="ar-JO"/>
              </w:rPr>
              <w:t>Obligor</w:t>
            </w:r>
          </w:p>
        </w:tc>
      </w:tr>
      <w:tr w:rsidR="0001223F" w:rsidRPr="00C0031B" w:rsidTr="0001223F">
        <w:trPr>
          <w:gridAfter w:val="1"/>
          <w:wAfter w:w="6" w:type="dxa"/>
          <w:cantSplit/>
          <w:trHeight w:val="528"/>
          <w:jc w:val="center"/>
        </w:trPr>
        <w:tc>
          <w:tcPr>
            <w:tcW w:w="1555" w:type="dxa"/>
            <w:vMerge w:val="restart"/>
            <w:shd w:val="clear" w:color="auto" w:fill="F2F2F2"/>
            <w:tcMar>
              <w:left w:w="57" w:type="dxa"/>
              <w:right w:w="57" w:type="dxa"/>
            </w:tcMar>
            <w:vAlign w:val="center"/>
          </w:tcPr>
          <w:p w:rsidR="00505A8B" w:rsidRPr="00C0031B" w:rsidRDefault="00505A8B" w:rsidP="0001223F">
            <w:pPr>
              <w:bidi w:val="0"/>
              <w:spacing w:after="0"/>
              <w:jc w:val="center"/>
              <w:rPr>
                <w:rFonts w:ascii="Times New Roman" w:eastAsia="Times New Roman" w:hAnsi="Times New Roman"/>
                <w:sz w:val="22"/>
                <w:szCs w:val="22"/>
                <w:lang w:eastAsia="ar-SA" w:bidi="ar-JO"/>
              </w:rPr>
            </w:pPr>
            <w:r w:rsidRPr="00C0031B">
              <w:rPr>
                <w:rFonts w:ascii="Times New Roman" w:eastAsia="Times New Roman" w:hAnsi="Times New Roman"/>
                <w:sz w:val="22"/>
                <w:szCs w:val="22"/>
                <w:lang w:eastAsia="ar-SA" w:bidi="ar-JO"/>
              </w:rPr>
              <w:t>S&amp;P’s</w:t>
            </w:r>
          </w:p>
        </w:tc>
        <w:tc>
          <w:tcPr>
            <w:tcW w:w="1433" w:type="dxa"/>
            <w:vMerge w:val="restart"/>
            <w:shd w:val="clear" w:color="auto" w:fill="F2F2F2"/>
            <w:tcMar>
              <w:left w:w="57" w:type="dxa"/>
              <w:right w:w="57" w:type="dxa"/>
            </w:tcMar>
            <w:vAlign w:val="center"/>
          </w:tcPr>
          <w:p w:rsidR="00505A8B" w:rsidRPr="00C0031B" w:rsidRDefault="00505A8B" w:rsidP="0001223F">
            <w:pPr>
              <w:spacing w:after="0"/>
              <w:jc w:val="center"/>
              <w:rPr>
                <w:rFonts w:ascii="Times New Roman" w:eastAsia="Times New Roman" w:hAnsi="Times New Roman"/>
                <w:sz w:val="22"/>
                <w:szCs w:val="22"/>
                <w:rtl/>
                <w:lang w:val="en-GB" w:eastAsia="ar-SA" w:bidi="ar-JO"/>
              </w:rPr>
            </w:pPr>
            <w:r w:rsidRPr="00C0031B">
              <w:rPr>
                <w:rFonts w:ascii="Times New Roman" w:eastAsia="Times New Roman" w:hAnsi="Times New Roman"/>
                <w:sz w:val="22"/>
                <w:szCs w:val="22"/>
                <w:lang w:eastAsia="ar-SA" w:bidi="ar-JO"/>
              </w:rPr>
              <w:t>Moody’s</w:t>
            </w:r>
          </w:p>
        </w:tc>
        <w:tc>
          <w:tcPr>
            <w:tcW w:w="1495" w:type="dxa"/>
            <w:vMerge w:val="restart"/>
            <w:shd w:val="clear" w:color="auto" w:fill="F2F2F2"/>
            <w:tcMar>
              <w:left w:w="57" w:type="dxa"/>
              <w:right w:w="57" w:type="dxa"/>
            </w:tcMar>
            <w:vAlign w:val="center"/>
          </w:tcPr>
          <w:p w:rsidR="00505A8B" w:rsidRPr="00C0031B" w:rsidRDefault="00505A8B" w:rsidP="0001223F">
            <w:pPr>
              <w:spacing w:after="0"/>
              <w:jc w:val="center"/>
              <w:rPr>
                <w:rFonts w:ascii="Times New Roman" w:eastAsia="Times New Roman" w:hAnsi="Times New Roman"/>
                <w:sz w:val="22"/>
                <w:szCs w:val="22"/>
                <w:lang w:eastAsia="ar-SA" w:bidi="ar-JO"/>
              </w:rPr>
            </w:pPr>
            <w:r w:rsidRPr="00C0031B">
              <w:rPr>
                <w:rFonts w:ascii="Times New Roman" w:eastAsia="Times New Roman" w:hAnsi="Times New Roman"/>
                <w:sz w:val="22"/>
                <w:szCs w:val="22"/>
                <w:lang w:eastAsia="ar-SA" w:bidi="ar-JO"/>
              </w:rPr>
              <w:t>Fitch’s</w:t>
            </w:r>
          </w:p>
        </w:tc>
        <w:tc>
          <w:tcPr>
            <w:tcW w:w="236" w:type="dxa"/>
            <w:vMerge/>
            <w:shd w:val="clear" w:color="auto" w:fill="F2F2F2"/>
          </w:tcPr>
          <w:p w:rsidR="00505A8B" w:rsidRPr="00C0031B" w:rsidRDefault="00505A8B" w:rsidP="0001223F">
            <w:pPr>
              <w:bidi w:val="0"/>
              <w:spacing w:after="0"/>
              <w:jc w:val="center"/>
              <w:rPr>
                <w:rFonts w:ascii="Times New Roman" w:eastAsia="Times New Roman" w:hAnsi="Times New Roman"/>
                <w:sz w:val="22"/>
                <w:szCs w:val="22"/>
                <w:lang w:eastAsia="ar-SA" w:bidi="ar-JO"/>
              </w:rPr>
            </w:pPr>
          </w:p>
        </w:tc>
        <w:tc>
          <w:tcPr>
            <w:tcW w:w="1088" w:type="dxa"/>
            <w:vMerge w:val="restart"/>
            <w:shd w:val="clear" w:color="auto" w:fill="F2F2F2"/>
            <w:tcMar>
              <w:left w:w="57" w:type="dxa"/>
              <w:right w:w="57" w:type="dxa"/>
            </w:tcMar>
            <w:vAlign w:val="center"/>
          </w:tcPr>
          <w:p w:rsidR="00505A8B" w:rsidRPr="00C0031B" w:rsidRDefault="00505A8B" w:rsidP="0001223F">
            <w:pPr>
              <w:spacing w:after="0"/>
              <w:jc w:val="center"/>
              <w:rPr>
                <w:rFonts w:ascii="Times New Roman" w:eastAsia="Times New Roman" w:hAnsi="Times New Roman"/>
                <w:sz w:val="22"/>
                <w:szCs w:val="22"/>
                <w:rtl/>
                <w:lang w:val="en-GB" w:eastAsia="ar-SA" w:bidi="ar-JO"/>
              </w:rPr>
            </w:pPr>
            <w:r w:rsidRPr="00C0031B">
              <w:rPr>
                <w:rFonts w:ascii="Times New Roman" w:eastAsia="Times New Roman" w:hAnsi="Times New Roman"/>
                <w:sz w:val="22"/>
                <w:szCs w:val="22"/>
                <w:lang w:eastAsia="ar-SA" w:bidi="ar-JO"/>
              </w:rPr>
              <w:t>S&amp;P’s</w:t>
            </w:r>
          </w:p>
        </w:tc>
        <w:tc>
          <w:tcPr>
            <w:tcW w:w="1134" w:type="dxa"/>
            <w:gridSpan w:val="2"/>
            <w:vMerge w:val="restart"/>
            <w:shd w:val="clear" w:color="auto" w:fill="F2F2F2"/>
            <w:tcMar>
              <w:left w:w="57" w:type="dxa"/>
              <w:right w:w="57" w:type="dxa"/>
            </w:tcMar>
            <w:vAlign w:val="center"/>
          </w:tcPr>
          <w:p w:rsidR="00505A8B" w:rsidRPr="00C0031B" w:rsidRDefault="00505A8B" w:rsidP="0001223F">
            <w:pPr>
              <w:spacing w:after="0"/>
              <w:jc w:val="center"/>
              <w:rPr>
                <w:rFonts w:ascii="Times New Roman" w:eastAsia="Times New Roman" w:hAnsi="Times New Roman"/>
                <w:sz w:val="22"/>
                <w:szCs w:val="22"/>
                <w:lang w:eastAsia="ar-SA" w:bidi="ar-JO"/>
              </w:rPr>
            </w:pPr>
            <w:r w:rsidRPr="00C0031B">
              <w:rPr>
                <w:rFonts w:ascii="Times New Roman" w:eastAsia="Times New Roman" w:hAnsi="Times New Roman"/>
                <w:sz w:val="22"/>
                <w:szCs w:val="22"/>
                <w:lang w:eastAsia="ar-SA" w:bidi="ar-JO"/>
              </w:rPr>
              <w:t>Moody’s</w:t>
            </w:r>
          </w:p>
        </w:tc>
        <w:tc>
          <w:tcPr>
            <w:tcW w:w="1418" w:type="dxa"/>
            <w:vMerge w:val="restart"/>
            <w:shd w:val="clear" w:color="auto" w:fill="F2F2F2"/>
            <w:tcMar>
              <w:left w:w="57" w:type="dxa"/>
              <w:right w:w="57" w:type="dxa"/>
            </w:tcMar>
            <w:vAlign w:val="center"/>
          </w:tcPr>
          <w:p w:rsidR="00505A8B" w:rsidRPr="00C0031B" w:rsidRDefault="00505A8B" w:rsidP="0001223F">
            <w:pPr>
              <w:spacing w:after="0"/>
              <w:jc w:val="center"/>
              <w:rPr>
                <w:rFonts w:ascii="Times New Roman" w:eastAsia="Times New Roman" w:hAnsi="Times New Roman"/>
                <w:sz w:val="22"/>
                <w:szCs w:val="22"/>
                <w:rtl/>
                <w:lang w:val="en-GB" w:eastAsia="ar-SA" w:bidi="ar-JO"/>
              </w:rPr>
            </w:pPr>
            <w:r w:rsidRPr="00C0031B">
              <w:rPr>
                <w:rFonts w:ascii="Times New Roman" w:eastAsia="Times New Roman" w:hAnsi="Times New Roman"/>
                <w:sz w:val="22"/>
                <w:szCs w:val="22"/>
                <w:lang w:eastAsia="ar-SA" w:bidi="ar-JO"/>
              </w:rPr>
              <w:t>Fitch’s</w:t>
            </w:r>
          </w:p>
        </w:tc>
        <w:tc>
          <w:tcPr>
            <w:tcW w:w="425" w:type="dxa"/>
            <w:vMerge/>
            <w:shd w:val="clear" w:color="auto" w:fill="F2F2F2"/>
          </w:tcPr>
          <w:p w:rsidR="00505A8B" w:rsidRPr="00C0031B" w:rsidRDefault="00505A8B" w:rsidP="0001223F">
            <w:pPr>
              <w:bidi w:val="0"/>
              <w:spacing w:after="0"/>
              <w:jc w:val="center"/>
              <w:rPr>
                <w:rFonts w:ascii="Times New Roman" w:eastAsia="Times New Roman" w:hAnsi="Times New Roman"/>
                <w:sz w:val="22"/>
                <w:szCs w:val="22"/>
                <w:lang w:eastAsia="ar-SA" w:bidi="ar-JO"/>
              </w:rPr>
            </w:pPr>
          </w:p>
        </w:tc>
        <w:tc>
          <w:tcPr>
            <w:tcW w:w="1276" w:type="dxa"/>
            <w:vMerge w:val="restart"/>
            <w:shd w:val="clear" w:color="auto" w:fill="F2F2F2"/>
            <w:tcMar>
              <w:left w:w="57" w:type="dxa"/>
              <w:right w:w="57" w:type="dxa"/>
            </w:tcMar>
            <w:vAlign w:val="center"/>
          </w:tcPr>
          <w:p w:rsidR="00505A8B" w:rsidRPr="00C0031B" w:rsidRDefault="00505A8B" w:rsidP="0001223F">
            <w:pPr>
              <w:bidi w:val="0"/>
              <w:spacing w:after="0"/>
              <w:jc w:val="center"/>
              <w:rPr>
                <w:rFonts w:ascii="Times New Roman" w:eastAsia="Times New Roman" w:hAnsi="Times New Roman"/>
                <w:sz w:val="22"/>
                <w:szCs w:val="22"/>
                <w:rtl/>
                <w:lang w:val="en-GB" w:eastAsia="ar-SA" w:bidi="ar-JO"/>
              </w:rPr>
            </w:pPr>
            <w:r w:rsidRPr="00C0031B">
              <w:rPr>
                <w:rFonts w:ascii="Times New Roman" w:eastAsia="Times New Roman" w:hAnsi="Times New Roman"/>
                <w:sz w:val="22"/>
                <w:szCs w:val="22"/>
                <w:lang w:eastAsia="ar-SA" w:bidi="ar-JO"/>
              </w:rPr>
              <w:t>Sovereign</w:t>
            </w:r>
          </w:p>
        </w:tc>
        <w:tc>
          <w:tcPr>
            <w:tcW w:w="1559" w:type="dxa"/>
            <w:vMerge w:val="restart"/>
            <w:shd w:val="clear" w:color="auto" w:fill="F2F2F2"/>
            <w:tcMar>
              <w:left w:w="57" w:type="dxa"/>
              <w:right w:w="57" w:type="dxa"/>
            </w:tcMar>
            <w:vAlign w:val="center"/>
          </w:tcPr>
          <w:p w:rsidR="00505A8B" w:rsidRPr="00C0031B" w:rsidRDefault="00505A8B" w:rsidP="0001223F">
            <w:pPr>
              <w:bidi w:val="0"/>
              <w:spacing w:after="0"/>
              <w:jc w:val="center"/>
              <w:rPr>
                <w:rFonts w:ascii="Times New Roman" w:eastAsia="Times New Roman" w:hAnsi="Times New Roman"/>
                <w:sz w:val="22"/>
                <w:szCs w:val="22"/>
                <w:rtl/>
                <w:lang w:val="en-GB" w:eastAsia="ar-SA" w:bidi="ar-JO"/>
              </w:rPr>
            </w:pPr>
            <w:r w:rsidRPr="00C0031B">
              <w:rPr>
                <w:rFonts w:ascii="Times New Roman" w:eastAsia="Times New Roman" w:hAnsi="Times New Roman"/>
                <w:sz w:val="22"/>
                <w:szCs w:val="22"/>
                <w:lang w:eastAsia="ar-SA" w:bidi="ar-JO"/>
              </w:rPr>
              <w:t>Corporate</w:t>
            </w:r>
          </w:p>
        </w:tc>
        <w:tc>
          <w:tcPr>
            <w:tcW w:w="3279" w:type="dxa"/>
            <w:gridSpan w:val="2"/>
            <w:shd w:val="clear" w:color="auto" w:fill="F2F2F2"/>
            <w:tcMar>
              <w:left w:w="57" w:type="dxa"/>
              <w:right w:w="57" w:type="dxa"/>
            </w:tcMar>
            <w:vAlign w:val="center"/>
          </w:tcPr>
          <w:p w:rsidR="00505A8B" w:rsidRPr="00C0031B" w:rsidRDefault="00505A8B" w:rsidP="0001223F">
            <w:pPr>
              <w:bidi w:val="0"/>
              <w:spacing w:after="0"/>
              <w:jc w:val="left"/>
              <w:rPr>
                <w:rFonts w:ascii="Times New Roman" w:eastAsia="Times New Roman" w:hAnsi="Times New Roman"/>
                <w:sz w:val="22"/>
                <w:szCs w:val="22"/>
                <w:lang w:eastAsia="ar-SA" w:bidi="ar-JO"/>
              </w:rPr>
            </w:pPr>
            <w:r w:rsidRPr="00C0031B">
              <w:rPr>
                <w:rFonts w:ascii="Times New Roman" w:eastAsia="Times New Roman" w:hAnsi="Times New Roman"/>
                <w:sz w:val="22"/>
                <w:szCs w:val="22"/>
                <w:lang w:eastAsia="ar-SA" w:bidi="ar-JO"/>
              </w:rPr>
              <w:t>Banks</w:t>
            </w:r>
          </w:p>
        </w:tc>
      </w:tr>
      <w:tr w:rsidR="00505A8B" w:rsidRPr="00C0031B" w:rsidTr="0001223F">
        <w:trPr>
          <w:gridAfter w:val="1"/>
          <w:wAfter w:w="6" w:type="dxa"/>
          <w:cantSplit/>
          <w:trHeight w:val="302"/>
          <w:jc w:val="center"/>
        </w:trPr>
        <w:tc>
          <w:tcPr>
            <w:tcW w:w="1555" w:type="dxa"/>
            <w:vMerge/>
            <w:tcMar>
              <w:left w:w="57" w:type="dxa"/>
              <w:right w:w="57" w:type="dxa"/>
            </w:tcMar>
            <w:vAlign w:val="center"/>
          </w:tcPr>
          <w:p w:rsidR="00505A8B" w:rsidRPr="00C0031B" w:rsidRDefault="00505A8B" w:rsidP="0001223F">
            <w:pPr>
              <w:bidi w:val="0"/>
              <w:spacing w:after="0"/>
              <w:jc w:val="left"/>
              <w:rPr>
                <w:rFonts w:ascii="Times New Roman" w:eastAsia="Times New Roman" w:hAnsi="Times New Roman"/>
                <w:sz w:val="22"/>
                <w:szCs w:val="22"/>
                <w:lang w:eastAsia="ar-SA" w:bidi="ar-JO"/>
              </w:rPr>
            </w:pPr>
          </w:p>
        </w:tc>
        <w:tc>
          <w:tcPr>
            <w:tcW w:w="1433" w:type="dxa"/>
            <w:vMerge/>
            <w:tcMar>
              <w:left w:w="57" w:type="dxa"/>
              <w:right w:w="57" w:type="dxa"/>
            </w:tcMar>
            <w:vAlign w:val="center"/>
          </w:tcPr>
          <w:p w:rsidR="00505A8B" w:rsidRPr="00C0031B" w:rsidRDefault="00505A8B" w:rsidP="0001223F">
            <w:pPr>
              <w:spacing w:after="0"/>
              <w:jc w:val="left"/>
              <w:rPr>
                <w:rFonts w:ascii="Times New Roman" w:eastAsia="Times New Roman" w:hAnsi="Times New Roman"/>
                <w:sz w:val="22"/>
                <w:szCs w:val="22"/>
                <w:lang w:eastAsia="ar-SA" w:bidi="ar-JO"/>
              </w:rPr>
            </w:pPr>
          </w:p>
        </w:tc>
        <w:tc>
          <w:tcPr>
            <w:tcW w:w="1495" w:type="dxa"/>
            <w:vMerge/>
            <w:tcMar>
              <w:left w:w="57" w:type="dxa"/>
              <w:right w:w="57" w:type="dxa"/>
            </w:tcMar>
            <w:vAlign w:val="center"/>
          </w:tcPr>
          <w:p w:rsidR="00505A8B" w:rsidRPr="00C0031B" w:rsidRDefault="00505A8B" w:rsidP="0001223F">
            <w:pPr>
              <w:spacing w:after="0"/>
              <w:jc w:val="left"/>
              <w:rPr>
                <w:rFonts w:ascii="Times New Roman" w:eastAsia="Times New Roman" w:hAnsi="Times New Roman"/>
                <w:sz w:val="22"/>
                <w:szCs w:val="22"/>
                <w:lang w:eastAsia="ar-SA" w:bidi="ar-JO"/>
              </w:rPr>
            </w:pPr>
          </w:p>
        </w:tc>
        <w:tc>
          <w:tcPr>
            <w:tcW w:w="236" w:type="dxa"/>
            <w:vMerge/>
          </w:tcPr>
          <w:p w:rsidR="00505A8B" w:rsidRPr="00C0031B" w:rsidRDefault="00505A8B" w:rsidP="0001223F">
            <w:pPr>
              <w:bidi w:val="0"/>
              <w:spacing w:after="0"/>
              <w:jc w:val="left"/>
              <w:rPr>
                <w:rFonts w:ascii="Times New Roman" w:eastAsia="Times New Roman" w:hAnsi="Times New Roman"/>
                <w:sz w:val="22"/>
                <w:szCs w:val="22"/>
                <w:lang w:eastAsia="ar-SA" w:bidi="ar-JO"/>
              </w:rPr>
            </w:pPr>
          </w:p>
        </w:tc>
        <w:tc>
          <w:tcPr>
            <w:tcW w:w="1088" w:type="dxa"/>
            <w:vMerge/>
            <w:tcMar>
              <w:left w:w="57" w:type="dxa"/>
              <w:right w:w="57" w:type="dxa"/>
            </w:tcMar>
            <w:vAlign w:val="center"/>
          </w:tcPr>
          <w:p w:rsidR="00505A8B" w:rsidRPr="00C0031B" w:rsidRDefault="00505A8B" w:rsidP="0001223F">
            <w:pPr>
              <w:spacing w:after="0"/>
              <w:jc w:val="left"/>
              <w:rPr>
                <w:rFonts w:ascii="Times New Roman" w:eastAsia="Times New Roman" w:hAnsi="Times New Roman"/>
                <w:sz w:val="22"/>
                <w:szCs w:val="22"/>
                <w:lang w:eastAsia="ar-SA" w:bidi="ar-JO"/>
              </w:rPr>
            </w:pPr>
          </w:p>
        </w:tc>
        <w:tc>
          <w:tcPr>
            <w:tcW w:w="1134" w:type="dxa"/>
            <w:gridSpan w:val="2"/>
            <w:vMerge/>
            <w:tcMar>
              <w:left w:w="57" w:type="dxa"/>
              <w:right w:w="57" w:type="dxa"/>
            </w:tcMar>
            <w:vAlign w:val="center"/>
          </w:tcPr>
          <w:p w:rsidR="00505A8B" w:rsidRPr="00C0031B" w:rsidRDefault="00505A8B" w:rsidP="0001223F">
            <w:pPr>
              <w:spacing w:after="0"/>
              <w:jc w:val="left"/>
              <w:rPr>
                <w:rFonts w:ascii="Times New Roman" w:eastAsia="Times New Roman" w:hAnsi="Times New Roman"/>
                <w:sz w:val="22"/>
                <w:szCs w:val="22"/>
                <w:lang w:eastAsia="ar-SA" w:bidi="ar-JO"/>
              </w:rPr>
            </w:pPr>
          </w:p>
        </w:tc>
        <w:tc>
          <w:tcPr>
            <w:tcW w:w="1418" w:type="dxa"/>
            <w:vMerge/>
            <w:tcMar>
              <w:left w:w="57" w:type="dxa"/>
              <w:right w:w="57" w:type="dxa"/>
            </w:tcMar>
            <w:vAlign w:val="center"/>
          </w:tcPr>
          <w:p w:rsidR="00505A8B" w:rsidRPr="00C0031B" w:rsidRDefault="00505A8B" w:rsidP="0001223F">
            <w:pPr>
              <w:spacing w:after="0"/>
              <w:jc w:val="left"/>
              <w:rPr>
                <w:rFonts w:ascii="Times New Roman" w:eastAsia="Times New Roman" w:hAnsi="Times New Roman"/>
                <w:sz w:val="22"/>
                <w:szCs w:val="22"/>
                <w:lang w:eastAsia="ar-SA" w:bidi="ar-JO"/>
              </w:rPr>
            </w:pPr>
          </w:p>
        </w:tc>
        <w:tc>
          <w:tcPr>
            <w:tcW w:w="425" w:type="dxa"/>
            <w:vMerge/>
          </w:tcPr>
          <w:p w:rsidR="00505A8B" w:rsidRPr="00C0031B" w:rsidRDefault="00505A8B" w:rsidP="0001223F">
            <w:pPr>
              <w:bidi w:val="0"/>
              <w:spacing w:after="0"/>
              <w:jc w:val="left"/>
              <w:rPr>
                <w:rFonts w:ascii="Times New Roman" w:eastAsia="Times New Roman" w:hAnsi="Times New Roman"/>
                <w:sz w:val="22"/>
                <w:szCs w:val="22"/>
                <w:lang w:eastAsia="ar-SA" w:bidi="ar-JO"/>
              </w:rPr>
            </w:pPr>
          </w:p>
        </w:tc>
        <w:tc>
          <w:tcPr>
            <w:tcW w:w="1276" w:type="dxa"/>
            <w:vMerge/>
            <w:tcMar>
              <w:left w:w="57" w:type="dxa"/>
              <w:right w:w="57" w:type="dxa"/>
            </w:tcMar>
            <w:vAlign w:val="center"/>
          </w:tcPr>
          <w:p w:rsidR="00505A8B" w:rsidRPr="00C0031B" w:rsidRDefault="00505A8B" w:rsidP="0001223F">
            <w:pPr>
              <w:bidi w:val="0"/>
              <w:spacing w:after="0"/>
              <w:jc w:val="left"/>
              <w:rPr>
                <w:rFonts w:ascii="Times New Roman" w:eastAsia="Times New Roman" w:hAnsi="Times New Roman"/>
                <w:sz w:val="22"/>
                <w:szCs w:val="22"/>
                <w:lang w:eastAsia="ar-SA" w:bidi="ar-JO"/>
              </w:rPr>
            </w:pPr>
          </w:p>
        </w:tc>
        <w:tc>
          <w:tcPr>
            <w:tcW w:w="1559" w:type="dxa"/>
            <w:vMerge/>
            <w:tcMar>
              <w:left w:w="57" w:type="dxa"/>
              <w:right w:w="57" w:type="dxa"/>
            </w:tcMar>
            <w:vAlign w:val="center"/>
          </w:tcPr>
          <w:p w:rsidR="00505A8B" w:rsidRPr="00C0031B" w:rsidRDefault="00505A8B" w:rsidP="0001223F">
            <w:pPr>
              <w:bidi w:val="0"/>
              <w:spacing w:after="0"/>
              <w:jc w:val="left"/>
              <w:rPr>
                <w:rFonts w:ascii="Times New Roman" w:eastAsia="Times New Roman" w:hAnsi="Times New Roman"/>
                <w:sz w:val="22"/>
                <w:szCs w:val="22"/>
                <w:lang w:eastAsia="ar-SA" w:bidi="ar-JO"/>
              </w:rPr>
            </w:pPr>
          </w:p>
        </w:tc>
        <w:tc>
          <w:tcPr>
            <w:tcW w:w="1916" w:type="dxa"/>
            <w:shd w:val="clear" w:color="auto" w:fill="C0C0C0"/>
            <w:tcMar>
              <w:left w:w="57" w:type="dxa"/>
              <w:right w:w="57" w:type="dxa"/>
            </w:tcMar>
            <w:vAlign w:val="center"/>
          </w:tcPr>
          <w:p w:rsidR="00505A8B" w:rsidRPr="00C0031B" w:rsidRDefault="00505A8B" w:rsidP="0001223F">
            <w:pPr>
              <w:bidi w:val="0"/>
              <w:spacing w:after="0"/>
              <w:jc w:val="left"/>
              <w:rPr>
                <w:rFonts w:ascii="Times New Roman" w:eastAsia="Times New Roman" w:hAnsi="Times New Roman"/>
                <w:sz w:val="22"/>
                <w:szCs w:val="22"/>
                <w:lang w:eastAsia="ar-SA" w:bidi="ar-JO"/>
              </w:rPr>
            </w:pPr>
            <w:r w:rsidRPr="00C0031B">
              <w:rPr>
                <w:rFonts w:ascii="Times New Roman" w:eastAsia="Times New Roman" w:hAnsi="Times New Roman"/>
                <w:sz w:val="22"/>
                <w:szCs w:val="22"/>
                <w:lang w:eastAsia="ar-SA" w:bidi="ar-JO"/>
              </w:rPr>
              <w:t>M ≤ 3 months</w:t>
            </w:r>
          </w:p>
        </w:tc>
        <w:tc>
          <w:tcPr>
            <w:tcW w:w="1363" w:type="dxa"/>
            <w:shd w:val="clear" w:color="auto" w:fill="C0C0C0"/>
            <w:tcMar>
              <w:left w:w="57" w:type="dxa"/>
              <w:right w:w="57" w:type="dxa"/>
            </w:tcMar>
            <w:vAlign w:val="center"/>
          </w:tcPr>
          <w:p w:rsidR="00505A8B" w:rsidRPr="00C0031B" w:rsidRDefault="00505A8B" w:rsidP="0001223F">
            <w:pPr>
              <w:bidi w:val="0"/>
              <w:spacing w:after="0"/>
              <w:jc w:val="left"/>
              <w:rPr>
                <w:rFonts w:ascii="Times New Roman" w:eastAsia="Times New Roman" w:hAnsi="Times New Roman"/>
                <w:sz w:val="22"/>
                <w:szCs w:val="22"/>
                <w:lang w:eastAsia="ar-SA" w:bidi="ar-JO"/>
              </w:rPr>
            </w:pPr>
            <w:r w:rsidRPr="00C0031B">
              <w:rPr>
                <w:rFonts w:ascii="Times New Roman" w:eastAsia="Times New Roman" w:hAnsi="Times New Roman"/>
                <w:sz w:val="22"/>
                <w:szCs w:val="22"/>
                <w:lang w:eastAsia="ar-SA" w:bidi="ar-JO"/>
              </w:rPr>
              <w:t>M &gt; 3 months</w:t>
            </w:r>
          </w:p>
        </w:tc>
      </w:tr>
      <w:tr w:rsidR="00505A8B" w:rsidRPr="00C0031B" w:rsidTr="0001223F">
        <w:trPr>
          <w:gridAfter w:val="1"/>
          <w:wAfter w:w="6" w:type="dxa"/>
          <w:cantSplit/>
          <w:trHeight w:val="544"/>
          <w:jc w:val="center"/>
        </w:trPr>
        <w:tc>
          <w:tcPr>
            <w:tcW w:w="1555" w:type="dxa"/>
            <w:tcMar>
              <w:left w:w="57" w:type="dxa"/>
              <w:right w:w="57" w:type="dxa"/>
            </w:tcMar>
            <w:vAlign w:val="center"/>
          </w:tcPr>
          <w:p w:rsidR="00505A8B" w:rsidRPr="00C0031B" w:rsidRDefault="00505A8B" w:rsidP="0001223F">
            <w:pPr>
              <w:spacing w:after="0"/>
              <w:jc w:val="center"/>
              <w:rPr>
                <w:rFonts w:ascii="Times New Roman" w:eastAsia="Times New Roman" w:hAnsi="Times New Roman"/>
                <w:b w:val="0"/>
                <w:bCs w:val="0"/>
                <w:sz w:val="22"/>
                <w:szCs w:val="22"/>
                <w:lang w:eastAsia="ar-SA" w:bidi="ar-JO"/>
              </w:rPr>
            </w:pPr>
            <w:r w:rsidRPr="00C0031B">
              <w:rPr>
                <w:rFonts w:ascii="Times New Roman" w:eastAsia="Times New Roman" w:hAnsi="Times New Roman"/>
                <w:b w:val="0"/>
                <w:bCs w:val="0"/>
                <w:sz w:val="22"/>
                <w:szCs w:val="22"/>
                <w:lang w:eastAsia="ar-SA" w:bidi="ar-JO"/>
              </w:rPr>
              <w:t>AAA to</w:t>
            </w:r>
          </w:p>
          <w:p w:rsidR="00505A8B" w:rsidRPr="00C0031B" w:rsidRDefault="00505A8B" w:rsidP="0001223F">
            <w:pPr>
              <w:spacing w:after="0"/>
              <w:jc w:val="center"/>
              <w:rPr>
                <w:rFonts w:ascii="Times New Roman" w:eastAsia="Times New Roman" w:hAnsi="Times New Roman"/>
                <w:b w:val="0"/>
                <w:bCs w:val="0"/>
                <w:sz w:val="22"/>
                <w:szCs w:val="22"/>
                <w:rtl/>
                <w:lang w:val="en-GB" w:eastAsia="ar-SA" w:bidi="ar-JO"/>
              </w:rPr>
            </w:pPr>
            <w:r w:rsidRPr="00C0031B">
              <w:rPr>
                <w:rFonts w:ascii="Times New Roman" w:eastAsia="Times New Roman" w:hAnsi="Times New Roman"/>
                <w:b w:val="0"/>
                <w:bCs w:val="0"/>
                <w:sz w:val="22"/>
                <w:szCs w:val="22"/>
                <w:lang w:eastAsia="ar-SA" w:bidi="ar-JO"/>
              </w:rPr>
              <w:t>AA-</w:t>
            </w:r>
          </w:p>
        </w:tc>
        <w:tc>
          <w:tcPr>
            <w:tcW w:w="1433" w:type="dxa"/>
            <w:tcMar>
              <w:left w:w="57" w:type="dxa"/>
              <w:right w:w="57" w:type="dxa"/>
            </w:tcMar>
            <w:vAlign w:val="center"/>
          </w:tcPr>
          <w:p w:rsidR="00505A8B" w:rsidRPr="00C0031B" w:rsidRDefault="00505A8B" w:rsidP="0001223F">
            <w:pPr>
              <w:spacing w:after="0"/>
              <w:jc w:val="center"/>
              <w:rPr>
                <w:rFonts w:ascii="Times New Roman" w:eastAsia="Times New Roman" w:hAnsi="Times New Roman"/>
                <w:b w:val="0"/>
                <w:bCs w:val="0"/>
                <w:sz w:val="22"/>
                <w:szCs w:val="22"/>
                <w:lang w:eastAsia="ar-SA" w:bidi="ar-JO"/>
              </w:rPr>
            </w:pPr>
            <w:proofErr w:type="spellStart"/>
            <w:r w:rsidRPr="00C0031B">
              <w:rPr>
                <w:rFonts w:ascii="Times New Roman" w:eastAsia="Times New Roman" w:hAnsi="Times New Roman"/>
                <w:b w:val="0"/>
                <w:bCs w:val="0"/>
                <w:sz w:val="22"/>
                <w:szCs w:val="22"/>
                <w:lang w:eastAsia="ar-SA" w:bidi="ar-JO"/>
              </w:rPr>
              <w:t>Aaa</w:t>
            </w:r>
            <w:proofErr w:type="spellEnd"/>
            <w:r w:rsidRPr="00C0031B">
              <w:rPr>
                <w:rFonts w:ascii="Times New Roman" w:eastAsia="Times New Roman" w:hAnsi="Times New Roman"/>
                <w:b w:val="0"/>
                <w:bCs w:val="0"/>
                <w:sz w:val="22"/>
                <w:szCs w:val="22"/>
                <w:lang w:eastAsia="ar-SA" w:bidi="ar-JO"/>
              </w:rPr>
              <w:t xml:space="preserve"> to</w:t>
            </w:r>
          </w:p>
          <w:p w:rsidR="00505A8B" w:rsidRPr="00C0031B" w:rsidRDefault="00505A8B" w:rsidP="0001223F">
            <w:pPr>
              <w:spacing w:after="0"/>
              <w:jc w:val="center"/>
              <w:rPr>
                <w:rFonts w:ascii="Times New Roman" w:eastAsia="Times New Roman" w:hAnsi="Times New Roman"/>
                <w:b w:val="0"/>
                <w:bCs w:val="0"/>
                <w:sz w:val="22"/>
                <w:szCs w:val="22"/>
                <w:rtl/>
                <w:lang w:val="en-GB" w:eastAsia="ar-SA" w:bidi="ar-JO"/>
              </w:rPr>
            </w:pPr>
            <w:r w:rsidRPr="00C0031B">
              <w:rPr>
                <w:rFonts w:ascii="Times New Roman" w:eastAsia="Times New Roman" w:hAnsi="Times New Roman"/>
                <w:b w:val="0"/>
                <w:bCs w:val="0"/>
                <w:sz w:val="22"/>
                <w:szCs w:val="22"/>
                <w:lang w:eastAsia="ar-SA" w:bidi="ar-JO"/>
              </w:rPr>
              <w:t>Aa3</w:t>
            </w:r>
          </w:p>
        </w:tc>
        <w:tc>
          <w:tcPr>
            <w:tcW w:w="1495" w:type="dxa"/>
            <w:tcMar>
              <w:left w:w="57" w:type="dxa"/>
              <w:right w:w="57" w:type="dxa"/>
            </w:tcMar>
            <w:vAlign w:val="center"/>
          </w:tcPr>
          <w:p w:rsidR="00505A8B" w:rsidRPr="00C0031B" w:rsidRDefault="00505A8B" w:rsidP="0001223F">
            <w:pPr>
              <w:spacing w:after="0"/>
              <w:jc w:val="center"/>
              <w:rPr>
                <w:rFonts w:ascii="Times New Roman" w:eastAsia="Times New Roman" w:hAnsi="Times New Roman"/>
                <w:b w:val="0"/>
                <w:bCs w:val="0"/>
                <w:sz w:val="22"/>
                <w:szCs w:val="22"/>
                <w:lang w:eastAsia="ar-SA" w:bidi="ar-JO"/>
              </w:rPr>
            </w:pPr>
            <w:r w:rsidRPr="00C0031B">
              <w:rPr>
                <w:rFonts w:ascii="Times New Roman" w:eastAsia="Times New Roman" w:hAnsi="Times New Roman"/>
                <w:b w:val="0"/>
                <w:bCs w:val="0"/>
                <w:sz w:val="22"/>
                <w:szCs w:val="22"/>
                <w:lang w:eastAsia="ar-SA" w:bidi="ar-JO"/>
              </w:rPr>
              <w:t>AAA to</w:t>
            </w:r>
          </w:p>
          <w:p w:rsidR="00505A8B" w:rsidRPr="00C0031B" w:rsidRDefault="00505A8B" w:rsidP="0001223F">
            <w:pPr>
              <w:spacing w:after="0"/>
              <w:jc w:val="center"/>
              <w:rPr>
                <w:rFonts w:ascii="Times New Roman" w:eastAsia="Times New Roman" w:hAnsi="Times New Roman"/>
                <w:b w:val="0"/>
                <w:bCs w:val="0"/>
                <w:sz w:val="22"/>
                <w:szCs w:val="22"/>
                <w:rtl/>
                <w:lang w:val="en-GB" w:eastAsia="ar-SA" w:bidi="ar-JO"/>
              </w:rPr>
            </w:pPr>
            <w:r w:rsidRPr="00C0031B">
              <w:rPr>
                <w:rFonts w:ascii="Times New Roman" w:eastAsia="Times New Roman" w:hAnsi="Times New Roman"/>
                <w:b w:val="0"/>
                <w:bCs w:val="0"/>
                <w:sz w:val="22"/>
                <w:szCs w:val="22"/>
                <w:lang w:eastAsia="ar-SA" w:bidi="ar-JO"/>
              </w:rPr>
              <w:t>AA-</w:t>
            </w:r>
          </w:p>
        </w:tc>
        <w:tc>
          <w:tcPr>
            <w:tcW w:w="236" w:type="dxa"/>
            <w:vMerge/>
          </w:tcPr>
          <w:p w:rsidR="00505A8B" w:rsidRPr="00C0031B" w:rsidRDefault="00505A8B" w:rsidP="0001223F">
            <w:pPr>
              <w:bidi w:val="0"/>
              <w:spacing w:after="0"/>
              <w:jc w:val="right"/>
              <w:rPr>
                <w:rFonts w:ascii="Times New Roman" w:eastAsia="Times New Roman" w:hAnsi="Times New Roman"/>
                <w:b w:val="0"/>
                <w:bCs w:val="0"/>
                <w:sz w:val="22"/>
                <w:szCs w:val="22"/>
                <w:lang w:eastAsia="ar-SA" w:bidi="ar-JO"/>
              </w:rPr>
            </w:pPr>
          </w:p>
        </w:tc>
        <w:tc>
          <w:tcPr>
            <w:tcW w:w="1088" w:type="dxa"/>
            <w:tcMar>
              <w:left w:w="57" w:type="dxa"/>
              <w:right w:w="57" w:type="dxa"/>
            </w:tcMar>
            <w:vAlign w:val="center"/>
          </w:tcPr>
          <w:p w:rsidR="00505A8B" w:rsidRPr="00C0031B" w:rsidRDefault="00505A8B" w:rsidP="0001223F">
            <w:pPr>
              <w:spacing w:after="0"/>
              <w:jc w:val="center"/>
              <w:rPr>
                <w:rFonts w:ascii="Times New Roman" w:eastAsia="Times New Roman" w:hAnsi="Times New Roman"/>
                <w:b w:val="0"/>
                <w:bCs w:val="0"/>
                <w:sz w:val="22"/>
                <w:szCs w:val="22"/>
                <w:lang w:eastAsia="ar-SA" w:bidi="ar-JO"/>
              </w:rPr>
            </w:pPr>
            <w:r w:rsidRPr="00C0031B">
              <w:rPr>
                <w:rFonts w:ascii="Times New Roman" w:eastAsia="Times New Roman" w:hAnsi="Times New Roman"/>
                <w:b w:val="0"/>
                <w:bCs w:val="0"/>
                <w:sz w:val="22"/>
                <w:szCs w:val="22"/>
                <w:lang w:eastAsia="ar-SA" w:bidi="ar-JO"/>
              </w:rPr>
              <w:t>A-1+</w:t>
            </w:r>
          </w:p>
          <w:p w:rsidR="00505A8B" w:rsidRPr="00C0031B" w:rsidRDefault="00505A8B" w:rsidP="0001223F">
            <w:pPr>
              <w:spacing w:after="0"/>
              <w:jc w:val="center"/>
              <w:rPr>
                <w:rFonts w:ascii="Times New Roman" w:eastAsia="Times New Roman" w:hAnsi="Times New Roman"/>
                <w:b w:val="0"/>
                <w:bCs w:val="0"/>
                <w:sz w:val="22"/>
                <w:szCs w:val="22"/>
                <w:rtl/>
                <w:lang w:val="en-GB" w:eastAsia="ar-SA" w:bidi="ar-JO"/>
              </w:rPr>
            </w:pPr>
            <w:r w:rsidRPr="00C0031B">
              <w:rPr>
                <w:rFonts w:ascii="Times New Roman" w:eastAsia="Times New Roman" w:hAnsi="Times New Roman"/>
                <w:b w:val="0"/>
                <w:bCs w:val="0"/>
                <w:sz w:val="22"/>
                <w:szCs w:val="22"/>
                <w:lang w:eastAsia="ar-SA" w:bidi="ar-JO"/>
              </w:rPr>
              <w:t>A-1</w:t>
            </w:r>
          </w:p>
        </w:tc>
        <w:tc>
          <w:tcPr>
            <w:tcW w:w="1134" w:type="dxa"/>
            <w:gridSpan w:val="2"/>
            <w:tcMar>
              <w:left w:w="57" w:type="dxa"/>
              <w:right w:w="57" w:type="dxa"/>
            </w:tcMar>
            <w:vAlign w:val="center"/>
          </w:tcPr>
          <w:p w:rsidR="00505A8B" w:rsidRPr="00C0031B" w:rsidRDefault="00505A8B" w:rsidP="0001223F">
            <w:pPr>
              <w:spacing w:after="0"/>
              <w:jc w:val="center"/>
              <w:rPr>
                <w:rFonts w:ascii="Times New Roman" w:eastAsia="Times New Roman" w:hAnsi="Times New Roman"/>
                <w:b w:val="0"/>
                <w:bCs w:val="0"/>
                <w:sz w:val="22"/>
                <w:szCs w:val="22"/>
                <w:rtl/>
                <w:lang w:val="en-GB" w:eastAsia="ar-SA" w:bidi="ar-JO"/>
              </w:rPr>
            </w:pPr>
            <w:r w:rsidRPr="00C0031B">
              <w:rPr>
                <w:rFonts w:ascii="Times New Roman" w:eastAsia="Times New Roman" w:hAnsi="Times New Roman"/>
                <w:b w:val="0"/>
                <w:bCs w:val="0"/>
                <w:sz w:val="22"/>
                <w:szCs w:val="22"/>
                <w:lang w:eastAsia="ar-SA" w:bidi="ar-JO"/>
              </w:rPr>
              <w:t>P-1</w:t>
            </w:r>
          </w:p>
        </w:tc>
        <w:tc>
          <w:tcPr>
            <w:tcW w:w="1418" w:type="dxa"/>
            <w:tcMar>
              <w:left w:w="57" w:type="dxa"/>
              <w:right w:w="57" w:type="dxa"/>
            </w:tcMar>
            <w:vAlign w:val="center"/>
          </w:tcPr>
          <w:p w:rsidR="00505A8B" w:rsidRPr="00C0031B" w:rsidRDefault="00505A8B" w:rsidP="0001223F">
            <w:pPr>
              <w:spacing w:after="0"/>
              <w:jc w:val="center"/>
              <w:rPr>
                <w:rFonts w:ascii="Times New Roman" w:eastAsia="Times New Roman" w:hAnsi="Times New Roman"/>
                <w:b w:val="0"/>
                <w:bCs w:val="0"/>
                <w:sz w:val="22"/>
                <w:szCs w:val="22"/>
                <w:lang w:eastAsia="ar-SA" w:bidi="ar-JO"/>
              </w:rPr>
            </w:pPr>
            <w:r w:rsidRPr="00C0031B">
              <w:rPr>
                <w:rFonts w:ascii="Times New Roman" w:eastAsia="Times New Roman" w:hAnsi="Times New Roman"/>
                <w:b w:val="0"/>
                <w:bCs w:val="0"/>
                <w:sz w:val="22"/>
                <w:szCs w:val="22"/>
                <w:lang w:eastAsia="ar-SA" w:bidi="ar-JO"/>
              </w:rPr>
              <w:t>F1+</w:t>
            </w:r>
          </w:p>
          <w:p w:rsidR="00505A8B" w:rsidRPr="00C0031B" w:rsidRDefault="00505A8B" w:rsidP="0001223F">
            <w:pPr>
              <w:spacing w:after="0"/>
              <w:jc w:val="center"/>
              <w:rPr>
                <w:rFonts w:ascii="Times New Roman" w:eastAsia="Times New Roman" w:hAnsi="Times New Roman"/>
                <w:b w:val="0"/>
                <w:bCs w:val="0"/>
                <w:sz w:val="22"/>
                <w:szCs w:val="22"/>
                <w:rtl/>
                <w:lang w:val="en-GB" w:eastAsia="ar-SA" w:bidi="ar-JO"/>
              </w:rPr>
            </w:pPr>
            <w:r w:rsidRPr="00C0031B">
              <w:rPr>
                <w:rFonts w:ascii="Times New Roman" w:eastAsia="Times New Roman" w:hAnsi="Times New Roman"/>
                <w:b w:val="0"/>
                <w:bCs w:val="0"/>
                <w:sz w:val="22"/>
                <w:szCs w:val="22"/>
                <w:lang w:eastAsia="ar-SA" w:bidi="ar-JO"/>
              </w:rPr>
              <w:t>F1</w:t>
            </w:r>
          </w:p>
        </w:tc>
        <w:tc>
          <w:tcPr>
            <w:tcW w:w="425" w:type="dxa"/>
            <w:vMerge/>
          </w:tcPr>
          <w:p w:rsidR="00505A8B" w:rsidRPr="00C0031B" w:rsidRDefault="00505A8B" w:rsidP="0001223F">
            <w:pPr>
              <w:bidi w:val="0"/>
              <w:spacing w:after="0"/>
              <w:rPr>
                <w:rFonts w:ascii="Times New Roman" w:eastAsia="Times New Roman" w:hAnsi="Times New Roman"/>
                <w:b w:val="0"/>
                <w:bCs w:val="0"/>
                <w:sz w:val="22"/>
                <w:szCs w:val="22"/>
                <w:lang w:eastAsia="ar-SA" w:bidi="ar-JO"/>
              </w:rPr>
            </w:pPr>
          </w:p>
        </w:tc>
        <w:tc>
          <w:tcPr>
            <w:tcW w:w="1276" w:type="dxa"/>
            <w:tcMar>
              <w:left w:w="57" w:type="dxa"/>
              <w:right w:w="57" w:type="dxa"/>
            </w:tcMar>
            <w:vAlign w:val="center"/>
          </w:tcPr>
          <w:p w:rsidR="00505A8B" w:rsidRPr="00C0031B" w:rsidRDefault="00233532" w:rsidP="0001223F">
            <w:pPr>
              <w:bidi w:val="0"/>
              <w:spacing w:after="0"/>
              <w:jc w:val="center"/>
              <w:rPr>
                <w:rFonts w:ascii="Times New Roman" w:eastAsia="Times New Roman" w:hAnsi="Times New Roman"/>
                <w:b w:val="0"/>
                <w:bCs w:val="0"/>
                <w:sz w:val="22"/>
                <w:szCs w:val="22"/>
                <w:rtl/>
                <w:lang w:val="en-GB" w:eastAsia="ar-SA" w:bidi="ar-JO"/>
              </w:rPr>
            </w:pPr>
            <w:r w:rsidRPr="00C0031B">
              <w:rPr>
                <w:rFonts w:ascii="Times New Roman" w:eastAsia="Times New Roman" w:hAnsi="Times New Roman"/>
                <w:b w:val="0"/>
                <w:bCs w:val="0"/>
                <w:sz w:val="22"/>
                <w:szCs w:val="22"/>
                <w:lang w:eastAsia="ar-SA" w:bidi="ar-JO"/>
              </w:rPr>
              <w:t>0%</w:t>
            </w:r>
          </w:p>
        </w:tc>
        <w:tc>
          <w:tcPr>
            <w:tcW w:w="1559" w:type="dxa"/>
            <w:tcMar>
              <w:left w:w="57" w:type="dxa"/>
              <w:right w:w="57" w:type="dxa"/>
            </w:tcMar>
            <w:vAlign w:val="center"/>
          </w:tcPr>
          <w:p w:rsidR="00505A8B" w:rsidRPr="00C0031B" w:rsidRDefault="00505A8B" w:rsidP="0001223F">
            <w:pPr>
              <w:bidi w:val="0"/>
              <w:spacing w:after="0"/>
              <w:jc w:val="center"/>
              <w:rPr>
                <w:rFonts w:ascii="Times New Roman" w:eastAsia="Times New Roman" w:hAnsi="Times New Roman"/>
                <w:b w:val="0"/>
                <w:bCs w:val="0"/>
                <w:sz w:val="22"/>
                <w:szCs w:val="22"/>
                <w:rtl/>
                <w:lang w:val="en-GB" w:eastAsia="ar-SA" w:bidi="ar-JO"/>
              </w:rPr>
            </w:pPr>
            <w:r w:rsidRPr="00C0031B">
              <w:rPr>
                <w:rFonts w:ascii="Times New Roman" w:eastAsia="Times New Roman" w:hAnsi="Times New Roman"/>
                <w:b w:val="0"/>
                <w:bCs w:val="0"/>
                <w:sz w:val="22"/>
                <w:szCs w:val="22"/>
                <w:lang w:eastAsia="ar-SA" w:bidi="ar-JO"/>
              </w:rPr>
              <w:t>20%</w:t>
            </w:r>
          </w:p>
        </w:tc>
        <w:tc>
          <w:tcPr>
            <w:tcW w:w="1916" w:type="dxa"/>
            <w:tcMar>
              <w:left w:w="57" w:type="dxa"/>
              <w:right w:w="57" w:type="dxa"/>
            </w:tcMar>
            <w:vAlign w:val="center"/>
          </w:tcPr>
          <w:p w:rsidR="00505A8B" w:rsidRPr="00C0031B" w:rsidRDefault="00505A8B" w:rsidP="0001223F">
            <w:pPr>
              <w:bidi w:val="0"/>
              <w:spacing w:after="0"/>
              <w:jc w:val="center"/>
              <w:rPr>
                <w:rFonts w:ascii="Times New Roman" w:eastAsia="Times New Roman" w:hAnsi="Times New Roman"/>
                <w:b w:val="0"/>
                <w:bCs w:val="0"/>
                <w:sz w:val="22"/>
                <w:szCs w:val="22"/>
                <w:rtl/>
                <w:lang w:val="en-GB" w:eastAsia="ar-SA" w:bidi="ar-JO"/>
              </w:rPr>
            </w:pPr>
            <w:r w:rsidRPr="00C0031B">
              <w:rPr>
                <w:rFonts w:ascii="Times New Roman" w:eastAsia="Times New Roman" w:hAnsi="Times New Roman"/>
                <w:b w:val="0"/>
                <w:bCs w:val="0"/>
                <w:sz w:val="22"/>
                <w:szCs w:val="22"/>
                <w:lang w:eastAsia="ar-SA" w:bidi="ar-JO"/>
              </w:rPr>
              <w:t>20%</w:t>
            </w:r>
          </w:p>
        </w:tc>
        <w:tc>
          <w:tcPr>
            <w:tcW w:w="1363" w:type="dxa"/>
            <w:tcMar>
              <w:left w:w="57" w:type="dxa"/>
              <w:right w:w="57" w:type="dxa"/>
            </w:tcMar>
            <w:vAlign w:val="center"/>
          </w:tcPr>
          <w:p w:rsidR="00505A8B" w:rsidRPr="00C0031B" w:rsidRDefault="00505A8B" w:rsidP="0001223F">
            <w:pPr>
              <w:spacing w:after="0"/>
              <w:jc w:val="center"/>
              <w:rPr>
                <w:rFonts w:ascii="Times New Roman" w:eastAsia="Times New Roman" w:hAnsi="Times New Roman"/>
                <w:b w:val="0"/>
                <w:bCs w:val="0"/>
                <w:sz w:val="22"/>
                <w:szCs w:val="22"/>
                <w:rtl/>
                <w:lang w:val="en-GB" w:eastAsia="ar-SA" w:bidi="ar-JO"/>
              </w:rPr>
            </w:pPr>
            <w:r w:rsidRPr="00C0031B">
              <w:rPr>
                <w:rFonts w:ascii="Times New Roman" w:eastAsia="Times New Roman" w:hAnsi="Times New Roman"/>
                <w:b w:val="0"/>
                <w:bCs w:val="0"/>
                <w:sz w:val="22"/>
                <w:szCs w:val="22"/>
                <w:lang w:eastAsia="ar-SA" w:bidi="ar-JO"/>
              </w:rPr>
              <w:t>20%</w:t>
            </w:r>
          </w:p>
        </w:tc>
      </w:tr>
      <w:tr w:rsidR="00505A8B" w:rsidRPr="00C0031B" w:rsidTr="0001223F">
        <w:trPr>
          <w:gridAfter w:val="1"/>
          <w:wAfter w:w="6" w:type="dxa"/>
          <w:cantSplit/>
          <w:trHeight w:val="559"/>
          <w:jc w:val="center"/>
        </w:trPr>
        <w:tc>
          <w:tcPr>
            <w:tcW w:w="1555" w:type="dxa"/>
            <w:tcMar>
              <w:left w:w="57" w:type="dxa"/>
              <w:right w:w="57" w:type="dxa"/>
            </w:tcMar>
            <w:vAlign w:val="center"/>
          </w:tcPr>
          <w:p w:rsidR="00505A8B" w:rsidRPr="00C0031B" w:rsidRDefault="00505A8B" w:rsidP="0001223F">
            <w:pPr>
              <w:spacing w:after="0"/>
              <w:jc w:val="center"/>
              <w:rPr>
                <w:rFonts w:ascii="Times New Roman" w:eastAsia="Times New Roman" w:hAnsi="Times New Roman"/>
                <w:b w:val="0"/>
                <w:bCs w:val="0"/>
                <w:sz w:val="22"/>
                <w:szCs w:val="22"/>
                <w:lang w:eastAsia="ar-SA" w:bidi="ar-JO"/>
              </w:rPr>
            </w:pPr>
            <w:r w:rsidRPr="00C0031B">
              <w:rPr>
                <w:rFonts w:ascii="Times New Roman" w:eastAsia="Times New Roman" w:hAnsi="Times New Roman"/>
                <w:b w:val="0"/>
                <w:bCs w:val="0"/>
                <w:sz w:val="22"/>
                <w:szCs w:val="22"/>
                <w:lang w:eastAsia="ar-SA" w:bidi="ar-JO"/>
              </w:rPr>
              <w:t>A+ to</w:t>
            </w:r>
          </w:p>
          <w:p w:rsidR="00505A8B" w:rsidRPr="00C0031B" w:rsidRDefault="00505A8B" w:rsidP="0001223F">
            <w:pPr>
              <w:spacing w:after="0"/>
              <w:jc w:val="center"/>
              <w:rPr>
                <w:rFonts w:ascii="Times New Roman" w:eastAsia="Times New Roman" w:hAnsi="Times New Roman"/>
                <w:b w:val="0"/>
                <w:bCs w:val="0"/>
                <w:sz w:val="22"/>
                <w:szCs w:val="22"/>
                <w:rtl/>
                <w:lang w:val="en-GB" w:eastAsia="ar-SA" w:bidi="ar-JO"/>
              </w:rPr>
            </w:pPr>
            <w:r w:rsidRPr="00C0031B">
              <w:rPr>
                <w:rFonts w:ascii="Times New Roman" w:eastAsia="Times New Roman" w:hAnsi="Times New Roman"/>
                <w:b w:val="0"/>
                <w:bCs w:val="0"/>
                <w:sz w:val="22"/>
                <w:szCs w:val="22"/>
                <w:lang w:eastAsia="ar-SA" w:bidi="ar-JO"/>
              </w:rPr>
              <w:t>A-</w:t>
            </w:r>
          </w:p>
        </w:tc>
        <w:tc>
          <w:tcPr>
            <w:tcW w:w="1433" w:type="dxa"/>
            <w:tcMar>
              <w:left w:w="57" w:type="dxa"/>
              <w:right w:w="57" w:type="dxa"/>
            </w:tcMar>
            <w:vAlign w:val="center"/>
          </w:tcPr>
          <w:p w:rsidR="00505A8B" w:rsidRPr="00C0031B" w:rsidRDefault="00505A8B" w:rsidP="0001223F">
            <w:pPr>
              <w:spacing w:after="0"/>
              <w:jc w:val="center"/>
              <w:rPr>
                <w:rFonts w:ascii="Times New Roman" w:eastAsia="Times New Roman" w:hAnsi="Times New Roman"/>
                <w:b w:val="0"/>
                <w:bCs w:val="0"/>
                <w:sz w:val="22"/>
                <w:szCs w:val="22"/>
                <w:lang w:eastAsia="ar-SA" w:bidi="ar-JO"/>
              </w:rPr>
            </w:pPr>
            <w:r w:rsidRPr="00C0031B">
              <w:rPr>
                <w:rFonts w:ascii="Times New Roman" w:eastAsia="Times New Roman" w:hAnsi="Times New Roman"/>
                <w:b w:val="0"/>
                <w:bCs w:val="0"/>
                <w:sz w:val="22"/>
                <w:szCs w:val="22"/>
                <w:lang w:eastAsia="ar-SA" w:bidi="ar-JO"/>
              </w:rPr>
              <w:t>A1 to</w:t>
            </w:r>
          </w:p>
          <w:p w:rsidR="00505A8B" w:rsidRPr="00C0031B" w:rsidRDefault="00505A8B" w:rsidP="0001223F">
            <w:pPr>
              <w:spacing w:after="0"/>
              <w:jc w:val="center"/>
              <w:rPr>
                <w:rFonts w:ascii="Times New Roman" w:eastAsia="Times New Roman" w:hAnsi="Times New Roman"/>
                <w:b w:val="0"/>
                <w:bCs w:val="0"/>
                <w:sz w:val="22"/>
                <w:szCs w:val="22"/>
                <w:rtl/>
                <w:lang w:val="en-GB" w:eastAsia="ar-SA" w:bidi="ar-JO"/>
              </w:rPr>
            </w:pPr>
            <w:r w:rsidRPr="00C0031B">
              <w:rPr>
                <w:rFonts w:ascii="Times New Roman" w:eastAsia="Times New Roman" w:hAnsi="Times New Roman"/>
                <w:b w:val="0"/>
                <w:bCs w:val="0"/>
                <w:sz w:val="22"/>
                <w:szCs w:val="22"/>
                <w:lang w:eastAsia="ar-SA" w:bidi="ar-JO"/>
              </w:rPr>
              <w:t>A3</w:t>
            </w:r>
          </w:p>
        </w:tc>
        <w:tc>
          <w:tcPr>
            <w:tcW w:w="1495" w:type="dxa"/>
            <w:tcMar>
              <w:left w:w="57" w:type="dxa"/>
              <w:right w:w="57" w:type="dxa"/>
            </w:tcMar>
            <w:vAlign w:val="center"/>
          </w:tcPr>
          <w:p w:rsidR="00505A8B" w:rsidRPr="00C0031B" w:rsidRDefault="00505A8B" w:rsidP="0001223F">
            <w:pPr>
              <w:spacing w:after="0"/>
              <w:jc w:val="center"/>
              <w:rPr>
                <w:rFonts w:ascii="Times New Roman" w:eastAsia="Times New Roman" w:hAnsi="Times New Roman"/>
                <w:b w:val="0"/>
                <w:bCs w:val="0"/>
                <w:sz w:val="22"/>
                <w:szCs w:val="22"/>
                <w:lang w:eastAsia="ar-SA" w:bidi="ar-JO"/>
              </w:rPr>
            </w:pPr>
            <w:r w:rsidRPr="00C0031B">
              <w:rPr>
                <w:rFonts w:ascii="Times New Roman" w:eastAsia="Times New Roman" w:hAnsi="Times New Roman"/>
                <w:b w:val="0"/>
                <w:bCs w:val="0"/>
                <w:sz w:val="22"/>
                <w:szCs w:val="22"/>
                <w:lang w:eastAsia="ar-SA" w:bidi="ar-JO"/>
              </w:rPr>
              <w:t>A+ to</w:t>
            </w:r>
          </w:p>
          <w:p w:rsidR="00505A8B" w:rsidRPr="00C0031B" w:rsidRDefault="00505A8B" w:rsidP="0001223F">
            <w:pPr>
              <w:spacing w:after="0"/>
              <w:jc w:val="center"/>
              <w:rPr>
                <w:rFonts w:ascii="Times New Roman" w:eastAsia="Times New Roman" w:hAnsi="Times New Roman"/>
                <w:b w:val="0"/>
                <w:bCs w:val="0"/>
                <w:sz w:val="22"/>
                <w:szCs w:val="22"/>
                <w:rtl/>
                <w:lang w:val="en-GB" w:eastAsia="ar-SA" w:bidi="ar-JO"/>
              </w:rPr>
            </w:pPr>
            <w:r w:rsidRPr="00C0031B">
              <w:rPr>
                <w:rFonts w:ascii="Times New Roman" w:eastAsia="Times New Roman" w:hAnsi="Times New Roman"/>
                <w:b w:val="0"/>
                <w:bCs w:val="0"/>
                <w:sz w:val="22"/>
                <w:szCs w:val="22"/>
                <w:lang w:eastAsia="ar-SA" w:bidi="ar-JO"/>
              </w:rPr>
              <w:t>A-</w:t>
            </w:r>
          </w:p>
        </w:tc>
        <w:tc>
          <w:tcPr>
            <w:tcW w:w="236" w:type="dxa"/>
            <w:vMerge/>
          </w:tcPr>
          <w:p w:rsidR="00505A8B" w:rsidRPr="00C0031B" w:rsidRDefault="00505A8B" w:rsidP="0001223F">
            <w:pPr>
              <w:bidi w:val="0"/>
              <w:spacing w:after="0"/>
              <w:jc w:val="right"/>
              <w:rPr>
                <w:rFonts w:ascii="Times New Roman" w:eastAsia="Times New Roman" w:hAnsi="Times New Roman"/>
                <w:b w:val="0"/>
                <w:bCs w:val="0"/>
                <w:sz w:val="22"/>
                <w:szCs w:val="22"/>
                <w:lang w:eastAsia="ar-SA" w:bidi="ar-JO"/>
              </w:rPr>
            </w:pPr>
          </w:p>
        </w:tc>
        <w:tc>
          <w:tcPr>
            <w:tcW w:w="1088" w:type="dxa"/>
            <w:tcMar>
              <w:left w:w="57" w:type="dxa"/>
              <w:right w:w="57" w:type="dxa"/>
            </w:tcMar>
            <w:vAlign w:val="center"/>
          </w:tcPr>
          <w:p w:rsidR="00505A8B" w:rsidRPr="00C0031B" w:rsidRDefault="00505A8B" w:rsidP="0001223F">
            <w:pPr>
              <w:spacing w:after="0"/>
              <w:jc w:val="center"/>
              <w:rPr>
                <w:rFonts w:ascii="Times New Roman" w:eastAsia="Times New Roman" w:hAnsi="Times New Roman"/>
                <w:b w:val="0"/>
                <w:bCs w:val="0"/>
                <w:sz w:val="22"/>
                <w:szCs w:val="22"/>
                <w:rtl/>
                <w:lang w:val="en-GB" w:eastAsia="ar-SA" w:bidi="ar-JO"/>
              </w:rPr>
            </w:pPr>
            <w:r w:rsidRPr="00C0031B">
              <w:rPr>
                <w:rFonts w:ascii="Times New Roman" w:eastAsia="Times New Roman" w:hAnsi="Times New Roman"/>
                <w:b w:val="0"/>
                <w:bCs w:val="0"/>
                <w:sz w:val="22"/>
                <w:szCs w:val="22"/>
                <w:lang w:eastAsia="ar-SA" w:bidi="ar-JO"/>
              </w:rPr>
              <w:t>A-2</w:t>
            </w:r>
          </w:p>
        </w:tc>
        <w:tc>
          <w:tcPr>
            <w:tcW w:w="1134" w:type="dxa"/>
            <w:gridSpan w:val="2"/>
            <w:tcMar>
              <w:left w:w="57" w:type="dxa"/>
              <w:right w:w="57" w:type="dxa"/>
            </w:tcMar>
            <w:vAlign w:val="center"/>
          </w:tcPr>
          <w:p w:rsidR="00505A8B" w:rsidRPr="00C0031B" w:rsidRDefault="00505A8B" w:rsidP="0001223F">
            <w:pPr>
              <w:spacing w:after="0"/>
              <w:jc w:val="center"/>
              <w:rPr>
                <w:rFonts w:ascii="Times New Roman" w:eastAsia="Times New Roman" w:hAnsi="Times New Roman"/>
                <w:b w:val="0"/>
                <w:bCs w:val="0"/>
                <w:sz w:val="22"/>
                <w:szCs w:val="22"/>
                <w:rtl/>
                <w:lang w:val="en-GB" w:eastAsia="ar-SA" w:bidi="ar-JO"/>
              </w:rPr>
            </w:pPr>
            <w:r w:rsidRPr="00C0031B">
              <w:rPr>
                <w:rFonts w:ascii="Times New Roman" w:eastAsia="Times New Roman" w:hAnsi="Times New Roman"/>
                <w:b w:val="0"/>
                <w:bCs w:val="0"/>
                <w:sz w:val="22"/>
                <w:szCs w:val="22"/>
                <w:lang w:eastAsia="ar-SA" w:bidi="ar-JO"/>
              </w:rPr>
              <w:t>P-2</w:t>
            </w:r>
          </w:p>
        </w:tc>
        <w:tc>
          <w:tcPr>
            <w:tcW w:w="1418" w:type="dxa"/>
            <w:tcMar>
              <w:left w:w="57" w:type="dxa"/>
              <w:right w:w="57" w:type="dxa"/>
            </w:tcMar>
            <w:vAlign w:val="center"/>
          </w:tcPr>
          <w:p w:rsidR="00505A8B" w:rsidRPr="00C0031B" w:rsidRDefault="00505A8B" w:rsidP="0001223F">
            <w:pPr>
              <w:spacing w:after="0"/>
              <w:jc w:val="center"/>
              <w:rPr>
                <w:rFonts w:ascii="Times New Roman" w:eastAsia="Times New Roman" w:hAnsi="Times New Roman"/>
                <w:b w:val="0"/>
                <w:bCs w:val="0"/>
                <w:sz w:val="22"/>
                <w:szCs w:val="22"/>
                <w:rtl/>
                <w:lang w:val="en-GB" w:eastAsia="ar-SA" w:bidi="ar-JO"/>
              </w:rPr>
            </w:pPr>
            <w:r w:rsidRPr="00C0031B">
              <w:rPr>
                <w:rFonts w:ascii="Times New Roman" w:eastAsia="Times New Roman" w:hAnsi="Times New Roman"/>
                <w:b w:val="0"/>
                <w:bCs w:val="0"/>
                <w:sz w:val="22"/>
                <w:szCs w:val="22"/>
                <w:lang w:eastAsia="ar-SA" w:bidi="ar-JO"/>
              </w:rPr>
              <w:t>F2</w:t>
            </w:r>
          </w:p>
        </w:tc>
        <w:tc>
          <w:tcPr>
            <w:tcW w:w="425" w:type="dxa"/>
            <w:vMerge/>
          </w:tcPr>
          <w:p w:rsidR="00505A8B" w:rsidRPr="00C0031B" w:rsidRDefault="00505A8B" w:rsidP="0001223F">
            <w:pPr>
              <w:bidi w:val="0"/>
              <w:spacing w:after="0"/>
              <w:rPr>
                <w:rFonts w:ascii="Times New Roman" w:eastAsia="Times New Roman" w:hAnsi="Times New Roman"/>
                <w:b w:val="0"/>
                <w:bCs w:val="0"/>
                <w:sz w:val="22"/>
                <w:szCs w:val="22"/>
                <w:lang w:eastAsia="ar-SA" w:bidi="ar-JO"/>
              </w:rPr>
            </w:pPr>
          </w:p>
        </w:tc>
        <w:tc>
          <w:tcPr>
            <w:tcW w:w="1276" w:type="dxa"/>
            <w:tcMar>
              <w:left w:w="57" w:type="dxa"/>
              <w:right w:w="57" w:type="dxa"/>
            </w:tcMar>
            <w:vAlign w:val="center"/>
          </w:tcPr>
          <w:p w:rsidR="00505A8B" w:rsidRPr="00C0031B" w:rsidRDefault="00505A8B" w:rsidP="0001223F">
            <w:pPr>
              <w:bidi w:val="0"/>
              <w:spacing w:after="0"/>
              <w:jc w:val="center"/>
              <w:rPr>
                <w:rFonts w:ascii="Times New Roman" w:eastAsia="Times New Roman" w:hAnsi="Times New Roman"/>
                <w:b w:val="0"/>
                <w:bCs w:val="0"/>
                <w:sz w:val="22"/>
                <w:szCs w:val="22"/>
                <w:rtl/>
                <w:lang w:val="en-GB" w:eastAsia="ar-SA" w:bidi="ar-JO"/>
              </w:rPr>
            </w:pPr>
            <w:r w:rsidRPr="00C0031B">
              <w:rPr>
                <w:rFonts w:ascii="Times New Roman" w:eastAsia="Times New Roman" w:hAnsi="Times New Roman"/>
                <w:b w:val="0"/>
                <w:bCs w:val="0"/>
                <w:sz w:val="22"/>
                <w:szCs w:val="22"/>
                <w:lang w:eastAsia="ar-SA" w:bidi="ar-JO"/>
              </w:rPr>
              <w:t>20%</w:t>
            </w:r>
          </w:p>
        </w:tc>
        <w:tc>
          <w:tcPr>
            <w:tcW w:w="1559" w:type="dxa"/>
            <w:tcMar>
              <w:left w:w="57" w:type="dxa"/>
              <w:right w:w="57" w:type="dxa"/>
            </w:tcMar>
            <w:vAlign w:val="center"/>
          </w:tcPr>
          <w:p w:rsidR="00505A8B" w:rsidRPr="00C0031B" w:rsidRDefault="00505A8B" w:rsidP="0001223F">
            <w:pPr>
              <w:bidi w:val="0"/>
              <w:spacing w:after="0"/>
              <w:jc w:val="center"/>
              <w:rPr>
                <w:rFonts w:ascii="Times New Roman" w:eastAsia="Times New Roman" w:hAnsi="Times New Roman"/>
                <w:b w:val="0"/>
                <w:bCs w:val="0"/>
                <w:sz w:val="22"/>
                <w:szCs w:val="22"/>
                <w:rtl/>
                <w:lang w:val="en-GB" w:eastAsia="ar-SA" w:bidi="ar-JO"/>
              </w:rPr>
            </w:pPr>
            <w:r w:rsidRPr="00C0031B">
              <w:rPr>
                <w:rFonts w:ascii="Times New Roman" w:eastAsia="Times New Roman" w:hAnsi="Times New Roman"/>
                <w:b w:val="0"/>
                <w:bCs w:val="0"/>
                <w:sz w:val="22"/>
                <w:szCs w:val="22"/>
                <w:lang w:eastAsia="ar-SA" w:bidi="ar-JO"/>
              </w:rPr>
              <w:t>50%</w:t>
            </w:r>
          </w:p>
        </w:tc>
        <w:tc>
          <w:tcPr>
            <w:tcW w:w="1916" w:type="dxa"/>
            <w:tcMar>
              <w:left w:w="57" w:type="dxa"/>
              <w:right w:w="57" w:type="dxa"/>
            </w:tcMar>
            <w:vAlign w:val="center"/>
          </w:tcPr>
          <w:p w:rsidR="00505A8B" w:rsidRPr="00C0031B" w:rsidRDefault="00505A8B" w:rsidP="0001223F">
            <w:pPr>
              <w:bidi w:val="0"/>
              <w:spacing w:after="0"/>
              <w:jc w:val="center"/>
              <w:rPr>
                <w:rFonts w:ascii="Times New Roman" w:eastAsia="Times New Roman" w:hAnsi="Times New Roman"/>
                <w:b w:val="0"/>
                <w:bCs w:val="0"/>
                <w:sz w:val="22"/>
                <w:szCs w:val="22"/>
                <w:rtl/>
                <w:lang w:val="en-GB" w:eastAsia="ar-SA" w:bidi="ar-JO"/>
              </w:rPr>
            </w:pPr>
            <w:r w:rsidRPr="00C0031B">
              <w:rPr>
                <w:rFonts w:ascii="Times New Roman" w:eastAsia="Times New Roman" w:hAnsi="Times New Roman"/>
                <w:b w:val="0"/>
                <w:bCs w:val="0"/>
                <w:sz w:val="22"/>
                <w:szCs w:val="22"/>
                <w:lang w:eastAsia="ar-SA" w:bidi="ar-JO"/>
              </w:rPr>
              <w:t>20%</w:t>
            </w:r>
          </w:p>
        </w:tc>
        <w:tc>
          <w:tcPr>
            <w:tcW w:w="1363" w:type="dxa"/>
            <w:tcMar>
              <w:left w:w="57" w:type="dxa"/>
              <w:right w:w="57" w:type="dxa"/>
            </w:tcMar>
            <w:vAlign w:val="center"/>
          </w:tcPr>
          <w:p w:rsidR="00505A8B" w:rsidRPr="00C0031B" w:rsidRDefault="00505A8B" w:rsidP="0001223F">
            <w:pPr>
              <w:spacing w:after="0"/>
              <w:jc w:val="center"/>
              <w:rPr>
                <w:rFonts w:ascii="Times New Roman" w:eastAsia="Times New Roman" w:hAnsi="Times New Roman"/>
                <w:b w:val="0"/>
                <w:bCs w:val="0"/>
                <w:sz w:val="22"/>
                <w:szCs w:val="22"/>
                <w:rtl/>
                <w:lang w:val="en-GB" w:eastAsia="ar-SA" w:bidi="ar-JO"/>
              </w:rPr>
            </w:pPr>
            <w:r w:rsidRPr="00C0031B">
              <w:rPr>
                <w:rFonts w:ascii="Times New Roman" w:eastAsia="Times New Roman" w:hAnsi="Times New Roman"/>
                <w:b w:val="0"/>
                <w:bCs w:val="0"/>
                <w:sz w:val="22"/>
                <w:szCs w:val="22"/>
                <w:lang w:eastAsia="ar-SA" w:bidi="ar-JO"/>
              </w:rPr>
              <w:t>50%</w:t>
            </w:r>
          </w:p>
        </w:tc>
      </w:tr>
      <w:tr w:rsidR="00505A8B" w:rsidRPr="00C0031B" w:rsidTr="0001223F">
        <w:trPr>
          <w:gridAfter w:val="1"/>
          <w:wAfter w:w="6" w:type="dxa"/>
          <w:cantSplit/>
          <w:trHeight w:val="544"/>
          <w:jc w:val="center"/>
        </w:trPr>
        <w:tc>
          <w:tcPr>
            <w:tcW w:w="1555" w:type="dxa"/>
            <w:tcMar>
              <w:left w:w="57" w:type="dxa"/>
              <w:right w:w="57" w:type="dxa"/>
            </w:tcMar>
            <w:vAlign w:val="center"/>
          </w:tcPr>
          <w:p w:rsidR="00505A8B" w:rsidRPr="00C0031B" w:rsidRDefault="00505A8B" w:rsidP="0001223F">
            <w:pPr>
              <w:spacing w:after="0"/>
              <w:jc w:val="center"/>
              <w:rPr>
                <w:rFonts w:ascii="Times New Roman" w:eastAsia="Times New Roman" w:hAnsi="Times New Roman"/>
                <w:b w:val="0"/>
                <w:bCs w:val="0"/>
                <w:sz w:val="22"/>
                <w:szCs w:val="22"/>
                <w:lang w:eastAsia="ar-SA" w:bidi="ar-JO"/>
              </w:rPr>
            </w:pPr>
            <w:r w:rsidRPr="00C0031B">
              <w:rPr>
                <w:rFonts w:ascii="Times New Roman" w:eastAsia="Times New Roman" w:hAnsi="Times New Roman"/>
                <w:b w:val="0"/>
                <w:bCs w:val="0"/>
                <w:sz w:val="22"/>
                <w:szCs w:val="22"/>
                <w:lang w:eastAsia="ar-SA" w:bidi="ar-JO"/>
              </w:rPr>
              <w:t>BBB+ to</w:t>
            </w:r>
          </w:p>
          <w:p w:rsidR="00505A8B" w:rsidRPr="00C0031B" w:rsidRDefault="00505A8B" w:rsidP="0001223F">
            <w:pPr>
              <w:spacing w:after="0"/>
              <w:jc w:val="center"/>
              <w:rPr>
                <w:rFonts w:ascii="Times New Roman" w:eastAsia="Times New Roman" w:hAnsi="Times New Roman"/>
                <w:b w:val="0"/>
                <w:bCs w:val="0"/>
                <w:sz w:val="22"/>
                <w:szCs w:val="22"/>
                <w:rtl/>
                <w:lang w:val="en-GB" w:eastAsia="ar-SA" w:bidi="ar-JO"/>
              </w:rPr>
            </w:pPr>
            <w:r w:rsidRPr="00C0031B">
              <w:rPr>
                <w:rFonts w:ascii="Times New Roman" w:eastAsia="Times New Roman" w:hAnsi="Times New Roman"/>
                <w:b w:val="0"/>
                <w:bCs w:val="0"/>
                <w:sz w:val="22"/>
                <w:szCs w:val="22"/>
                <w:lang w:eastAsia="ar-SA" w:bidi="ar-JO"/>
              </w:rPr>
              <w:t>BBB-</w:t>
            </w:r>
          </w:p>
        </w:tc>
        <w:tc>
          <w:tcPr>
            <w:tcW w:w="1433" w:type="dxa"/>
            <w:tcMar>
              <w:left w:w="57" w:type="dxa"/>
              <w:right w:w="57" w:type="dxa"/>
            </w:tcMar>
            <w:vAlign w:val="center"/>
          </w:tcPr>
          <w:p w:rsidR="00505A8B" w:rsidRPr="00C0031B" w:rsidRDefault="00505A8B" w:rsidP="0001223F">
            <w:pPr>
              <w:spacing w:after="0"/>
              <w:jc w:val="center"/>
              <w:rPr>
                <w:rFonts w:ascii="Times New Roman" w:eastAsia="Times New Roman" w:hAnsi="Times New Roman"/>
                <w:b w:val="0"/>
                <w:bCs w:val="0"/>
                <w:sz w:val="22"/>
                <w:szCs w:val="22"/>
                <w:lang w:eastAsia="ar-SA" w:bidi="ar-JO"/>
              </w:rPr>
            </w:pPr>
            <w:r w:rsidRPr="00C0031B">
              <w:rPr>
                <w:rFonts w:ascii="Times New Roman" w:eastAsia="Times New Roman" w:hAnsi="Times New Roman"/>
                <w:b w:val="0"/>
                <w:bCs w:val="0"/>
                <w:sz w:val="22"/>
                <w:szCs w:val="22"/>
                <w:lang w:eastAsia="ar-SA" w:bidi="ar-JO"/>
              </w:rPr>
              <w:t>Baa1 to</w:t>
            </w:r>
          </w:p>
          <w:p w:rsidR="00505A8B" w:rsidRPr="00C0031B" w:rsidRDefault="00505A8B" w:rsidP="0001223F">
            <w:pPr>
              <w:spacing w:after="0"/>
              <w:jc w:val="center"/>
              <w:rPr>
                <w:rFonts w:ascii="Times New Roman" w:eastAsia="Times New Roman" w:hAnsi="Times New Roman"/>
                <w:b w:val="0"/>
                <w:bCs w:val="0"/>
                <w:sz w:val="22"/>
                <w:szCs w:val="22"/>
                <w:rtl/>
                <w:lang w:val="en-GB" w:eastAsia="ar-SA" w:bidi="ar-JO"/>
              </w:rPr>
            </w:pPr>
            <w:r w:rsidRPr="00C0031B">
              <w:rPr>
                <w:rFonts w:ascii="Times New Roman" w:eastAsia="Times New Roman" w:hAnsi="Times New Roman"/>
                <w:b w:val="0"/>
                <w:bCs w:val="0"/>
                <w:sz w:val="22"/>
                <w:szCs w:val="22"/>
                <w:lang w:eastAsia="ar-SA" w:bidi="ar-JO"/>
              </w:rPr>
              <w:t>Baa3</w:t>
            </w:r>
          </w:p>
        </w:tc>
        <w:tc>
          <w:tcPr>
            <w:tcW w:w="1495" w:type="dxa"/>
            <w:tcMar>
              <w:left w:w="57" w:type="dxa"/>
              <w:right w:w="57" w:type="dxa"/>
            </w:tcMar>
            <w:vAlign w:val="center"/>
          </w:tcPr>
          <w:p w:rsidR="00505A8B" w:rsidRPr="00C0031B" w:rsidRDefault="00505A8B" w:rsidP="0001223F">
            <w:pPr>
              <w:spacing w:after="0"/>
              <w:jc w:val="center"/>
              <w:rPr>
                <w:rFonts w:ascii="Times New Roman" w:eastAsia="Times New Roman" w:hAnsi="Times New Roman"/>
                <w:b w:val="0"/>
                <w:bCs w:val="0"/>
                <w:sz w:val="22"/>
                <w:szCs w:val="22"/>
                <w:lang w:eastAsia="ar-SA" w:bidi="ar-JO"/>
              </w:rPr>
            </w:pPr>
            <w:r w:rsidRPr="00C0031B">
              <w:rPr>
                <w:rFonts w:ascii="Times New Roman" w:eastAsia="Times New Roman" w:hAnsi="Times New Roman"/>
                <w:b w:val="0"/>
                <w:bCs w:val="0"/>
                <w:sz w:val="22"/>
                <w:szCs w:val="22"/>
                <w:lang w:eastAsia="ar-SA" w:bidi="ar-JO"/>
              </w:rPr>
              <w:t>BBB+ to</w:t>
            </w:r>
          </w:p>
          <w:p w:rsidR="00505A8B" w:rsidRPr="00C0031B" w:rsidRDefault="00505A8B" w:rsidP="0001223F">
            <w:pPr>
              <w:spacing w:after="0"/>
              <w:jc w:val="center"/>
              <w:rPr>
                <w:rFonts w:ascii="Times New Roman" w:eastAsia="Times New Roman" w:hAnsi="Times New Roman"/>
                <w:b w:val="0"/>
                <w:bCs w:val="0"/>
                <w:sz w:val="22"/>
                <w:szCs w:val="22"/>
                <w:rtl/>
                <w:lang w:val="en-GB" w:eastAsia="ar-SA" w:bidi="ar-JO"/>
              </w:rPr>
            </w:pPr>
            <w:r w:rsidRPr="00C0031B">
              <w:rPr>
                <w:rFonts w:ascii="Times New Roman" w:eastAsia="Times New Roman" w:hAnsi="Times New Roman"/>
                <w:b w:val="0"/>
                <w:bCs w:val="0"/>
                <w:sz w:val="22"/>
                <w:szCs w:val="22"/>
                <w:lang w:eastAsia="ar-SA" w:bidi="ar-JO"/>
              </w:rPr>
              <w:t>BBB-</w:t>
            </w:r>
          </w:p>
        </w:tc>
        <w:tc>
          <w:tcPr>
            <w:tcW w:w="236" w:type="dxa"/>
            <w:vMerge/>
          </w:tcPr>
          <w:p w:rsidR="00505A8B" w:rsidRPr="00C0031B" w:rsidRDefault="00505A8B" w:rsidP="0001223F">
            <w:pPr>
              <w:bidi w:val="0"/>
              <w:spacing w:after="0"/>
              <w:jc w:val="right"/>
              <w:rPr>
                <w:rFonts w:ascii="Times New Roman" w:eastAsia="Times New Roman" w:hAnsi="Times New Roman"/>
                <w:b w:val="0"/>
                <w:bCs w:val="0"/>
                <w:sz w:val="22"/>
                <w:szCs w:val="22"/>
                <w:lang w:eastAsia="ar-SA" w:bidi="ar-JO"/>
              </w:rPr>
            </w:pPr>
          </w:p>
        </w:tc>
        <w:tc>
          <w:tcPr>
            <w:tcW w:w="1088" w:type="dxa"/>
            <w:tcMar>
              <w:left w:w="57" w:type="dxa"/>
              <w:right w:w="57" w:type="dxa"/>
            </w:tcMar>
            <w:vAlign w:val="center"/>
          </w:tcPr>
          <w:p w:rsidR="00505A8B" w:rsidRPr="00C0031B" w:rsidRDefault="00505A8B" w:rsidP="0001223F">
            <w:pPr>
              <w:spacing w:after="0"/>
              <w:jc w:val="center"/>
              <w:rPr>
                <w:rFonts w:ascii="Times New Roman" w:eastAsia="Times New Roman" w:hAnsi="Times New Roman"/>
                <w:b w:val="0"/>
                <w:bCs w:val="0"/>
                <w:sz w:val="22"/>
                <w:szCs w:val="22"/>
                <w:rtl/>
                <w:lang w:val="en-GB" w:eastAsia="ar-SA" w:bidi="ar-JO"/>
              </w:rPr>
            </w:pPr>
            <w:r w:rsidRPr="00C0031B">
              <w:rPr>
                <w:rFonts w:ascii="Times New Roman" w:eastAsia="Times New Roman" w:hAnsi="Times New Roman"/>
                <w:b w:val="0"/>
                <w:bCs w:val="0"/>
                <w:sz w:val="22"/>
                <w:szCs w:val="22"/>
                <w:lang w:eastAsia="ar-SA" w:bidi="ar-JO"/>
              </w:rPr>
              <w:t>A-3</w:t>
            </w:r>
          </w:p>
        </w:tc>
        <w:tc>
          <w:tcPr>
            <w:tcW w:w="1134" w:type="dxa"/>
            <w:gridSpan w:val="2"/>
            <w:tcMar>
              <w:left w:w="57" w:type="dxa"/>
              <w:right w:w="57" w:type="dxa"/>
            </w:tcMar>
            <w:vAlign w:val="center"/>
          </w:tcPr>
          <w:p w:rsidR="00505A8B" w:rsidRPr="00C0031B" w:rsidRDefault="00505A8B" w:rsidP="0001223F">
            <w:pPr>
              <w:spacing w:after="0"/>
              <w:jc w:val="center"/>
              <w:rPr>
                <w:rFonts w:ascii="Times New Roman" w:eastAsia="Times New Roman" w:hAnsi="Times New Roman"/>
                <w:b w:val="0"/>
                <w:bCs w:val="0"/>
                <w:sz w:val="22"/>
                <w:szCs w:val="22"/>
                <w:rtl/>
                <w:lang w:val="en-GB" w:eastAsia="ar-SA" w:bidi="ar-JO"/>
              </w:rPr>
            </w:pPr>
            <w:r w:rsidRPr="00C0031B">
              <w:rPr>
                <w:rFonts w:ascii="Times New Roman" w:eastAsia="Times New Roman" w:hAnsi="Times New Roman"/>
                <w:b w:val="0"/>
                <w:bCs w:val="0"/>
                <w:sz w:val="22"/>
                <w:szCs w:val="22"/>
                <w:lang w:eastAsia="ar-SA" w:bidi="ar-JO"/>
              </w:rPr>
              <w:t>P-3</w:t>
            </w:r>
          </w:p>
        </w:tc>
        <w:tc>
          <w:tcPr>
            <w:tcW w:w="1418" w:type="dxa"/>
            <w:tcMar>
              <w:left w:w="57" w:type="dxa"/>
              <w:right w:w="57" w:type="dxa"/>
            </w:tcMar>
            <w:vAlign w:val="center"/>
          </w:tcPr>
          <w:p w:rsidR="00505A8B" w:rsidRPr="00C0031B" w:rsidRDefault="00505A8B" w:rsidP="0001223F">
            <w:pPr>
              <w:spacing w:after="0"/>
              <w:jc w:val="center"/>
              <w:rPr>
                <w:rFonts w:ascii="Times New Roman" w:eastAsia="Times New Roman" w:hAnsi="Times New Roman"/>
                <w:b w:val="0"/>
                <w:bCs w:val="0"/>
                <w:sz w:val="22"/>
                <w:szCs w:val="22"/>
                <w:rtl/>
                <w:lang w:val="en-GB" w:eastAsia="ar-SA" w:bidi="ar-JO"/>
              </w:rPr>
            </w:pPr>
            <w:r w:rsidRPr="00C0031B">
              <w:rPr>
                <w:rFonts w:ascii="Times New Roman" w:eastAsia="Times New Roman" w:hAnsi="Times New Roman"/>
                <w:b w:val="0"/>
                <w:bCs w:val="0"/>
                <w:sz w:val="22"/>
                <w:szCs w:val="22"/>
                <w:lang w:eastAsia="ar-SA" w:bidi="ar-JO"/>
              </w:rPr>
              <w:t>F3</w:t>
            </w:r>
          </w:p>
        </w:tc>
        <w:tc>
          <w:tcPr>
            <w:tcW w:w="425" w:type="dxa"/>
            <w:vMerge/>
          </w:tcPr>
          <w:p w:rsidR="00505A8B" w:rsidRPr="00C0031B" w:rsidRDefault="00505A8B" w:rsidP="0001223F">
            <w:pPr>
              <w:bidi w:val="0"/>
              <w:spacing w:after="0"/>
              <w:rPr>
                <w:rFonts w:ascii="Times New Roman" w:eastAsia="Times New Roman" w:hAnsi="Times New Roman"/>
                <w:b w:val="0"/>
                <w:bCs w:val="0"/>
                <w:sz w:val="22"/>
                <w:szCs w:val="22"/>
                <w:lang w:eastAsia="ar-SA" w:bidi="ar-JO"/>
              </w:rPr>
            </w:pPr>
          </w:p>
        </w:tc>
        <w:tc>
          <w:tcPr>
            <w:tcW w:w="1276" w:type="dxa"/>
            <w:tcMar>
              <w:left w:w="57" w:type="dxa"/>
              <w:right w:w="57" w:type="dxa"/>
            </w:tcMar>
            <w:vAlign w:val="center"/>
          </w:tcPr>
          <w:p w:rsidR="00505A8B" w:rsidRPr="00C0031B" w:rsidRDefault="00505A8B" w:rsidP="0001223F">
            <w:pPr>
              <w:bidi w:val="0"/>
              <w:spacing w:after="0"/>
              <w:jc w:val="center"/>
              <w:rPr>
                <w:rFonts w:ascii="Times New Roman" w:eastAsia="Times New Roman" w:hAnsi="Times New Roman"/>
                <w:b w:val="0"/>
                <w:bCs w:val="0"/>
                <w:sz w:val="22"/>
                <w:szCs w:val="22"/>
                <w:rtl/>
                <w:lang w:val="en-GB" w:eastAsia="ar-SA" w:bidi="ar-JO"/>
              </w:rPr>
            </w:pPr>
            <w:r w:rsidRPr="00C0031B">
              <w:rPr>
                <w:rFonts w:ascii="Times New Roman" w:eastAsia="Times New Roman" w:hAnsi="Times New Roman"/>
                <w:b w:val="0"/>
                <w:bCs w:val="0"/>
                <w:sz w:val="22"/>
                <w:szCs w:val="22"/>
                <w:lang w:eastAsia="ar-SA" w:bidi="ar-JO"/>
              </w:rPr>
              <w:t>%</w:t>
            </w:r>
          </w:p>
        </w:tc>
        <w:tc>
          <w:tcPr>
            <w:tcW w:w="1559" w:type="dxa"/>
            <w:tcMar>
              <w:left w:w="57" w:type="dxa"/>
              <w:right w:w="57" w:type="dxa"/>
            </w:tcMar>
            <w:vAlign w:val="center"/>
          </w:tcPr>
          <w:p w:rsidR="00505A8B" w:rsidRPr="00C0031B" w:rsidRDefault="00505A8B" w:rsidP="0001223F">
            <w:pPr>
              <w:bidi w:val="0"/>
              <w:spacing w:after="0"/>
              <w:jc w:val="center"/>
              <w:rPr>
                <w:rFonts w:ascii="Times New Roman" w:eastAsia="Times New Roman" w:hAnsi="Times New Roman"/>
                <w:b w:val="0"/>
                <w:bCs w:val="0"/>
                <w:sz w:val="22"/>
                <w:szCs w:val="22"/>
                <w:rtl/>
                <w:lang w:val="en-GB" w:eastAsia="ar-SA" w:bidi="ar-JO"/>
              </w:rPr>
            </w:pPr>
            <w:r w:rsidRPr="00C0031B">
              <w:rPr>
                <w:rFonts w:ascii="Times New Roman" w:eastAsia="Times New Roman" w:hAnsi="Times New Roman"/>
                <w:b w:val="0"/>
                <w:bCs w:val="0"/>
                <w:sz w:val="22"/>
                <w:szCs w:val="22"/>
                <w:lang w:eastAsia="ar-SA" w:bidi="ar-JO"/>
              </w:rPr>
              <w:t>100%</w:t>
            </w:r>
          </w:p>
        </w:tc>
        <w:tc>
          <w:tcPr>
            <w:tcW w:w="1916" w:type="dxa"/>
            <w:tcMar>
              <w:left w:w="57" w:type="dxa"/>
              <w:right w:w="57" w:type="dxa"/>
            </w:tcMar>
            <w:vAlign w:val="center"/>
          </w:tcPr>
          <w:p w:rsidR="00505A8B" w:rsidRPr="00C0031B" w:rsidRDefault="00505A8B" w:rsidP="0001223F">
            <w:pPr>
              <w:bidi w:val="0"/>
              <w:spacing w:after="0"/>
              <w:jc w:val="center"/>
              <w:rPr>
                <w:rFonts w:ascii="Times New Roman" w:eastAsia="Times New Roman" w:hAnsi="Times New Roman"/>
                <w:b w:val="0"/>
                <w:bCs w:val="0"/>
                <w:sz w:val="22"/>
                <w:szCs w:val="22"/>
                <w:rtl/>
                <w:lang w:val="en-GB" w:eastAsia="ar-SA" w:bidi="ar-JO"/>
              </w:rPr>
            </w:pPr>
            <w:r w:rsidRPr="00C0031B">
              <w:rPr>
                <w:rFonts w:ascii="Times New Roman" w:eastAsia="Times New Roman" w:hAnsi="Times New Roman"/>
                <w:b w:val="0"/>
                <w:bCs w:val="0"/>
                <w:sz w:val="22"/>
                <w:szCs w:val="22"/>
                <w:lang w:eastAsia="ar-SA" w:bidi="ar-JO"/>
              </w:rPr>
              <w:t>20%</w:t>
            </w:r>
          </w:p>
        </w:tc>
        <w:tc>
          <w:tcPr>
            <w:tcW w:w="1363" w:type="dxa"/>
            <w:tcMar>
              <w:left w:w="57" w:type="dxa"/>
              <w:right w:w="57" w:type="dxa"/>
            </w:tcMar>
            <w:vAlign w:val="center"/>
          </w:tcPr>
          <w:p w:rsidR="00505A8B" w:rsidRPr="00C0031B" w:rsidRDefault="00505A8B" w:rsidP="0001223F">
            <w:pPr>
              <w:spacing w:after="0"/>
              <w:jc w:val="center"/>
              <w:rPr>
                <w:rFonts w:ascii="Times New Roman" w:eastAsia="Times New Roman" w:hAnsi="Times New Roman"/>
                <w:b w:val="0"/>
                <w:bCs w:val="0"/>
                <w:sz w:val="22"/>
                <w:szCs w:val="22"/>
                <w:rtl/>
                <w:lang w:val="en-GB" w:eastAsia="ar-SA" w:bidi="ar-JO"/>
              </w:rPr>
            </w:pPr>
            <w:r w:rsidRPr="00C0031B">
              <w:rPr>
                <w:rFonts w:ascii="Times New Roman" w:eastAsia="Times New Roman" w:hAnsi="Times New Roman"/>
                <w:b w:val="0"/>
                <w:bCs w:val="0"/>
                <w:sz w:val="22"/>
                <w:szCs w:val="22"/>
                <w:lang w:eastAsia="ar-SA" w:bidi="ar-JO"/>
              </w:rPr>
              <w:t>50%</w:t>
            </w:r>
          </w:p>
        </w:tc>
      </w:tr>
      <w:tr w:rsidR="00505A8B" w:rsidRPr="00C0031B" w:rsidTr="0001223F">
        <w:trPr>
          <w:gridAfter w:val="1"/>
          <w:wAfter w:w="6" w:type="dxa"/>
          <w:cantSplit/>
          <w:trHeight w:val="559"/>
          <w:jc w:val="center"/>
        </w:trPr>
        <w:tc>
          <w:tcPr>
            <w:tcW w:w="1555" w:type="dxa"/>
            <w:tcMar>
              <w:left w:w="57" w:type="dxa"/>
              <w:right w:w="57" w:type="dxa"/>
            </w:tcMar>
            <w:vAlign w:val="center"/>
          </w:tcPr>
          <w:p w:rsidR="00505A8B" w:rsidRPr="00C0031B" w:rsidRDefault="00505A8B" w:rsidP="0001223F">
            <w:pPr>
              <w:spacing w:after="0"/>
              <w:jc w:val="center"/>
              <w:rPr>
                <w:rFonts w:ascii="Times New Roman" w:eastAsia="Times New Roman" w:hAnsi="Times New Roman"/>
                <w:b w:val="0"/>
                <w:bCs w:val="0"/>
                <w:sz w:val="22"/>
                <w:szCs w:val="22"/>
                <w:lang w:eastAsia="ar-SA" w:bidi="ar-JO"/>
              </w:rPr>
            </w:pPr>
            <w:r w:rsidRPr="00C0031B">
              <w:rPr>
                <w:rFonts w:ascii="Times New Roman" w:eastAsia="Times New Roman" w:hAnsi="Times New Roman"/>
                <w:b w:val="0"/>
                <w:bCs w:val="0"/>
                <w:sz w:val="22"/>
                <w:szCs w:val="22"/>
                <w:lang w:eastAsia="ar-SA" w:bidi="ar-JO"/>
              </w:rPr>
              <w:t>BB+ to</w:t>
            </w:r>
          </w:p>
          <w:p w:rsidR="00505A8B" w:rsidRPr="00C0031B" w:rsidRDefault="00505A8B" w:rsidP="0001223F">
            <w:pPr>
              <w:spacing w:after="0"/>
              <w:jc w:val="center"/>
              <w:rPr>
                <w:rFonts w:ascii="Times New Roman" w:eastAsia="Times New Roman" w:hAnsi="Times New Roman"/>
                <w:b w:val="0"/>
                <w:bCs w:val="0"/>
                <w:sz w:val="22"/>
                <w:szCs w:val="22"/>
                <w:lang w:eastAsia="ar-SA" w:bidi="ar-JO"/>
              </w:rPr>
            </w:pPr>
            <w:r w:rsidRPr="00C0031B">
              <w:rPr>
                <w:rFonts w:ascii="Times New Roman" w:eastAsia="Times New Roman" w:hAnsi="Times New Roman"/>
                <w:b w:val="0"/>
                <w:bCs w:val="0"/>
                <w:sz w:val="22"/>
                <w:szCs w:val="22"/>
                <w:lang w:eastAsia="ar-SA" w:bidi="ar-JO"/>
              </w:rPr>
              <w:t>BB-</w:t>
            </w:r>
          </w:p>
        </w:tc>
        <w:tc>
          <w:tcPr>
            <w:tcW w:w="1433" w:type="dxa"/>
            <w:tcMar>
              <w:left w:w="57" w:type="dxa"/>
              <w:right w:w="57" w:type="dxa"/>
            </w:tcMar>
            <w:vAlign w:val="center"/>
          </w:tcPr>
          <w:p w:rsidR="00505A8B" w:rsidRPr="00C0031B" w:rsidRDefault="00505A8B" w:rsidP="0001223F">
            <w:pPr>
              <w:spacing w:after="0"/>
              <w:jc w:val="center"/>
              <w:rPr>
                <w:rFonts w:ascii="Times New Roman" w:eastAsia="Times New Roman" w:hAnsi="Times New Roman"/>
                <w:b w:val="0"/>
                <w:bCs w:val="0"/>
                <w:sz w:val="22"/>
                <w:szCs w:val="22"/>
                <w:lang w:eastAsia="ar-SA" w:bidi="ar-JO"/>
              </w:rPr>
            </w:pPr>
            <w:r w:rsidRPr="00C0031B">
              <w:rPr>
                <w:rFonts w:ascii="Times New Roman" w:eastAsia="Times New Roman" w:hAnsi="Times New Roman"/>
                <w:b w:val="0"/>
                <w:bCs w:val="0"/>
                <w:sz w:val="22"/>
                <w:szCs w:val="22"/>
                <w:lang w:eastAsia="ar-SA" w:bidi="ar-JO"/>
              </w:rPr>
              <w:t>Ba1 to</w:t>
            </w:r>
          </w:p>
          <w:p w:rsidR="00505A8B" w:rsidRPr="00C0031B" w:rsidRDefault="00505A8B" w:rsidP="0001223F">
            <w:pPr>
              <w:spacing w:after="0"/>
              <w:jc w:val="center"/>
              <w:rPr>
                <w:rFonts w:ascii="Times New Roman" w:eastAsia="Times New Roman" w:hAnsi="Times New Roman"/>
                <w:b w:val="0"/>
                <w:bCs w:val="0"/>
                <w:sz w:val="22"/>
                <w:szCs w:val="22"/>
                <w:lang w:eastAsia="ar-SA" w:bidi="ar-JO"/>
              </w:rPr>
            </w:pPr>
            <w:r w:rsidRPr="00C0031B">
              <w:rPr>
                <w:rFonts w:ascii="Times New Roman" w:eastAsia="Times New Roman" w:hAnsi="Times New Roman"/>
                <w:b w:val="0"/>
                <w:bCs w:val="0"/>
                <w:sz w:val="22"/>
                <w:szCs w:val="22"/>
                <w:lang w:eastAsia="ar-SA" w:bidi="ar-JO"/>
              </w:rPr>
              <w:t>Ba3</w:t>
            </w:r>
          </w:p>
        </w:tc>
        <w:tc>
          <w:tcPr>
            <w:tcW w:w="1495" w:type="dxa"/>
            <w:tcMar>
              <w:left w:w="57" w:type="dxa"/>
              <w:right w:w="57" w:type="dxa"/>
            </w:tcMar>
            <w:vAlign w:val="center"/>
          </w:tcPr>
          <w:p w:rsidR="00505A8B" w:rsidRPr="00C0031B" w:rsidRDefault="00505A8B" w:rsidP="0001223F">
            <w:pPr>
              <w:spacing w:after="0"/>
              <w:jc w:val="center"/>
              <w:rPr>
                <w:rFonts w:ascii="Times New Roman" w:eastAsia="Times New Roman" w:hAnsi="Times New Roman"/>
                <w:b w:val="0"/>
                <w:bCs w:val="0"/>
                <w:sz w:val="22"/>
                <w:szCs w:val="22"/>
                <w:lang w:eastAsia="ar-SA" w:bidi="ar-JO"/>
              </w:rPr>
            </w:pPr>
            <w:r w:rsidRPr="00C0031B">
              <w:rPr>
                <w:rFonts w:ascii="Times New Roman" w:eastAsia="Times New Roman" w:hAnsi="Times New Roman"/>
                <w:b w:val="0"/>
                <w:bCs w:val="0"/>
                <w:sz w:val="22"/>
                <w:szCs w:val="22"/>
                <w:lang w:eastAsia="ar-SA" w:bidi="ar-JO"/>
              </w:rPr>
              <w:t>BB+ to</w:t>
            </w:r>
          </w:p>
          <w:p w:rsidR="00505A8B" w:rsidRPr="00C0031B" w:rsidRDefault="00505A8B" w:rsidP="0001223F">
            <w:pPr>
              <w:spacing w:after="0"/>
              <w:jc w:val="center"/>
              <w:rPr>
                <w:rFonts w:ascii="Times New Roman" w:eastAsia="Times New Roman" w:hAnsi="Times New Roman"/>
                <w:b w:val="0"/>
                <w:bCs w:val="0"/>
                <w:sz w:val="22"/>
                <w:szCs w:val="22"/>
                <w:lang w:eastAsia="ar-SA" w:bidi="ar-JO"/>
              </w:rPr>
            </w:pPr>
            <w:r w:rsidRPr="00C0031B">
              <w:rPr>
                <w:rFonts w:ascii="Times New Roman" w:eastAsia="Times New Roman" w:hAnsi="Times New Roman"/>
                <w:b w:val="0"/>
                <w:bCs w:val="0"/>
                <w:sz w:val="22"/>
                <w:szCs w:val="22"/>
                <w:lang w:eastAsia="ar-SA" w:bidi="ar-JO"/>
              </w:rPr>
              <w:t>BB-</w:t>
            </w:r>
          </w:p>
        </w:tc>
        <w:tc>
          <w:tcPr>
            <w:tcW w:w="236" w:type="dxa"/>
            <w:vMerge/>
          </w:tcPr>
          <w:p w:rsidR="00505A8B" w:rsidRPr="00C0031B" w:rsidRDefault="00505A8B" w:rsidP="0001223F">
            <w:pPr>
              <w:bidi w:val="0"/>
              <w:spacing w:after="0"/>
              <w:jc w:val="right"/>
              <w:rPr>
                <w:rFonts w:ascii="Times New Roman" w:eastAsia="Times New Roman" w:hAnsi="Times New Roman"/>
                <w:b w:val="0"/>
                <w:bCs w:val="0"/>
                <w:sz w:val="22"/>
                <w:szCs w:val="22"/>
                <w:lang w:eastAsia="ar-SA" w:bidi="ar-JO"/>
              </w:rPr>
            </w:pPr>
          </w:p>
        </w:tc>
        <w:tc>
          <w:tcPr>
            <w:tcW w:w="1088" w:type="dxa"/>
            <w:shd w:val="clear" w:color="auto" w:fill="000000"/>
            <w:tcMar>
              <w:left w:w="57" w:type="dxa"/>
              <w:right w:w="57" w:type="dxa"/>
            </w:tcMar>
            <w:vAlign w:val="center"/>
          </w:tcPr>
          <w:p w:rsidR="00505A8B" w:rsidRPr="00C0031B" w:rsidRDefault="00505A8B" w:rsidP="0001223F">
            <w:pPr>
              <w:spacing w:after="0"/>
              <w:jc w:val="center"/>
              <w:rPr>
                <w:rFonts w:ascii="Times New Roman" w:eastAsia="Times New Roman" w:hAnsi="Times New Roman"/>
                <w:b w:val="0"/>
                <w:bCs w:val="0"/>
                <w:sz w:val="22"/>
                <w:szCs w:val="22"/>
                <w:lang w:eastAsia="ar-SA" w:bidi="ar-JO"/>
              </w:rPr>
            </w:pPr>
          </w:p>
        </w:tc>
        <w:tc>
          <w:tcPr>
            <w:tcW w:w="1134" w:type="dxa"/>
            <w:gridSpan w:val="2"/>
            <w:shd w:val="clear" w:color="auto" w:fill="000000"/>
            <w:tcMar>
              <w:left w:w="57" w:type="dxa"/>
              <w:right w:w="57" w:type="dxa"/>
            </w:tcMar>
            <w:vAlign w:val="center"/>
          </w:tcPr>
          <w:p w:rsidR="00505A8B" w:rsidRPr="00C0031B" w:rsidRDefault="00505A8B" w:rsidP="0001223F">
            <w:pPr>
              <w:spacing w:after="0"/>
              <w:jc w:val="center"/>
              <w:rPr>
                <w:rFonts w:ascii="Times New Roman" w:eastAsia="Times New Roman" w:hAnsi="Times New Roman"/>
                <w:b w:val="0"/>
                <w:bCs w:val="0"/>
                <w:sz w:val="22"/>
                <w:szCs w:val="22"/>
                <w:lang w:eastAsia="ar-SA" w:bidi="ar-JO"/>
              </w:rPr>
            </w:pPr>
          </w:p>
        </w:tc>
        <w:tc>
          <w:tcPr>
            <w:tcW w:w="1418" w:type="dxa"/>
            <w:shd w:val="clear" w:color="auto" w:fill="000000"/>
            <w:tcMar>
              <w:left w:w="57" w:type="dxa"/>
              <w:right w:w="57" w:type="dxa"/>
            </w:tcMar>
            <w:vAlign w:val="center"/>
          </w:tcPr>
          <w:p w:rsidR="00505A8B" w:rsidRPr="00C0031B" w:rsidRDefault="00505A8B" w:rsidP="0001223F">
            <w:pPr>
              <w:spacing w:after="0"/>
              <w:jc w:val="center"/>
              <w:rPr>
                <w:rFonts w:ascii="Times New Roman" w:eastAsia="Times New Roman" w:hAnsi="Times New Roman"/>
                <w:b w:val="0"/>
                <w:bCs w:val="0"/>
                <w:sz w:val="22"/>
                <w:szCs w:val="22"/>
                <w:lang w:eastAsia="ar-SA" w:bidi="ar-JO"/>
              </w:rPr>
            </w:pPr>
          </w:p>
        </w:tc>
        <w:tc>
          <w:tcPr>
            <w:tcW w:w="425" w:type="dxa"/>
            <w:vMerge/>
          </w:tcPr>
          <w:p w:rsidR="00505A8B" w:rsidRPr="00C0031B" w:rsidRDefault="00505A8B" w:rsidP="0001223F">
            <w:pPr>
              <w:bidi w:val="0"/>
              <w:spacing w:after="0"/>
              <w:rPr>
                <w:rFonts w:ascii="Times New Roman" w:eastAsia="Times New Roman" w:hAnsi="Times New Roman"/>
                <w:b w:val="0"/>
                <w:bCs w:val="0"/>
                <w:sz w:val="22"/>
                <w:szCs w:val="22"/>
                <w:lang w:eastAsia="ar-SA" w:bidi="ar-JO"/>
              </w:rPr>
            </w:pPr>
          </w:p>
        </w:tc>
        <w:tc>
          <w:tcPr>
            <w:tcW w:w="1276" w:type="dxa"/>
            <w:tcMar>
              <w:left w:w="57" w:type="dxa"/>
              <w:right w:w="57" w:type="dxa"/>
            </w:tcMar>
            <w:vAlign w:val="center"/>
          </w:tcPr>
          <w:p w:rsidR="00505A8B" w:rsidRPr="00C0031B" w:rsidRDefault="00505A8B" w:rsidP="0001223F">
            <w:pPr>
              <w:bidi w:val="0"/>
              <w:spacing w:after="0"/>
              <w:jc w:val="center"/>
              <w:rPr>
                <w:rFonts w:ascii="Times New Roman" w:eastAsia="Times New Roman" w:hAnsi="Times New Roman"/>
                <w:b w:val="0"/>
                <w:bCs w:val="0"/>
                <w:sz w:val="22"/>
                <w:szCs w:val="22"/>
                <w:lang w:eastAsia="ar-SA" w:bidi="ar-JO"/>
              </w:rPr>
            </w:pPr>
            <w:r w:rsidRPr="00C0031B">
              <w:rPr>
                <w:rFonts w:ascii="Times New Roman" w:eastAsia="Times New Roman" w:hAnsi="Times New Roman"/>
                <w:b w:val="0"/>
                <w:bCs w:val="0"/>
                <w:sz w:val="22"/>
                <w:szCs w:val="22"/>
                <w:lang w:eastAsia="ar-SA" w:bidi="ar-JO"/>
              </w:rPr>
              <w:t>100%</w:t>
            </w:r>
          </w:p>
        </w:tc>
        <w:tc>
          <w:tcPr>
            <w:tcW w:w="1559" w:type="dxa"/>
            <w:tcMar>
              <w:left w:w="57" w:type="dxa"/>
              <w:right w:w="57" w:type="dxa"/>
            </w:tcMar>
            <w:vAlign w:val="center"/>
          </w:tcPr>
          <w:p w:rsidR="00505A8B" w:rsidRPr="00C0031B" w:rsidRDefault="00505A8B" w:rsidP="0001223F">
            <w:pPr>
              <w:bidi w:val="0"/>
              <w:spacing w:after="0"/>
              <w:jc w:val="center"/>
              <w:rPr>
                <w:rFonts w:ascii="Times New Roman" w:eastAsia="Times New Roman" w:hAnsi="Times New Roman"/>
                <w:b w:val="0"/>
                <w:bCs w:val="0"/>
                <w:sz w:val="22"/>
                <w:szCs w:val="22"/>
                <w:lang w:eastAsia="ar-SA" w:bidi="ar-JO"/>
              </w:rPr>
            </w:pPr>
            <w:r w:rsidRPr="00C0031B">
              <w:rPr>
                <w:rFonts w:ascii="Times New Roman" w:eastAsia="Times New Roman" w:hAnsi="Times New Roman"/>
                <w:b w:val="0"/>
                <w:bCs w:val="0"/>
                <w:sz w:val="22"/>
                <w:szCs w:val="22"/>
                <w:lang w:eastAsia="ar-SA" w:bidi="ar-JO"/>
              </w:rPr>
              <w:t>100%</w:t>
            </w:r>
          </w:p>
        </w:tc>
        <w:tc>
          <w:tcPr>
            <w:tcW w:w="1916" w:type="dxa"/>
            <w:tcMar>
              <w:left w:w="57" w:type="dxa"/>
              <w:right w:w="57" w:type="dxa"/>
            </w:tcMar>
            <w:vAlign w:val="center"/>
          </w:tcPr>
          <w:p w:rsidR="00505A8B" w:rsidRPr="00C0031B" w:rsidRDefault="00505A8B" w:rsidP="0001223F">
            <w:pPr>
              <w:bidi w:val="0"/>
              <w:spacing w:after="0"/>
              <w:jc w:val="center"/>
              <w:rPr>
                <w:rFonts w:ascii="Times New Roman" w:eastAsia="Times New Roman" w:hAnsi="Times New Roman"/>
                <w:b w:val="0"/>
                <w:bCs w:val="0"/>
                <w:sz w:val="22"/>
                <w:szCs w:val="22"/>
                <w:lang w:eastAsia="ar-SA" w:bidi="ar-JO"/>
              </w:rPr>
            </w:pPr>
            <w:r w:rsidRPr="00C0031B">
              <w:rPr>
                <w:rFonts w:ascii="Times New Roman" w:eastAsia="Times New Roman" w:hAnsi="Times New Roman"/>
                <w:b w:val="0"/>
                <w:bCs w:val="0"/>
                <w:sz w:val="22"/>
                <w:szCs w:val="22"/>
                <w:lang w:eastAsia="ar-SA" w:bidi="ar-JO"/>
              </w:rPr>
              <w:t>50%</w:t>
            </w:r>
          </w:p>
        </w:tc>
        <w:tc>
          <w:tcPr>
            <w:tcW w:w="1363" w:type="dxa"/>
            <w:tcMar>
              <w:left w:w="57" w:type="dxa"/>
              <w:right w:w="57" w:type="dxa"/>
            </w:tcMar>
            <w:vAlign w:val="center"/>
          </w:tcPr>
          <w:p w:rsidR="00505A8B" w:rsidRPr="00C0031B" w:rsidRDefault="00505A8B" w:rsidP="0001223F">
            <w:pPr>
              <w:spacing w:after="0"/>
              <w:jc w:val="center"/>
              <w:rPr>
                <w:rFonts w:ascii="Times New Roman" w:eastAsia="Times New Roman" w:hAnsi="Times New Roman"/>
                <w:b w:val="0"/>
                <w:bCs w:val="0"/>
                <w:sz w:val="22"/>
                <w:szCs w:val="22"/>
                <w:lang w:eastAsia="ar-SA" w:bidi="ar-JO"/>
              </w:rPr>
            </w:pPr>
            <w:r w:rsidRPr="00C0031B">
              <w:rPr>
                <w:rFonts w:ascii="Times New Roman" w:eastAsia="Times New Roman" w:hAnsi="Times New Roman"/>
                <w:b w:val="0"/>
                <w:bCs w:val="0"/>
                <w:sz w:val="22"/>
                <w:szCs w:val="22"/>
                <w:lang w:eastAsia="ar-SA" w:bidi="ar-JO"/>
              </w:rPr>
              <w:t>100%</w:t>
            </w:r>
          </w:p>
        </w:tc>
      </w:tr>
      <w:tr w:rsidR="00505A8B" w:rsidRPr="00C0031B" w:rsidTr="0001223F">
        <w:trPr>
          <w:gridAfter w:val="1"/>
          <w:wAfter w:w="6" w:type="dxa"/>
          <w:cantSplit/>
          <w:trHeight w:val="544"/>
          <w:jc w:val="center"/>
        </w:trPr>
        <w:tc>
          <w:tcPr>
            <w:tcW w:w="1555" w:type="dxa"/>
            <w:tcMar>
              <w:left w:w="57" w:type="dxa"/>
              <w:right w:w="57" w:type="dxa"/>
            </w:tcMar>
            <w:vAlign w:val="center"/>
          </w:tcPr>
          <w:p w:rsidR="00505A8B" w:rsidRPr="00C0031B" w:rsidRDefault="00505A8B" w:rsidP="0001223F">
            <w:pPr>
              <w:spacing w:after="0"/>
              <w:jc w:val="center"/>
              <w:rPr>
                <w:rFonts w:ascii="Times New Roman" w:eastAsia="Times New Roman" w:hAnsi="Times New Roman"/>
                <w:b w:val="0"/>
                <w:bCs w:val="0"/>
                <w:sz w:val="22"/>
                <w:szCs w:val="22"/>
                <w:lang w:eastAsia="ar-SA" w:bidi="ar-JO"/>
              </w:rPr>
            </w:pPr>
            <w:r w:rsidRPr="00C0031B">
              <w:rPr>
                <w:rFonts w:ascii="Times New Roman" w:eastAsia="Times New Roman" w:hAnsi="Times New Roman"/>
                <w:b w:val="0"/>
                <w:bCs w:val="0"/>
                <w:sz w:val="22"/>
                <w:szCs w:val="22"/>
                <w:lang w:eastAsia="ar-SA" w:bidi="ar-JO"/>
              </w:rPr>
              <w:t>B+ to</w:t>
            </w:r>
          </w:p>
          <w:p w:rsidR="00505A8B" w:rsidRPr="00C0031B" w:rsidRDefault="00505A8B" w:rsidP="0001223F">
            <w:pPr>
              <w:spacing w:after="0"/>
              <w:jc w:val="center"/>
              <w:rPr>
                <w:rFonts w:ascii="Times New Roman" w:eastAsia="Times New Roman" w:hAnsi="Times New Roman"/>
                <w:b w:val="0"/>
                <w:bCs w:val="0"/>
                <w:sz w:val="22"/>
                <w:szCs w:val="22"/>
                <w:lang w:eastAsia="ar-SA" w:bidi="ar-JO"/>
              </w:rPr>
            </w:pPr>
            <w:r w:rsidRPr="00C0031B">
              <w:rPr>
                <w:rFonts w:ascii="Times New Roman" w:eastAsia="Times New Roman" w:hAnsi="Times New Roman"/>
                <w:b w:val="0"/>
                <w:bCs w:val="0"/>
                <w:sz w:val="22"/>
                <w:szCs w:val="22"/>
                <w:lang w:eastAsia="ar-SA" w:bidi="ar-JO"/>
              </w:rPr>
              <w:t>B-</w:t>
            </w:r>
          </w:p>
        </w:tc>
        <w:tc>
          <w:tcPr>
            <w:tcW w:w="1433" w:type="dxa"/>
            <w:tcMar>
              <w:left w:w="57" w:type="dxa"/>
              <w:right w:w="57" w:type="dxa"/>
            </w:tcMar>
            <w:vAlign w:val="center"/>
          </w:tcPr>
          <w:p w:rsidR="00505A8B" w:rsidRPr="00C0031B" w:rsidRDefault="00505A8B" w:rsidP="0001223F">
            <w:pPr>
              <w:spacing w:after="0"/>
              <w:jc w:val="center"/>
              <w:rPr>
                <w:rFonts w:ascii="Times New Roman" w:eastAsia="Times New Roman" w:hAnsi="Times New Roman"/>
                <w:b w:val="0"/>
                <w:bCs w:val="0"/>
                <w:sz w:val="22"/>
                <w:szCs w:val="22"/>
                <w:lang w:eastAsia="ar-SA" w:bidi="ar-JO"/>
              </w:rPr>
            </w:pPr>
            <w:r w:rsidRPr="00C0031B">
              <w:rPr>
                <w:rFonts w:ascii="Times New Roman" w:eastAsia="Times New Roman" w:hAnsi="Times New Roman"/>
                <w:b w:val="0"/>
                <w:bCs w:val="0"/>
                <w:sz w:val="22"/>
                <w:szCs w:val="22"/>
                <w:lang w:eastAsia="ar-SA" w:bidi="ar-JO"/>
              </w:rPr>
              <w:t>B1 to</w:t>
            </w:r>
          </w:p>
          <w:p w:rsidR="00505A8B" w:rsidRPr="00C0031B" w:rsidRDefault="00505A8B" w:rsidP="0001223F">
            <w:pPr>
              <w:spacing w:after="0"/>
              <w:jc w:val="center"/>
              <w:rPr>
                <w:rFonts w:ascii="Times New Roman" w:eastAsia="Times New Roman" w:hAnsi="Times New Roman"/>
                <w:b w:val="0"/>
                <w:bCs w:val="0"/>
                <w:sz w:val="22"/>
                <w:szCs w:val="22"/>
                <w:lang w:eastAsia="ar-SA" w:bidi="ar-JO"/>
              </w:rPr>
            </w:pPr>
            <w:r w:rsidRPr="00C0031B">
              <w:rPr>
                <w:rFonts w:ascii="Times New Roman" w:eastAsia="Times New Roman" w:hAnsi="Times New Roman"/>
                <w:b w:val="0"/>
                <w:bCs w:val="0"/>
                <w:sz w:val="22"/>
                <w:szCs w:val="22"/>
                <w:lang w:eastAsia="ar-SA" w:bidi="ar-JO"/>
              </w:rPr>
              <w:t>B3</w:t>
            </w:r>
          </w:p>
        </w:tc>
        <w:tc>
          <w:tcPr>
            <w:tcW w:w="1495" w:type="dxa"/>
            <w:tcMar>
              <w:left w:w="57" w:type="dxa"/>
              <w:right w:w="57" w:type="dxa"/>
            </w:tcMar>
            <w:vAlign w:val="center"/>
          </w:tcPr>
          <w:p w:rsidR="00505A8B" w:rsidRPr="00C0031B" w:rsidRDefault="00505A8B" w:rsidP="0001223F">
            <w:pPr>
              <w:spacing w:after="0"/>
              <w:jc w:val="center"/>
              <w:rPr>
                <w:rFonts w:ascii="Times New Roman" w:eastAsia="Times New Roman" w:hAnsi="Times New Roman"/>
                <w:b w:val="0"/>
                <w:bCs w:val="0"/>
                <w:sz w:val="22"/>
                <w:szCs w:val="22"/>
                <w:lang w:eastAsia="ar-SA" w:bidi="ar-JO"/>
              </w:rPr>
            </w:pPr>
            <w:r w:rsidRPr="00C0031B">
              <w:rPr>
                <w:rFonts w:ascii="Times New Roman" w:eastAsia="Times New Roman" w:hAnsi="Times New Roman"/>
                <w:b w:val="0"/>
                <w:bCs w:val="0"/>
                <w:sz w:val="22"/>
                <w:szCs w:val="22"/>
                <w:lang w:eastAsia="ar-SA" w:bidi="ar-JO"/>
              </w:rPr>
              <w:t>B+ to</w:t>
            </w:r>
          </w:p>
          <w:p w:rsidR="00505A8B" w:rsidRPr="00C0031B" w:rsidRDefault="00505A8B" w:rsidP="0001223F">
            <w:pPr>
              <w:spacing w:after="0"/>
              <w:jc w:val="center"/>
              <w:rPr>
                <w:rFonts w:ascii="Times New Roman" w:eastAsia="Times New Roman" w:hAnsi="Times New Roman"/>
                <w:b w:val="0"/>
                <w:bCs w:val="0"/>
                <w:sz w:val="22"/>
                <w:szCs w:val="22"/>
                <w:lang w:eastAsia="ar-SA" w:bidi="ar-JO"/>
              </w:rPr>
            </w:pPr>
            <w:r w:rsidRPr="00C0031B">
              <w:rPr>
                <w:rFonts w:ascii="Times New Roman" w:eastAsia="Times New Roman" w:hAnsi="Times New Roman"/>
                <w:b w:val="0"/>
                <w:bCs w:val="0"/>
                <w:sz w:val="22"/>
                <w:szCs w:val="22"/>
                <w:lang w:eastAsia="ar-SA" w:bidi="ar-JO"/>
              </w:rPr>
              <w:t>B-</w:t>
            </w:r>
          </w:p>
        </w:tc>
        <w:tc>
          <w:tcPr>
            <w:tcW w:w="236" w:type="dxa"/>
            <w:vMerge/>
          </w:tcPr>
          <w:p w:rsidR="00505A8B" w:rsidRPr="00C0031B" w:rsidRDefault="00505A8B" w:rsidP="0001223F">
            <w:pPr>
              <w:bidi w:val="0"/>
              <w:spacing w:after="0"/>
              <w:jc w:val="right"/>
              <w:rPr>
                <w:rFonts w:ascii="Times New Roman" w:eastAsia="Times New Roman" w:hAnsi="Times New Roman"/>
                <w:b w:val="0"/>
                <w:bCs w:val="0"/>
                <w:sz w:val="22"/>
                <w:szCs w:val="22"/>
                <w:lang w:eastAsia="ar-SA" w:bidi="ar-JO"/>
              </w:rPr>
            </w:pPr>
          </w:p>
        </w:tc>
        <w:tc>
          <w:tcPr>
            <w:tcW w:w="3640" w:type="dxa"/>
            <w:gridSpan w:val="4"/>
            <w:shd w:val="clear" w:color="auto" w:fill="000000"/>
            <w:tcMar>
              <w:left w:w="57" w:type="dxa"/>
              <w:right w:w="57" w:type="dxa"/>
            </w:tcMar>
            <w:vAlign w:val="center"/>
          </w:tcPr>
          <w:p w:rsidR="00505A8B" w:rsidRPr="00C0031B" w:rsidRDefault="00505A8B" w:rsidP="0001223F">
            <w:pPr>
              <w:spacing w:after="0"/>
              <w:jc w:val="center"/>
              <w:rPr>
                <w:rFonts w:ascii="Times New Roman" w:eastAsia="Times New Roman" w:hAnsi="Times New Roman"/>
                <w:b w:val="0"/>
                <w:bCs w:val="0"/>
                <w:sz w:val="22"/>
                <w:szCs w:val="22"/>
                <w:lang w:eastAsia="ar-SA" w:bidi="ar-JO"/>
              </w:rPr>
            </w:pPr>
          </w:p>
        </w:tc>
        <w:tc>
          <w:tcPr>
            <w:tcW w:w="425" w:type="dxa"/>
            <w:vMerge/>
          </w:tcPr>
          <w:p w:rsidR="00505A8B" w:rsidRPr="00C0031B" w:rsidRDefault="00505A8B" w:rsidP="0001223F">
            <w:pPr>
              <w:bidi w:val="0"/>
              <w:spacing w:after="0"/>
              <w:rPr>
                <w:rFonts w:ascii="Times New Roman" w:eastAsia="Times New Roman" w:hAnsi="Times New Roman"/>
                <w:b w:val="0"/>
                <w:bCs w:val="0"/>
                <w:sz w:val="22"/>
                <w:szCs w:val="22"/>
                <w:lang w:eastAsia="ar-SA" w:bidi="ar-JO"/>
              </w:rPr>
            </w:pPr>
          </w:p>
        </w:tc>
        <w:tc>
          <w:tcPr>
            <w:tcW w:w="1276" w:type="dxa"/>
            <w:tcMar>
              <w:left w:w="57" w:type="dxa"/>
              <w:right w:w="57" w:type="dxa"/>
            </w:tcMar>
            <w:vAlign w:val="center"/>
          </w:tcPr>
          <w:p w:rsidR="00505A8B" w:rsidRPr="00C0031B" w:rsidRDefault="00505A8B" w:rsidP="0001223F">
            <w:pPr>
              <w:bidi w:val="0"/>
              <w:spacing w:after="0"/>
              <w:jc w:val="center"/>
              <w:rPr>
                <w:rFonts w:ascii="Times New Roman" w:eastAsia="Times New Roman" w:hAnsi="Times New Roman"/>
                <w:b w:val="0"/>
                <w:bCs w:val="0"/>
                <w:sz w:val="22"/>
                <w:szCs w:val="22"/>
                <w:lang w:eastAsia="ar-SA" w:bidi="ar-JO"/>
              </w:rPr>
            </w:pPr>
            <w:r w:rsidRPr="00C0031B">
              <w:rPr>
                <w:rFonts w:ascii="Times New Roman" w:eastAsia="Times New Roman" w:hAnsi="Times New Roman"/>
                <w:b w:val="0"/>
                <w:bCs w:val="0"/>
                <w:sz w:val="22"/>
                <w:szCs w:val="22"/>
                <w:lang w:eastAsia="ar-SA" w:bidi="ar-JO"/>
              </w:rPr>
              <w:t>100%</w:t>
            </w:r>
          </w:p>
        </w:tc>
        <w:tc>
          <w:tcPr>
            <w:tcW w:w="1559" w:type="dxa"/>
            <w:tcMar>
              <w:left w:w="57" w:type="dxa"/>
              <w:right w:w="57" w:type="dxa"/>
            </w:tcMar>
            <w:vAlign w:val="center"/>
          </w:tcPr>
          <w:p w:rsidR="00505A8B" w:rsidRPr="00C0031B" w:rsidRDefault="00505A8B" w:rsidP="0001223F">
            <w:pPr>
              <w:bidi w:val="0"/>
              <w:spacing w:after="0"/>
              <w:jc w:val="center"/>
              <w:rPr>
                <w:rFonts w:ascii="Times New Roman" w:eastAsia="Times New Roman" w:hAnsi="Times New Roman"/>
                <w:b w:val="0"/>
                <w:bCs w:val="0"/>
                <w:sz w:val="22"/>
                <w:szCs w:val="22"/>
                <w:lang w:eastAsia="ar-SA" w:bidi="ar-JO"/>
              </w:rPr>
            </w:pPr>
            <w:r w:rsidRPr="00C0031B">
              <w:rPr>
                <w:rFonts w:ascii="Times New Roman" w:eastAsia="Times New Roman" w:hAnsi="Times New Roman"/>
                <w:b w:val="0"/>
                <w:bCs w:val="0"/>
                <w:sz w:val="22"/>
                <w:szCs w:val="22"/>
                <w:lang w:eastAsia="ar-SA" w:bidi="ar-JO"/>
              </w:rPr>
              <w:t>150%</w:t>
            </w:r>
          </w:p>
        </w:tc>
        <w:tc>
          <w:tcPr>
            <w:tcW w:w="1916" w:type="dxa"/>
            <w:tcMar>
              <w:left w:w="57" w:type="dxa"/>
              <w:right w:w="57" w:type="dxa"/>
            </w:tcMar>
            <w:vAlign w:val="center"/>
          </w:tcPr>
          <w:p w:rsidR="00505A8B" w:rsidRPr="00C0031B" w:rsidRDefault="00505A8B" w:rsidP="0001223F">
            <w:pPr>
              <w:spacing w:after="0"/>
              <w:jc w:val="center"/>
              <w:rPr>
                <w:rFonts w:ascii="Times New Roman" w:eastAsia="Times New Roman" w:hAnsi="Times New Roman"/>
                <w:b w:val="0"/>
                <w:bCs w:val="0"/>
                <w:sz w:val="22"/>
                <w:szCs w:val="22"/>
                <w:lang w:eastAsia="ar-SA" w:bidi="ar-JO"/>
              </w:rPr>
            </w:pPr>
            <w:r w:rsidRPr="00C0031B">
              <w:rPr>
                <w:rFonts w:ascii="Times New Roman" w:eastAsia="Times New Roman" w:hAnsi="Times New Roman"/>
                <w:b w:val="0"/>
                <w:bCs w:val="0"/>
                <w:sz w:val="22"/>
                <w:szCs w:val="22"/>
                <w:lang w:eastAsia="ar-SA" w:bidi="ar-JO"/>
              </w:rPr>
              <w:t>50%</w:t>
            </w:r>
          </w:p>
        </w:tc>
        <w:tc>
          <w:tcPr>
            <w:tcW w:w="1363" w:type="dxa"/>
            <w:tcMar>
              <w:left w:w="57" w:type="dxa"/>
              <w:right w:w="57" w:type="dxa"/>
            </w:tcMar>
            <w:vAlign w:val="center"/>
          </w:tcPr>
          <w:p w:rsidR="00505A8B" w:rsidRPr="00C0031B" w:rsidRDefault="00505A8B" w:rsidP="0001223F">
            <w:pPr>
              <w:spacing w:after="0"/>
              <w:jc w:val="center"/>
              <w:rPr>
                <w:rFonts w:ascii="Times New Roman" w:eastAsia="Times New Roman" w:hAnsi="Times New Roman"/>
                <w:b w:val="0"/>
                <w:bCs w:val="0"/>
                <w:sz w:val="22"/>
                <w:szCs w:val="22"/>
                <w:lang w:eastAsia="ar-SA" w:bidi="ar-JO"/>
              </w:rPr>
            </w:pPr>
            <w:r w:rsidRPr="00C0031B">
              <w:rPr>
                <w:rFonts w:ascii="Times New Roman" w:eastAsia="Times New Roman" w:hAnsi="Times New Roman"/>
                <w:b w:val="0"/>
                <w:bCs w:val="0"/>
                <w:sz w:val="22"/>
                <w:szCs w:val="22"/>
                <w:lang w:eastAsia="ar-SA" w:bidi="ar-JO"/>
              </w:rPr>
              <w:t>100%</w:t>
            </w:r>
          </w:p>
        </w:tc>
      </w:tr>
      <w:tr w:rsidR="00505A8B" w:rsidRPr="00C0031B" w:rsidTr="0001223F">
        <w:trPr>
          <w:gridAfter w:val="1"/>
          <w:wAfter w:w="6" w:type="dxa"/>
          <w:cantSplit/>
          <w:trHeight w:val="544"/>
          <w:jc w:val="center"/>
        </w:trPr>
        <w:tc>
          <w:tcPr>
            <w:tcW w:w="1555" w:type="dxa"/>
            <w:tcMar>
              <w:left w:w="57" w:type="dxa"/>
              <w:right w:w="57" w:type="dxa"/>
            </w:tcMar>
            <w:vAlign w:val="center"/>
          </w:tcPr>
          <w:p w:rsidR="00505A8B" w:rsidRPr="00C0031B" w:rsidRDefault="00505A8B" w:rsidP="0001223F">
            <w:pPr>
              <w:spacing w:after="0"/>
              <w:jc w:val="center"/>
              <w:rPr>
                <w:rFonts w:ascii="Times New Roman" w:eastAsia="Times New Roman" w:hAnsi="Times New Roman"/>
                <w:b w:val="0"/>
                <w:bCs w:val="0"/>
                <w:sz w:val="22"/>
                <w:szCs w:val="22"/>
                <w:lang w:eastAsia="ar-SA" w:bidi="ar-JO"/>
              </w:rPr>
            </w:pPr>
            <w:r w:rsidRPr="00C0031B">
              <w:rPr>
                <w:rFonts w:ascii="Times New Roman" w:eastAsia="Times New Roman" w:hAnsi="Times New Roman"/>
                <w:b w:val="0"/>
                <w:bCs w:val="0"/>
                <w:sz w:val="22"/>
                <w:szCs w:val="22"/>
                <w:lang w:eastAsia="ar-SA" w:bidi="ar-JO"/>
              </w:rPr>
              <w:t>CCC+ and below</w:t>
            </w:r>
          </w:p>
        </w:tc>
        <w:tc>
          <w:tcPr>
            <w:tcW w:w="1433" w:type="dxa"/>
            <w:tcMar>
              <w:left w:w="57" w:type="dxa"/>
              <w:right w:w="57" w:type="dxa"/>
            </w:tcMar>
            <w:vAlign w:val="center"/>
          </w:tcPr>
          <w:p w:rsidR="00505A8B" w:rsidRPr="00C0031B" w:rsidRDefault="00505A8B" w:rsidP="0001223F">
            <w:pPr>
              <w:spacing w:after="0"/>
              <w:jc w:val="center"/>
              <w:rPr>
                <w:rFonts w:ascii="Times New Roman" w:eastAsia="Times New Roman" w:hAnsi="Times New Roman"/>
                <w:b w:val="0"/>
                <w:bCs w:val="0"/>
                <w:sz w:val="22"/>
                <w:szCs w:val="22"/>
                <w:lang w:eastAsia="ar-SA" w:bidi="ar-JO"/>
              </w:rPr>
            </w:pPr>
            <w:r w:rsidRPr="00C0031B">
              <w:rPr>
                <w:rFonts w:ascii="Times New Roman" w:eastAsia="Times New Roman" w:hAnsi="Times New Roman"/>
                <w:b w:val="0"/>
                <w:bCs w:val="0"/>
                <w:sz w:val="22"/>
                <w:szCs w:val="22"/>
                <w:lang w:eastAsia="ar-SA" w:bidi="ar-JO"/>
              </w:rPr>
              <w:t>Caa1 and Below</w:t>
            </w:r>
          </w:p>
        </w:tc>
        <w:tc>
          <w:tcPr>
            <w:tcW w:w="1495" w:type="dxa"/>
            <w:tcMar>
              <w:left w:w="57" w:type="dxa"/>
              <w:right w:w="57" w:type="dxa"/>
            </w:tcMar>
            <w:vAlign w:val="center"/>
          </w:tcPr>
          <w:p w:rsidR="00505A8B" w:rsidRPr="00C0031B" w:rsidRDefault="00505A8B" w:rsidP="0001223F">
            <w:pPr>
              <w:spacing w:after="0"/>
              <w:jc w:val="center"/>
              <w:rPr>
                <w:rFonts w:ascii="Times New Roman" w:eastAsia="Times New Roman" w:hAnsi="Times New Roman"/>
                <w:b w:val="0"/>
                <w:bCs w:val="0"/>
                <w:sz w:val="22"/>
                <w:szCs w:val="22"/>
                <w:lang w:eastAsia="ar-SA" w:bidi="ar-JO"/>
              </w:rPr>
            </w:pPr>
            <w:r w:rsidRPr="00C0031B">
              <w:rPr>
                <w:rFonts w:ascii="Times New Roman" w:eastAsia="Times New Roman" w:hAnsi="Times New Roman"/>
                <w:b w:val="0"/>
                <w:bCs w:val="0"/>
                <w:sz w:val="22"/>
                <w:szCs w:val="22"/>
                <w:lang w:eastAsia="ar-SA" w:bidi="ar-JO"/>
              </w:rPr>
              <w:t>CCC+ and below</w:t>
            </w:r>
          </w:p>
        </w:tc>
        <w:tc>
          <w:tcPr>
            <w:tcW w:w="236" w:type="dxa"/>
            <w:vMerge/>
          </w:tcPr>
          <w:p w:rsidR="00505A8B" w:rsidRPr="00C0031B" w:rsidRDefault="00505A8B" w:rsidP="0001223F">
            <w:pPr>
              <w:bidi w:val="0"/>
              <w:spacing w:after="0"/>
              <w:jc w:val="right"/>
              <w:rPr>
                <w:rFonts w:ascii="Times New Roman" w:eastAsia="Times New Roman" w:hAnsi="Times New Roman"/>
                <w:b w:val="0"/>
                <w:bCs w:val="0"/>
                <w:sz w:val="22"/>
                <w:szCs w:val="22"/>
                <w:lang w:eastAsia="ar-SA" w:bidi="ar-JO"/>
              </w:rPr>
            </w:pPr>
          </w:p>
        </w:tc>
        <w:tc>
          <w:tcPr>
            <w:tcW w:w="1476" w:type="dxa"/>
            <w:gridSpan w:val="2"/>
            <w:tcMar>
              <w:left w:w="57" w:type="dxa"/>
              <w:right w:w="57" w:type="dxa"/>
            </w:tcMar>
            <w:vAlign w:val="center"/>
          </w:tcPr>
          <w:p w:rsidR="00505A8B" w:rsidRPr="00C0031B" w:rsidRDefault="00505A8B" w:rsidP="0001223F">
            <w:pPr>
              <w:spacing w:after="0"/>
              <w:jc w:val="center"/>
              <w:rPr>
                <w:rFonts w:ascii="Times New Roman" w:eastAsia="Times New Roman" w:hAnsi="Times New Roman"/>
                <w:b w:val="0"/>
                <w:bCs w:val="0"/>
                <w:sz w:val="22"/>
                <w:szCs w:val="22"/>
                <w:lang w:eastAsia="ar-SA" w:bidi="ar-JO"/>
              </w:rPr>
            </w:pPr>
            <w:r w:rsidRPr="00C0031B">
              <w:rPr>
                <w:rFonts w:ascii="Times New Roman" w:eastAsia="Times New Roman" w:hAnsi="Times New Roman"/>
                <w:b w:val="0"/>
                <w:bCs w:val="0"/>
                <w:sz w:val="22"/>
                <w:szCs w:val="22"/>
                <w:lang w:eastAsia="ar-SA" w:bidi="ar-JO"/>
              </w:rPr>
              <w:t>B-1, B-2,</w:t>
            </w:r>
          </w:p>
          <w:p w:rsidR="00505A8B" w:rsidRPr="00C0031B" w:rsidRDefault="00505A8B" w:rsidP="0001223F">
            <w:pPr>
              <w:spacing w:after="0"/>
              <w:jc w:val="center"/>
              <w:rPr>
                <w:rFonts w:ascii="Times New Roman" w:eastAsia="Times New Roman" w:hAnsi="Times New Roman"/>
                <w:b w:val="0"/>
                <w:bCs w:val="0"/>
                <w:sz w:val="22"/>
                <w:szCs w:val="22"/>
                <w:lang w:eastAsia="ar-SA" w:bidi="ar-JO"/>
              </w:rPr>
            </w:pPr>
            <w:r w:rsidRPr="00C0031B">
              <w:rPr>
                <w:rFonts w:ascii="Times New Roman" w:eastAsia="Times New Roman" w:hAnsi="Times New Roman"/>
                <w:b w:val="0"/>
                <w:bCs w:val="0"/>
                <w:sz w:val="22"/>
                <w:szCs w:val="22"/>
                <w:lang w:eastAsia="ar-SA" w:bidi="ar-JO"/>
              </w:rPr>
              <w:t>B-3, C</w:t>
            </w:r>
          </w:p>
        </w:tc>
        <w:tc>
          <w:tcPr>
            <w:tcW w:w="746" w:type="dxa"/>
            <w:vAlign w:val="center"/>
          </w:tcPr>
          <w:p w:rsidR="00505A8B" w:rsidRPr="00C0031B" w:rsidRDefault="00505A8B" w:rsidP="0001223F">
            <w:pPr>
              <w:spacing w:after="0"/>
              <w:jc w:val="center"/>
              <w:rPr>
                <w:rFonts w:ascii="Times New Roman" w:eastAsia="Times New Roman" w:hAnsi="Times New Roman"/>
                <w:b w:val="0"/>
                <w:bCs w:val="0"/>
                <w:sz w:val="22"/>
                <w:szCs w:val="22"/>
                <w:lang w:eastAsia="ar-SA" w:bidi="ar-JO"/>
              </w:rPr>
            </w:pPr>
            <w:r w:rsidRPr="00C0031B">
              <w:rPr>
                <w:rFonts w:ascii="Times New Roman" w:eastAsia="Times New Roman" w:hAnsi="Times New Roman"/>
                <w:b w:val="0"/>
                <w:bCs w:val="0"/>
                <w:sz w:val="22"/>
                <w:szCs w:val="22"/>
                <w:lang w:eastAsia="ar-SA" w:bidi="ar-JO"/>
              </w:rPr>
              <w:t>NP</w:t>
            </w:r>
          </w:p>
        </w:tc>
        <w:tc>
          <w:tcPr>
            <w:tcW w:w="1418" w:type="dxa"/>
            <w:vAlign w:val="center"/>
          </w:tcPr>
          <w:p w:rsidR="00505A8B" w:rsidRPr="00C0031B" w:rsidRDefault="00505A8B" w:rsidP="0001223F">
            <w:pPr>
              <w:spacing w:after="0"/>
              <w:jc w:val="center"/>
              <w:rPr>
                <w:rFonts w:ascii="Times New Roman" w:eastAsia="Times New Roman" w:hAnsi="Times New Roman"/>
                <w:b w:val="0"/>
                <w:bCs w:val="0"/>
                <w:sz w:val="22"/>
                <w:szCs w:val="22"/>
                <w:lang w:eastAsia="ar-SA" w:bidi="ar-JO"/>
              </w:rPr>
            </w:pPr>
            <w:r w:rsidRPr="00C0031B">
              <w:rPr>
                <w:rFonts w:ascii="Times New Roman" w:eastAsia="Times New Roman" w:hAnsi="Times New Roman"/>
                <w:b w:val="0"/>
                <w:bCs w:val="0"/>
                <w:sz w:val="22"/>
                <w:szCs w:val="22"/>
                <w:lang w:eastAsia="ar-SA" w:bidi="ar-JO"/>
              </w:rPr>
              <w:t>Below F3</w:t>
            </w:r>
          </w:p>
        </w:tc>
        <w:tc>
          <w:tcPr>
            <w:tcW w:w="425" w:type="dxa"/>
            <w:vMerge/>
          </w:tcPr>
          <w:p w:rsidR="00505A8B" w:rsidRPr="00C0031B" w:rsidRDefault="00505A8B" w:rsidP="0001223F">
            <w:pPr>
              <w:bidi w:val="0"/>
              <w:spacing w:after="0"/>
              <w:rPr>
                <w:rFonts w:ascii="Times New Roman" w:eastAsia="Times New Roman" w:hAnsi="Times New Roman"/>
                <w:b w:val="0"/>
                <w:bCs w:val="0"/>
                <w:sz w:val="22"/>
                <w:szCs w:val="22"/>
                <w:lang w:eastAsia="ar-SA" w:bidi="ar-JO"/>
              </w:rPr>
            </w:pPr>
          </w:p>
        </w:tc>
        <w:tc>
          <w:tcPr>
            <w:tcW w:w="1276" w:type="dxa"/>
            <w:tcMar>
              <w:left w:w="57" w:type="dxa"/>
              <w:right w:w="57" w:type="dxa"/>
            </w:tcMar>
            <w:vAlign w:val="center"/>
          </w:tcPr>
          <w:p w:rsidR="00505A8B" w:rsidRPr="00C0031B" w:rsidRDefault="00505A8B" w:rsidP="0001223F">
            <w:pPr>
              <w:bidi w:val="0"/>
              <w:spacing w:after="0"/>
              <w:jc w:val="center"/>
              <w:rPr>
                <w:rFonts w:ascii="Times New Roman" w:eastAsia="Times New Roman" w:hAnsi="Times New Roman"/>
                <w:b w:val="0"/>
                <w:bCs w:val="0"/>
                <w:sz w:val="22"/>
                <w:szCs w:val="22"/>
                <w:lang w:eastAsia="ar-SA" w:bidi="ar-JO"/>
              </w:rPr>
            </w:pPr>
            <w:r w:rsidRPr="00C0031B">
              <w:rPr>
                <w:rFonts w:ascii="Times New Roman" w:eastAsia="Times New Roman" w:hAnsi="Times New Roman"/>
                <w:b w:val="0"/>
                <w:bCs w:val="0"/>
                <w:sz w:val="22"/>
                <w:szCs w:val="22"/>
                <w:lang w:eastAsia="ar-SA" w:bidi="ar-JO"/>
              </w:rPr>
              <w:t>150%</w:t>
            </w:r>
          </w:p>
        </w:tc>
        <w:tc>
          <w:tcPr>
            <w:tcW w:w="1559" w:type="dxa"/>
            <w:tcMar>
              <w:left w:w="57" w:type="dxa"/>
              <w:right w:w="57" w:type="dxa"/>
            </w:tcMar>
            <w:vAlign w:val="center"/>
          </w:tcPr>
          <w:p w:rsidR="00505A8B" w:rsidRPr="00C0031B" w:rsidRDefault="00505A8B" w:rsidP="0001223F">
            <w:pPr>
              <w:bidi w:val="0"/>
              <w:spacing w:after="0"/>
              <w:jc w:val="center"/>
              <w:rPr>
                <w:rFonts w:ascii="Times New Roman" w:eastAsia="Times New Roman" w:hAnsi="Times New Roman"/>
                <w:b w:val="0"/>
                <w:bCs w:val="0"/>
                <w:sz w:val="22"/>
                <w:szCs w:val="22"/>
                <w:lang w:eastAsia="ar-SA" w:bidi="ar-JO"/>
              </w:rPr>
            </w:pPr>
            <w:r w:rsidRPr="00C0031B">
              <w:rPr>
                <w:rFonts w:ascii="Times New Roman" w:eastAsia="Times New Roman" w:hAnsi="Times New Roman"/>
                <w:b w:val="0"/>
                <w:bCs w:val="0"/>
                <w:sz w:val="22"/>
                <w:szCs w:val="22"/>
                <w:lang w:eastAsia="ar-SA" w:bidi="ar-JO"/>
              </w:rPr>
              <w:t>150%</w:t>
            </w:r>
          </w:p>
        </w:tc>
        <w:tc>
          <w:tcPr>
            <w:tcW w:w="1916" w:type="dxa"/>
            <w:tcMar>
              <w:left w:w="57" w:type="dxa"/>
              <w:right w:w="57" w:type="dxa"/>
            </w:tcMar>
            <w:vAlign w:val="center"/>
          </w:tcPr>
          <w:p w:rsidR="00505A8B" w:rsidRPr="00C0031B" w:rsidRDefault="00505A8B" w:rsidP="0001223F">
            <w:pPr>
              <w:bidi w:val="0"/>
              <w:spacing w:after="0"/>
              <w:jc w:val="center"/>
              <w:rPr>
                <w:rFonts w:ascii="Times New Roman" w:eastAsia="Times New Roman" w:hAnsi="Times New Roman"/>
                <w:b w:val="0"/>
                <w:bCs w:val="0"/>
                <w:sz w:val="22"/>
                <w:szCs w:val="22"/>
                <w:lang w:eastAsia="ar-SA" w:bidi="ar-JO"/>
              </w:rPr>
            </w:pPr>
            <w:r w:rsidRPr="00C0031B">
              <w:rPr>
                <w:rFonts w:ascii="Times New Roman" w:eastAsia="Times New Roman" w:hAnsi="Times New Roman"/>
                <w:b w:val="0"/>
                <w:bCs w:val="0"/>
                <w:sz w:val="22"/>
                <w:szCs w:val="22"/>
                <w:lang w:eastAsia="ar-SA" w:bidi="ar-JO"/>
              </w:rPr>
              <w:t>150%</w:t>
            </w:r>
          </w:p>
        </w:tc>
        <w:tc>
          <w:tcPr>
            <w:tcW w:w="1363" w:type="dxa"/>
            <w:tcMar>
              <w:left w:w="57" w:type="dxa"/>
              <w:right w:w="57" w:type="dxa"/>
            </w:tcMar>
            <w:vAlign w:val="center"/>
          </w:tcPr>
          <w:p w:rsidR="00505A8B" w:rsidRPr="00C0031B" w:rsidRDefault="00505A8B" w:rsidP="0001223F">
            <w:pPr>
              <w:bidi w:val="0"/>
              <w:spacing w:after="0"/>
              <w:jc w:val="center"/>
              <w:rPr>
                <w:rFonts w:ascii="Times New Roman" w:eastAsia="Times New Roman" w:hAnsi="Times New Roman"/>
                <w:b w:val="0"/>
                <w:bCs w:val="0"/>
                <w:sz w:val="22"/>
                <w:szCs w:val="22"/>
                <w:lang w:eastAsia="ar-SA" w:bidi="ar-JO"/>
              </w:rPr>
            </w:pPr>
            <w:r w:rsidRPr="00C0031B">
              <w:rPr>
                <w:rFonts w:ascii="Times New Roman" w:eastAsia="Times New Roman" w:hAnsi="Times New Roman"/>
                <w:b w:val="0"/>
                <w:bCs w:val="0"/>
                <w:sz w:val="22"/>
                <w:szCs w:val="22"/>
                <w:lang w:eastAsia="ar-SA" w:bidi="ar-JO"/>
              </w:rPr>
              <w:t>150%</w:t>
            </w:r>
          </w:p>
        </w:tc>
      </w:tr>
    </w:tbl>
    <w:p w:rsidR="00505A8B" w:rsidRDefault="00505A8B" w:rsidP="00505A8B">
      <w:pPr>
        <w:rPr>
          <w:rtl/>
        </w:rPr>
        <w:sectPr w:rsidR="00505A8B" w:rsidSect="00565969">
          <w:pgSz w:w="16838" w:h="11906" w:orient="landscape"/>
          <w:pgMar w:top="1701" w:right="1440" w:bottom="1797" w:left="1440" w:header="709" w:footer="709" w:gutter="0"/>
          <w:cols w:space="708"/>
          <w:titlePg/>
          <w:bidi/>
          <w:rtlGutter/>
          <w:docGrid w:linePitch="360"/>
        </w:sectPr>
      </w:pPr>
    </w:p>
    <w:p w:rsidR="002A5757" w:rsidRPr="00F06631" w:rsidRDefault="00211BBC" w:rsidP="00B66B27">
      <w:pPr>
        <w:pStyle w:val="Heading1"/>
        <w:pBdr>
          <w:bottom w:val="single" w:sz="4" w:space="1" w:color="auto"/>
        </w:pBdr>
        <w:bidi w:val="0"/>
        <w:jc w:val="center"/>
        <w:rPr>
          <w:rFonts w:asciiTheme="majorBidi" w:hAnsiTheme="majorBidi" w:cstheme="majorBidi"/>
          <w:b/>
          <w:bCs/>
        </w:rPr>
      </w:pPr>
      <w:bookmarkStart w:id="70" w:name="_Toc65354416"/>
      <w:r w:rsidRPr="00F06631">
        <w:rPr>
          <w:rFonts w:asciiTheme="majorBidi" w:hAnsiTheme="majorBidi" w:cstheme="majorBidi"/>
          <w:b/>
          <w:bCs/>
        </w:rPr>
        <w:lastRenderedPageBreak/>
        <w:t>Annex (8) *</w:t>
      </w:r>
      <w:r w:rsidR="00B66B27">
        <w:rPr>
          <w:rFonts w:asciiTheme="majorBidi" w:hAnsiTheme="majorBidi" w:cstheme="majorBidi"/>
          <w:b/>
          <w:bCs/>
        </w:rPr>
        <w:t xml:space="preserve"> </w:t>
      </w:r>
      <w:r w:rsidR="002A5757" w:rsidRPr="00F06631">
        <w:rPr>
          <w:rFonts w:asciiTheme="majorBidi" w:hAnsiTheme="majorBidi" w:cstheme="majorBidi"/>
          <w:b/>
          <w:bCs/>
        </w:rPr>
        <w:t xml:space="preserve">Ministries and institutions eligible for </w:t>
      </w:r>
      <w:r w:rsidRPr="00F06631">
        <w:rPr>
          <w:rFonts w:asciiTheme="majorBidi" w:hAnsiTheme="majorBidi" w:cstheme="majorBidi"/>
          <w:b/>
          <w:bCs/>
        </w:rPr>
        <w:t>Jordanian government risk weigh</w:t>
      </w:r>
      <w:r w:rsidR="0006312A" w:rsidRPr="00F06631">
        <w:rPr>
          <w:rFonts w:asciiTheme="majorBidi" w:hAnsiTheme="majorBidi" w:cstheme="majorBidi"/>
          <w:b/>
          <w:bCs/>
        </w:rPr>
        <w:t>ts</w:t>
      </w:r>
      <w:r w:rsidRPr="00F06631">
        <w:rPr>
          <w:rFonts w:asciiTheme="majorBidi" w:hAnsiTheme="majorBidi" w:cstheme="majorBidi"/>
          <w:b/>
          <w:bCs/>
        </w:rPr>
        <w:t xml:space="preserve"> (zero%)</w:t>
      </w:r>
      <w:bookmarkEnd w:id="70"/>
    </w:p>
    <w:p w:rsidR="00F06631" w:rsidRPr="00C0031B" w:rsidRDefault="00F06631" w:rsidP="00F06631">
      <w:pPr>
        <w:bidi w:val="0"/>
        <w:jc w:val="center"/>
        <w:rPr>
          <w:rFonts w:ascii="Times New Roman" w:hAnsi="Times New Roman" w:cs="Times New Roman"/>
          <w:color w:val="202124"/>
          <w:sz w:val="24"/>
          <w:szCs w:val="24"/>
          <w:lang w:val="en"/>
        </w:rPr>
      </w:pPr>
    </w:p>
    <w:tbl>
      <w:tblPr>
        <w:tblStyle w:val="TableGrid"/>
        <w:bidiVisual/>
        <w:tblW w:w="0" w:type="auto"/>
        <w:tblInd w:w="175" w:type="dxa"/>
        <w:tblLook w:val="04A0" w:firstRow="1" w:lastRow="0" w:firstColumn="1" w:lastColumn="0" w:noHBand="0" w:noVBand="1"/>
      </w:tblPr>
      <w:tblGrid>
        <w:gridCol w:w="7382"/>
        <w:gridCol w:w="838"/>
      </w:tblGrid>
      <w:tr w:rsidR="00C11ACC" w:rsidRPr="00C0031B" w:rsidTr="0006312A">
        <w:tc>
          <w:tcPr>
            <w:tcW w:w="7382" w:type="dxa"/>
            <w:shd w:val="clear" w:color="auto" w:fill="EDEDED" w:themeFill="accent3" w:themeFillTint="33"/>
            <w:vAlign w:val="center"/>
          </w:tcPr>
          <w:p w:rsidR="00C11ACC" w:rsidRPr="00C0031B" w:rsidRDefault="00C11ACC" w:rsidP="00C0031B">
            <w:pPr>
              <w:bidi w:val="0"/>
              <w:spacing w:line="276" w:lineRule="auto"/>
              <w:jc w:val="center"/>
              <w:rPr>
                <w:rFonts w:ascii="Times New Roman" w:hAnsi="Times New Roman" w:cs="Times New Roman"/>
                <w:sz w:val="22"/>
                <w:szCs w:val="22"/>
                <w:rtl/>
                <w:lang w:val="en"/>
              </w:rPr>
            </w:pPr>
            <w:r w:rsidRPr="00C0031B">
              <w:rPr>
                <w:rFonts w:ascii="Times New Roman" w:hAnsi="Times New Roman" w:cs="Times New Roman"/>
                <w:sz w:val="22"/>
                <w:szCs w:val="22"/>
                <w:lang w:val="en"/>
              </w:rPr>
              <w:t>Name</w:t>
            </w:r>
          </w:p>
        </w:tc>
        <w:tc>
          <w:tcPr>
            <w:tcW w:w="838" w:type="dxa"/>
            <w:shd w:val="clear" w:color="auto" w:fill="EDEDED" w:themeFill="accent3" w:themeFillTint="33"/>
            <w:vAlign w:val="center"/>
          </w:tcPr>
          <w:p w:rsidR="00C11ACC" w:rsidRPr="00C0031B" w:rsidRDefault="00C11ACC" w:rsidP="00C0031B">
            <w:pPr>
              <w:bidi w:val="0"/>
              <w:spacing w:line="276" w:lineRule="auto"/>
              <w:jc w:val="center"/>
              <w:rPr>
                <w:rFonts w:ascii="Times New Roman" w:hAnsi="Times New Roman" w:cs="Times New Roman"/>
                <w:sz w:val="22"/>
                <w:szCs w:val="22"/>
                <w:rtl/>
                <w:lang w:val="en"/>
              </w:rPr>
            </w:pPr>
            <w:r w:rsidRPr="00C0031B">
              <w:rPr>
                <w:rFonts w:ascii="Times New Roman" w:hAnsi="Times New Roman" w:cs="Times New Roman"/>
                <w:sz w:val="22"/>
                <w:szCs w:val="22"/>
                <w:lang w:val="en"/>
              </w:rPr>
              <w:t>No.</w:t>
            </w:r>
          </w:p>
        </w:tc>
      </w:tr>
      <w:tr w:rsidR="00C11ACC" w:rsidRPr="00C0031B" w:rsidTr="00F91E32">
        <w:tc>
          <w:tcPr>
            <w:tcW w:w="7382" w:type="dxa"/>
            <w:vAlign w:val="center"/>
          </w:tcPr>
          <w:p w:rsidR="00C11ACC" w:rsidRPr="00C0031B" w:rsidRDefault="00C11ACC" w:rsidP="00C0031B">
            <w:pPr>
              <w:bidi w:val="0"/>
              <w:spacing w:after="0" w:line="276" w:lineRule="auto"/>
              <w:jc w:val="left"/>
              <w:rPr>
                <w:rFonts w:ascii="Times New Roman" w:hAnsi="Times New Roman" w:cs="Times New Roman"/>
                <w:b w:val="0"/>
                <w:bCs w:val="0"/>
                <w:sz w:val="22"/>
                <w:szCs w:val="22"/>
                <w:rtl/>
                <w:lang w:val="en"/>
              </w:rPr>
            </w:pPr>
            <w:r w:rsidRPr="00C0031B">
              <w:rPr>
                <w:rFonts w:ascii="Times New Roman" w:hAnsi="Times New Roman" w:cs="Times New Roman"/>
                <w:b w:val="0"/>
                <w:bCs w:val="0"/>
                <w:sz w:val="22"/>
                <w:szCs w:val="22"/>
              </w:rPr>
              <w:t>Royal Hashemite Court</w:t>
            </w:r>
          </w:p>
        </w:tc>
        <w:tc>
          <w:tcPr>
            <w:tcW w:w="838" w:type="dxa"/>
            <w:vAlign w:val="center"/>
          </w:tcPr>
          <w:p w:rsidR="00C11ACC" w:rsidRPr="00C0031B" w:rsidRDefault="00C11ACC" w:rsidP="00C0031B">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1</w:t>
            </w:r>
          </w:p>
        </w:tc>
      </w:tr>
      <w:tr w:rsidR="00C11ACC" w:rsidRPr="00C0031B" w:rsidTr="00F91E32">
        <w:tc>
          <w:tcPr>
            <w:tcW w:w="7382" w:type="dxa"/>
            <w:vAlign w:val="center"/>
          </w:tcPr>
          <w:p w:rsidR="00C11ACC" w:rsidRPr="00C0031B" w:rsidRDefault="00C11ACC" w:rsidP="00C0031B">
            <w:pPr>
              <w:bidi w:val="0"/>
              <w:spacing w:after="0" w:line="276" w:lineRule="auto"/>
              <w:jc w:val="left"/>
              <w:rPr>
                <w:rFonts w:ascii="Times New Roman" w:hAnsi="Times New Roman" w:cs="Times New Roman"/>
                <w:b w:val="0"/>
                <w:bCs w:val="0"/>
                <w:sz w:val="22"/>
                <w:szCs w:val="22"/>
              </w:rPr>
            </w:pPr>
            <w:r w:rsidRPr="00C0031B">
              <w:rPr>
                <w:rFonts w:ascii="Times New Roman" w:hAnsi="Times New Roman" w:cs="Times New Roman"/>
                <w:b w:val="0"/>
                <w:bCs w:val="0"/>
                <w:sz w:val="22"/>
                <w:szCs w:val="22"/>
              </w:rPr>
              <w:t>The Parliament</w:t>
            </w:r>
          </w:p>
        </w:tc>
        <w:tc>
          <w:tcPr>
            <w:tcW w:w="838" w:type="dxa"/>
            <w:vAlign w:val="center"/>
          </w:tcPr>
          <w:p w:rsidR="00C11ACC" w:rsidRPr="00C0031B" w:rsidRDefault="00C11ACC" w:rsidP="00C0031B">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2</w:t>
            </w:r>
          </w:p>
        </w:tc>
      </w:tr>
      <w:tr w:rsidR="00C11ACC" w:rsidRPr="00C0031B" w:rsidTr="00F91E32">
        <w:tc>
          <w:tcPr>
            <w:tcW w:w="7382" w:type="dxa"/>
            <w:vAlign w:val="center"/>
          </w:tcPr>
          <w:p w:rsidR="00C11ACC" w:rsidRPr="00C0031B" w:rsidRDefault="00C11ACC" w:rsidP="00C0031B">
            <w:pPr>
              <w:bidi w:val="0"/>
              <w:spacing w:after="0" w:line="276" w:lineRule="auto"/>
              <w:jc w:val="left"/>
              <w:rPr>
                <w:rFonts w:ascii="Times New Roman" w:hAnsi="Times New Roman" w:cs="Times New Roman"/>
                <w:b w:val="0"/>
                <w:bCs w:val="0"/>
                <w:sz w:val="22"/>
                <w:szCs w:val="22"/>
              </w:rPr>
            </w:pPr>
            <w:r w:rsidRPr="00C0031B">
              <w:rPr>
                <w:rFonts w:ascii="Times New Roman" w:hAnsi="Times New Roman" w:cs="Times New Roman"/>
                <w:b w:val="0"/>
                <w:bCs w:val="0"/>
                <w:sz w:val="22"/>
                <w:szCs w:val="22"/>
              </w:rPr>
              <w:t xml:space="preserve">Council of Ministers   </w:t>
            </w:r>
          </w:p>
        </w:tc>
        <w:tc>
          <w:tcPr>
            <w:tcW w:w="838" w:type="dxa"/>
            <w:vAlign w:val="center"/>
          </w:tcPr>
          <w:p w:rsidR="00C11ACC" w:rsidRPr="00C0031B" w:rsidRDefault="00C11ACC" w:rsidP="00C0031B">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3</w:t>
            </w:r>
          </w:p>
        </w:tc>
      </w:tr>
      <w:tr w:rsidR="00C11ACC" w:rsidRPr="00C0031B" w:rsidTr="00F91E32">
        <w:tc>
          <w:tcPr>
            <w:tcW w:w="7382" w:type="dxa"/>
            <w:vAlign w:val="center"/>
          </w:tcPr>
          <w:p w:rsidR="00C11ACC" w:rsidRPr="00C0031B" w:rsidRDefault="00C11ACC" w:rsidP="00C0031B">
            <w:pPr>
              <w:bidi w:val="0"/>
              <w:spacing w:after="0" w:line="276" w:lineRule="auto"/>
              <w:jc w:val="left"/>
              <w:rPr>
                <w:rFonts w:ascii="Times New Roman" w:hAnsi="Times New Roman" w:cs="Times New Roman"/>
                <w:b w:val="0"/>
                <w:bCs w:val="0"/>
                <w:sz w:val="22"/>
                <w:szCs w:val="22"/>
              </w:rPr>
            </w:pPr>
            <w:r w:rsidRPr="00C0031B">
              <w:rPr>
                <w:rFonts w:ascii="Times New Roman" w:hAnsi="Times New Roman" w:cs="Times New Roman"/>
                <w:b w:val="0"/>
                <w:bCs w:val="0"/>
                <w:sz w:val="22"/>
                <w:szCs w:val="22"/>
                <w:lang w:bidi="ar-JO"/>
              </w:rPr>
              <w:t>Ministry of Social Development</w:t>
            </w:r>
          </w:p>
        </w:tc>
        <w:tc>
          <w:tcPr>
            <w:tcW w:w="838" w:type="dxa"/>
            <w:vAlign w:val="center"/>
          </w:tcPr>
          <w:p w:rsidR="00C11ACC" w:rsidRPr="00C0031B" w:rsidRDefault="00C11ACC" w:rsidP="00C0031B">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4</w:t>
            </w:r>
          </w:p>
        </w:tc>
      </w:tr>
      <w:tr w:rsidR="00081E2B" w:rsidRPr="00C0031B" w:rsidTr="00F91E32">
        <w:tc>
          <w:tcPr>
            <w:tcW w:w="7382" w:type="dxa"/>
            <w:vAlign w:val="center"/>
          </w:tcPr>
          <w:p w:rsidR="00081E2B" w:rsidRPr="00C0031B" w:rsidRDefault="002E1128" w:rsidP="00C0031B">
            <w:pPr>
              <w:bidi w:val="0"/>
              <w:spacing w:after="0" w:line="276" w:lineRule="auto"/>
              <w:jc w:val="left"/>
              <w:rPr>
                <w:rFonts w:ascii="Times New Roman" w:hAnsi="Times New Roman" w:cs="Times New Roman"/>
                <w:b w:val="0"/>
                <w:bCs w:val="0"/>
                <w:sz w:val="22"/>
                <w:szCs w:val="22"/>
                <w:rtl/>
              </w:rPr>
            </w:pPr>
            <w:r w:rsidRPr="00C0031B">
              <w:rPr>
                <w:rFonts w:ascii="Times New Roman" w:hAnsi="Times New Roman" w:cs="Times New Roman"/>
                <w:b w:val="0"/>
                <w:bCs w:val="0"/>
                <w:sz w:val="22"/>
                <w:szCs w:val="22"/>
                <w:lang w:bidi="ar-JO"/>
              </w:rPr>
              <w:t>Jordan Armed Forces</w:t>
            </w:r>
          </w:p>
        </w:tc>
        <w:tc>
          <w:tcPr>
            <w:tcW w:w="838" w:type="dxa"/>
            <w:vAlign w:val="center"/>
          </w:tcPr>
          <w:p w:rsidR="00081E2B" w:rsidRPr="00C0031B" w:rsidRDefault="00081E2B" w:rsidP="00C0031B">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5</w:t>
            </w:r>
          </w:p>
        </w:tc>
      </w:tr>
      <w:tr w:rsidR="00081E2B" w:rsidRPr="00C0031B" w:rsidTr="00F91E32">
        <w:tc>
          <w:tcPr>
            <w:tcW w:w="7382" w:type="dxa"/>
            <w:vAlign w:val="center"/>
          </w:tcPr>
          <w:p w:rsidR="00081E2B" w:rsidRPr="00C0031B" w:rsidRDefault="002E1128" w:rsidP="00C0031B">
            <w:pPr>
              <w:bidi w:val="0"/>
              <w:spacing w:after="0" w:line="276" w:lineRule="auto"/>
              <w:jc w:val="left"/>
              <w:rPr>
                <w:rFonts w:ascii="Times New Roman" w:hAnsi="Times New Roman" w:cs="Times New Roman"/>
                <w:b w:val="0"/>
                <w:bCs w:val="0"/>
                <w:sz w:val="22"/>
                <w:szCs w:val="22"/>
                <w:rtl/>
              </w:rPr>
            </w:pPr>
            <w:r w:rsidRPr="00C0031B">
              <w:rPr>
                <w:rFonts w:ascii="Times New Roman" w:hAnsi="Times New Roman" w:cs="Times New Roman"/>
                <w:b w:val="0"/>
                <w:bCs w:val="0"/>
                <w:sz w:val="22"/>
                <w:szCs w:val="22"/>
              </w:rPr>
              <w:t xml:space="preserve">Royal Medical Services   </w:t>
            </w:r>
          </w:p>
        </w:tc>
        <w:tc>
          <w:tcPr>
            <w:tcW w:w="838" w:type="dxa"/>
            <w:vAlign w:val="center"/>
          </w:tcPr>
          <w:p w:rsidR="00081E2B" w:rsidRPr="00C0031B" w:rsidRDefault="00081E2B" w:rsidP="00C0031B">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6</w:t>
            </w:r>
          </w:p>
        </w:tc>
      </w:tr>
      <w:tr w:rsidR="00081E2B" w:rsidRPr="00C0031B" w:rsidTr="00F91E32">
        <w:tc>
          <w:tcPr>
            <w:tcW w:w="7382" w:type="dxa"/>
            <w:vAlign w:val="center"/>
          </w:tcPr>
          <w:p w:rsidR="00081E2B" w:rsidRPr="00C0031B" w:rsidRDefault="00081E2B" w:rsidP="00C0031B">
            <w:pPr>
              <w:bidi w:val="0"/>
              <w:spacing w:after="0" w:line="276" w:lineRule="auto"/>
              <w:jc w:val="left"/>
              <w:rPr>
                <w:rFonts w:ascii="Times New Roman" w:hAnsi="Times New Roman" w:cs="Times New Roman"/>
                <w:b w:val="0"/>
                <w:bCs w:val="0"/>
                <w:sz w:val="22"/>
                <w:szCs w:val="22"/>
              </w:rPr>
            </w:pPr>
            <w:r w:rsidRPr="00C0031B">
              <w:rPr>
                <w:rFonts w:ascii="Times New Roman" w:hAnsi="Times New Roman" w:cs="Times New Roman"/>
                <w:b w:val="0"/>
                <w:bCs w:val="0"/>
                <w:sz w:val="22"/>
                <w:szCs w:val="22"/>
              </w:rPr>
              <w:t xml:space="preserve">Royal Jordanian Air Force    </w:t>
            </w:r>
          </w:p>
        </w:tc>
        <w:tc>
          <w:tcPr>
            <w:tcW w:w="838" w:type="dxa"/>
            <w:vAlign w:val="center"/>
          </w:tcPr>
          <w:p w:rsidR="00081E2B" w:rsidRPr="00C0031B" w:rsidRDefault="002E1128" w:rsidP="00C0031B">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7</w:t>
            </w:r>
          </w:p>
        </w:tc>
      </w:tr>
      <w:tr w:rsidR="00081E2B" w:rsidRPr="00C0031B" w:rsidTr="00F91E32">
        <w:tc>
          <w:tcPr>
            <w:tcW w:w="7382" w:type="dxa"/>
            <w:vAlign w:val="center"/>
          </w:tcPr>
          <w:p w:rsidR="00081E2B" w:rsidRPr="00C0031B" w:rsidRDefault="00081E2B" w:rsidP="00C0031B">
            <w:pPr>
              <w:bidi w:val="0"/>
              <w:spacing w:after="0" w:line="276" w:lineRule="auto"/>
              <w:jc w:val="left"/>
              <w:rPr>
                <w:rFonts w:ascii="Times New Roman" w:hAnsi="Times New Roman" w:cs="Times New Roman"/>
                <w:b w:val="0"/>
                <w:bCs w:val="0"/>
                <w:sz w:val="22"/>
                <w:szCs w:val="22"/>
              </w:rPr>
            </w:pPr>
            <w:r w:rsidRPr="00C0031B">
              <w:rPr>
                <w:rFonts w:ascii="Times New Roman" w:hAnsi="Times New Roman" w:cs="Times New Roman"/>
                <w:b w:val="0"/>
                <w:bCs w:val="0"/>
                <w:sz w:val="22"/>
                <w:szCs w:val="22"/>
              </w:rPr>
              <w:t xml:space="preserve">Royal Jordanian Geographic Center    </w:t>
            </w:r>
          </w:p>
        </w:tc>
        <w:tc>
          <w:tcPr>
            <w:tcW w:w="838" w:type="dxa"/>
            <w:vAlign w:val="center"/>
          </w:tcPr>
          <w:p w:rsidR="00081E2B" w:rsidRPr="00C0031B" w:rsidRDefault="002E1128" w:rsidP="00C0031B">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8</w:t>
            </w:r>
          </w:p>
        </w:tc>
      </w:tr>
      <w:tr w:rsidR="00081E2B" w:rsidRPr="00C0031B" w:rsidTr="00F91E32">
        <w:tc>
          <w:tcPr>
            <w:tcW w:w="7382" w:type="dxa"/>
            <w:vAlign w:val="center"/>
          </w:tcPr>
          <w:p w:rsidR="00081E2B" w:rsidRPr="00C0031B" w:rsidRDefault="00081E2B" w:rsidP="00C0031B">
            <w:pPr>
              <w:bidi w:val="0"/>
              <w:spacing w:after="0" w:line="276" w:lineRule="auto"/>
              <w:jc w:val="left"/>
              <w:rPr>
                <w:rFonts w:ascii="Times New Roman" w:hAnsi="Times New Roman" w:cs="Times New Roman"/>
                <w:b w:val="0"/>
                <w:bCs w:val="0"/>
                <w:sz w:val="22"/>
                <w:szCs w:val="22"/>
              </w:rPr>
            </w:pPr>
            <w:r w:rsidRPr="00C0031B">
              <w:rPr>
                <w:rFonts w:ascii="Times New Roman" w:hAnsi="Times New Roman" w:cs="Times New Roman"/>
                <w:b w:val="0"/>
                <w:bCs w:val="0"/>
                <w:sz w:val="22"/>
                <w:szCs w:val="22"/>
              </w:rPr>
              <w:t>Ministry of Interior</w:t>
            </w:r>
          </w:p>
        </w:tc>
        <w:tc>
          <w:tcPr>
            <w:tcW w:w="838" w:type="dxa"/>
            <w:vAlign w:val="center"/>
          </w:tcPr>
          <w:p w:rsidR="00081E2B" w:rsidRPr="00C0031B" w:rsidRDefault="002E1128" w:rsidP="00C0031B">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9</w:t>
            </w:r>
          </w:p>
        </w:tc>
      </w:tr>
      <w:tr w:rsidR="00081E2B" w:rsidRPr="00C0031B" w:rsidTr="00F91E32">
        <w:tc>
          <w:tcPr>
            <w:tcW w:w="7382" w:type="dxa"/>
            <w:vAlign w:val="center"/>
          </w:tcPr>
          <w:p w:rsidR="00081E2B" w:rsidRPr="00C0031B" w:rsidRDefault="002D55DA" w:rsidP="00C0031B">
            <w:pPr>
              <w:bidi w:val="0"/>
              <w:spacing w:after="0" w:line="276" w:lineRule="auto"/>
              <w:jc w:val="left"/>
              <w:rPr>
                <w:rFonts w:ascii="Times New Roman" w:hAnsi="Times New Roman" w:cs="Times New Roman"/>
                <w:b w:val="0"/>
                <w:bCs w:val="0"/>
                <w:sz w:val="22"/>
                <w:szCs w:val="22"/>
                <w:rtl/>
                <w:lang w:bidi="ar-JO"/>
              </w:rPr>
            </w:pPr>
            <w:r w:rsidRPr="00C0031B">
              <w:rPr>
                <w:rFonts w:ascii="Times New Roman" w:hAnsi="Times New Roman" w:cs="Times New Roman"/>
                <w:b w:val="0"/>
                <w:bCs w:val="0"/>
                <w:sz w:val="22"/>
                <w:szCs w:val="22"/>
              </w:rPr>
              <w:t xml:space="preserve">Public Security Directorate </w:t>
            </w:r>
          </w:p>
        </w:tc>
        <w:tc>
          <w:tcPr>
            <w:tcW w:w="838" w:type="dxa"/>
            <w:vAlign w:val="center"/>
          </w:tcPr>
          <w:p w:rsidR="00081E2B" w:rsidRPr="00C0031B" w:rsidRDefault="002E1128" w:rsidP="00C0031B">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10</w:t>
            </w:r>
          </w:p>
        </w:tc>
      </w:tr>
      <w:tr w:rsidR="00081E2B" w:rsidRPr="00C0031B" w:rsidTr="00F91E32">
        <w:tc>
          <w:tcPr>
            <w:tcW w:w="7382" w:type="dxa"/>
            <w:vAlign w:val="center"/>
          </w:tcPr>
          <w:p w:rsidR="00081E2B" w:rsidRPr="00C0031B" w:rsidRDefault="001B3AC1" w:rsidP="00C0031B">
            <w:pPr>
              <w:bidi w:val="0"/>
              <w:spacing w:after="0" w:line="276" w:lineRule="auto"/>
              <w:jc w:val="left"/>
              <w:rPr>
                <w:rFonts w:ascii="Times New Roman" w:hAnsi="Times New Roman" w:cs="Times New Roman"/>
                <w:b w:val="0"/>
                <w:bCs w:val="0"/>
                <w:sz w:val="22"/>
                <w:szCs w:val="22"/>
              </w:rPr>
            </w:pPr>
            <w:r w:rsidRPr="00C0031B">
              <w:rPr>
                <w:rFonts w:ascii="Times New Roman" w:hAnsi="Times New Roman" w:cs="Times New Roman"/>
                <w:b w:val="0"/>
                <w:bCs w:val="0"/>
                <w:sz w:val="22"/>
                <w:szCs w:val="22"/>
              </w:rPr>
              <w:t xml:space="preserve">Civil Defense </w:t>
            </w:r>
          </w:p>
        </w:tc>
        <w:tc>
          <w:tcPr>
            <w:tcW w:w="838" w:type="dxa"/>
            <w:vAlign w:val="center"/>
          </w:tcPr>
          <w:p w:rsidR="00081E2B" w:rsidRPr="00C0031B" w:rsidRDefault="002E1128" w:rsidP="00C0031B">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11</w:t>
            </w:r>
          </w:p>
        </w:tc>
      </w:tr>
      <w:tr w:rsidR="00081E2B" w:rsidRPr="00C0031B" w:rsidTr="00F91E32">
        <w:tc>
          <w:tcPr>
            <w:tcW w:w="7382" w:type="dxa"/>
            <w:vAlign w:val="center"/>
          </w:tcPr>
          <w:p w:rsidR="00081E2B" w:rsidRPr="00C0031B" w:rsidRDefault="001B3AC1" w:rsidP="00C0031B">
            <w:pPr>
              <w:bidi w:val="0"/>
              <w:spacing w:after="0" w:line="276" w:lineRule="auto"/>
              <w:jc w:val="left"/>
              <w:rPr>
                <w:rFonts w:ascii="Times New Roman" w:hAnsi="Times New Roman" w:cs="Times New Roman"/>
                <w:b w:val="0"/>
                <w:bCs w:val="0"/>
                <w:sz w:val="22"/>
                <w:szCs w:val="22"/>
              </w:rPr>
            </w:pPr>
            <w:r w:rsidRPr="00C0031B">
              <w:rPr>
                <w:rFonts w:ascii="Times New Roman" w:hAnsi="Times New Roman" w:cs="Times New Roman"/>
                <w:b w:val="0"/>
                <w:bCs w:val="0"/>
                <w:sz w:val="22"/>
                <w:szCs w:val="22"/>
              </w:rPr>
              <w:t>General Intelligence Department</w:t>
            </w:r>
          </w:p>
        </w:tc>
        <w:tc>
          <w:tcPr>
            <w:tcW w:w="838" w:type="dxa"/>
            <w:vAlign w:val="center"/>
          </w:tcPr>
          <w:p w:rsidR="00081E2B" w:rsidRPr="00C0031B" w:rsidRDefault="002E1128" w:rsidP="00C0031B">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12</w:t>
            </w:r>
          </w:p>
        </w:tc>
      </w:tr>
      <w:tr w:rsidR="001B3AC1" w:rsidRPr="00C0031B" w:rsidTr="00F91E32">
        <w:tc>
          <w:tcPr>
            <w:tcW w:w="7382" w:type="dxa"/>
            <w:vAlign w:val="center"/>
          </w:tcPr>
          <w:p w:rsidR="001B3AC1" w:rsidRPr="00C0031B" w:rsidRDefault="001B3AC1" w:rsidP="00C0031B">
            <w:pPr>
              <w:bidi w:val="0"/>
              <w:spacing w:after="0" w:line="276" w:lineRule="auto"/>
              <w:jc w:val="left"/>
              <w:rPr>
                <w:rFonts w:ascii="Times New Roman" w:hAnsi="Times New Roman" w:cs="Times New Roman"/>
                <w:b w:val="0"/>
                <w:bCs w:val="0"/>
                <w:sz w:val="22"/>
                <w:szCs w:val="22"/>
              </w:rPr>
            </w:pPr>
            <w:r w:rsidRPr="00C0031B">
              <w:rPr>
                <w:rFonts w:ascii="Times New Roman" w:hAnsi="Times New Roman" w:cs="Times New Roman"/>
                <w:b w:val="0"/>
                <w:bCs w:val="0"/>
                <w:sz w:val="22"/>
                <w:szCs w:val="22"/>
              </w:rPr>
              <w:t xml:space="preserve">Ministry of Justice </w:t>
            </w:r>
          </w:p>
        </w:tc>
        <w:tc>
          <w:tcPr>
            <w:tcW w:w="838" w:type="dxa"/>
            <w:vAlign w:val="center"/>
          </w:tcPr>
          <w:p w:rsidR="001B3AC1" w:rsidRPr="00C0031B" w:rsidRDefault="002E1128" w:rsidP="00C0031B">
            <w:pPr>
              <w:bidi w:val="0"/>
              <w:spacing w:line="276" w:lineRule="auto"/>
              <w:jc w:val="center"/>
              <w:rPr>
                <w:rFonts w:ascii="Times New Roman" w:hAnsi="Times New Roman" w:cs="Times New Roman"/>
                <w:b w:val="0"/>
                <w:bCs w:val="0"/>
                <w:sz w:val="22"/>
                <w:szCs w:val="22"/>
                <w:rtl/>
                <w:lang w:bidi="ar-JO"/>
              </w:rPr>
            </w:pPr>
            <w:r w:rsidRPr="00C0031B">
              <w:rPr>
                <w:rFonts w:ascii="Times New Roman" w:hAnsi="Times New Roman" w:cs="Times New Roman"/>
                <w:b w:val="0"/>
                <w:bCs w:val="0"/>
                <w:sz w:val="22"/>
                <w:szCs w:val="22"/>
                <w:lang w:bidi="ar-JO"/>
              </w:rPr>
              <w:t>13</w:t>
            </w:r>
          </w:p>
        </w:tc>
      </w:tr>
      <w:tr w:rsidR="001B3AC1" w:rsidRPr="00C0031B" w:rsidTr="00F91E32">
        <w:tc>
          <w:tcPr>
            <w:tcW w:w="7382" w:type="dxa"/>
            <w:vAlign w:val="center"/>
          </w:tcPr>
          <w:p w:rsidR="001B3AC1" w:rsidRPr="00C0031B" w:rsidRDefault="001B3AC1" w:rsidP="00C0031B">
            <w:pPr>
              <w:bidi w:val="0"/>
              <w:spacing w:after="0" w:line="276" w:lineRule="auto"/>
              <w:jc w:val="left"/>
              <w:rPr>
                <w:rFonts w:ascii="Times New Roman" w:hAnsi="Times New Roman" w:cs="Times New Roman"/>
                <w:b w:val="0"/>
                <w:bCs w:val="0"/>
                <w:sz w:val="22"/>
                <w:szCs w:val="22"/>
              </w:rPr>
            </w:pPr>
            <w:r w:rsidRPr="00C0031B">
              <w:rPr>
                <w:rFonts w:ascii="Times New Roman" w:hAnsi="Times New Roman" w:cs="Times New Roman"/>
                <w:b w:val="0"/>
                <w:bCs w:val="0"/>
                <w:sz w:val="22"/>
                <w:szCs w:val="22"/>
              </w:rPr>
              <w:t xml:space="preserve">Supreme Judge Department </w:t>
            </w:r>
          </w:p>
        </w:tc>
        <w:tc>
          <w:tcPr>
            <w:tcW w:w="838" w:type="dxa"/>
            <w:vAlign w:val="center"/>
          </w:tcPr>
          <w:p w:rsidR="001B3AC1" w:rsidRPr="00C0031B" w:rsidRDefault="002E1128" w:rsidP="00C0031B">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14</w:t>
            </w:r>
          </w:p>
        </w:tc>
      </w:tr>
      <w:tr w:rsidR="001B3AC1" w:rsidRPr="00C0031B" w:rsidTr="00F91E32">
        <w:tc>
          <w:tcPr>
            <w:tcW w:w="7382" w:type="dxa"/>
            <w:vAlign w:val="center"/>
          </w:tcPr>
          <w:p w:rsidR="001B3AC1" w:rsidRPr="00C0031B" w:rsidRDefault="001B3AC1" w:rsidP="00C0031B">
            <w:pPr>
              <w:bidi w:val="0"/>
              <w:spacing w:after="0" w:line="276" w:lineRule="auto"/>
              <w:jc w:val="left"/>
              <w:rPr>
                <w:rFonts w:ascii="Times New Roman" w:hAnsi="Times New Roman" w:cs="Times New Roman"/>
                <w:b w:val="0"/>
                <w:bCs w:val="0"/>
                <w:sz w:val="22"/>
                <w:szCs w:val="22"/>
                <w:rtl/>
                <w:lang w:bidi="ar-JO"/>
              </w:rPr>
            </w:pPr>
            <w:r w:rsidRPr="00C0031B">
              <w:rPr>
                <w:rFonts w:ascii="Times New Roman" w:hAnsi="Times New Roman" w:cs="Times New Roman"/>
                <w:b w:val="0"/>
                <w:bCs w:val="0"/>
                <w:sz w:val="22"/>
                <w:szCs w:val="22"/>
              </w:rPr>
              <w:t xml:space="preserve">Ministry of Foreign </w:t>
            </w:r>
          </w:p>
        </w:tc>
        <w:tc>
          <w:tcPr>
            <w:tcW w:w="838" w:type="dxa"/>
            <w:vAlign w:val="center"/>
          </w:tcPr>
          <w:p w:rsidR="001B3AC1" w:rsidRPr="00C0031B" w:rsidRDefault="002E1128" w:rsidP="00C0031B">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15</w:t>
            </w:r>
          </w:p>
        </w:tc>
      </w:tr>
      <w:tr w:rsidR="001B3AC1" w:rsidRPr="00C0031B" w:rsidTr="00F91E32">
        <w:tc>
          <w:tcPr>
            <w:tcW w:w="7382" w:type="dxa"/>
            <w:vAlign w:val="center"/>
          </w:tcPr>
          <w:p w:rsidR="001B3AC1" w:rsidRPr="00C0031B" w:rsidRDefault="001B3AC1" w:rsidP="00C0031B">
            <w:pPr>
              <w:bidi w:val="0"/>
              <w:spacing w:after="0" w:line="276" w:lineRule="auto"/>
              <w:jc w:val="left"/>
              <w:rPr>
                <w:rFonts w:ascii="Times New Roman" w:hAnsi="Times New Roman" w:cs="Times New Roman"/>
                <w:b w:val="0"/>
                <w:bCs w:val="0"/>
                <w:sz w:val="22"/>
                <w:szCs w:val="22"/>
              </w:rPr>
            </w:pPr>
            <w:r w:rsidRPr="00C0031B">
              <w:rPr>
                <w:rFonts w:ascii="Times New Roman" w:hAnsi="Times New Roman" w:cs="Times New Roman"/>
                <w:b w:val="0"/>
                <w:bCs w:val="0"/>
                <w:sz w:val="22"/>
                <w:szCs w:val="22"/>
              </w:rPr>
              <w:t xml:space="preserve">Department of Palestinian Affairs </w:t>
            </w:r>
          </w:p>
        </w:tc>
        <w:tc>
          <w:tcPr>
            <w:tcW w:w="838" w:type="dxa"/>
            <w:vAlign w:val="center"/>
          </w:tcPr>
          <w:p w:rsidR="001B3AC1" w:rsidRPr="00C0031B" w:rsidRDefault="002E1128" w:rsidP="00C0031B">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16</w:t>
            </w:r>
          </w:p>
        </w:tc>
      </w:tr>
      <w:tr w:rsidR="001B3AC1" w:rsidRPr="00C0031B" w:rsidTr="00F91E32">
        <w:tc>
          <w:tcPr>
            <w:tcW w:w="7382" w:type="dxa"/>
            <w:vAlign w:val="center"/>
          </w:tcPr>
          <w:p w:rsidR="001B3AC1" w:rsidRPr="00C0031B" w:rsidRDefault="001B3AC1" w:rsidP="00C0031B">
            <w:pPr>
              <w:bidi w:val="0"/>
              <w:spacing w:after="0" w:line="276" w:lineRule="auto"/>
              <w:jc w:val="left"/>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 xml:space="preserve">Ministry of Finance in all its departments </w:t>
            </w:r>
          </w:p>
        </w:tc>
        <w:tc>
          <w:tcPr>
            <w:tcW w:w="838" w:type="dxa"/>
            <w:vAlign w:val="center"/>
          </w:tcPr>
          <w:p w:rsidR="001B3AC1" w:rsidRPr="00C0031B" w:rsidRDefault="002E1128" w:rsidP="00C0031B">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17</w:t>
            </w:r>
          </w:p>
        </w:tc>
      </w:tr>
      <w:tr w:rsidR="001B3AC1" w:rsidRPr="00C0031B" w:rsidTr="00F91E32">
        <w:tc>
          <w:tcPr>
            <w:tcW w:w="7382" w:type="dxa"/>
            <w:vAlign w:val="center"/>
          </w:tcPr>
          <w:p w:rsidR="001B3AC1" w:rsidRPr="00C0031B" w:rsidRDefault="00414DA3" w:rsidP="00C0031B">
            <w:pPr>
              <w:bidi w:val="0"/>
              <w:spacing w:after="0" w:line="276" w:lineRule="auto"/>
              <w:jc w:val="left"/>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 xml:space="preserve">Ministry of Industry, Trade and  Supply </w:t>
            </w:r>
          </w:p>
        </w:tc>
        <w:tc>
          <w:tcPr>
            <w:tcW w:w="838" w:type="dxa"/>
            <w:vAlign w:val="center"/>
          </w:tcPr>
          <w:p w:rsidR="001B3AC1" w:rsidRPr="00C0031B" w:rsidRDefault="002E1128" w:rsidP="00C0031B">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18</w:t>
            </w:r>
          </w:p>
        </w:tc>
      </w:tr>
      <w:tr w:rsidR="001B3AC1" w:rsidRPr="00C0031B" w:rsidTr="00F91E32">
        <w:tc>
          <w:tcPr>
            <w:tcW w:w="7382" w:type="dxa"/>
            <w:vAlign w:val="center"/>
          </w:tcPr>
          <w:p w:rsidR="001B3AC1" w:rsidRPr="00C0031B" w:rsidRDefault="00414DA3" w:rsidP="00C0031B">
            <w:pPr>
              <w:bidi w:val="0"/>
              <w:spacing w:after="0" w:line="276" w:lineRule="auto"/>
              <w:jc w:val="left"/>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 xml:space="preserve">Ministry of Tourism and Antiquities </w:t>
            </w:r>
          </w:p>
        </w:tc>
        <w:tc>
          <w:tcPr>
            <w:tcW w:w="838" w:type="dxa"/>
            <w:vAlign w:val="center"/>
          </w:tcPr>
          <w:p w:rsidR="001B3AC1" w:rsidRPr="00C0031B" w:rsidRDefault="002E1128" w:rsidP="00C0031B">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19</w:t>
            </w:r>
          </w:p>
        </w:tc>
      </w:tr>
      <w:tr w:rsidR="001B3AC1" w:rsidRPr="00C0031B" w:rsidTr="00F91E32">
        <w:tc>
          <w:tcPr>
            <w:tcW w:w="7382" w:type="dxa"/>
            <w:vAlign w:val="center"/>
          </w:tcPr>
          <w:p w:rsidR="001B3AC1" w:rsidRPr="00C0031B" w:rsidRDefault="00414DA3" w:rsidP="00C0031B">
            <w:pPr>
              <w:bidi w:val="0"/>
              <w:spacing w:after="0" w:line="276" w:lineRule="auto"/>
              <w:jc w:val="left"/>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 xml:space="preserve">Ministry of Local Administration </w:t>
            </w:r>
          </w:p>
        </w:tc>
        <w:tc>
          <w:tcPr>
            <w:tcW w:w="838" w:type="dxa"/>
            <w:vAlign w:val="center"/>
          </w:tcPr>
          <w:p w:rsidR="001B3AC1" w:rsidRPr="00C0031B" w:rsidRDefault="002E1128" w:rsidP="00C0031B">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20</w:t>
            </w:r>
          </w:p>
        </w:tc>
      </w:tr>
      <w:tr w:rsidR="001B3AC1" w:rsidRPr="00C0031B" w:rsidTr="00F91E32">
        <w:tc>
          <w:tcPr>
            <w:tcW w:w="7382" w:type="dxa"/>
            <w:shd w:val="clear" w:color="auto" w:fill="auto"/>
            <w:vAlign w:val="center"/>
          </w:tcPr>
          <w:p w:rsidR="001B3AC1" w:rsidRPr="00C0031B" w:rsidRDefault="00414DA3" w:rsidP="00C0031B">
            <w:pPr>
              <w:bidi w:val="0"/>
              <w:spacing w:after="0" w:line="276" w:lineRule="auto"/>
              <w:jc w:val="left"/>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Ministry of Energy and Mineral Resources</w:t>
            </w:r>
          </w:p>
        </w:tc>
        <w:tc>
          <w:tcPr>
            <w:tcW w:w="838" w:type="dxa"/>
            <w:vAlign w:val="center"/>
          </w:tcPr>
          <w:p w:rsidR="001B3AC1" w:rsidRPr="00C0031B" w:rsidRDefault="002E1128" w:rsidP="00C0031B">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21</w:t>
            </w:r>
          </w:p>
        </w:tc>
      </w:tr>
      <w:tr w:rsidR="00414DA3" w:rsidRPr="00C0031B" w:rsidTr="00F91E32">
        <w:tc>
          <w:tcPr>
            <w:tcW w:w="7382" w:type="dxa"/>
            <w:shd w:val="clear" w:color="auto" w:fill="auto"/>
            <w:vAlign w:val="center"/>
          </w:tcPr>
          <w:p w:rsidR="00414DA3" w:rsidRPr="00C0031B" w:rsidRDefault="00414DA3" w:rsidP="00C0031B">
            <w:pPr>
              <w:bidi w:val="0"/>
              <w:spacing w:after="0" w:line="276" w:lineRule="auto"/>
              <w:jc w:val="left"/>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 xml:space="preserve">Natural Recourses Authority </w:t>
            </w:r>
          </w:p>
        </w:tc>
        <w:tc>
          <w:tcPr>
            <w:tcW w:w="838" w:type="dxa"/>
            <w:vAlign w:val="center"/>
          </w:tcPr>
          <w:p w:rsidR="00414DA3" w:rsidRPr="00C0031B" w:rsidRDefault="002E1128" w:rsidP="00C0031B">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22</w:t>
            </w:r>
          </w:p>
        </w:tc>
      </w:tr>
      <w:tr w:rsidR="00414DA3" w:rsidRPr="00C0031B" w:rsidTr="00F91E32">
        <w:tc>
          <w:tcPr>
            <w:tcW w:w="7382" w:type="dxa"/>
            <w:shd w:val="clear" w:color="auto" w:fill="auto"/>
            <w:vAlign w:val="center"/>
          </w:tcPr>
          <w:p w:rsidR="00414DA3" w:rsidRPr="00C0031B" w:rsidRDefault="00414DA3" w:rsidP="00C0031B">
            <w:pPr>
              <w:bidi w:val="0"/>
              <w:spacing w:after="0" w:line="276" w:lineRule="auto"/>
              <w:jc w:val="left"/>
              <w:rPr>
                <w:rFonts w:ascii="Times New Roman" w:hAnsi="Times New Roman" w:cs="Times New Roman"/>
                <w:b w:val="0"/>
                <w:bCs w:val="0"/>
                <w:sz w:val="22"/>
                <w:szCs w:val="22"/>
                <w:rtl/>
                <w:lang w:bidi="ar-JO"/>
              </w:rPr>
            </w:pPr>
            <w:r w:rsidRPr="00C0031B">
              <w:rPr>
                <w:rFonts w:ascii="Times New Roman" w:hAnsi="Times New Roman" w:cs="Times New Roman"/>
                <w:b w:val="0"/>
                <w:bCs w:val="0"/>
                <w:sz w:val="22"/>
                <w:szCs w:val="22"/>
                <w:lang w:bidi="ar-JO"/>
              </w:rPr>
              <w:t xml:space="preserve">Ministry of Public Works and Housing </w:t>
            </w:r>
          </w:p>
        </w:tc>
        <w:tc>
          <w:tcPr>
            <w:tcW w:w="838" w:type="dxa"/>
            <w:vAlign w:val="center"/>
          </w:tcPr>
          <w:p w:rsidR="00414DA3" w:rsidRPr="00C0031B" w:rsidRDefault="002E1128" w:rsidP="00C0031B">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23</w:t>
            </w:r>
          </w:p>
        </w:tc>
      </w:tr>
      <w:tr w:rsidR="00414DA3" w:rsidRPr="00C0031B" w:rsidTr="00F91E32">
        <w:tc>
          <w:tcPr>
            <w:tcW w:w="7382" w:type="dxa"/>
            <w:shd w:val="clear" w:color="auto" w:fill="auto"/>
            <w:vAlign w:val="center"/>
          </w:tcPr>
          <w:p w:rsidR="00414DA3" w:rsidRPr="00C0031B" w:rsidRDefault="00414DA3" w:rsidP="00C0031B">
            <w:pPr>
              <w:bidi w:val="0"/>
              <w:spacing w:after="0" w:line="276" w:lineRule="auto"/>
              <w:jc w:val="left"/>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 xml:space="preserve">Government Tenders Department </w:t>
            </w:r>
          </w:p>
        </w:tc>
        <w:tc>
          <w:tcPr>
            <w:tcW w:w="838" w:type="dxa"/>
            <w:vAlign w:val="center"/>
          </w:tcPr>
          <w:p w:rsidR="00414DA3" w:rsidRPr="00C0031B" w:rsidRDefault="002E1128" w:rsidP="00C0031B">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24</w:t>
            </w:r>
          </w:p>
        </w:tc>
      </w:tr>
      <w:tr w:rsidR="00414DA3" w:rsidRPr="00C0031B" w:rsidTr="00F91E32">
        <w:tc>
          <w:tcPr>
            <w:tcW w:w="7382" w:type="dxa"/>
            <w:shd w:val="clear" w:color="auto" w:fill="auto"/>
            <w:vAlign w:val="center"/>
          </w:tcPr>
          <w:p w:rsidR="00414DA3" w:rsidRPr="00C0031B" w:rsidRDefault="002E1128" w:rsidP="00C0031B">
            <w:pPr>
              <w:bidi w:val="0"/>
              <w:spacing w:after="0" w:line="276" w:lineRule="auto"/>
              <w:jc w:val="left"/>
              <w:rPr>
                <w:rFonts w:ascii="Times New Roman" w:hAnsi="Times New Roman" w:cs="Times New Roman"/>
                <w:b w:val="0"/>
                <w:bCs w:val="0"/>
                <w:sz w:val="22"/>
                <w:szCs w:val="22"/>
                <w:rtl/>
                <w:lang w:bidi="ar-JO"/>
              </w:rPr>
            </w:pPr>
            <w:r w:rsidRPr="00C0031B">
              <w:rPr>
                <w:rFonts w:ascii="Times New Roman" w:hAnsi="Times New Roman" w:cs="Times New Roman"/>
                <w:b w:val="0"/>
                <w:bCs w:val="0"/>
                <w:sz w:val="22"/>
                <w:szCs w:val="22"/>
                <w:lang w:bidi="ar-JO"/>
              </w:rPr>
              <w:t>Ministry</w:t>
            </w:r>
            <w:r w:rsidR="00414DA3" w:rsidRPr="00C0031B">
              <w:rPr>
                <w:rFonts w:ascii="Times New Roman" w:hAnsi="Times New Roman" w:cs="Times New Roman"/>
                <w:b w:val="0"/>
                <w:bCs w:val="0"/>
                <w:sz w:val="22"/>
                <w:szCs w:val="22"/>
                <w:lang w:bidi="ar-JO"/>
              </w:rPr>
              <w:t xml:space="preserve"> of Agriculture </w:t>
            </w:r>
          </w:p>
        </w:tc>
        <w:tc>
          <w:tcPr>
            <w:tcW w:w="838" w:type="dxa"/>
            <w:vAlign w:val="center"/>
          </w:tcPr>
          <w:p w:rsidR="00414DA3" w:rsidRPr="00C0031B" w:rsidRDefault="002E1128" w:rsidP="00C0031B">
            <w:pPr>
              <w:bidi w:val="0"/>
              <w:spacing w:line="276" w:lineRule="auto"/>
              <w:jc w:val="center"/>
              <w:rPr>
                <w:rFonts w:ascii="Times New Roman" w:hAnsi="Times New Roman" w:cs="Times New Roman"/>
                <w:b w:val="0"/>
                <w:bCs w:val="0"/>
                <w:sz w:val="22"/>
                <w:szCs w:val="22"/>
                <w:rtl/>
                <w:lang w:bidi="ar-JO"/>
              </w:rPr>
            </w:pPr>
            <w:r w:rsidRPr="00C0031B">
              <w:rPr>
                <w:rFonts w:ascii="Times New Roman" w:hAnsi="Times New Roman" w:cs="Times New Roman"/>
                <w:b w:val="0"/>
                <w:bCs w:val="0"/>
                <w:sz w:val="22"/>
                <w:szCs w:val="22"/>
                <w:lang w:bidi="ar-JO"/>
              </w:rPr>
              <w:t>25</w:t>
            </w:r>
          </w:p>
        </w:tc>
      </w:tr>
      <w:tr w:rsidR="00414DA3" w:rsidRPr="00C0031B" w:rsidTr="00F91E32">
        <w:tc>
          <w:tcPr>
            <w:tcW w:w="7382" w:type="dxa"/>
            <w:shd w:val="clear" w:color="auto" w:fill="auto"/>
            <w:vAlign w:val="center"/>
          </w:tcPr>
          <w:p w:rsidR="00414DA3" w:rsidRPr="00C0031B" w:rsidRDefault="00414DA3" w:rsidP="00C0031B">
            <w:pPr>
              <w:bidi w:val="0"/>
              <w:spacing w:after="0" w:line="276" w:lineRule="auto"/>
              <w:jc w:val="left"/>
              <w:rPr>
                <w:rFonts w:ascii="Times New Roman" w:hAnsi="Times New Roman" w:cs="Times New Roman"/>
                <w:b w:val="0"/>
                <w:bCs w:val="0"/>
                <w:sz w:val="22"/>
                <w:szCs w:val="22"/>
                <w:rtl/>
                <w:lang w:bidi="ar-JO"/>
              </w:rPr>
            </w:pPr>
            <w:r w:rsidRPr="00C0031B">
              <w:rPr>
                <w:rFonts w:ascii="Times New Roman" w:hAnsi="Times New Roman" w:cs="Times New Roman"/>
                <w:b w:val="0"/>
                <w:bCs w:val="0"/>
                <w:sz w:val="22"/>
                <w:szCs w:val="22"/>
                <w:lang w:bidi="ar-JO"/>
              </w:rPr>
              <w:t>The A</w:t>
            </w:r>
            <w:r w:rsidR="006D7437" w:rsidRPr="00C0031B">
              <w:rPr>
                <w:rFonts w:ascii="Times New Roman" w:hAnsi="Times New Roman" w:cs="Times New Roman"/>
                <w:b w:val="0"/>
                <w:bCs w:val="0"/>
                <w:sz w:val="22"/>
                <w:szCs w:val="22"/>
                <w:lang w:bidi="ar-JO"/>
              </w:rPr>
              <w:t xml:space="preserve">gricultural Marketing Corporation </w:t>
            </w:r>
          </w:p>
        </w:tc>
        <w:tc>
          <w:tcPr>
            <w:tcW w:w="838" w:type="dxa"/>
            <w:vAlign w:val="center"/>
          </w:tcPr>
          <w:p w:rsidR="00414DA3" w:rsidRPr="00C0031B" w:rsidRDefault="002E1128" w:rsidP="00C0031B">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26</w:t>
            </w:r>
          </w:p>
        </w:tc>
      </w:tr>
      <w:tr w:rsidR="00414DA3" w:rsidRPr="00C0031B" w:rsidTr="00F91E32">
        <w:tc>
          <w:tcPr>
            <w:tcW w:w="7382" w:type="dxa"/>
            <w:shd w:val="clear" w:color="auto" w:fill="auto"/>
            <w:vAlign w:val="center"/>
          </w:tcPr>
          <w:p w:rsidR="00414DA3" w:rsidRPr="00C0031B" w:rsidRDefault="006D7437" w:rsidP="00C0031B">
            <w:pPr>
              <w:bidi w:val="0"/>
              <w:spacing w:after="0" w:line="276" w:lineRule="auto"/>
              <w:jc w:val="left"/>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 xml:space="preserve">Ministry of Water and Irrigation </w:t>
            </w:r>
          </w:p>
        </w:tc>
        <w:tc>
          <w:tcPr>
            <w:tcW w:w="838" w:type="dxa"/>
            <w:vAlign w:val="center"/>
          </w:tcPr>
          <w:p w:rsidR="00414DA3" w:rsidRPr="00C0031B" w:rsidRDefault="002E1128" w:rsidP="00C0031B">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27</w:t>
            </w:r>
          </w:p>
        </w:tc>
      </w:tr>
      <w:tr w:rsidR="00414DA3" w:rsidRPr="00C0031B" w:rsidTr="00F91E32">
        <w:tc>
          <w:tcPr>
            <w:tcW w:w="7382" w:type="dxa"/>
            <w:shd w:val="clear" w:color="auto" w:fill="auto"/>
            <w:vAlign w:val="center"/>
          </w:tcPr>
          <w:p w:rsidR="00414DA3" w:rsidRPr="00C0031B" w:rsidRDefault="006D7437" w:rsidP="00C0031B">
            <w:pPr>
              <w:bidi w:val="0"/>
              <w:spacing w:after="0" w:line="276" w:lineRule="auto"/>
              <w:jc w:val="left"/>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 xml:space="preserve">Jordan Valley Authority </w:t>
            </w:r>
          </w:p>
        </w:tc>
        <w:tc>
          <w:tcPr>
            <w:tcW w:w="838" w:type="dxa"/>
            <w:vAlign w:val="center"/>
          </w:tcPr>
          <w:p w:rsidR="00414DA3" w:rsidRPr="00C0031B" w:rsidRDefault="002E1128" w:rsidP="00C0031B">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28</w:t>
            </w:r>
          </w:p>
        </w:tc>
      </w:tr>
      <w:tr w:rsidR="00414DA3" w:rsidRPr="00C0031B" w:rsidTr="00F91E32">
        <w:tc>
          <w:tcPr>
            <w:tcW w:w="7382" w:type="dxa"/>
            <w:shd w:val="clear" w:color="auto" w:fill="auto"/>
            <w:vAlign w:val="center"/>
          </w:tcPr>
          <w:p w:rsidR="00414DA3" w:rsidRPr="00C0031B" w:rsidRDefault="006D7437" w:rsidP="00C0031B">
            <w:pPr>
              <w:bidi w:val="0"/>
              <w:spacing w:after="0" w:line="276" w:lineRule="auto"/>
              <w:jc w:val="left"/>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lastRenderedPageBreak/>
              <w:t xml:space="preserve">The Ministry of Education </w:t>
            </w:r>
          </w:p>
        </w:tc>
        <w:tc>
          <w:tcPr>
            <w:tcW w:w="838" w:type="dxa"/>
            <w:vAlign w:val="center"/>
          </w:tcPr>
          <w:p w:rsidR="00414DA3" w:rsidRPr="00C0031B" w:rsidRDefault="002E1128" w:rsidP="00C0031B">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29</w:t>
            </w:r>
          </w:p>
        </w:tc>
      </w:tr>
      <w:tr w:rsidR="00414DA3" w:rsidRPr="00C0031B" w:rsidTr="00F91E32">
        <w:tc>
          <w:tcPr>
            <w:tcW w:w="7382" w:type="dxa"/>
            <w:shd w:val="clear" w:color="auto" w:fill="auto"/>
            <w:vAlign w:val="center"/>
          </w:tcPr>
          <w:p w:rsidR="00414DA3" w:rsidRPr="00C0031B" w:rsidRDefault="006D7437" w:rsidP="00C0031B">
            <w:pPr>
              <w:bidi w:val="0"/>
              <w:spacing w:after="0" w:line="276" w:lineRule="auto"/>
              <w:jc w:val="left"/>
              <w:rPr>
                <w:rFonts w:ascii="Times New Roman" w:hAnsi="Times New Roman" w:cs="Times New Roman"/>
                <w:b w:val="0"/>
                <w:bCs w:val="0"/>
                <w:sz w:val="22"/>
                <w:szCs w:val="22"/>
                <w:rtl/>
                <w:lang w:bidi="ar-JO"/>
              </w:rPr>
            </w:pPr>
            <w:r w:rsidRPr="00C0031B">
              <w:rPr>
                <w:rFonts w:ascii="Times New Roman" w:hAnsi="Times New Roman" w:cs="Times New Roman"/>
                <w:b w:val="0"/>
                <w:bCs w:val="0"/>
                <w:sz w:val="22"/>
                <w:szCs w:val="22"/>
                <w:lang w:bidi="ar-JO"/>
              </w:rPr>
              <w:t xml:space="preserve">Higher Education Council </w:t>
            </w:r>
          </w:p>
        </w:tc>
        <w:tc>
          <w:tcPr>
            <w:tcW w:w="838" w:type="dxa"/>
            <w:vAlign w:val="center"/>
          </w:tcPr>
          <w:p w:rsidR="00414DA3" w:rsidRPr="00C0031B" w:rsidRDefault="002E1128" w:rsidP="00C0031B">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30</w:t>
            </w:r>
          </w:p>
        </w:tc>
      </w:tr>
      <w:tr w:rsidR="00414DA3" w:rsidRPr="00C0031B" w:rsidTr="00F91E32">
        <w:tc>
          <w:tcPr>
            <w:tcW w:w="7382" w:type="dxa"/>
            <w:shd w:val="clear" w:color="auto" w:fill="auto"/>
            <w:vAlign w:val="center"/>
          </w:tcPr>
          <w:p w:rsidR="00414DA3" w:rsidRPr="00C0031B" w:rsidRDefault="006D7437" w:rsidP="00C0031B">
            <w:pPr>
              <w:bidi w:val="0"/>
              <w:spacing w:after="0" w:line="276" w:lineRule="auto"/>
              <w:jc w:val="left"/>
              <w:rPr>
                <w:rFonts w:ascii="Times New Roman" w:hAnsi="Times New Roman" w:cs="Times New Roman"/>
                <w:b w:val="0"/>
                <w:bCs w:val="0"/>
                <w:sz w:val="22"/>
                <w:szCs w:val="22"/>
                <w:rtl/>
                <w:lang w:bidi="ar-JO"/>
              </w:rPr>
            </w:pPr>
            <w:r w:rsidRPr="00C0031B">
              <w:rPr>
                <w:rFonts w:ascii="Times New Roman" w:hAnsi="Times New Roman" w:cs="Times New Roman"/>
                <w:b w:val="0"/>
                <w:bCs w:val="0"/>
                <w:sz w:val="22"/>
                <w:szCs w:val="22"/>
                <w:lang w:bidi="ar-JO"/>
              </w:rPr>
              <w:t xml:space="preserve">Ministry of Health </w:t>
            </w:r>
          </w:p>
        </w:tc>
        <w:tc>
          <w:tcPr>
            <w:tcW w:w="838" w:type="dxa"/>
            <w:vAlign w:val="center"/>
          </w:tcPr>
          <w:p w:rsidR="00414DA3" w:rsidRPr="00C0031B" w:rsidRDefault="002E1128" w:rsidP="00C0031B">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31</w:t>
            </w:r>
          </w:p>
        </w:tc>
      </w:tr>
      <w:tr w:rsidR="00414DA3" w:rsidRPr="00C0031B" w:rsidTr="00F91E32">
        <w:tc>
          <w:tcPr>
            <w:tcW w:w="7382" w:type="dxa"/>
            <w:shd w:val="clear" w:color="auto" w:fill="auto"/>
            <w:vAlign w:val="center"/>
          </w:tcPr>
          <w:p w:rsidR="00414DA3" w:rsidRPr="00C0031B" w:rsidRDefault="006D7437" w:rsidP="00C0031B">
            <w:pPr>
              <w:bidi w:val="0"/>
              <w:spacing w:after="0" w:line="276" w:lineRule="auto"/>
              <w:jc w:val="left"/>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 xml:space="preserve">Ministry of Social Development </w:t>
            </w:r>
          </w:p>
        </w:tc>
        <w:tc>
          <w:tcPr>
            <w:tcW w:w="838" w:type="dxa"/>
            <w:vAlign w:val="center"/>
          </w:tcPr>
          <w:p w:rsidR="00414DA3" w:rsidRPr="00C0031B" w:rsidRDefault="002E1128" w:rsidP="00C0031B">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32</w:t>
            </w:r>
          </w:p>
        </w:tc>
      </w:tr>
      <w:tr w:rsidR="006D7437" w:rsidRPr="00C0031B" w:rsidTr="00F91E32">
        <w:tc>
          <w:tcPr>
            <w:tcW w:w="7382" w:type="dxa"/>
            <w:shd w:val="clear" w:color="auto" w:fill="auto"/>
          </w:tcPr>
          <w:p w:rsidR="006D7437" w:rsidRPr="00C0031B" w:rsidRDefault="006D7437" w:rsidP="00C0031B">
            <w:pPr>
              <w:bidi w:val="0"/>
              <w:spacing w:after="0" w:line="276" w:lineRule="auto"/>
              <w:jc w:val="left"/>
              <w:rPr>
                <w:rFonts w:ascii="Times New Roman" w:hAnsi="Times New Roman" w:cs="Times New Roman"/>
                <w:sz w:val="22"/>
                <w:szCs w:val="22"/>
              </w:rPr>
            </w:pPr>
            <w:r w:rsidRPr="00C0031B">
              <w:rPr>
                <w:rFonts w:ascii="Times New Roman" w:hAnsi="Times New Roman" w:cs="Times New Roman"/>
                <w:b w:val="0"/>
                <w:bCs w:val="0"/>
                <w:sz w:val="22"/>
                <w:szCs w:val="22"/>
                <w:lang w:bidi="ar-JO"/>
              </w:rPr>
              <w:t xml:space="preserve">Ministry of Labor </w:t>
            </w:r>
          </w:p>
        </w:tc>
        <w:tc>
          <w:tcPr>
            <w:tcW w:w="838" w:type="dxa"/>
            <w:vAlign w:val="center"/>
          </w:tcPr>
          <w:p w:rsidR="006D7437" w:rsidRPr="00C0031B" w:rsidRDefault="002E1128" w:rsidP="00C0031B">
            <w:pPr>
              <w:bidi w:val="0"/>
              <w:spacing w:after="0" w:line="276" w:lineRule="auto"/>
              <w:jc w:val="center"/>
              <w:rPr>
                <w:rFonts w:ascii="Times New Roman" w:hAnsi="Times New Roman" w:cs="Times New Roman"/>
                <w:b w:val="0"/>
                <w:bCs w:val="0"/>
                <w:sz w:val="22"/>
                <w:szCs w:val="22"/>
                <w:rtl/>
                <w:lang w:bidi="ar-JO"/>
              </w:rPr>
            </w:pPr>
            <w:r w:rsidRPr="00C0031B">
              <w:rPr>
                <w:rFonts w:ascii="Times New Roman" w:hAnsi="Times New Roman" w:cs="Times New Roman"/>
                <w:b w:val="0"/>
                <w:bCs w:val="0"/>
                <w:sz w:val="22"/>
                <w:szCs w:val="22"/>
                <w:lang w:bidi="ar-JO"/>
              </w:rPr>
              <w:t>33</w:t>
            </w:r>
          </w:p>
        </w:tc>
      </w:tr>
      <w:tr w:rsidR="006D7437" w:rsidRPr="00C0031B" w:rsidTr="00F91E32">
        <w:tc>
          <w:tcPr>
            <w:tcW w:w="7382" w:type="dxa"/>
            <w:shd w:val="clear" w:color="auto" w:fill="auto"/>
          </w:tcPr>
          <w:p w:rsidR="006D7437" w:rsidRPr="00C0031B" w:rsidRDefault="006D7437" w:rsidP="00C0031B">
            <w:pPr>
              <w:bidi w:val="0"/>
              <w:spacing w:after="0" w:line="276" w:lineRule="auto"/>
              <w:jc w:val="left"/>
              <w:rPr>
                <w:rFonts w:ascii="Times New Roman" w:hAnsi="Times New Roman" w:cs="Times New Roman"/>
                <w:sz w:val="22"/>
                <w:szCs w:val="22"/>
                <w:rtl/>
              </w:rPr>
            </w:pPr>
            <w:r w:rsidRPr="00C0031B">
              <w:rPr>
                <w:rFonts w:ascii="Times New Roman" w:hAnsi="Times New Roman" w:cs="Times New Roman"/>
                <w:b w:val="0"/>
                <w:bCs w:val="0"/>
                <w:sz w:val="22"/>
                <w:szCs w:val="22"/>
                <w:lang w:bidi="ar-JO"/>
              </w:rPr>
              <w:t xml:space="preserve">Ministry of Awqaf and Islamic Affairs </w:t>
            </w:r>
          </w:p>
        </w:tc>
        <w:tc>
          <w:tcPr>
            <w:tcW w:w="838" w:type="dxa"/>
            <w:vAlign w:val="center"/>
          </w:tcPr>
          <w:p w:rsidR="006D7437" w:rsidRPr="00C0031B" w:rsidRDefault="002E1128" w:rsidP="00C0031B">
            <w:pPr>
              <w:bidi w:val="0"/>
              <w:spacing w:after="0"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34</w:t>
            </w:r>
          </w:p>
        </w:tc>
      </w:tr>
      <w:tr w:rsidR="006D7437" w:rsidRPr="00C0031B" w:rsidTr="00F91E32">
        <w:tc>
          <w:tcPr>
            <w:tcW w:w="7382" w:type="dxa"/>
            <w:shd w:val="clear" w:color="auto" w:fill="auto"/>
          </w:tcPr>
          <w:p w:rsidR="006D7437" w:rsidRPr="00C0031B" w:rsidRDefault="006D7437" w:rsidP="00C0031B">
            <w:pPr>
              <w:bidi w:val="0"/>
              <w:spacing w:after="0" w:line="276" w:lineRule="auto"/>
              <w:jc w:val="left"/>
              <w:rPr>
                <w:rFonts w:ascii="Times New Roman" w:hAnsi="Times New Roman" w:cs="Times New Roman"/>
                <w:sz w:val="22"/>
                <w:szCs w:val="22"/>
              </w:rPr>
            </w:pPr>
            <w:r w:rsidRPr="00C0031B">
              <w:rPr>
                <w:rFonts w:ascii="Times New Roman" w:hAnsi="Times New Roman" w:cs="Times New Roman"/>
                <w:b w:val="0"/>
                <w:bCs w:val="0"/>
                <w:sz w:val="22"/>
                <w:szCs w:val="22"/>
                <w:lang w:bidi="ar-JO"/>
              </w:rPr>
              <w:t xml:space="preserve">Ministry of Culture </w:t>
            </w:r>
          </w:p>
        </w:tc>
        <w:tc>
          <w:tcPr>
            <w:tcW w:w="838" w:type="dxa"/>
            <w:vAlign w:val="center"/>
          </w:tcPr>
          <w:p w:rsidR="006D7437" w:rsidRPr="00C0031B" w:rsidRDefault="002E1128" w:rsidP="00C0031B">
            <w:pPr>
              <w:bidi w:val="0"/>
              <w:spacing w:after="0"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35</w:t>
            </w:r>
          </w:p>
        </w:tc>
      </w:tr>
      <w:tr w:rsidR="006D7437" w:rsidRPr="00C0031B" w:rsidTr="00F91E32">
        <w:tc>
          <w:tcPr>
            <w:tcW w:w="7382" w:type="dxa"/>
            <w:shd w:val="clear" w:color="auto" w:fill="auto"/>
          </w:tcPr>
          <w:p w:rsidR="006D7437" w:rsidRPr="00C0031B" w:rsidRDefault="006D7437" w:rsidP="00C0031B">
            <w:pPr>
              <w:bidi w:val="0"/>
              <w:spacing w:after="0" w:line="276" w:lineRule="auto"/>
              <w:jc w:val="left"/>
              <w:rPr>
                <w:rFonts w:ascii="Times New Roman" w:hAnsi="Times New Roman" w:cs="Times New Roman"/>
                <w:sz w:val="22"/>
                <w:szCs w:val="22"/>
              </w:rPr>
            </w:pPr>
            <w:r w:rsidRPr="00C0031B">
              <w:rPr>
                <w:rFonts w:ascii="Times New Roman" w:hAnsi="Times New Roman" w:cs="Times New Roman"/>
                <w:b w:val="0"/>
                <w:bCs w:val="0"/>
                <w:sz w:val="22"/>
                <w:szCs w:val="22"/>
                <w:lang w:bidi="ar-JO"/>
              </w:rPr>
              <w:t>Ministry of Transport / Jordan Civil Av</w:t>
            </w:r>
            <w:r w:rsidR="00F91E32" w:rsidRPr="00C0031B">
              <w:rPr>
                <w:rFonts w:ascii="Times New Roman" w:hAnsi="Times New Roman" w:cs="Times New Roman"/>
                <w:b w:val="0"/>
                <w:bCs w:val="0"/>
                <w:sz w:val="22"/>
                <w:szCs w:val="22"/>
                <w:lang w:bidi="ar-JO"/>
              </w:rPr>
              <w:t xml:space="preserve">iation Regulatory Commission </w:t>
            </w:r>
          </w:p>
        </w:tc>
        <w:tc>
          <w:tcPr>
            <w:tcW w:w="838" w:type="dxa"/>
            <w:vAlign w:val="center"/>
          </w:tcPr>
          <w:p w:rsidR="006D7437" w:rsidRPr="00C0031B" w:rsidRDefault="002E1128" w:rsidP="00C0031B">
            <w:pPr>
              <w:bidi w:val="0"/>
              <w:spacing w:after="0"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36</w:t>
            </w:r>
          </w:p>
        </w:tc>
      </w:tr>
      <w:tr w:rsidR="006D7437" w:rsidRPr="00C0031B" w:rsidTr="00F91E32">
        <w:tc>
          <w:tcPr>
            <w:tcW w:w="7382" w:type="dxa"/>
            <w:shd w:val="clear" w:color="auto" w:fill="auto"/>
          </w:tcPr>
          <w:p w:rsidR="006D7437" w:rsidRPr="00C0031B" w:rsidRDefault="006D7437" w:rsidP="00C0031B">
            <w:pPr>
              <w:bidi w:val="0"/>
              <w:spacing w:after="0" w:line="276" w:lineRule="auto"/>
              <w:jc w:val="left"/>
              <w:rPr>
                <w:rFonts w:ascii="Times New Roman" w:hAnsi="Times New Roman" w:cs="Times New Roman"/>
                <w:sz w:val="22"/>
                <w:szCs w:val="22"/>
                <w:rtl/>
              </w:rPr>
            </w:pPr>
            <w:r w:rsidRPr="00C0031B">
              <w:rPr>
                <w:rFonts w:ascii="Times New Roman" w:hAnsi="Times New Roman" w:cs="Times New Roman"/>
                <w:b w:val="0"/>
                <w:bCs w:val="0"/>
                <w:sz w:val="22"/>
                <w:szCs w:val="22"/>
                <w:lang w:bidi="ar-JO"/>
              </w:rPr>
              <w:t xml:space="preserve">Ministry of Information and Communications Technology </w:t>
            </w:r>
          </w:p>
        </w:tc>
        <w:tc>
          <w:tcPr>
            <w:tcW w:w="838" w:type="dxa"/>
            <w:vAlign w:val="center"/>
          </w:tcPr>
          <w:p w:rsidR="006D7437" w:rsidRPr="00C0031B" w:rsidRDefault="002E1128" w:rsidP="00C0031B">
            <w:pPr>
              <w:bidi w:val="0"/>
              <w:spacing w:after="0"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37</w:t>
            </w:r>
          </w:p>
        </w:tc>
      </w:tr>
      <w:tr w:rsidR="006D7437" w:rsidRPr="00C0031B" w:rsidTr="00F91E32">
        <w:tc>
          <w:tcPr>
            <w:tcW w:w="7382" w:type="dxa"/>
            <w:shd w:val="clear" w:color="auto" w:fill="auto"/>
          </w:tcPr>
          <w:p w:rsidR="006D7437" w:rsidRPr="00C0031B" w:rsidRDefault="006D7437" w:rsidP="00C0031B">
            <w:pPr>
              <w:bidi w:val="0"/>
              <w:spacing w:after="0" w:line="276" w:lineRule="auto"/>
              <w:jc w:val="left"/>
              <w:rPr>
                <w:rFonts w:ascii="Times New Roman" w:hAnsi="Times New Roman" w:cs="Times New Roman"/>
                <w:sz w:val="22"/>
                <w:szCs w:val="22"/>
              </w:rPr>
            </w:pPr>
            <w:r w:rsidRPr="00C0031B">
              <w:rPr>
                <w:rFonts w:ascii="Times New Roman" w:hAnsi="Times New Roman" w:cs="Times New Roman"/>
                <w:b w:val="0"/>
                <w:bCs w:val="0"/>
                <w:sz w:val="22"/>
                <w:szCs w:val="22"/>
                <w:lang w:bidi="ar-JO"/>
              </w:rPr>
              <w:t>Ministry of Environment</w:t>
            </w:r>
          </w:p>
        </w:tc>
        <w:tc>
          <w:tcPr>
            <w:tcW w:w="838" w:type="dxa"/>
            <w:vAlign w:val="center"/>
          </w:tcPr>
          <w:p w:rsidR="006D7437" w:rsidRPr="00C0031B" w:rsidRDefault="002E1128" w:rsidP="00C0031B">
            <w:pPr>
              <w:bidi w:val="0"/>
              <w:spacing w:after="0"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38</w:t>
            </w:r>
          </w:p>
        </w:tc>
      </w:tr>
      <w:tr w:rsidR="00F91E32" w:rsidRPr="00C0031B" w:rsidTr="00F91E32">
        <w:tc>
          <w:tcPr>
            <w:tcW w:w="7382" w:type="dxa"/>
            <w:shd w:val="clear" w:color="auto" w:fill="auto"/>
          </w:tcPr>
          <w:p w:rsidR="00F91E32" w:rsidRPr="00C0031B" w:rsidRDefault="00A2794F" w:rsidP="00C0031B">
            <w:pPr>
              <w:bidi w:val="0"/>
              <w:spacing w:after="0" w:line="276" w:lineRule="auto"/>
              <w:jc w:val="left"/>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 xml:space="preserve">Social Security Corporation </w:t>
            </w:r>
          </w:p>
        </w:tc>
        <w:tc>
          <w:tcPr>
            <w:tcW w:w="838" w:type="dxa"/>
            <w:vAlign w:val="center"/>
          </w:tcPr>
          <w:p w:rsidR="00F91E32" w:rsidRPr="00C0031B" w:rsidRDefault="002E1128" w:rsidP="00C0031B">
            <w:pPr>
              <w:bidi w:val="0"/>
              <w:spacing w:after="0"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39</w:t>
            </w:r>
          </w:p>
        </w:tc>
      </w:tr>
      <w:tr w:rsidR="00F91E32" w:rsidRPr="00C0031B" w:rsidTr="00F91E32">
        <w:tc>
          <w:tcPr>
            <w:tcW w:w="7382" w:type="dxa"/>
            <w:shd w:val="clear" w:color="auto" w:fill="auto"/>
          </w:tcPr>
          <w:p w:rsidR="00F91E32" w:rsidRPr="00C0031B" w:rsidRDefault="00A2794F" w:rsidP="00C0031B">
            <w:pPr>
              <w:bidi w:val="0"/>
              <w:spacing w:after="0" w:line="276" w:lineRule="auto"/>
              <w:jc w:val="left"/>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 xml:space="preserve">Jordan Free and Development Zones Group </w:t>
            </w:r>
          </w:p>
        </w:tc>
        <w:tc>
          <w:tcPr>
            <w:tcW w:w="838" w:type="dxa"/>
            <w:vAlign w:val="center"/>
          </w:tcPr>
          <w:p w:rsidR="00F91E32" w:rsidRPr="00C0031B" w:rsidRDefault="002E1128" w:rsidP="00C0031B">
            <w:pPr>
              <w:bidi w:val="0"/>
              <w:spacing w:after="0"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40</w:t>
            </w:r>
          </w:p>
        </w:tc>
      </w:tr>
      <w:tr w:rsidR="00F91E32" w:rsidRPr="00C0031B" w:rsidTr="00F91E32">
        <w:tc>
          <w:tcPr>
            <w:tcW w:w="7382" w:type="dxa"/>
            <w:shd w:val="clear" w:color="auto" w:fill="auto"/>
          </w:tcPr>
          <w:p w:rsidR="00F91E32" w:rsidRPr="00C0031B" w:rsidRDefault="00A2794F" w:rsidP="00C0031B">
            <w:pPr>
              <w:bidi w:val="0"/>
              <w:spacing w:after="0" w:line="276" w:lineRule="auto"/>
              <w:jc w:val="left"/>
              <w:rPr>
                <w:rFonts w:ascii="Times New Roman" w:hAnsi="Times New Roman" w:cs="Times New Roman"/>
                <w:b w:val="0"/>
                <w:bCs w:val="0"/>
                <w:sz w:val="22"/>
                <w:szCs w:val="22"/>
                <w:rtl/>
                <w:lang w:bidi="ar-JO"/>
              </w:rPr>
            </w:pPr>
            <w:r w:rsidRPr="00C0031B">
              <w:rPr>
                <w:rFonts w:ascii="Times New Roman" w:hAnsi="Times New Roman" w:cs="Times New Roman"/>
                <w:b w:val="0"/>
                <w:bCs w:val="0"/>
                <w:sz w:val="22"/>
                <w:szCs w:val="22"/>
                <w:lang w:bidi="ar-JO"/>
              </w:rPr>
              <w:t xml:space="preserve">Water Authority of Jordan </w:t>
            </w:r>
          </w:p>
        </w:tc>
        <w:tc>
          <w:tcPr>
            <w:tcW w:w="838" w:type="dxa"/>
            <w:vAlign w:val="center"/>
          </w:tcPr>
          <w:p w:rsidR="00F91E32" w:rsidRPr="00C0031B" w:rsidRDefault="002E1128" w:rsidP="00C0031B">
            <w:pPr>
              <w:bidi w:val="0"/>
              <w:spacing w:after="0"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41</w:t>
            </w:r>
          </w:p>
        </w:tc>
      </w:tr>
      <w:tr w:rsidR="00F91E32" w:rsidRPr="00C0031B" w:rsidTr="00F91E32">
        <w:tc>
          <w:tcPr>
            <w:tcW w:w="7382" w:type="dxa"/>
            <w:shd w:val="clear" w:color="auto" w:fill="auto"/>
          </w:tcPr>
          <w:p w:rsidR="00F91E32" w:rsidRPr="00C0031B" w:rsidRDefault="00A2794F" w:rsidP="00C0031B">
            <w:pPr>
              <w:bidi w:val="0"/>
              <w:spacing w:after="0" w:line="276" w:lineRule="auto"/>
              <w:jc w:val="left"/>
              <w:rPr>
                <w:rFonts w:ascii="Times New Roman" w:hAnsi="Times New Roman" w:cs="Times New Roman"/>
                <w:b w:val="0"/>
                <w:bCs w:val="0"/>
                <w:sz w:val="22"/>
                <w:szCs w:val="22"/>
                <w:rtl/>
                <w:lang w:bidi="ar-JO"/>
              </w:rPr>
            </w:pPr>
            <w:r w:rsidRPr="00C0031B">
              <w:rPr>
                <w:rFonts w:ascii="Times New Roman" w:hAnsi="Times New Roman" w:cs="Times New Roman"/>
                <w:b w:val="0"/>
                <w:bCs w:val="0"/>
                <w:sz w:val="22"/>
                <w:szCs w:val="22"/>
                <w:lang w:bidi="ar-JO"/>
              </w:rPr>
              <w:t xml:space="preserve">Aqaba Special Economic Zone Authority </w:t>
            </w:r>
          </w:p>
        </w:tc>
        <w:tc>
          <w:tcPr>
            <w:tcW w:w="838" w:type="dxa"/>
            <w:vAlign w:val="center"/>
          </w:tcPr>
          <w:p w:rsidR="00F91E32" w:rsidRPr="00C0031B" w:rsidRDefault="002E1128" w:rsidP="00C0031B">
            <w:pPr>
              <w:bidi w:val="0"/>
              <w:spacing w:after="0"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42</w:t>
            </w:r>
          </w:p>
        </w:tc>
      </w:tr>
      <w:tr w:rsidR="00F91E32" w:rsidRPr="00C0031B" w:rsidTr="00F91E32">
        <w:tc>
          <w:tcPr>
            <w:tcW w:w="7382" w:type="dxa"/>
            <w:shd w:val="clear" w:color="auto" w:fill="auto"/>
          </w:tcPr>
          <w:p w:rsidR="00F91E32" w:rsidRPr="00C0031B" w:rsidRDefault="00A2794F" w:rsidP="00C0031B">
            <w:pPr>
              <w:bidi w:val="0"/>
              <w:spacing w:after="0" w:line="276" w:lineRule="auto"/>
              <w:jc w:val="left"/>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 xml:space="preserve">Aqaba Company for Ports Operation and Management </w:t>
            </w:r>
          </w:p>
        </w:tc>
        <w:tc>
          <w:tcPr>
            <w:tcW w:w="838" w:type="dxa"/>
            <w:vAlign w:val="center"/>
          </w:tcPr>
          <w:p w:rsidR="00F91E32" w:rsidRPr="00C0031B" w:rsidRDefault="002E1128" w:rsidP="00C0031B">
            <w:pPr>
              <w:bidi w:val="0"/>
              <w:spacing w:after="0"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43</w:t>
            </w:r>
          </w:p>
        </w:tc>
      </w:tr>
      <w:tr w:rsidR="00F91E32" w:rsidRPr="00C0031B" w:rsidTr="00F91E32">
        <w:tc>
          <w:tcPr>
            <w:tcW w:w="7382" w:type="dxa"/>
            <w:shd w:val="clear" w:color="auto" w:fill="auto"/>
          </w:tcPr>
          <w:p w:rsidR="00F91E32" w:rsidRPr="00C0031B" w:rsidRDefault="00A2794F" w:rsidP="00C0031B">
            <w:pPr>
              <w:bidi w:val="0"/>
              <w:spacing w:after="0" w:line="276" w:lineRule="auto"/>
              <w:jc w:val="left"/>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 xml:space="preserve">Telecommunications Regulatory Commissions  </w:t>
            </w:r>
          </w:p>
        </w:tc>
        <w:tc>
          <w:tcPr>
            <w:tcW w:w="838" w:type="dxa"/>
            <w:vAlign w:val="center"/>
          </w:tcPr>
          <w:p w:rsidR="00F91E32" w:rsidRPr="00C0031B" w:rsidRDefault="002E1128" w:rsidP="00C0031B">
            <w:pPr>
              <w:bidi w:val="0"/>
              <w:spacing w:after="0"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44</w:t>
            </w:r>
          </w:p>
        </w:tc>
      </w:tr>
      <w:tr w:rsidR="00A2794F" w:rsidRPr="00C0031B" w:rsidTr="00F91E32">
        <w:tc>
          <w:tcPr>
            <w:tcW w:w="7382" w:type="dxa"/>
            <w:shd w:val="clear" w:color="auto" w:fill="auto"/>
          </w:tcPr>
          <w:p w:rsidR="00A2794F" w:rsidRPr="00C0031B" w:rsidRDefault="00A2794F" w:rsidP="00C0031B">
            <w:pPr>
              <w:bidi w:val="0"/>
              <w:spacing w:after="0" w:line="276" w:lineRule="auto"/>
              <w:jc w:val="left"/>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 xml:space="preserve">Jordan Securities Commission </w:t>
            </w:r>
          </w:p>
        </w:tc>
        <w:tc>
          <w:tcPr>
            <w:tcW w:w="838" w:type="dxa"/>
            <w:vAlign w:val="center"/>
          </w:tcPr>
          <w:p w:rsidR="00A2794F" w:rsidRPr="00C0031B" w:rsidRDefault="002E1128" w:rsidP="00C0031B">
            <w:pPr>
              <w:bidi w:val="0"/>
              <w:spacing w:after="0"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45</w:t>
            </w:r>
          </w:p>
        </w:tc>
      </w:tr>
      <w:tr w:rsidR="00A2794F" w:rsidRPr="00C0031B" w:rsidTr="00F91E32">
        <w:tc>
          <w:tcPr>
            <w:tcW w:w="7382" w:type="dxa"/>
            <w:shd w:val="clear" w:color="auto" w:fill="auto"/>
          </w:tcPr>
          <w:p w:rsidR="00A2794F" w:rsidRPr="00C0031B" w:rsidRDefault="00A2794F" w:rsidP="00C0031B">
            <w:pPr>
              <w:bidi w:val="0"/>
              <w:spacing w:after="0" w:line="276" w:lineRule="auto"/>
              <w:jc w:val="left"/>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 xml:space="preserve">Transport Regulatory Commission </w:t>
            </w:r>
          </w:p>
        </w:tc>
        <w:tc>
          <w:tcPr>
            <w:tcW w:w="838" w:type="dxa"/>
            <w:vAlign w:val="center"/>
          </w:tcPr>
          <w:p w:rsidR="00A2794F" w:rsidRPr="00C0031B" w:rsidRDefault="002E1128" w:rsidP="00C0031B">
            <w:pPr>
              <w:bidi w:val="0"/>
              <w:spacing w:after="0"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46</w:t>
            </w:r>
          </w:p>
        </w:tc>
      </w:tr>
      <w:tr w:rsidR="00A2794F" w:rsidRPr="00C0031B" w:rsidTr="00F91E32">
        <w:tc>
          <w:tcPr>
            <w:tcW w:w="7382" w:type="dxa"/>
            <w:shd w:val="clear" w:color="auto" w:fill="auto"/>
          </w:tcPr>
          <w:p w:rsidR="00A2794F" w:rsidRPr="00C0031B" w:rsidRDefault="00A2794F" w:rsidP="00C0031B">
            <w:pPr>
              <w:bidi w:val="0"/>
              <w:spacing w:after="0" w:line="276" w:lineRule="auto"/>
              <w:jc w:val="left"/>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 xml:space="preserve">Jordan Insurance Federation </w:t>
            </w:r>
          </w:p>
        </w:tc>
        <w:tc>
          <w:tcPr>
            <w:tcW w:w="838" w:type="dxa"/>
            <w:vAlign w:val="center"/>
          </w:tcPr>
          <w:p w:rsidR="00A2794F" w:rsidRPr="00C0031B" w:rsidRDefault="002E1128" w:rsidP="00C0031B">
            <w:pPr>
              <w:bidi w:val="0"/>
              <w:spacing w:after="0"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47</w:t>
            </w:r>
          </w:p>
        </w:tc>
      </w:tr>
      <w:tr w:rsidR="00A2794F" w:rsidRPr="00C0031B" w:rsidTr="00F91E32">
        <w:tc>
          <w:tcPr>
            <w:tcW w:w="7382" w:type="dxa"/>
            <w:shd w:val="clear" w:color="auto" w:fill="auto"/>
          </w:tcPr>
          <w:p w:rsidR="00A2794F" w:rsidRPr="00C0031B" w:rsidRDefault="00A2794F" w:rsidP="00C0031B">
            <w:pPr>
              <w:bidi w:val="0"/>
              <w:spacing w:after="0" w:line="276" w:lineRule="auto"/>
              <w:jc w:val="left"/>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 xml:space="preserve">Energy and Minerals Regulatory Commission </w:t>
            </w:r>
          </w:p>
        </w:tc>
        <w:tc>
          <w:tcPr>
            <w:tcW w:w="838" w:type="dxa"/>
            <w:vAlign w:val="center"/>
          </w:tcPr>
          <w:p w:rsidR="00A2794F" w:rsidRPr="00C0031B" w:rsidRDefault="002E1128" w:rsidP="00C0031B">
            <w:pPr>
              <w:bidi w:val="0"/>
              <w:spacing w:after="0"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48</w:t>
            </w:r>
          </w:p>
        </w:tc>
      </w:tr>
      <w:tr w:rsidR="00A2794F" w:rsidRPr="00C0031B" w:rsidTr="00F91E32">
        <w:tc>
          <w:tcPr>
            <w:tcW w:w="7382" w:type="dxa"/>
            <w:shd w:val="clear" w:color="auto" w:fill="auto"/>
          </w:tcPr>
          <w:p w:rsidR="00A2794F" w:rsidRPr="00C0031B" w:rsidRDefault="003C1B0D" w:rsidP="00C0031B">
            <w:pPr>
              <w:bidi w:val="0"/>
              <w:spacing w:after="0" w:line="276" w:lineRule="auto"/>
              <w:jc w:val="left"/>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 xml:space="preserve">Jordan Deposit Insurance Corporation </w:t>
            </w:r>
          </w:p>
        </w:tc>
        <w:tc>
          <w:tcPr>
            <w:tcW w:w="838" w:type="dxa"/>
            <w:vAlign w:val="center"/>
          </w:tcPr>
          <w:p w:rsidR="00A2794F" w:rsidRPr="00C0031B" w:rsidRDefault="002E1128" w:rsidP="00C0031B">
            <w:pPr>
              <w:bidi w:val="0"/>
              <w:spacing w:after="0"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49</w:t>
            </w:r>
          </w:p>
        </w:tc>
      </w:tr>
      <w:tr w:rsidR="00A2794F" w:rsidRPr="00C0031B" w:rsidTr="00F91E32">
        <w:tc>
          <w:tcPr>
            <w:tcW w:w="7382" w:type="dxa"/>
            <w:shd w:val="clear" w:color="auto" w:fill="auto"/>
          </w:tcPr>
          <w:p w:rsidR="00A2794F" w:rsidRPr="00C0031B" w:rsidRDefault="003C1B0D" w:rsidP="00C0031B">
            <w:pPr>
              <w:bidi w:val="0"/>
              <w:spacing w:after="0" w:line="276" w:lineRule="auto"/>
              <w:jc w:val="left"/>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 xml:space="preserve">Greater Amman Municipality </w:t>
            </w:r>
          </w:p>
        </w:tc>
        <w:tc>
          <w:tcPr>
            <w:tcW w:w="838" w:type="dxa"/>
            <w:vAlign w:val="center"/>
          </w:tcPr>
          <w:p w:rsidR="00A2794F" w:rsidRPr="00C0031B" w:rsidRDefault="002E1128" w:rsidP="00C0031B">
            <w:pPr>
              <w:bidi w:val="0"/>
              <w:spacing w:after="0"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50</w:t>
            </w:r>
          </w:p>
        </w:tc>
      </w:tr>
      <w:tr w:rsidR="00A2794F" w:rsidRPr="00C0031B" w:rsidTr="00F91E32">
        <w:tc>
          <w:tcPr>
            <w:tcW w:w="7382" w:type="dxa"/>
            <w:shd w:val="clear" w:color="auto" w:fill="auto"/>
          </w:tcPr>
          <w:p w:rsidR="00A2794F" w:rsidRPr="00C0031B" w:rsidRDefault="003C1B0D" w:rsidP="00C0031B">
            <w:pPr>
              <w:bidi w:val="0"/>
              <w:spacing w:after="0" w:line="276" w:lineRule="auto"/>
              <w:jc w:val="left"/>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Others (subject to prior approval from the Central Bank)</w:t>
            </w:r>
          </w:p>
        </w:tc>
        <w:tc>
          <w:tcPr>
            <w:tcW w:w="838" w:type="dxa"/>
            <w:vAlign w:val="center"/>
          </w:tcPr>
          <w:p w:rsidR="00A2794F" w:rsidRPr="00C0031B" w:rsidRDefault="002E1128" w:rsidP="00C0031B">
            <w:pPr>
              <w:bidi w:val="0"/>
              <w:spacing w:after="0" w:line="276" w:lineRule="auto"/>
              <w:jc w:val="center"/>
              <w:rPr>
                <w:rFonts w:ascii="Times New Roman" w:hAnsi="Times New Roman" w:cs="Times New Roman"/>
                <w:b w:val="0"/>
                <w:bCs w:val="0"/>
                <w:sz w:val="22"/>
                <w:szCs w:val="22"/>
                <w:rtl/>
                <w:lang w:bidi="ar-JO"/>
              </w:rPr>
            </w:pPr>
            <w:r w:rsidRPr="00C0031B">
              <w:rPr>
                <w:rFonts w:ascii="Times New Roman" w:hAnsi="Times New Roman" w:cs="Times New Roman"/>
                <w:b w:val="0"/>
                <w:bCs w:val="0"/>
                <w:sz w:val="22"/>
                <w:szCs w:val="22"/>
                <w:lang w:bidi="ar-JO"/>
              </w:rPr>
              <w:t>51</w:t>
            </w:r>
          </w:p>
        </w:tc>
      </w:tr>
    </w:tbl>
    <w:p w:rsidR="00211BBC" w:rsidRDefault="00414DA3" w:rsidP="00CC4B29">
      <w:pPr>
        <w:bidi w:val="0"/>
        <w:jc w:val="left"/>
        <w:rPr>
          <w:rFonts w:ascii="Times New Roman" w:hAnsi="Times New Roman" w:cs="Times New Roman"/>
          <w:b w:val="0"/>
          <w:bCs w:val="0"/>
          <w:color w:val="202124"/>
          <w:sz w:val="24"/>
          <w:szCs w:val="24"/>
          <w:lang w:val="en"/>
        </w:rPr>
      </w:pPr>
      <w:r>
        <w:rPr>
          <w:rFonts w:ascii="Times New Roman" w:hAnsi="Times New Roman" w:cs="Times New Roman"/>
          <w:b w:val="0"/>
          <w:bCs w:val="0"/>
          <w:color w:val="202124"/>
          <w:sz w:val="24"/>
          <w:szCs w:val="24"/>
          <w:lang w:val="en"/>
        </w:rPr>
        <w:t xml:space="preserve">* </w:t>
      </w:r>
      <w:r w:rsidRPr="00414DA3">
        <w:rPr>
          <w:rFonts w:ascii="Times New Roman" w:hAnsi="Times New Roman" w:cs="Times New Roman"/>
          <w:b w:val="0"/>
          <w:bCs w:val="0"/>
          <w:color w:val="202124"/>
          <w:sz w:val="22"/>
          <w:szCs w:val="22"/>
          <w:lang w:val="en"/>
        </w:rPr>
        <w:t>This Annex is exclusively approved for the purposes of implementing Basel III standard.</w:t>
      </w:r>
    </w:p>
    <w:p w:rsidR="00211BBC" w:rsidRPr="00211BBC" w:rsidRDefault="00211BBC" w:rsidP="00211BBC">
      <w:pPr>
        <w:jc w:val="center"/>
        <w:rPr>
          <w:rtl/>
          <w:lang w:val="en" w:bidi="ar-JO"/>
        </w:rPr>
      </w:pPr>
    </w:p>
    <w:p w:rsidR="00505A8B" w:rsidRDefault="00505A8B" w:rsidP="00505A8B">
      <w:pPr>
        <w:rPr>
          <w:rtl/>
        </w:rPr>
      </w:pPr>
      <w:r w:rsidRPr="00AF0943">
        <w:rPr>
          <w:rtl/>
        </w:rPr>
        <w:br w:type="page"/>
      </w:r>
    </w:p>
    <w:p w:rsidR="0006312A" w:rsidRPr="00B66B27" w:rsidRDefault="0006312A" w:rsidP="00B66B27">
      <w:pPr>
        <w:pStyle w:val="Heading1"/>
        <w:pBdr>
          <w:bottom w:val="single" w:sz="4" w:space="1" w:color="auto"/>
        </w:pBdr>
        <w:bidi w:val="0"/>
        <w:jc w:val="center"/>
        <w:rPr>
          <w:rFonts w:asciiTheme="majorBidi" w:hAnsiTheme="majorBidi" w:cstheme="majorBidi"/>
          <w:b/>
          <w:bCs/>
        </w:rPr>
      </w:pPr>
      <w:bookmarkStart w:id="71" w:name="_Toc465255835"/>
      <w:bookmarkStart w:id="72" w:name="_Toc65354417"/>
      <w:r w:rsidRPr="00F06631">
        <w:rPr>
          <w:rFonts w:asciiTheme="majorBidi" w:hAnsiTheme="majorBidi" w:cstheme="majorBidi"/>
          <w:b/>
          <w:bCs/>
        </w:rPr>
        <w:lastRenderedPageBreak/>
        <w:t>Annex (9)</w:t>
      </w:r>
      <w:r w:rsidR="00B66B27">
        <w:rPr>
          <w:rFonts w:asciiTheme="majorBidi" w:hAnsiTheme="majorBidi" w:cstheme="majorBidi"/>
          <w:b/>
          <w:bCs/>
        </w:rPr>
        <w:t xml:space="preserve"> </w:t>
      </w:r>
      <w:r w:rsidRPr="00F06631">
        <w:rPr>
          <w:rFonts w:asciiTheme="majorBidi" w:hAnsiTheme="majorBidi" w:cstheme="majorBidi"/>
          <w:b/>
          <w:bCs/>
        </w:rPr>
        <w:t>Establishments and institutions that eligible for banks risk weights</w:t>
      </w:r>
      <w:r>
        <w:rPr>
          <w:rStyle w:val="FootnoteReference"/>
          <w:color w:val="202124"/>
          <w:lang w:val="en"/>
        </w:rPr>
        <w:footnoteReference w:id="23"/>
      </w:r>
      <w:bookmarkEnd w:id="72"/>
    </w:p>
    <w:p w:rsidR="00F06631" w:rsidRDefault="00F06631" w:rsidP="00F06631">
      <w:pPr>
        <w:bidi w:val="0"/>
        <w:rPr>
          <w:lang w:val="en"/>
        </w:rPr>
      </w:pPr>
    </w:p>
    <w:p w:rsidR="00F06631" w:rsidRPr="00F06631" w:rsidRDefault="00F06631" w:rsidP="00F06631">
      <w:pPr>
        <w:bidi w:val="0"/>
        <w:rPr>
          <w:lang w:val="en"/>
        </w:rPr>
      </w:pPr>
    </w:p>
    <w:tbl>
      <w:tblPr>
        <w:tblStyle w:val="TableGrid"/>
        <w:bidiVisual/>
        <w:tblW w:w="0" w:type="auto"/>
        <w:tblInd w:w="175" w:type="dxa"/>
        <w:tblLook w:val="04A0" w:firstRow="1" w:lastRow="0" w:firstColumn="1" w:lastColumn="0" w:noHBand="0" w:noVBand="1"/>
      </w:tblPr>
      <w:tblGrid>
        <w:gridCol w:w="7382"/>
        <w:gridCol w:w="838"/>
      </w:tblGrid>
      <w:tr w:rsidR="0006312A" w:rsidRPr="00C0031B" w:rsidTr="00BD35CF">
        <w:tc>
          <w:tcPr>
            <w:tcW w:w="7382" w:type="dxa"/>
            <w:shd w:val="clear" w:color="auto" w:fill="EDEDED" w:themeFill="accent3" w:themeFillTint="33"/>
            <w:vAlign w:val="center"/>
          </w:tcPr>
          <w:p w:rsidR="0006312A" w:rsidRPr="00C0031B" w:rsidRDefault="0006312A" w:rsidP="00234A30">
            <w:pPr>
              <w:bidi w:val="0"/>
              <w:spacing w:line="276" w:lineRule="auto"/>
              <w:jc w:val="center"/>
              <w:rPr>
                <w:rFonts w:ascii="Times New Roman" w:hAnsi="Times New Roman" w:cs="Times New Roman"/>
                <w:sz w:val="22"/>
                <w:szCs w:val="22"/>
                <w:rtl/>
                <w:lang w:val="en"/>
              </w:rPr>
            </w:pPr>
            <w:r w:rsidRPr="00C0031B">
              <w:rPr>
                <w:rFonts w:ascii="Times New Roman" w:hAnsi="Times New Roman" w:cs="Times New Roman"/>
                <w:sz w:val="22"/>
                <w:szCs w:val="22"/>
                <w:lang w:val="en"/>
              </w:rPr>
              <w:t>Name</w:t>
            </w:r>
          </w:p>
        </w:tc>
        <w:tc>
          <w:tcPr>
            <w:tcW w:w="838" w:type="dxa"/>
            <w:shd w:val="clear" w:color="auto" w:fill="EDEDED" w:themeFill="accent3" w:themeFillTint="33"/>
            <w:vAlign w:val="center"/>
          </w:tcPr>
          <w:p w:rsidR="0006312A" w:rsidRPr="00C0031B" w:rsidRDefault="0006312A" w:rsidP="00234A30">
            <w:pPr>
              <w:bidi w:val="0"/>
              <w:spacing w:line="276" w:lineRule="auto"/>
              <w:jc w:val="center"/>
              <w:rPr>
                <w:rFonts w:ascii="Times New Roman" w:hAnsi="Times New Roman" w:cs="Times New Roman"/>
                <w:sz w:val="22"/>
                <w:szCs w:val="22"/>
                <w:rtl/>
                <w:lang w:val="en"/>
              </w:rPr>
            </w:pPr>
            <w:r w:rsidRPr="00C0031B">
              <w:rPr>
                <w:rFonts w:ascii="Times New Roman" w:hAnsi="Times New Roman" w:cs="Times New Roman"/>
                <w:sz w:val="22"/>
                <w:szCs w:val="22"/>
                <w:lang w:val="en"/>
              </w:rPr>
              <w:t>No.</w:t>
            </w:r>
          </w:p>
        </w:tc>
      </w:tr>
      <w:tr w:rsidR="0006312A" w:rsidRPr="00C0031B" w:rsidTr="00BD35CF">
        <w:tc>
          <w:tcPr>
            <w:tcW w:w="7382" w:type="dxa"/>
            <w:vAlign w:val="center"/>
          </w:tcPr>
          <w:p w:rsidR="0006312A" w:rsidRPr="00C0031B" w:rsidRDefault="0006312A" w:rsidP="00234A30">
            <w:pPr>
              <w:bidi w:val="0"/>
              <w:spacing w:after="0" w:line="276" w:lineRule="auto"/>
              <w:jc w:val="left"/>
              <w:rPr>
                <w:rFonts w:ascii="Times New Roman" w:hAnsi="Times New Roman" w:cs="Times New Roman"/>
                <w:b w:val="0"/>
                <w:bCs w:val="0"/>
                <w:sz w:val="22"/>
                <w:szCs w:val="22"/>
                <w:rtl/>
                <w:lang w:val="en"/>
              </w:rPr>
            </w:pPr>
            <w:r w:rsidRPr="00C0031B">
              <w:rPr>
                <w:rFonts w:ascii="Times New Roman" w:hAnsi="Times New Roman" w:cs="Times New Roman"/>
                <w:b w:val="0"/>
                <w:bCs w:val="0"/>
                <w:sz w:val="22"/>
                <w:szCs w:val="22"/>
                <w:lang w:val="en"/>
              </w:rPr>
              <w:t xml:space="preserve">Municipalities and Local Councils </w:t>
            </w:r>
          </w:p>
        </w:tc>
        <w:tc>
          <w:tcPr>
            <w:tcW w:w="838" w:type="dxa"/>
            <w:vAlign w:val="center"/>
          </w:tcPr>
          <w:p w:rsidR="0006312A" w:rsidRPr="00C0031B" w:rsidRDefault="0006312A" w:rsidP="00234A30">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1</w:t>
            </w:r>
          </w:p>
        </w:tc>
      </w:tr>
      <w:tr w:rsidR="0006312A" w:rsidRPr="00C0031B" w:rsidTr="00BD35CF">
        <w:tc>
          <w:tcPr>
            <w:tcW w:w="7382" w:type="dxa"/>
            <w:vAlign w:val="center"/>
          </w:tcPr>
          <w:p w:rsidR="0006312A" w:rsidRPr="00C0031B" w:rsidRDefault="0006312A" w:rsidP="00234A30">
            <w:pPr>
              <w:bidi w:val="0"/>
              <w:spacing w:after="0" w:line="276" w:lineRule="auto"/>
              <w:jc w:val="left"/>
              <w:rPr>
                <w:rFonts w:ascii="Times New Roman" w:hAnsi="Times New Roman" w:cs="Times New Roman"/>
                <w:b w:val="0"/>
                <w:bCs w:val="0"/>
                <w:sz w:val="22"/>
                <w:szCs w:val="22"/>
                <w:rtl/>
                <w:lang w:bidi="ar-JO"/>
              </w:rPr>
            </w:pPr>
            <w:r w:rsidRPr="00C0031B">
              <w:rPr>
                <w:rFonts w:ascii="Times New Roman" w:hAnsi="Times New Roman" w:cs="Times New Roman"/>
                <w:b w:val="0"/>
                <w:bCs w:val="0"/>
                <w:sz w:val="22"/>
                <w:szCs w:val="22"/>
              </w:rPr>
              <w:t xml:space="preserve">Royal Jordanian </w:t>
            </w:r>
          </w:p>
        </w:tc>
        <w:tc>
          <w:tcPr>
            <w:tcW w:w="838" w:type="dxa"/>
            <w:vAlign w:val="center"/>
          </w:tcPr>
          <w:p w:rsidR="0006312A" w:rsidRPr="00C0031B" w:rsidRDefault="0006312A" w:rsidP="00234A30">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2</w:t>
            </w:r>
          </w:p>
        </w:tc>
      </w:tr>
      <w:tr w:rsidR="0006312A" w:rsidRPr="00C0031B" w:rsidTr="00BD35CF">
        <w:tc>
          <w:tcPr>
            <w:tcW w:w="7382" w:type="dxa"/>
            <w:vAlign w:val="center"/>
          </w:tcPr>
          <w:p w:rsidR="0006312A" w:rsidRPr="00C0031B" w:rsidRDefault="00B74848" w:rsidP="00234A30">
            <w:pPr>
              <w:bidi w:val="0"/>
              <w:spacing w:after="0" w:line="276" w:lineRule="auto"/>
              <w:jc w:val="left"/>
              <w:rPr>
                <w:rFonts w:ascii="Times New Roman" w:hAnsi="Times New Roman" w:cs="Times New Roman"/>
                <w:b w:val="0"/>
                <w:bCs w:val="0"/>
                <w:sz w:val="22"/>
                <w:szCs w:val="22"/>
                <w:rtl/>
                <w:lang w:bidi="ar-JO"/>
              </w:rPr>
            </w:pPr>
            <w:r w:rsidRPr="00C0031B">
              <w:rPr>
                <w:rFonts w:ascii="Times New Roman" w:hAnsi="Times New Roman" w:cs="Times New Roman"/>
                <w:b w:val="0"/>
                <w:bCs w:val="0"/>
                <w:sz w:val="22"/>
                <w:szCs w:val="22"/>
              </w:rPr>
              <w:t>National Electric Power Company</w:t>
            </w:r>
          </w:p>
        </w:tc>
        <w:tc>
          <w:tcPr>
            <w:tcW w:w="838" w:type="dxa"/>
            <w:vAlign w:val="center"/>
          </w:tcPr>
          <w:p w:rsidR="0006312A" w:rsidRPr="00C0031B" w:rsidRDefault="0006312A" w:rsidP="00234A30">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3</w:t>
            </w:r>
          </w:p>
        </w:tc>
      </w:tr>
      <w:tr w:rsidR="0006312A" w:rsidRPr="00C0031B" w:rsidTr="00BD35CF">
        <w:tc>
          <w:tcPr>
            <w:tcW w:w="7382" w:type="dxa"/>
            <w:vAlign w:val="center"/>
          </w:tcPr>
          <w:p w:rsidR="0006312A" w:rsidRPr="00C0031B" w:rsidRDefault="00B74848" w:rsidP="00234A30">
            <w:pPr>
              <w:bidi w:val="0"/>
              <w:spacing w:after="0" w:line="276" w:lineRule="auto"/>
              <w:jc w:val="left"/>
              <w:rPr>
                <w:rFonts w:ascii="Times New Roman" w:hAnsi="Times New Roman" w:cs="Times New Roman"/>
                <w:b w:val="0"/>
                <w:bCs w:val="0"/>
                <w:sz w:val="22"/>
                <w:szCs w:val="22"/>
                <w:rtl/>
                <w:lang w:bidi="ar-JO"/>
              </w:rPr>
            </w:pPr>
            <w:r w:rsidRPr="00C0031B">
              <w:rPr>
                <w:rFonts w:ascii="Times New Roman" w:hAnsi="Times New Roman" w:cs="Times New Roman"/>
                <w:b w:val="0"/>
                <w:bCs w:val="0"/>
                <w:sz w:val="22"/>
                <w:szCs w:val="22"/>
              </w:rPr>
              <w:t xml:space="preserve">Electricity Distribution Company </w:t>
            </w:r>
          </w:p>
        </w:tc>
        <w:tc>
          <w:tcPr>
            <w:tcW w:w="838" w:type="dxa"/>
            <w:vAlign w:val="center"/>
          </w:tcPr>
          <w:p w:rsidR="0006312A" w:rsidRPr="00C0031B" w:rsidRDefault="0006312A" w:rsidP="00234A30">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4</w:t>
            </w:r>
          </w:p>
        </w:tc>
      </w:tr>
      <w:tr w:rsidR="0006312A" w:rsidRPr="00C0031B" w:rsidTr="00BD35CF">
        <w:tc>
          <w:tcPr>
            <w:tcW w:w="7382" w:type="dxa"/>
            <w:vAlign w:val="center"/>
          </w:tcPr>
          <w:p w:rsidR="0006312A" w:rsidRPr="00C0031B" w:rsidRDefault="00B74848" w:rsidP="00234A30">
            <w:pPr>
              <w:bidi w:val="0"/>
              <w:spacing w:after="0" w:line="276" w:lineRule="auto"/>
              <w:jc w:val="left"/>
              <w:rPr>
                <w:rFonts w:ascii="Times New Roman" w:hAnsi="Times New Roman" w:cs="Times New Roman"/>
                <w:b w:val="0"/>
                <w:bCs w:val="0"/>
                <w:sz w:val="22"/>
                <w:szCs w:val="22"/>
                <w:rtl/>
              </w:rPr>
            </w:pPr>
            <w:r w:rsidRPr="00C0031B">
              <w:rPr>
                <w:rFonts w:ascii="Times New Roman" w:hAnsi="Times New Roman" w:cs="Times New Roman"/>
                <w:b w:val="0"/>
                <w:bCs w:val="0"/>
                <w:sz w:val="22"/>
                <w:szCs w:val="22"/>
              </w:rPr>
              <w:t xml:space="preserve">Central Electricity Generating Company </w:t>
            </w:r>
          </w:p>
        </w:tc>
        <w:tc>
          <w:tcPr>
            <w:tcW w:w="838" w:type="dxa"/>
            <w:vAlign w:val="center"/>
          </w:tcPr>
          <w:p w:rsidR="0006312A" w:rsidRPr="00C0031B" w:rsidRDefault="0006312A" w:rsidP="00234A30">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5</w:t>
            </w:r>
          </w:p>
        </w:tc>
      </w:tr>
      <w:tr w:rsidR="0006312A" w:rsidRPr="00C0031B" w:rsidTr="00BD35CF">
        <w:tc>
          <w:tcPr>
            <w:tcW w:w="7382" w:type="dxa"/>
            <w:vAlign w:val="center"/>
          </w:tcPr>
          <w:p w:rsidR="0006312A" w:rsidRPr="00C0031B" w:rsidRDefault="00B74848" w:rsidP="00234A30">
            <w:pPr>
              <w:bidi w:val="0"/>
              <w:spacing w:after="0" w:line="276" w:lineRule="auto"/>
              <w:jc w:val="left"/>
              <w:rPr>
                <w:rFonts w:ascii="Times New Roman" w:hAnsi="Times New Roman" w:cs="Times New Roman"/>
                <w:b w:val="0"/>
                <w:bCs w:val="0"/>
                <w:sz w:val="22"/>
                <w:szCs w:val="22"/>
                <w:rtl/>
              </w:rPr>
            </w:pPr>
            <w:r w:rsidRPr="00C0031B">
              <w:rPr>
                <w:rFonts w:ascii="Times New Roman" w:hAnsi="Times New Roman" w:cs="Times New Roman"/>
                <w:b w:val="0"/>
                <w:bCs w:val="0"/>
                <w:sz w:val="22"/>
                <w:szCs w:val="22"/>
              </w:rPr>
              <w:t xml:space="preserve">Jordan Industrial Estates Corporation </w:t>
            </w:r>
          </w:p>
        </w:tc>
        <w:tc>
          <w:tcPr>
            <w:tcW w:w="838" w:type="dxa"/>
            <w:vAlign w:val="center"/>
          </w:tcPr>
          <w:p w:rsidR="0006312A" w:rsidRPr="00C0031B" w:rsidRDefault="0006312A" w:rsidP="00234A30">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6</w:t>
            </w:r>
          </w:p>
        </w:tc>
      </w:tr>
      <w:tr w:rsidR="0006312A" w:rsidRPr="00C0031B" w:rsidTr="00BD35CF">
        <w:tc>
          <w:tcPr>
            <w:tcW w:w="7382" w:type="dxa"/>
            <w:vAlign w:val="center"/>
          </w:tcPr>
          <w:p w:rsidR="0006312A" w:rsidRPr="00C0031B" w:rsidRDefault="00B74848" w:rsidP="00234A30">
            <w:pPr>
              <w:bidi w:val="0"/>
              <w:spacing w:after="0" w:line="276" w:lineRule="auto"/>
              <w:jc w:val="left"/>
              <w:rPr>
                <w:rFonts w:ascii="Times New Roman" w:hAnsi="Times New Roman" w:cs="Times New Roman"/>
                <w:b w:val="0"/>
                <w:bCs w:val="0"/>
                <w:sz w:val="22"/>
                <w:szCs w:val="22"/>
                <w:lang w:bidi="ar-JO"/>
              </w:rPr>
            </w:pPr>
            <w:r w:rsidRPr="00C0031B">
              <w:rPr>
                <w:rStyle w:val="acopre1"/>
                <w:rFonts w:ascii="Times New Roman" w:hAnsi="Times New Roman" w:cs="Times New Roman"/>
                <w:b w:val="0"/>
                <w:bCs w:val="0"/>
                <w:sz w:val="22"/>
                <w:szCs w:val="22"/>
              </w:rPr>
              <w:t>Jordan Export Development &amp; Commercial Centers Corporation</w:t>
            </w:r>
          </w:p>
        </w:tc>
        <w:tc>
          <w:tcPr>
            <w:tcW w:w="838" w:type="dxa"/>
            <w:vAlign w:val="center"/>
          </w:tcPr>
          <w:p w:rsidR="0006312A" w:rsidRPr="00C0031B" w:rsidRDefault="0006312A" w:rsidP="00234A30">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7</w:t>
            </w:r>
          </w:p>
        </w:tc>
      </w:tr>
      <w:tr w:rsidR="0006312A" w:rsidRPr="00C0031B" w:rsidTr="00BD35CF">
        <w:tc>
          <w:tcPr>
            <w:tcW w:w="7382" w:type="dxa"/>
            <w:vAlign w:val="center"/>
          </w:tcPr>
          <w:p w:rsidR="0006312A" w:rsidRPr="00C0031B" w:rsidRDefault="00B74848" w:rsidP="00234A30">
            <w:pPr>
              <w:bidi w:val="0"/>
              <w:spacing w:after="0" w:line="276" w:lineRule="auto"/>
              <w:jc w:val="left"/>
              <w:rPr>
                <w:rFonts w:ascii="Times New Roman" w:hAnsi="Times New Roman" w:cs="Times New Roman"/>
                <w:b w:val="0"/>
                <w:bCs w:val="0"/>
                <w:sz w:val="22"/>
                <w:szCs w:val="22"/>
                <w:rtl/>
                <w:lang w:bidi="ar-JO"/>
              </w:rPr>
            </w:pPr>
            <w:r w:rsidRPr="00C0031B">
              <w:rPr>
                <w:rFonts w:ascii="Times New Roman" w:hAnsi="Times New Roman" w:cs="Times New Roman"/>
                <w:b w:val="0"/>
                <w:bCs w:val="0"/>
                <w:sz w:val="22"/>
                <w:szCs w:val="22"/>
                <w:lang w:val="en"/>
              </w:rPr>
              <w:t>Al-Aqsa Mosque Reconstruction</w:t>
            </w:r>
            <w:r w:rsidRPr="00C0031B">
              <w:rPr>
                <w:rFonts w:ascii="Times New Roman" w:hAnsi="Times New Roman" w:cs="Times New Roman"/>
                <w:b w:val="0"/>
                <w:bCs w:val="0"/>
                <w:sz w:val="22"/>
                <w:szCs w:val="22"/>
              </w:rPr>
              <w:t xml:space="preserve"> Committee</w:t>
            </w:r>
          </w:p>
        </w:tc>
        <w:tc>
          <w:tcPr>
            <w:tcW w:w="838" w:type="dxa"/>
            <w:vAlign w:val="center"/>
          </w:tcPr>
          <w:p w:rsidR="0006312A" w:rsidRPr="00C0031B" w:rsidRDefault="0006312A" w:rsidP="00234A30">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8</w:t>
            </w:r>
          </w:p>
        </w:tc>
      </w:tr>
      <w:tr w:rsidR="0006312A" w:rsidRPr="00C0031B" w:rsidTr="00BD35CF">
        <w:tc>
          <w:tcPr>
            <w:tcW w:w="7382" w:type="dxa"/>
            <w:vAlign w:val="center"/>
          </w:tcPr>
          <w:p w:rsidR="0006312A" w:rsidRPr="00C0031B" w:rsidRDefault="00B74848" w:rsidP="00234A30">
            <w:pPr>
              <w:bidi w:val="0"/>
              <w:spacing w:after="0" w:line="276" w:lineRule="auto"/>
              <w:jc w:val="left"/>
              <w:rPr>
                <w:rFonts w:ascii="Times New Roman" w:hAnsi="Times New Roman" w:cs="Times New Roman"/>
                <w:b w:val="0"/>
                <w:bCs w:val="0"/>
                <w:sz w:val="22"/>
                <w:szCs w:val="22"/>
              </w:rPr>
            </w:pPr>
            <w:r w:rsidRPr="00C0031B">
              <w:rPr>
                <w:rFonts w:ascii="Times New Roman" w:hAnsi="Times New Roman" w:cs="Times New Roman"/>
                <w:b w:val="0"/>
                <w:bCs w:val="0"/>
                <w:sz w:val="22"/>
                <w:szCs w:val="22"/>
                <w:lang w:val="en"/>
              </w:rPr>
              <w:t>Military Retired Foundation</w:t>
            </w:r>
          </w:p>
        </w:tc>
        <w:tc>
          <w:tcPr>
            <w:tcW w:w="838" w:type="dxa"/>
            <w:vAlign w:val="center"/>
          </w:tcPr>
          <w:p w:rsidR="0006312A" w:rsidRPr="00C0031B" w:rsidRDefault="0006312A" w:rsidP="00234A30">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9</w:t>
            </w:r>
          </w:p>
        </w:tc>
      </w:tr>
      <w:tr w:rsidR="0006312A" w:rsidRPr="00C0031B" w:rsidTr="00BD35CF">
        <w:tc>
          <w:tcPr>
            <w:tcW w:w="7382" w:type="dxa"/>
            <w:vAlign w:val="center"/>
          </w:tcPr>
          <w:p w:rsidR="0006312A" w:rsidRPr="00C0031B" w:rsidRDefault="00B74848" w:rsidP="00234A30">
            <w:pPr>
              <w:bidi w:val="0"/>
              <w:spacing w:after="0" w:line="276" w:lineRule="auto"/>
              <w:jc w:val="left"/>
              <w:rPr>
                <w:rFonts w:ascii="Times New Roman" w:hAnsi="Times New Roman" w:cs="Times New Roman"/>
                <w:b w:val="0"/>
                <w:bCs w:val="0"/>
                <w:sz w:val="22"/>
                <w:szCs w:val="22"/>
                <w:rtl/>
                <w:lang w:bidi="ar-JO"/>
              </w:rPr>
            </w:pPr>
            <w:r w:rsidRPr="00C0031B">
              <w:rPr>
                <w:rFonts w:ascii="Times New Roman" w:hAnsi="Times New Roman" w:cs="Times New Roman"/>
                <w:b w:val="0"/>
                <w:bCs w:val="0"/>
                <w:sz w:val="22"/>
                <w:szCs w:val="22"/>
              </w:rPr>
              <w:t xml:space="preserve">Royal Scientific Society </w:t>
            </w:r>
          </w:p>
        </w:tc>
        <w:tc>
          <w:tcPr>
            <w:tcW w:w="838" w:type="dxa"/>
            <w:vAlign w:val="center"/>
          </w:tcPr>
          <w:p w:rsidR="0006312A" w:rsidRPr="00C0031B" w:rsidRDefault="0006312A" w:rsidP="00234A30">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10</w:t>
            </w:r>
          </w:p>
        </w:tc>
      </w:tr>
      <w:tr w:rsidR="00B74848" w:rsidRPr="00C0031B" w:rsidTr="00BD35CF">
        <w:tc>
          <w:tcPr>
            <w:tcW w:w="7382" w:type="dxa"/>
            <w:vAlign w:val="center"/>
          </w:tcPr>
          <w:p w:rsidR="00B74848" w:rsidRPr="00C0031B" w:rsidRDefault="00B74848" w:rsidP="00234A30">
            <w:pPr>
              <w:bidi w:val="0"/>
              <w:spacing w:after="0" w:line="276" w:lineRule="auto"/>
              <w:jc w:val="left"/>
              <w:rPr>
                <w:rFonts w:ascii="Times New Roman" w:hAnsi="Times New Roman" w:cs="Times New Roman"/>
                <w:b w:val="0"/>
                <w:bCs w:val="0"/>
                <w:sz w:val="22"/>
                <w:szCs w:val="22"/>
                <w:rtl/>
                <w:lang w:bidi="ar-JO"/>
              </w:rPr>
            </w:pPr>
            <w:r w:rsidRPr="00C0031B">
              <w:rPr>
                <w:rFonts w:ascii="Times New Roman" w:hAnsi="Times New Roman" w:cs="Times New Roman"/>
                <w:b w:val="0"/>
                <w:bCs w:val="0"/>
                <w:sz w:val="22"/>
                <w:szCs w:val="22"/>
              </w:rPr>
              <w:t xml:space="preserve">The Military Consumer </w:t>
            </w:r>
            <w:r w:rsidR="00C12433" w:rsidRPr="00C0031B">
              <w:rPr>
                <w:rFonts w:ascii="Times New Roman" w:hAnsi="Times New Roman" w:cs="Times New Roman"/>
                <w:b w:val="0"/>
                <w:bCs w:val="0"/>
                <w:sz w:val="22"/>
                <w:szCs w:val="22"/>
              </w:rPr>
              <w:t xml:space="preserve">Institution </w:t>
            </w:r>
            <w:r w:rsidRPr="00C0031B">
              <w:rPr>
                <w:rFonts w:ascii="Times New Roman" w:hAnsi="Times New Roman" w:cs="Times New Roman"/>
                <w:b w:val="0"/>
                <w:bCs w:val="0"/>
                <w:sz w:val="22"/>
                <w:szCs w:val="22"/>
              </w:rPr>
              <w:t xml:space="preserve"> </w:t>
            </w:r>
          </w:p>
        </w:tc>
        <w:tc>
          <w:tcPr>
            <w:tcW w:w="838" w:type="dxa"/>
            <w:vAlign w:val="center"/>
          </w:tcPr>
          <w:p w:rsidR="00B74848" w:rsidRPr="00C0031B" w:rsidRDefault="00B74848" w:rsidP="00234A30">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11</w:t>
            </w:r>
          </w:p>
        </w:tc>
      </w:tr>
      <w:tr w:rsidR="00B74848" w:rsidRPr="00C0031B" w:rsidTr="00BD35CF">
        <w:tc>
          <w:tcPr>
            <w:tcW w:w="7382" w:type="dxa"/>
            <w:vAlign w:val="center"/>
          </w:tcPr>
          <w:p w:rsidR="00B74848" w:rsidRPr="00C0031B" w:rsidRDefault="00BB0010" w:rsidP="00234A30">
            <w:pPr>
              <w:bidi w:val="0"/>
              <w:spacing w:after="0" w:line="276" w:lineRule="auto"/>
              <w:jc w:val="left"/>
              <w:rPr>
                <w:rFonts w:ascii="Times New Roman" w:hAnsi="Times New Roman" w:cs="Times New Roman"/>
                <w:b w:val="0"/>
                <w:bCs w:val="0"/>
                <w:sz w:val="22"/>
                <w:szCs w:val="22"/>
              </w:rPr>
            </w:pPr>
            <w:r w:rsidRPr="00C0031B">
              <w:rPr>
                <w:rFonts w:ascii="Times New Roman" w:hAnsi="Times New Roman" w:cs="Times New Roman"/>
                <w:b w:val="0"/>
                <w:bCs w:val="0"/>
                <w:sz w:val="22"/>
                <w:szCs w:val="22"/>
              </w:rPr>
              <w:t xml:space="preserve">The University of Jordan </w:t>
            </w:r>
          </w:p>
        </w:tc>
        <w:tc>
          <w:tcPr>
            <w:tcW w:w="838" w:type="dxa"/>
            <w:vAlign w:val="center"/>
          </w:tcPr>
          <w:p w:rsidR="00B74848" w:rsidRPr="00C0031B" w:rsidRDefault="002E1128" w:rsidP="00234A30">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12</w:t>
            </w:r>
          </w:p>
        </w:tc>
      </w:tr>
      <w:tr w:rsidR="00B74848" w:rsidRPr="00C0031B" w:rsidTr="00BD35CF">
        <w:tc>
          <w:tcPr>
            <w:tcW w:w="7382" w:type="dxa"/>
            <w:vAlign w:val="center"/>
          </w:tcPr>
          <w:p w:rsidR="00B74848" w:rsidRPr="00C0031B" w:rsidRDefault="00BB0010" w:rsidP="00234A30">
            <w:pPr>
              <w:bidi w:val="0"/>
              <w:spacing w:after="0" w:line="276" w:lineRule="auto"/>
              <w:jc w:val="left"/>
              <w:rPr>
                <w:rFonts w:ascii="Times New Roman" w:hAnsi="Times New Roman" w:cs="Times New Roman"/>
                <w:b w:val="0"/>
                <w:bCs w:val="0"/>
                <w:sz w:val="22"/>
                <w:szCs w:val="22"/>
              </w:rPr>
            </w:pPr>
            <w:r w:rsidRPr="00C0031B">
              <w:rPr>
                <w:rFonts w:ascii="Times New Roman" w:hAnsi="Times New Roman" w:cs="Times New Roman"/>
                <w:b w:val="0"/>
                <w:bCs w:val="0"/>
                <w:sz w:val="22"/>
                <w:szCs w:val="22"/>
              </w:rPr>
              <w:t xml:space="preserve">Yarmouk University </w:t>
            </w:r>
          </w:p>
        </w:tc>
        <w:tc>
          <w:tcPr>
            <w:tcW w:w="838" w:type="dxa"/>
            <w:vAlign w:val="center"/>
          </w:tcPr>
          <w:p w:rsidR="00B74848" w:rsidRPr="00C0031B" w:rsidRDefault="002E1128" w:rsidP="00234A30">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13</w:t>
            </w:r>
          </w:p>
        </w:tc>
      </w:tr>
      <w:tr w:rsidR="00B74848" w:rsidRPr="00C0031B" w:rsidTr="00BD35CF">
        <w:tc>
          <w:tcPr>
            <w:tcW w:w="7382" w:type="dxa"/>
            <w:vAlign w:val="center"/>
          </w:tcPr>
          <w:p w:rsidR="00B74848" w:rsidRPr="00C0031B" w:rsidRDefault="00BB0010" w:rsidP="00234A30">
            <w:pPr>
              <w:bidi w:val="0"/>
              <w:spacing w:after="0" w:line="276" w:lineRule="auto"/>
              <w:jc w:val="left"/>
              <w:rPr>
                <w:rFonts w:ascii="Times New Roman" w:hAnsi="Times New Roman" w:cs="Times New Roman"/>
                <w:b w:val="0"/>
                <w:bCs w:val="0"/>
                <w:sz w:val="22"/>
                <w:szCs w:val="22"/>
              </w:rPr>
            </w:pPr>
            <w:r w:rsidRPr="00C0031B">
              <w:rPr>
                <w:rFonts w:ascii="Times New Roman" w:hAnsi="Times New Roman" w:cs="Times New Roman"/>
                <w:b w:val="0"/>
                <w:bCs w:val="0"/>
                <w:sz w:val="22"/>
                <w:szCs w:val="22"/>
              </w:rPr>
              <w:t xml:space="preserve">Al </w:t>
            </w:r>
            <w:proofErr w:type="spellStart"/>
            <w:r w:rsidRPr="00C0031B">
              <w:rPr>
                <w:rFonts w:ascii="Times New Roman" w:hAnsi="Times New Roman" w:cs="Times New Roman"/>
                <w:b w:val="0"/>
                <w:bCs w:val="0"/>
                <w:sz w:val="22"/>
                <w:szCs w:val="22"/>
              </w:rPr>
              <w:t>Albayt</w:t>
            </w:r>
            <w:proofErr w:type="spellEnd"/>
            <w:r w:rsidRPr="00C0031B">
              <w:rPr>
                <w:rFonts w:ascii="Times New Roman" w:hAnsi="Times New Roman" w:cs="Times New Roman"/>
                <w:b w:val="0"/>
                <w:bCs w:val="0"/>
                <w:sz w:val="22"/>
                <w:szCs w:val="22"/>
              </w:rPr>
              <w:t xml:space="preserve"> University </w:t>
            </w:r>
          </w:p>
        </w:tc>
        <w:tc>
          <w:tcPr>
            <w:tcW w:w="838" w:type="dxa"/>
            <w:vAlign w:val="center"/>
          </w:tcPr>
          <w:p w:rsidR="00B74848" w:rsidRPr="00C0031B" w:rsidRDefault="002E1128" w:rsidP="00234A30">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14</w:t>
            </w:r>
          </w:p>
        </w:tc>
      </w:tr>
      <w:tr w:rsidR="00B74848" w:rsidRPr="00C0031B" w:rsidTr="00BD35CF">
        <w:tc>
          <w:tcPr>
            <w:tcW w:w="7382" w:type="dxa"/>
            <w:vAlign w:val="center"/>
          </w:tcPr>
          <w:p w:rsidR="00B74848" w:rsidRPr="00C0031B" w:rsidRDefault="00BB0010" w:rsidP="00234A30">
            <w:pPr>
              <w:bidi w:val="0"/>
              <w:spacing w:after="0" w:line="276" w:lineRule="auto"/>
              <w:jc w:val="left"/>
              <w:rPr>
                <w:rFonts w:ascii="Times New Roman" w:hAnsi="Times New Roman" w:cs="Times New Roman"/>
                <w:b w:val="0"/>
                <w:bCs w:val="0"/>
                <w:sz w:val="22"/>
                <w:szCs w:val="22"/>
                <w:rtl/>
                <w:lang w:bidi="ar-JO"/>
              </w:rPr>
            </w:pPr>
            <w:proofErr w:type="spellStart"/>
            <w:r w:rsidRPr="00C0031B">
              <w:rPr>
                <w:rFonts w:ascii="Times New Roman" w:hAnsi="Times New Roman" w:cs="Times New Roman"/>
                <w:b w:val="0"/>
                <w:bCs w:val="0"/>
                <w:sz w:val="22"/>
                <w:szCs w:val="22"/>
              </w:rPr>
              <w:t>Mutah</w:t>
            </w:r>
            <w:proofErr w:type="spellEnd"/>
            <w:r w:rsidRPr="00C0031B">
              <w:rPr>
                <w:rFonts w:ascii="Times New Roman" w:hAnsi="Times New Roman" w:cs="Times New Roman"/>
                <w:b w:val="0"/>
                <w:bCs w:val="0"/>
                <w:sz w:val="22"/>
                <w:szCs w:val="22"/>
              </w:rPr>
              <w:t xml:space="preserve"> University </w:t>
            </w:r>
          </w:p>
        </w:tc>
        <w:tc>
          <w:tcPr>
            <w:tcW w:w="838" w:type="dxa"/>
            <w:vAlign w:val="center"/>
          </w:tcPr>
          <w:p w:rsidR="00B74848" w:rsidRPr="00C0031B" w:rsidRDefault="002E1128" w:rsidP="00234A30">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15</w:t>
            </w:r>
          </w:p>
        </w:tc>
      </w:tr>
      <w:tr w:rsidR="00B74848" w:rsidRPr="00C0031B" w:rsidTr="00BD35CF">
        <w:tc>
          <w:tcPr>
            <w:tcW w:w="7382" w:type="dxa"/>
            <w:vAlign w:val="center"/>
          </w:tcPr>
          <w:p w:rsidR="00B74848" w:rsidRPr="00C0031B" w:rsidRDefault="00BB0010" w:rsidP="00234A30">
            <w:pPr>
              <w:bidi w:val="0"/>
              <w:spacing w:after="0" w:line="276" w:lineRule="auto"/>
              <w:jc w:val="left"/>
              <w:rPr>
                <w:rFonts w:ascii="Times New Roman" w:hAnsi="Times New Roman" w:cs="Times New Roman"/>
                <w:b w:val="0"/>
                <w:bCs w:val="0"/>
                <w:sz w:val="22"/>
                <w:szCs w:val="22"/>
              </w:rPr>
            </w:pPr>
            <w:proofErr w:type="spellStart"/>
            <w:r w:rsidRPr="00C0031B">
              <w:rPr>
                <w:rFonts w:ascii="Times New Roman" w:hAnsi="Times New Roman" w:cs="Times New Roman"/>
                <w:b w:val="0"/>
                <w:bCs w:val="0"/>
                <w:sz w:val="22"/>
                <w:szCs w:val="22"/>
              </w:rPr>
              <w:t>AlBalqa</w:t>
            </w:r>
            <w:proofErr w:type="spellEnd"/>
            <w:r w:rsidRPr="00C0031B">
              <w:rPr>
                <w:rFonts w:ascii="Times New Roman" w:hAnsi="Times New Roman" w:cs="Times New Roman"/>
                <w:b w:val="0"/>
                <w:bCs w:val="0"/>
                <w:sz w:val="22"/>
                <w:szCs w:val="22"/>
              </w:rPr>
              <w:t xml:space="preserve"> Applied University </w:t>
            </w:r>
          </w:p>
        </w:tc>
        <w:tc>
          <w:tcPr>
            <w:tcW w:w="838" w:type="dxa"/>
            <w:vAlign w:val="center"/>
          </w:tcPr>
          <w:p w:rsidR="00B74848" w:rsidRPr="00C0031B" w:rsidRDefault="002E1128" w:rsidP="00234A30">
            <w:pPr>
              <w:bidi w:val="0"/>
              <w:spacing w:line="276" w:lineRule="auto"/>
              <w:jc w:val="center"/>
              <w:rPr>
                <w:rFonts w:ascii="Times New Roman" w:hAnsi="Times New Roman" w:cs="Times New Roman"/>
                <w:b w:val="0"/>
                <w:bCs w:val="0"/>
                <w:sz w:val="22"/>
                <w:szCs w:val="22"/>
                <w:rtl/>
                <w:lang w:bidi="ar-JO"/>
              </w:rPr>
            </w:pPr>
            <w:r w:rsidRPr="00C0031B">
              <w:rPr>
                <w:rFonts w:ascii="Times New Roman" w:hAnsi="Times New Roman" w:cs="Times New Roman"/>
                <w:b w:val="0"/>
                <w:bCs w:val="0"/>
                <w:sz w:val="22"/>
                <w:szCs w:val="22"/>
                <w:lang w:bidi="ar-JO"/>
              </w:rPr>
              <w:t>16</w:t>
            </w:r>
          </w:p>
        </w:tc>
      </w:tr>
      <w:tr w:rsidR="00BB0010" w:rsidRPr="00C0031B" w:rsidTr="00BD35CF">
        <w:tc>
          <w:tcPr>
            <w:tcW w:w="7382" w:type="dxa"/>
            <w:vAlign w:val="center"/>
          </w:tcPr>
          <w:p w:rsidR="00BB0010" w:rsidRPr="00C0031B" w:rsidRDefault="00BB0010" w:rsidP="00234A30">
            <w:pPr>
              <w:bidi w:val="0"/>
              <w:spacing w:after="0" w:line="276" w:lineRule="auto"/>
              <w:jc w:val="left"/>
              <w:rPr>
                <w:rFonts w:ascii="Times New Roman" w:hAnsi="Times New Roman" w:cs="Times New Roman"/>
                <w:b w:val="0"/>
                <w:bCs w:val="0"/>
                <w:sz w:val="22"/>
                <w:szCs w:val="22"/>
                <w:rtl/>
                <w:lang w:bidi="ar-JO"/>
              </w:rPr>
            </w:pPr>
            <w:r w:rsidRPr="00C0031B">
              <w:rPr>
                <w:rFonts w:ascii="Times New Roman" w:hAnsi="Times New Roman" w:cs="Times New Roman"/>
                <w:b w:val="0"/>
                <w:bCs w:val="0"/>
                <w:sz w:val="22"/>
                <w:szCs w:val="22"/>
              </w:rPr>
              <w:t xml:space="preserve">Jordan University of Science and Technology </w:t>
            </w:r>
          </w:p>
        </w:tc>
        <w:tc>
          <w:tcPr>
            <w:tcW w:w="838" w:type="dxa"/>
            <w:vAlign w:val="center"/>
          </w:tcPr>
          <w:p w:rsidR="00BB0010" w:rsidRPr="00C0031B" w:rsidRDefault="002E1128" w:rsidP="00234A30">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17</w:t>
            </w:r>
          </w:p>
        </w:tc>
      </w:tr>
      <w:tr w:rsidR="00BB0010" w:rsidRPr="00C0031B" w:rsidTr="00BD35CF">
        <w:tc>
          <w:tcPr>
            <w:tcW w:w="7382" w:type="dxa"/>
            <w:vAlign w:val="center"/>
          </w:tcPr>
          <w:p w:rsidR="00BB0010" w:rsidRPr="00C0031B" w:rsidRDefault="00BB0010" w:rsidP="00234A30">
            <w:pPr>
              <w:bidi w:val="0"/>
              <w:spacing w:after="0" w:line="276" w:lineRule="auto"/>
              <w:jc w:val="left"/>
              <w:rPr>
                <w:rFonts w:ascii="Times New Roman" w:hAnsi="Times New Roman" w:cs="Times New Roman"/>
                <w:b w:val="0"/>
                <w:bCs w:val="0"/>
                <w:sz w:val="22"/>
                <w:szCs w:val="22"/>
              </w:rPr>
            </w:pPr>
            <w:r w:rsidRPr="00C0031B">
              <w:rPr>
                <w:rFonts w:ascii="Times New Roman" w:hAnsi="Times New Roman" w:cs="Times New Roman"/>
                <w:b w:val="0"/>
                <w:bCs w:val="0"/>
                <w:sz w:val="22"/>
                <w:szCs w:val="22"/>
              </w:rPr>
              <w:t xml:space="preserve">Amman Faculty of Engineering Technology </w:t>
            </w:r>
          </w:p>
        </w:tc>
        <w:tc>
          <w:tcPr>
            <w:tcW w:w="838" w:type="dxa"/>
            <w:vAlign w:val="center"/>
          </w:tcPr>
          <w:p w:rsidR="00BB0010" w:rsidRPr="00C0031B" w:rsidRDefault="002E1128" w:rsidP="00234A30">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18</w:t>
            </w:r>
          </w:p>
        </w:tc>
      </w:tr>
      <w:tr w:rsidR="00BB0010" w:rsidRPr="00C0031B" w:rsidTr="00BD35CF">
        <w:tc>
          <w:tcPr>
            <w:tcW w:w="7382" w:type="dxa"/>
            <w:vAlign w:val="center"/>
          </w:tcPr>
          <w:p w:rsidR="00BB0010" w:rsidRPr="00C0031B" w:rsidRDefault="00BB0010" w:rsidP="00234A30">
            <w:pPr>
              <w:bidi w:val="0"/>
              <w:spacing w:after="0" w:line="276" w:lineRule="auto"/>
              <w:jc w:val="left"/>
              <w:rPr>
                <w:rFonts w:ascii="Times New Roman" w:hAnsi="Times New Roman" w:cs="Times New Roman"/>
                <w:b w:val="0"/>
                <w:bCs w:val="0"/>
                <w:sz w:val="22"/>
                <w:szCs w:val="22"/>
                <w:rtl/>
                <w:lang w:bidi="ar-JO"/>
              </w:rPr>
            </w:pPr>
            <w:r w:rsidRPr="00C0031B">
              <w:rPr>
                <w:rFonts w:ascii="Times New Roman" w:hAnsi="Times New Roman" w:cs="Times New Roman"/>
                <w:b w:val="0"/>
                <w:bCs w:val="0"/>
                <w:sz w:val="22"/>
                <w:szCs w:val="22"/>
              </w:rPr>
              <w:t xml:space="preserve">Al-Hussein Bin </w:t>
            </w:r>
            <w:proofErr w:type="spellStart"/>
            <w:r w:rsidRPr="00C0031B">
              <w:rPr>
                <w:rFonts w:ascii="Times New Roman" w:hAnsi="Times New Roman" w:cs="Times New Roman"/>
                <w:b w:val="0"/>
                <w:bCs w:val="0"/>
                <w:sz w:val="22"/>
                <w:szCs w:val="22"/>
              </w:rPr>
              <w:t>Talal</w:t>
            </w:r>
            <w:proofErr w:type="spellEnd"/>
            <w:r w:rsidRPr="00C0031B">
              <w:rPr>
                <w:rFonts w:ascii="Times New Roman" w:hAnsi="Times New Roman" w:cs="Times New Roman"/>
                <w:b w:val="0"/>
                <w:bCs w:val="0"/>
                <w:sz w:val="22"/>
                <w:szCs w:val="22"/>
              </w:rPr>
              <w:t xml:space="preserve"> University </w:t>
            </w:r>
          </w:p>
        </w:tc>
        <w:tc>
          <w:tcPr>
            <w:tcW w:w="838" w:type="dxa"/>
            <w:vAlign w:val="center"/>
          </w:tcPr>
          <w:p w:rsidR="00BB0010" w:rsidRPr="00C0031B" w:rsidRDefault="002E1128" w:rsidP="00234A30">
            <w:pPr>
              <w:bidi w:val="0"/>
              <w:spacing w:line="276" w:lineRule="auto"/>
              <w:jc w:val="center"/>
              <w:rPr>
                <w:rFonts w:ascii="Times New Roman" w:hAnsi="Times New Roman" w:cs="Times New Roman"/>
                <w:b w:val="0"/>
                <w:bCs w:val="0"/>
                <w:sz w:val="22"/>
                <w:szCs w:val="22"/>
                <w:rtl/>
                <w:lang w:bidi="ar-JO"/>
              </w:rPr>
            </w:pPr>
            <w:r w:rsidRPr="00C0031B">
              <w:rPr>
                <w:rFonts w:ascii="Times New Roman" w:hAnsi="Times New Roman" w:cs="Times New Roman"/>
                <w:b w:val="0"/>
                <w:bCs w:val="0"/>
                <w:sz w:val="22"/>
                <w:szCs w:val="22"/>
                <w:lang w:bidi="ar-JO"/>
              </w:rPr>
              <w:t>19</w:t>
            </w:r>
          </w:p>
        </w:tc>
      </w:tr>
      <w:tr w:rsidR="00BB0010" w:rsidRPr="00C0031B" w:rsidTr="00BD35CF">
        <w:tc>
          <w:tcPr>
            <w:tcW w:w="7382" w:type="dxa"/>
            <w:vAlign w:val="center"/>
          </w:tcPr>
          <w:p w:rsidR="00BB0010" w:rsidRPr="00C0031B" w:rsidRDefault="00BB0010" w:rsidP="00234A30">
            <w:pPr>
              <w:bidi w:val="0"/>
              <w:spacing w:after="0" w:line="276" w:lineRule="auto"/>
              <w:jc w:val="left"/>
              <w:rPr>
                <w:rFonts w:ascii="Times New Roman" w:hAnsi="Times New Roman" w:cs="Times New Roman"/>
                <w:b w:val="0"/>
                <w:bCs w:val="0"/>
                <w:sz w:val="22"/>
                <w:szCs w:val="22"/>
                <w:rtl/>
                <w:lang w:bidi="ar-JO"/>
              </w:rPr>
            </w:pPr>
            <w:r w:rsidRPr="00C0031B">
              <w:rPr>
                <w:rFonts w:ascii="Times New Roman" w:hAnsi="Times New Roman" w:cs="Times New Roman"/>
                <w:b w:val="0"/>
                <w:bCs w:val="0"/>
                <w:sz w:val="22"/>
                <w:szCs w:val="22"/>
              </w:rPr>
              <w:t xml:space="preserve">The Hashemite University </w:t>
            </w:r>
          </w:p>
        </w:tc>
        <w:tc>
          <w:tcPr>
            <w:tcW w:w="838" w:type="dxa"/>
            <w:vAlign w:val="center"/>
          </w:tcPr>
          <w:p w:rsidR="00BB0010" w:rsidRPr="00C0031B" w:rsidRDefault="002E1128" w:rsidP="00234A30">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20</w:t>
            </w:r>
          </w:p>
        </w:tc>
      </w:tr>
      <w:tr w:rsidR="00BB0010" w:rsidRPr="00C0031B" w:rsidTr="00BD35CF">
        <w:tc>
          <w:tcPr>
            <w:tcW w:w="7382" w:type="dxa"/>
            <w:vAlign w:val="center"/>
          </w:tcPr>
          <w:p w:rsidR="00BB0010" w:rsidRPr="00C0031B" w:rsidRDefault="00BB0010" w:rsidP="00234A30">
            <w:pPr>
              <w:bidi w:val="0"/>
              <w:spacing w:after="0" w:line="276" w:lineRule="auto"/>
              <w:jc w:val="left"/>
              <w:rPr>
                <w:rFonts w:ascii="Times New Roman" w:hAnsi="Times New Roman" w:cs="Times New Roman"/>
                <w:b w:val="0"/>
                <w:bCs w:val="0"/>
                <w:sz w:val="22"/>
                <w:szCs w:val="22"/>
              </w:rPr>
            </w:pPr>
            <w:r w:rsidRPr="00C0031B">
              <w:rPr>
                <w:rFonts w:ascii="Times New Roman" w:hAnsi="Times New Roman" w:cs="Times New Roman"/>
                <w:b w:val="0"/>
                <w:bCs w:val="0"/>
                <w:sz w:val="22"/>
                <w:szCs w:val="22"/>
              </w:rPr>
              <w:t xml:space="preserve">The Higher Council for Science and Technology </w:t>
            </w:r>
          </w:p>
        </w:tc>
        <w:tc>
          <w:tcPr>
            <w:tcW w:w="838" w:type="dxa"/>
            <w:vAlign w:val="center"/>
          </w:tcPr>
          <w:p w:rsidR="00BB0010" w:rsidRPr="00C0031B" w:rsidRDefault="002E1128" w:rsidP="00234A30">
            <w:pPr>
              <w:bidi w:val="0"/>
              <w:spacing w:line="276" w:lineRule="auto"/>
              <w:jc w:val="center"/>
              <w:rPr>
                <w:rFonts w:ascii="Times New Roman" w:hAnsi="Times New Roman" w:cs="Times New Roman"/>
                <w:b w:val="0"/>
                <w:bCs w:val="0"/>
                <w:sz w:val="22"/>
                <w:szCs w:val="22"/>
                <w:rtl/>
                <w:lang w:bidi="ar-JO"/>
              </w:rPr>
            </w:pPr>
            <w:r w:rsidRPr="00C0031B">
              <w:rPr>
                <w:rFonts w:ascii="Times New Roman" w:hAnsi="Times New Roman" w:cs="Times New Roman"/>
                <w:b w:val="0"/>
                <w:bCs w:val="0"/>
                <w:sz w:val="22"/>
                <w:szCs w:val="22"/>
                <w:lang w:bidi="ar-JO"/>
              </w:rPr>
              <w:t>21</w:t>
            </w:r>
          </w:p>
        </w:tc>
      </w:tr>
      <w:tr w:rsidR="002E1128" w:rsidRPr="00C0031B" w:rsidTr="00BD35CF">
        <w:tc>
          <w:tcPr>
            <w:tcW w:w="7382" w:type="dxa"/>
            <w:vAlign w:val="center"/>
          </w:tcPr>
          <w:p w:rsidR="002E1128" w:rsidRPr="00C0031B" w:rsidRDefault="002E1128" w:rsidP="00234A30">
            <w:pPr>
              <w:bidi w:val="0"/>
              <w:spacing w:after="0" w:line="276" w:lineRule="auto"/>
              <w:jc w:val="left"/>
              <w:rPr>
                <w:rFonts w:ascii="Times New Roman" w:hAnsi="Times New Roman" w:cs="Times New Roman"/>
                <w:b w:val="0"/>
                <w:bCs w:val="0"/>
                <w:sz w:val="22"/>
                <w:szCs w:val="22"/>
              </w:rPr>
            </w:pPr>
            <w:r w:rsidRPr="00C0031B">
              <w:rPr>
                <w:rFonts w:ascii="Times New Roman" w:hAnsi="Times New Roman" w:cs="Times New Roman"/>
                <w:b w:val="0"/>
                <w:bCs w:val="0"/>
                <w:sz w:val="22"/>
                <w:szCs w:val="22"/>
              </w:rPr>
              <w:t xml:space="preserve">Jordan University Hospital </w:t>
            </w:r>
          </w:p>
        </w:tc>
        <w:tc>
          <w:tcPr>
            <w:tcW w:w="838" w:type="dxa"/>
            <w:vAlign w:val="center"/>
          </w:tcPr>
          <w:p w:rsidR="002E1128" w:rsidRPr="00C0031B" w:rsidRDefault="002E1128" w:rsidP="00234A30">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22</w:t>
            </w:r>
          </w:p>
        </w:tc>
      </w:tr>
      <w:tr w:rsidR="002E1128" w:rsidRPr="00C0031B" w:rsidTr="00BD35CF">
        <w:tc>
          <w:tcPr>
            <w:tcW w:w="7382" w:type="dxa"/>
            <w:vAlign w:val="center"/>
          </w:tcPr>
          <w:p w:rsidR="002E1128" w:rsidRPr="00C0031B" w:rsidRDefault="002E1128" w:rsidP="00234A30">
            <w:pPr>
              <w:bidi w:val="0"/>
              <w:spacing w:after="0" w:line="276" w:lineRule="auto"/>
              <w:jc w:val="left"/>
              <w:rPr>
                <w:rFonts w:ascii="Times New Roman" w:hAnsi="Times New Roman" w:cs="Times New Roman"/>
                <w:b w:val="0"/>
                <w:bCs w:val="0"/>
                <w:sz w:val="22"/>
                <w:szCs w:val="22"/>
              </w:rPr>
            </w:pPr>
            <w:r w:rsidRPr="00C0031B">
              <w:rPr>
                <w:rFonts w:ascii="Times New Roman" w:hAnsi="Times New Roman" w:cs="Times New Roman"/>
                <w:b w:val="0"/>
                <w:bCs w:val="0"/>
                <w:sz w:val="22"/>
                <w:szCs w:val="22"/>
              </w:rPr>
              <w:t xml:space="preserve">Jordan Medical Council </w:t>
            </w:r>
          </w:p>
        </w:tc>
        <w:tc>
          <w:tcPr>
            <w:tcW w:w="838" w:type="dxa"/>
            <w:vAlign w:val="center"/>
          </w:tcPr>
          <w:p w:rsidR="002E1128" w:rsidRPr="00C0031B" w:rsidRDefault="002E1128" w:rsidP="00234A30">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23</w:t>
            </w:r>
          </w:p>
        </w:tc>
      </w:tr>
      <w:tr w:rsidR="002E1128" w:rsidRPr="00C0031B" w:rsidTr="00BD35CF">
        <w:tc>
          <w:tcPr>
            <w:tcW w:w="7382" w:type="dxa"/>
            <w:vAlign w:val="center"/>
          </w:tcPr>
          <w:p w:rsidR="002E1128" w:rsidRPr="00C0031B" w:rsidRDefault="002E1128" w:rsidP="00234A30">
            <w:pPr>
              <w:bidi w:val="0"/>
              <w:spacing w:after="0" w:line="276" w:lineRule="auto"/>
              <w:jc w:val="left"/>
              <w:rPr>
                <w:rFonts w:ascii="Times New Roman" w:hAnsi="Times New Roman" w:cs="Times New Roman"/>
                <w:b w:val="0"/>
                <w:bCs w:val="0"/>
                <w:sz w:val="22"/>
                <w:szCs w:val="22"/>
              </w:rPr>
            </w:pPr>
            <w:r w:rsidRPr="00C0031B">
              <w:rPr>
                <w:rFonts w:ascii="Times New Roman" w:hAnsi="Times New Roman" w:cs="Times New Roman"/>
                <w:b w:val="0"/>
                <w:bCs w:val="0"/>
                <w:sz w:val="22"/>
                <w:szCs w:val="22"/>
                <w:lang w:val="en"/>
              </w:rPr>
              <w:t>Provident Fund for University of Jordan Employees</w:t>
            </w:r>
          </w:p>
        </w:tc>
        <w:tc>
          <w:tcPr>
            <w:tcW w:w="838" w:type="dxa"/>
            <w:vAlign w:val="center"/>
          </w:tcPr>
          <w:p w:rsidR="002E1128" w:rsidRPr="00C0031B" w:rsidRDefault="002E1128" w:rsidP="00234A30">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24</w:t>
            </w:r>
          </w:p>
        </w:tc>
      </w:tr>
      <w:tr w:rsidR="002E1128" w:rsidRPr="00C0031B" w:rsidTr="00BD35CF">
        <w:tc>
          <w:tcPr>
            <w:tcW w:w="7382" w:type="dxa"/>
            <w:vAlign w:val="center"/>
          </w:tcPr>
          <w:p w:rsidR="002E1128" w:rsidRPr="00C0031B" w:rsidRDefault="002E1128" w:rsidP="00234A30">
            <w:pPr>
              <w:bidi w:val="0"/>
              <w:spacing w:after="0" w:line="276" w:lineRule="auto"/>
              <w:jc w:val="left"/>
              <w:rPr>
                <w:rFonts w:ascii="Times New Roman" w:hAnsi="Times New Roman" w:cs="Times New Roman"/>
                <w:b w:val="0"/>
                <w:bCs w:val="0"/>
                <w:sz w:val="22"/>
                <w:szCs w:val="22"/>
                <w:lang w:val="en"/>
              </w:rPr>
            </w:pPr>
            <w:r w:rsidRPr="00C0031B">
              <w:rPr>
                <w:rFonts w:ascii="Times New Roman" w:hAnsi="Times New Roman" w:cs="Times New Roman"/>
                <w:b w:val="0"/>
                <w:bCs w:val="0"/>
                <w:sz w:val="22"/>
                <w:szCs w:val="22"/>
                <w:lang w:val="en"/>
              </w:rPr>
              <w:lastRenderedPageBreak/>
              <w:t>End of service compensation fund for University of Jordan employees</w:t>
            </w:r>
          </w:p>
        </w:tc>
        <w:tc>
          <w:tcPr>
            <w:tcW w:w="838" w:type="dxa"/>
            <w:vAlign w:val="center"/>
          </w:tcPr>
          <w:p w:rsidR="002E1128" w:rsidRPr="00C0031B" w:rsidRDefault="002E1128" w:rsidP="00234A30">
            <w:pPr>
              <w:bidi w:val="0"/>
              <w:spacing w:line="276" w:lineRule="auto"/>
              <w:jc w:val="center"/>
              <w:rPr>
                <w:rFonts w:ascii="Times New Roman" w:hAnsi="Times New Roman" w:cs="Times New Roman"/>
                <w:b w:val="0"/>
                <w:bCs w:val="0"/>
                <w:sz w:val="22"/>
                <w:szCs w:val="22"/>
                <w:rtl/>
                <w:lang w:bidi="ar-JO"/>
              </w:rPr>
            </w:pPr>
            <w:r w:rsidRPr="00C0031B">
              <w:rPr>
                <w:rFonts w:ascii="Times New Roman" w:hAnsi="Times New Roman" w:cs="Times New Roman"/>
                <w:b w:val="0"/>
                <w:bCs w:val="0"/>
                <w:sz w:val="22"/>
                <w:szCs w:val="22"/>
                <w:lang w:bidi="ar-JO"/>
              </w:rPr>
              <w:t>25</w:t>
            </w:r>
          </w:p>
        </w:tc>
      </w:tr>
      <w:tr w:rsidR="002E1128" w:rsidRPr="00C0031B" w:rsidTr="00BD35CF">
        <w:tc>
          <w:tcPr>
            <w:tcW w:w="7382" w:type="dxa"/>
            <w:vAlign w:val="center"/>
          </w:tcPr>
          <w:p w:rsidR="002E1128" w:rsidRPr="00C0031B" w:rsidRDefault="002E1128" w:rsidP="00234A30">
            <w:pPr>
              <w:bidi w:val="0"/>
              <w:spacing w:after="0" w:line="276" w:lineRule="auto"/>
              <w:jc w:val="left"/>
              <w:rPr>
                <w:rFonts w:ascii="Times New Roman" w:hAnsi="Times New Roman" w:cs="Times New Roman"/>
                <w:b w:val="0"/>
                <w:bCs w:val="0"/>
                <w:sz w:val="22"/>
                <w:szCs w:val="22"/>
                <w:lang w:val="en"/>
              </w:rPr>
            </w:pPr>
            <w:r w:rsidRPr="00C0031B">
              <w:rPr>
                <w:rFonts w:ascii="Times New Roman" w:hAnsi="Times New Roman" w:cs="Times New Roman"/>
                <w:b w:val="0"/>
                <w:bCs w:val="0"/>
                <w:sz w:val="22"/>
                <w:szCs w:val="22"/>
                <w:lang w:val="en"/>
              </w:rPr>
              <w:t>The University of Jordan Investment Fund</w:t>
            </w:r>
          </w:p>
        </w:tc>
        <w:tc>
          <w:tcPr>
            <w:tcW w:w="838" w:type="dxa"/>
            <w:vAlign w:val="center"/>
          </w:tcPr>
          <w:p w:rsidR="002E1128" w:rsidRPr="00C0031B" w:rsidRDefault="002E1128" w:rsidP="00234A30">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26</w:t>
            </w:r>
          </w:p>
        </w:tc>
      </w:tr>
      <w:tr w:rsidR="002E1128" w:rsidRPr="00C0031B" w:rsidTr="00BD35CF">
        <w:tc>
          <w:tcPr>
            <w:tcW w:w="7382" w:type="dxa"/>
            <w:vAlign w:val="center"/>
          </w:tcPr>
          <w:p w:rsidR="002E1128" w:rsidRPr="00C0031B" w:rsidRDefault="002E1128" w:rsidP="00234A30">
            <w:pPr>
              <w:bidi w:val="0"/>
              <w:spacing w:after="0" w:line="276" w:lineRule="auto"/>
              <w:jc w:val="left"/>
              <w:rPr>
                <w:rFonts w:ascii="Times New Roman" w:hAnsi="Times New Roman" w:cs="Times New Roman"/>
                <w:b w:val="0"/>
                <w:bCs w:val="0"/>
                <w:sz w:val="22"/>
                <w:szCs w:val="22"/>
                <w:lang w:val="en"/>
              </w:rPr>
            </w:pPr>
            <w:r w:rsidRPr="00C0031B">
              <w:rPr>
                <w:rFonts w:ascii="Times New Roman" w:hAnsi="Times New Roman" w:cs="Times New Roman"/>
                <w:b w:val="0"/>
                <w:bCs w:val="0"/>
                <w:sz w:val="22"/>
                <w:szCs w:val="22"/>
                <w:lang w:val="en"/>
              </w:rPr>
              <w:t>Yarmouk University Investment Fund</w:t>
            </w:r>
          </w:p>
        </w:tc>
        <w:tc>
          <w:tcPr>
            <w:tcW w:w="838" w:type="dxa"/>
            <w:vAlign w:val="center"/>
          </w:tcPr>
          <w:p w:rsidR="002E1128" w:rsidRPr="00C0031B" w:rsidRDefault="002E1128" w:rsidP="00234A30">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27</w:t>
            </w:r>
          </w:p>
        </w:tc>
      </w:tr>
      <w:tr w:rsidR="002E1128" w:rsidRPr="00C0031B" w:rsidTr="00BD35CF">
        <w:tc>
          <w:tcPr>
            <w:tcW w:w="7382" w:type="dxa"/>
            <w:vAlign w:val="center"/>
          </w:tcPr>
          <w:p w:rsidR="002E1128" w:rsidRPr="00C0031B" w:rsidRDefault="002E1128" w:rsidP="00234A30">
            <w:pPr>
              <w:bidi w:val="0"/>
              <w:spacing w:after="0" w:line="276" w:lineRule="auto"/>
              <w:jc w:val="left"/>
              <w:rPr>
                <w:rFonts w:ascii="Times New Roman" w:hAnsi="Times New Roman" w:cs="Times New Roman"/>
                <w:b w:val="0"/>
                <w:bCs w:val="0"/>
                <w:sz w:val="22"/>
                <w:szCs w:val="22"/>
                <w:lang w:val="en"/>
              </w:rPr>
            </w:pPr>
            <w:r w:rsidRPr="00C0031B">
              <w:rPr>
                <w:rFonts w:ascii="Times New Roman" w:hAnsi="Times New Roman" w:cs="Times New Roman"/>
                <w:b w:val="0"/>
                <w:bCs w:val="0"/>
                <w:sz w:val="22"/>
                <w:szCs w:val="22"/>
              </w:rPr>
              <w:t xml:space="preserve">Jordan University of Science and Technology </w:t>
            </w:r>
            <w:r w:rsidRPr="00C0031B">
              <w:rPr>
                <w:rFonts w:ascii="Times New Roman" w:hAnsi="Times New Roman" w:cs="Times New Roman"/>
                <w:b w:val="0"/>
                <w:bCs w:val="0"/>
                <w:sz w:val="22"/>
                <w:szCs w:val="22"/>
                <w:lang w:val="en"/>
              </w:rPr>
              <w:t>workers housing fund</w:t>
            </w:r>
          </w:p>
        </w:tc>
        <w:tc>
          <w:tcPr>
            <w:tcW w:w="838" w:type="dxa"/>
            <w:vAlign w:val="center"/>
          </w:tcPr>
          <w:p w:rsidR="002E1128" w:rsidRPr="00C0031B" w:rsidRDefault="002E1128" w:rsidP="00234A30">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28</w:t>
            </w:r>
          </w:p>
        </w:tc>
      </w:tr>
      <w:tr w:rsidR="0090661A" w:rsidRPr="00C0031B" w:rsidTr="00BD35CF">
        <w:tc>
          <w:tcPr>
            <w:tcW w:w="7382" w:type="dxa"/>
            <w:vAlign w:val="center"/>
          </w:tcPr>
          <w:p w:rsidR="0090661A" w:rsidRPr="00C0031B" w:rsidRDefault="0090661A" w:rsidP="00234A30">
            <w:pPr>
              <w:bidi w:val="0"/>
              <w:spacing w:after="0" w:line="276" w:lineRule="auto"/>
              <w:jc w:val="left"/>
              <w:rPr>
                <w:rFonts w:ascii="Times New Roman" w:hAnsi="Times New Roman" w:cs="Times New Roman"/>
                <w:b w:val="0"/>
                <w:bCs w:val="0"/>
                <w:sz w:val="22"/>
                <w:szCs w:val="22"/>
                <w:lang w:val="en"/>
              </w:rPr>
            </w:pPr>
            <w:r w:rsidRPr="00C0031B">
              <w:rPr>
                <w:rFonts w:ascii="Times New Roman" w:hAnsi="Times New Roman" w:cs="Times New Roman"/>
                <w:b w:val="0"/>
                <w:bCs w:val="0"/>
                <w:sz w:val="22"/>
                <w:szCs w:val="22"/>
              </w:rPr>
              <w:t xml:space="preserve">Jordan </w:t>
            </w:r>
            <w:r w:rsidRPr="00C0031B">
              <w:rPr>
                <w:rFonts w:ascii="Times New Roman" w:hAnsi="Times New Roman" w:cs="Times New Roman"/>
                <w:b w:val="0"/>
                <w:bCs w:val="0"/>
                <w:sz w:val="22"/>
                <w:szCs w:val="22"/>
                <w:lang w:val="en"/>
              </w:rPr>
              <w:t>University of Science and Technology Provident Fund</w:t>
            </w:r>
          </w:p>
        </w:tc>
        <w:tc>
          <w:tcPr>
            <w:tcW w:w="838" w:type="dxa"/>
            <w:vAlign w:val="center"/>
          </w:tcPr>
          <w:p w:rsidR="0090661A" w:rsidRPr="00C0031B" w:rsidRDefault="002E1128" w:rsidP="00234A30">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29</w:t>
            </w:r>
          </w:p>
        </w:tc>
      </w:tr>
      <w:tr w:rsidR="002E1128" w:rsidRPr="00C0031B" w:rsidTr="00BD35CF">
        <w:tc>
          <w:tcPr>
            <w:tcW w:w="7382" w:type="dxa"/>
            <w:vAlign w:val="center"/>
          </w:tcPr>
          <w:p w:rsidR="002E1128" w:rsidRPr="00C0031B" w:rsidRDefault="002E1128" w:rsidP="00234A30">
            <w:pPr>
              <w:bidi w:val="0"/>
              <w:spacing w:after="0" w:line="276" w:lineRule="auto"/>
              <w:jc w:val="left"/>
              <w:rPr>
                <w:rFonts w:ascii="Times New Roman" w:hAnsi="Times New Roman" w:cs="Times New Roman"/>
                <w:b w:val="0"/>
                <w:bCs w:val="0"/>
                <w:sz w:val="22"/>
                <w:szCs w:val="22"/>
              </w:rPr>
            </w:pPr>
            <w:r w:rsidRPr="00C0031B">
              <w:rPr>
                <w:rFonts w:ascii="Times New Roman" w:hAnsi="Times New Roman" w:cs="Times New Roman"/>
                <w:b w:val="0"/>
                <w:bCs w:val="0"/>
                <w:sz w:val="22"/>
                <w:szCs w:val="22"/>
              </w:rPr>
              <w:t xml:space="preserve">Jordan Institute of Diplomacy </w:t>
            </w:r>
          </w:p>
        </w:tc>
        <w:tc>
          <w:tcPr>
            <w:tcW w:w="838" w:type="dxa"/>
            <w:vAlign w:val="center"/>
          </w:tcPr>
          <w:p w:rsidR="002E1128" w:rsidRPr="00C0031B" w:rsidRDefault="002E1128" w:rsidP="00234A30">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30</w:t>
            </w:r>
          </w:p>
        </w:tc>
      </w:tr>
      <w:tr w:rsidR="002E1128" w:rsidRPr="00C0031B" w:rsidTr="00BD35CF">
        <w:tc>
          <w:tcPr>
            <w:tcW w:w="7382" w:type="dxa"/>
            <w:vAlign w:val="center"/>
          </w:tcPr>
          <w:p w:rsidR="002E1128" w:rsidRPr="00C0031B" w:rsidRDefault="002E1128" w:rsidP="00234A30">
            <w:pPr>
              <w:bidi w:val="0"/>
              <w:spacing w:after="0" w:line="276" w:lineRule="auto"/>
              <w:jc w:val="left"/>
              <w:rPr>
                <w:rFonts w:ascii="Times New Roman" w:hAnsi="Times New Roman" w:cs="Times New Roman"/>
                <w:b w:val="0"/>
                <w:bCs w:val="0"/>
                <w:sz w:val="22"/>
                <w:szCs w:val="22"/>
                <w:lang w:val="en"/>
              </w:rPr>
            </w:pPr>
            <w:r w:rsidRPr="00C0031B">
              <w:rPr>
                <w:rFonts w:ascii="Times New Roman" w:hAnsi="Times New Roman" w:cs="Times New Roman"/>
                <w:b w:val="0"/>
                <w:bCs w:val="0"/>
                <w:sz w:val="22"/>
                <w:szCs w:val="22"/>
                <w:lang w:val="en"/>
              </w:rPr>
              <w:t>Military Housing Corporation / Housing Fund</w:t>
            </w:r>
          </w:p>
        </w:tc>
        <w:tc>
          <w:tcPr>
            <w:tcW w:w="838" w:type="dxa"/>
            <w:vAlign w:val="center"/>
          </w:tcPr>
          <w:p w:rsidR="002E1128" w:rsidRPr="00C0031B" w:rsidRDefault="002E1128" w:rsidP="00234A30">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31</w:t>
            </w:r>
          </w:p>
        </w:tc>
      </w:tr>
      <w:tr w:rsidR="002E1128" w:rsidRPr="00C0031B" w:rsidTr="00BD35CF">
        <w:tc>
          <w:tcPr>
            <w:tcW w:w="7382" w:type="dxa"/>
            <w:vAlign w:val="center"/>
          </w:tcPr>
          <w:p w:rsidR="002E1128" w:rsidRPr="00C0031B" w:rsidRDefault="002E1128" w:rsidP="00234A30">
            <w:pPr>
              <w:bidi w:val="0"/>
              <w:spacing w:after="0" w:line="276" w:lineRule="auto"/>
              <w:jc w:val="left"/>
              <w:rPr>
                <w:rFonts w:ascii="Times New Roman" w:hAnsi="Times New Roman" w:cs="Times New Roman"/>
                <w:b w:val="0"/>
                <w:bCs w:val="0"/>
                <w:sz w:val="22"/>
                <w:szCs w:val="22"/>
                <w:lang w:val="en"/>
              </w:rPr>
            </w:pPr>
            <w:r w:rsidRPr="00C0031B">
              <w:rPr>
                <w:rFonts w:ascii="Times New Roman" w:hAnsi="Times New Roman" w:cs="Times New Roman"/>
                <w:b w:val="0"/>
                <w:bCs w:val="0"/>
                <w:sz w:val="22"/>
                <w:szCs w:val="22"/>
                <w:lang w:val="en"/>
              </w:rPr>
              <w:t>Shared services councils in the provinces</w:t>
            </w:r>
          </w:p>
        </w:tc>
        <w:tc>
          <w:tcPr>
            <w:tcW w:w="838" w:type="dxa"/>
            <w:vAlign w:val="center"/>
          </w:tcPr>
          <w:p w:rsidR="002E1128" w:rsidRPr="00C0031B" w:rsidRDefault="002E1128" w:rsidP="00234A30">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32</w:t>
            </w:r>
          </w:p>
        </w:tc>
      </w:tr>
      <w:tr w:rsidR="002E1128" w:rsidRPr="00C0031B" w:rsidTr="00BD35CF">
        <w:tc>
          <w:tcPr>
            <w:tcW w:w="7382" w:type="dxa"/>
            <w:vAlign w:val="center"/>
          </w:tcPr>
          <w:p w:rsidR="002E1128" w:rsidRPr="00C0031B" w:rsidRDefault="002E1128" w:rsidP="00234A30">
            <w:pPr>
              <w:bidi w:val="0"/>
              <w:spacing w:after="0" w:line="276" w:lineRule="auto"/>
              <w:jc w:val="left"/>
              <w:rPr>
                <w:rFonts w:ascii="Times New Roman" w:hAnsi="Times New Roman" w:cs="Times New Roman"/>
                <w:b w:val="0"/>
                <w:bCs w:val="0"/>
                <w:sz w:val="22"/>
                <w:szCs w:val="22"/>
                <w:lang w:val="en"/>
              </w:rPr>
            </w:pPr>
            <w:r w:rsidRPr="00C0031B">
              <w:rPr>
                <w:rFonts w:ascii="Times New Roman" w:hAnsi="Times New Roman" w:cs="Times New Roman"/>
                <w:b w:val="0"/>
                <w:bCs w:val="0"/>
                <w:sz w:val="22"/>
                <w:szCs w:val="22"/>
                <w:lang w:val="en"/>
              </w:rPr>
              <w:t>Social Security Fund for Audit Bureau employees</w:t>
            </w:r>
          </w:p>
        </w:tc>
        <w:tc>
          <w:tcPr>
            <w:tcW w:w="838" w:type="dxa"/>
            <w:vAlign w:val="center"/>
          </w:tcPr>
          <w:p w:rsidR="002E1128" w:rsidRPr="00C0031B" w:rsidRDefault="002E1128" w:rsidP="00234A30">
            <w:pPr>
              <w:bidi w:val="0"/>
              <w:spacing w:after="0" w:line="276" w:lineRule="auto"/>
              <w:jc w:val="center"/>
              <w:rPr>
                <w:rFonts w:ascii="Times New Roman" w:hAnsi="Times New Roman" w:cs="Times New Roman"/>
                <w:b w:val="0"/>
                <w:bCs w:val="0"/>
                <w:sz w:val="22"/>
                <w:szCs w:val="22"/>
                <w:rtl/>
                <w:lang w:bidi="ar-JO"/>
              </w:rPr>
            </w:pPr>
            <w:r w:rsidRPr="00C0031B">
              <w:rPr>
                <w:rFonts w:ascii="Times New Roman" w:hAnsi="Times New Roman" w:cs="Times New Roman"/>
                <w:b w:val="0"/>
                <w:bCs w:val="0"/>
                <w:sz w:val="22"/>
                <w:szCs w:val="22"/>
                <w:lang w:bidi="ar-JO"/>
              </w:rPr>
              <w:t>33</w:t>
            </w:r>
          </w:p>
        </w:tc>
      </w:tr>
      <w:tr w:rsidR="002E1128" w:rsidRPr="00C0031B" w:rsidTr="00BD35CF">
        <w:tc>
          <w:tcPr>
            <w:tcW w:w="7382" w:type="dxa"/>
            <w:vAlign w:val="center"/>
          </w:tcPr>
          <w:p w:rsidR="002E1128" w:rsidRPr="00C0031B" w:rsidRDefault="002E1128" w:rsidP="00234A30">
            <w:pPr>
              <w:bidi w:val="0"/>
              <w:spacing w:after="0" w:line="276" w:lineRule="auto"/>
              <w:jc w:val="left"/>
              <w:rPr>
                <w:rFonts w:ascii="Times New Roman" w:hAnsi="Times New Roman" w:cs="Times New Roman"/>
                <w:b w:val="0"/>
                <w:bCs w:val="0"/>
                <w:sz w:val="22"/>
                <w:szCs w:val="22"/>
              </w:rPr>
            </w:pPr>
            <w:r w:rsidRPr="00C0031B">
              <w:rPr>
                <w:rFonts w:ascii="Times New Roman" w:hAnsi="Times New Roman" w:cs="Times New Roman"/>
                <w:b w:val="0"/>
                <w:bCs w:val="0"/>
                <w:sz w:val="22"/>
                <w:szCs w:val="22"/>
              </w:rPr>
              <w:t>Armed Forces Officers Club</w:t>
            </w:r>
          </w:p>
        </w:tc>
        <w:tc>
          <w:tcPr>
            <w:tcW w:w="838" w:type="dxa"/>
            <w:vAlign w:val="center"/>
          </w:tcPr>
          <w:p w:rsidR="002E1128" w:rsidRPr="00C0031B" w:rsidRDefault="002E1128" w:rsidP="00234A30">
            <w:pPr>
              <w:bidi w:val="0"/>
              <w:spacing w:after="0"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34</w:t>
            </w:r>
          </w:p>
        </w:tc>
      </w:tr>
      <w:tr w:rsidR="002E1128" w:rsidRPr="00C0031B" w:rsidTr="00BD35CF">
        <w:tc>
          <w:tcPr>
            <w:tcW w:w="7382" w:type="dxa"/>
            <w:vAlign w:val="center"/>
          </w:tcPr>
          <w:p w:rsidR="002E1128" w:rsidRPr="00C0031B" w:rsidRDefault="002E1128" w:rsidP="00234A30">
            <w:pPr>
              <w:bidi w:val="0"/>
              <w:spacing w:after="0" w:line="276" w:lineRule="auto"/>
              <w:jc w:val="left"/>
              <w:rPr>
                <w:rFonts w:ascii="Times New Roman" w:hAnsi="Times New Roman" w:cs="Times New Roman"/>
                <w:b w:val="0"/>
                <w:bCs w:val="0"/>
                <w:sz w:val="22"/>
                <w:szCs w:val="22"/>
                <w:lang w:val="en"/>
              </w:rPr>
            </w:pPr>
            <w:r w:rsidRPr="00C0031B">
              <w:rPr>
                <w:rFonts w:ascii="Times New Roman" w:hAnsi="Times New Roman" w:cs="Times New Roman"/>
                <w:b w:val="0"/>
                <w:bCs w:val="0"/>
                <w:sz w:val="22"/>
                <w:szCs w:val="22"/>
                <w:lang w:val="en"/>
              </w:rPr>
              <w:t>Social Security Fund for Ministry of Education Employees</w:t>
            </w:r>
          </w:p>
        </w:tc>
        <w:tc>
          <w:tcPr>
            <w:tcW w:w="838" w:type="dxa"/>
            <w:vAlign w:val="center"/>
          </w:tcPr>
          <w:p w:rsidR="002E1128" w:rsidRPr="00C0031B" w:rsidRDefault="002E1128" w:rsidP="00234A30">
            <w:pPr>
              <w:bidi w:val="0"/>
              <w:spacing w:after="0"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35</w:t>
            </w:r>
          </w:p>
        </w:tc>
      </w:tr>
      <w:tr w:rsidR="002E1128" w:rsidRPr="00C0031B" w:rsidTr="00BD35CF">
        <w:tc>
          <w:tcPr>
            <w:tcW w:w="7382" w:type="dxa"/>
            <w:vAlign w:val="center"/>
          </w:tcPr>
          <w:p w:rsidR="002E1128" w:rsidRPr="00C0031B" w:rsidRDefault="002E1128" w:rsidP="00234A30">
            <w:pPr>
              <w:bidi w:val="0"/>
              <w:spacing w:after="0" w:line="276" w:lineRule="auto"/>
              <w:jc w:val="left"/>
              <w:rPr>
                <w:rFonts w:ascii="Times New Roman" w:hAnsi="Times New Roman" w:cs="Times New Roman"/>
                <w:b w:val="0"/>
                <w:bCs w:val="0"/>
                <w:sz w:val="22"/>
                <w:szCs w:val="22"/>
                <w:lang w:val="en"/>
              </w:rPr>
            </w:pPr>
            <w:r w:rsidRPr="00C0031B">
              <w:rPr>
                <w:rFonts w:ascii="Times New Roman" w:hAnsi="Times New Roman" w:cs="Times New Roman"/>
                <w:b w:val="0"/>
                <w:bCs w:val="0"/>
                <w:sz w:val="22"/>
                <w:szCs w:val="22"/>
                <w:lang w:val="en"/>
              </w:rPr>
              <w:t>Housing Fund for Ministry of Education Employees</w:t>
            </w:r>
          </w:p>
        </w:tc>
        <w:tc>
          <w:tcPr>
            <w:tcW w:w="838" w:type="dxa"/>
            <w:vAlign w:val="center"/>
          </w:tcPr>
          <w:p w:rsidR="002E1128" w:rsidRPr="00C0031B" w:rsidRDefault="002E1128" w:rsidP="00234A30">
            <w:pPr>
              <w:bidi w:val="0"/>
              <w:spacing w:after="0"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36</w:t>
            </w:r>
          </w:p>
        </w:tc>
      </w:tr>
      <w:tr w:rsidR="002E1128" w:rsidRPr="00C0031B" w:rsidTr="00BD35CF">
        <w:tc>
          <w:tcPr>
            <w:tcW w:w="7382" w:type="dxa"/>
            <w:vAlign w:val="center"/>
          </w:tcPr>
          <w:p w:rsidR="002E1128" w:rsidRPr="00C0031B" w:rsidRDefault="002E1128" w:rsidP="00234A30">
            <w:pPr>
              <w:bidi w:val="0"/>
              <w:spacing w:after="0" w:line="276" w:lineRule="auto"/>
              <w:jc w:val="left"/>
              <w:rPr>
                <w:rFonts w:ascii="Times New Roman" w:hAnsi="Times New Roman" w:cs="Times New Roman"/>
                <w:b w:val="0"/>
                <w:bCs w:val="0"/>
                <w:sz w:val="22"/>
                <w:szCs w:val="22"/>
                <w:lang w:val="en"/>
              </w:rPr>
            </w:pPr>
            <w:r w:rsidRPr="00C0031B">
              <w:rPr>
                <w:rFonts w:ascii="Times New Roman" w:hAnsi="Times New Roman" w:cs="Times New Roman"/>
                <w:b w:val="0"/>
                <w:bCs w:val="0"/>
                <w:sz w:val="22"/>
                <w:szCs w:val="22"/>
                <w:lang w:val="en"/>
              </w:rPr>
              <w:t>King Abdullah II Fund</w:t>
            </w:r>
          </w:p>
        </w:tc>
        <w:tc>
          <w:tcPr>
            <w:tcW w:w="838" w:type="dxa"/>
            <w:vAlign w:val="center"/>
          </w:tcPr>
          <w:p w:rsidR="002E1128" w:rsidRPr="00C0031B" w:rsidRDefault="002E1128" w:rsidP="00234A30">
            <w:pPr>
              <w:bidi w:val="0"/>
              <w:spacing w:after="0"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37</w:t>
            </w:r>
          </w:p>
        </w:tc>
      </w:tr>
      <w:tr w:rsidR="002E1128" w:rsidRPr="00C0031B" w:rsidTr="00BD35CF">
        <w:tc>
          <w:tcPr>
            <w:tcW w:w="7382" w:type="dxa"/>
            <w:vAlign w:val="center"/>
          </w:tcPr>
          <w:p w:rsidR="002E1128" w:rsidRPr="00C0031B" w:rsidRDefault="002E1128" w:rsidP="00234A30">
            <w:pPr>
              <w:bidi w:val="0"/>
              <w:spacing w:after="0" w:line="276" w:lineRule="auto"/>
              <w:jc w:val="left"/>
              <w:rPr>
                <w:rFonts w:ascii="Times New Roman" w:hAnsi="Times New Roman" w:cs="Times New Roman"/>
                <w:b w:val="0"/>
                <w:bCs w:val="0"/>
                <w:sz w:val="22"/>
                <w:szCs w:val="22"/>
              </w:rPr>
            </w:pPr>
            <w:r w:rsidRPr="00C0031B">
              <w:rPr>
                <w:rFonts w:ascii="Times New Roman" w:hAnsi="Times New Roman" w:cs="Times New Roman"/>
                <w:b w:val="0"/>
                <w:bCs w:val="0"/>
                <w:sz w:val="22"/>
                <w:szCs w:val="22"/>
              </w:rPr>
              <w:t xml:space="preserve">King Hussein Cancer Center </w:t>
            </w:r>
          </w:p>
        </w:tc>
        <w:tc>
          <w:tcPr>
            <w:tcW w:w="838" w:type="dxa"/>
            <w:vAlign w:val="center"/>
          </w:tcPr>
          <w:p w:rsidR="002E1128" w:rsidRPr="00C0031B" w:rsidRDefault="002E1128" w:rsidP="00234A30">
            <w:pPr>
              <w:bidi w:val="0"/>
              <w:spacing w:after="0"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38</w:t>
            </w:r>
          </w:p>
        </w:tc>
      </w:tr>
      <w:tr w:rsidR="002E1128" w:rsidRPr="00C0031B" w:rsidTr="00BD35CF">
        <w:tc>
          <w:tcPr>
            <w:tcW w:w="7382" w:type="dxa"/>
            <w:vAlign w:val="center"/>
          </w:tcPr>
          <w:p w:rsidR="002E1128" w:rsidRPr="00C0031B" w:rsidRDefault="002E1128" w:rsidP="00234A30">
            <w:pPr>
              <w:bidi w:val="0"/>
              <w:spacing w:after="0" w:line="276" w:lineRule="auto"/>
              <w:jc w:val="left"/>
              <w:rPr>
                <w:rFonts w:ascii="Times New Roman" w:hAnsi="Times New Roman" w:cs="Times New Roman"/>
                <w:b w:val="0"/>
                <w:bCs w:val="0"/>
                <w:sz w:val="22"/>
                <w:szCs w:val="22"/>
                <w:lang w:val="en"/>
              </w:rPr>
            </w:pPr>
            <w:r w:rsidRPr="00C0031B">
              <w:rPr>
                <w:rFonts w:ascii="Times New Roman" w:hAnsi="Times New Roman" w:cs="Times New Roman"/>
                <w:b w:val="0"/>
                <w:bCs w:val="0"/>
                <w:sz w:val="22"/>
                <w:szCs w:val="22"/>
                <w:lang w:val="en"/>
              </w:rPr>
              <w:t xml:space="preserve">King Abdullah University Hospital </w:t>
            </w:r>
          </w:p>
        </w:tc>
        <w:tc>
          <w:tcPr>
            <w:tcW w:w="838" w:type="dxa"/>
            <w:vAlign w:val="center"/>
          </w:tcPr>
          <w:p w:rsidR="002E1128" w:rsidRPr="00C0031B" w:rsidRDefault="002E1128" w:rsidP="00234A30">
            <w:pPr>
              <w:bidi w:val="0"/>
              <w:spacing w:after="0"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39</w:t>
            </w:r>
          </w:p>
        </w:tc>
      </w:tr>
      <w:tr w:rsidR="002E1128" w:rsidRPr="00C0031B" w:rsidTr="00BD35CF">
        <w:tc>
          <w:tcPr>
            <w:tcW w:w="7382" w:type="dxa"/>
            <w:vAlign w:val="center"/>
          </w:tcPr>
          <w:p w:rsidR="002E1128" w:rsidRPr="00C0031B" w:rsidRDefault="002E1128" w:rsidP="00234A30">
            <w:pPr>
              <w:bidi w:val="0"/>
              <w:spacing w:after="0" w:line="276" w:lineRule="auto"/>
              <w:jc w:val="left"/>
              <w:rPr>
                <w:rFonts w:ascii="Times New Roman" w:hAnsi="Times New Roman" w:cs="Times New Roman"/>
                <w:b w:val="0"/>
                <w:bCs w:val="0"/>
                <w:sz w:val="22"/>
                <w:szCs w:val="22"/>
                <w:lang w:val="en"/>
              </w:rPr>
            </w:pPr>
            <w:r w:rsidRPr="00C0031B">
              <w:rPr>
                <w:rFonts w:ascii="Times New Roman" w:hAnsi="Times New Roman" w:cs="Times New Roman"/>
                <w:b w:val="0"/>
                <w:bCs w:val="0"/>
                <w:sz w:val="22"/>
                <w:szCs w:val="22"/>
                <w:lang w:val="en"/>
              </w:rPr>
              <w:t xml:space="preserve">The National Center for Diabetes Endocrinology </w:t>
            </w:r>
          </w:p>
        </w:tc>
        <w:tc>
          <w:tcPr>
            <w:tcW w:w="838" w:type="dxa"/>
            <w:vAlign w:val="center"/>
          </w:tcPr>
          <w:p w:rsidR="002E1128" w:rsidRPr="00C0031B" w:rsidRDefault="002E1128" w:rsidP="00234A30">
            <w:pPr>
              <w:bidi w:val="0"/>
              <w:spacing w:after="0"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40</w:t>
            </w:r>
          </w:p>
        </w:tc>
      </w:tr>
      <w:tr w:rsidR="002E1128" w:rsidRPr="00C0031B" w:rsidTr="00BD35CF">
        <w:tc>
          <w:tcPr>
            <w:tcW w:w="7382" w:type="dxa"/>
            <w:vAlign w:val="center"/>
          </w:tcPr>
          <w:p w:rsidR="002E1128" w:rsidRPr="00C0031B" w:rsidRDefault="002E1128" w:rsidP="00234A30">
            <w:pPr>
              <w:bidi w:val="0"/>
              <w:spacing w:after="0" w:line="276" w:lineRule="auto"/>
              <w:jc w:val="left"/>
              <w:rPr>
                <w:rFonts w:ascii="Times New Roman" w:hAnsi="Times New Roman" w:cs="Times New Roman"/>
                <w:b w:val="0"/>
                <w:bCs w:val="0"/>
                <w:sz w:val="22"/>
                <w:szCs w:val="22"/>
                <w:rtl/>
                <w:lang w:val="en" w:bidi="ar-JO"/>
              </w:rPr>
            </w:pPr>
            <w:r w:rsidRPr="00C0031B">
              <w:rPr>
                <w:rFonts w:ascii="Times New Roman" w:hAnsi="Times New Roman" w:cs="Times New Roman"/>
                <w:b w:val="0"/>
                <w:bCs w:val="0"/>
                <w:sz w:val="22"/>
                <w:szCs w:val="22"/>
                <w:lang w:val="en"/>
              </w:rPr>
              <w:t>Diabetes Center Donation Fund</w:t>
            </w:r>
          </w:p>
        </w:tc>
        <w:tc>
          <w:tcPr>
            <w:tcW w:w="838" w:type="dxa"/>
            <w:vAlign w:val="center"/>
          </w:tcPr>
          <w:p w:rsidR="002E1128" w:rsidRPr="00C0031B" w:rsidRDefault="002E1128" w:rsidP="00234A30">
            <w:pPr>
              <w:bidi w:val="0"/>
              <w:spacing w:after="0"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41</w:t>
            </w:r>
          </w:p>
        </w:tc>
      </w:tr>
      <w:tr w:rsidR="002E1128" w:rsidRPr="00C0031B" w:rsidTr="00BD35CF">
        <w:tc>
          <w:tcPr>
            <w:tcW w:w="7382" w:type="dxa"/>
            <w:vAlign w:val="center"/>
          </w:tcPr>
          <w:p w:rsidR="002E1128" w:rsidRPr="00C0031B" w:rsidRDefault="002E1128" w:rsidP="00234A30">
            <w:pPr>
              <w:bidi w:val="0"/>
              <w:spacing w:after="0" w:line="276" w:lineRule="auto"/>
              <w:jc w:val="left"/>
              <w:rPr>
                <w:rFonts w:ascii="Times New Roman" w:hAnsi="Times New Roman" w:cs="Times New Roman"/>
                <w:b w:val="0"/>
                <w:bCs w:val="0"/>
                <w:sz w:val="22"/>
                <w:szCs w:val="22"/>
                <w:rtl/>
                <w:lang w:bidi="ar-JO"/>
              </w:rPr>
            </w:pPr>
            <w:proofErr w:type="spellStart"/>
            <w:r w:rsidRPr="00C0031B">
              <w:rPr>
                <w:rFonts w:ascii="Times New Roman" w:hAnsi="Times New Roman" w:cs="Times New Roman"/>
                <w:b w:val="0"/>
                <w:bCs w:val="0"/>
                <w:sz w:val="22"/>
                <w:szCs w:val="22"/>
              </w:rPr>
              <w:t>Tafila</w:t>
            </w:r>
            <w:proofErr w:type="spellEnd"/>
            <w:r w:rsidRPr="00C0031B">
              <w:rPr>
                <w:rFonts w:ascii="Times New Roman" w:hAnsi="Times New Roman" w:cs="Times New Roman"/>
                <w:b w:val="0"/>
                <w:bCs w:val="0"/>
                <w:sz w:val="22"/>
                <w:szCs w:val="22"/>
              </w:rPr>
              <w:t xml:space="preserve"> Technical University </w:t>
            </w:r>
          </w:p>
        </w:tc>
        <w:tc>
          <w:tcPr>
            <w:tcW w:w="838" w:type="dxa"/>
            <w:vAlign w:val="center"/>
          </w:tcPr>
          <w:p w:rsidR="002E1128" w:rsidRPr="00C0031B" w:rsidRDefault="002E1128" w:rsidP="00234A30">
            <w:pPr>
              <w:bidi w:val="0"/>
              <w:spacing w:after="0"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42</w:t>
            </w:r>
          </w:p>
        </w:tc>
      </w:tr>
      <w:tr w:rsidR="002E1128" w:rsidRPr="00C0031B" w:rsidTr="00BD35CF">
        <w:tc>
          <w:tcPr>
            <w:tcW w:w="7382" w:type="dxa"/>
            <w:vAlign w:val="center"/>
          </w:tcPr>
          <w:p w:rsidR="002E1128" w:rsidRPr="00C0031B" w:rsidRDefault="002E1128" w:rsidP="00234A30">
            <w:pPr>
              <w:bidi w:val="0"/>
              <w:spacing w:after="0" w:line="276" w:lineRule="auto"/>
              <w:jc w:val="left"/>
              <w:rPr>
                <w:rFonts w:ascii="Times New Roman" w:hAnsi="Times New Roman" w:cs="Times New Roman"/>
                <w:b w:val="0"/>
                <w:bCs w:val="0"/>
                <w:sz w:val="22"/>
                <w:szCs w:val="22"/>
              </w:rPr>
            </w:pPr>
            <w:r w:rsidRPr="00C0031B">
              <w:rPr>
                <w:rFonts w:ascii="Times New Roman" w:hAnsi="Times New Roman" w:cs="Times New Roman"/>
                <w:b w:val="0"/>
                <w:bCs w:val="0"/>
                <w:sz w:val="22"/>
                <w:szCs w:val="22"/>
                <w:lang w:val="en"/>
              </w:rPr>
              <w:t>Provident Fund</w:t>
            </w:r>
            <w:r w:rsidRPr="00C0031B">
              <w:rPr>
                <w:rFonts w:ascii="Times New Roman" w:hAnsi="Times New Roman" w:cs="Times New Roman"/>
                <w:b w:val="0"/>
                <w:bCs w:val="0"/>
                <w:sz w:val="22"/>
                <w:szCs w:val="22"/>
              </w:rPr>
              <w:t xml:space="preserve"> for </w:t>
            </w:r>
            <w:proofErr w:type="spellStart"/>
            <w:r w:rsidRPr="00C0031B">
              <w:rPr>
                <w:rFonts w:ascii="Times New Roman" w:hAnsi="Times New Roman" w:cs="Times New Roman"/>
                <w:b w:val="0"/>
                <w:bCs w:val="0"/>
                <w:sz w:val="22"/>
                <w:szCs w:val="22"/>
              </w:rPr>
              <w:t>Tafila</w:t>
            </w:r>
            <w:proofErr w:type="spellEnd"/>
            <w:r w:rsidRPr="00C0031B">
              <w:rPr>
                <w:rFonts w:ascii="Times New Roman" w:hAnsi="Times New Roman" w:cs="Times New Roman"/>
                <w:b w:val="0"/>
                <w:bCs w:val="0"/>
                <w:sz w:val="22"/>
                <w:szCs w:val="22"/>
              </w:rPr>
              <w:t xml:space="preserve"> Technical University</w:t>
            </w:r>
            <w:r w:rsidRPr="00C0031B">
              <w:rPr>
                <w:rFonts w:ascii="Times New Roman" w:hAnsi="Times New Roman" w:cs="Times New Roman"/>
                <w:b w:val="0"/>
                <w:bCs w:val="0"/>
                <w:sz w:val="22"/>
                <w:szCs w:val="22"/>
                <w:lang w:val="en"/>
              </w:rPr>
              <w:t xml:space="preserve"> Employees</w:t>
            </w:r>
          </w:p>
        </w:tc>
        <w:tc>
          <w:tcPr>
            <w:tcW w:w="838" w:type="dxa"/>
            <w:vAlign w:val="center"/>
          </w:tcPr>
          <w:p w:rsidR="002E1128" w:rsidRPr="00C0031B" w:rsidRDefault="002E1128" w:rsidP="00234A30">
            <w:pPr>
              <w:bidi w:val="0"/>
              <w:spacing w:after="0"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43</w:t>
            </w:r>
          </w:p>
        </w:tc>
      </w:tr>
      <w:tr w:rsidR="002E1128" w:rsidRPr="00C0031B" w:rsidTr="00BD35CF">
        <w:tc>
          <w:tcPr>
            <w:tcW w:w="7382" w:type="dxa"/>
            <w:vAlign w:val="center"/>
          </w:tcPr>
          <w:p w:rsidR="002E1128" w:rsidRPr="00C0031B" w:rsidRDefault="002E1128" w:rsidP="00234A30">
            <w:pPr>
              <w:bidi w:val="0"/>
              <w:spacing w:after="0" w:line="276" w:lineRule="auto"/>
              <w:jc w:val="left"/>
              <w:rPr>
                <w:rFonts w:ascii="Times New Roman" w:hAnsi="Times New Roman" w:cs="Times New Roman"/>
                <w:b w:val="0"/>
                <w:bCs w:val="0"/>
                <w:sz w:val="22"/>
                <w:szCs w:val="22"/>
                <w:lang w:val="en"/>
              </w:rPr>
            </w:pPr>
            <w:r w:rsidRPr="00C0031B">
              <w:rPr>
                <w:rFonts w:ascii="Times New Roman" w:hAnsi="Times New Roman" w:cs="Times New Roman"/>
                <w:b w:val="0"/>
                <w:bCs w:val="0"/>
                <w:sz w:val="22"/>
                <w:szCs w:val="22"/>
                <w:lang w:val="en"/>
              </w:rPr>
              <w:t>Technical and Vocational Education and Training Support Fund</w:t>
            </w:r>
          </w:p>
        </w:tc>
        <w:tc>
          <w:tcPr>
            <w:tcW w:w="838" w:type="dxa"/>
            <w:vAlign w:val="center"/>
          </w:tcPr>
          <w:p w:rsidR="002E1128" w:rsidRPr="00C0031B" w:rsidRDefault="002E1128" w:rsidP="00234A30">
            <w:pPr>
              <w:bidi w:val="0"/>
              <w:spacing w:after="0"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44</w:t>
            </w:r>
          </w:p>
        </w:tc>
      </w:tr>
      <w:tr w:rsidR="002E1128" w:rsidRPr="00C0031B" w:rsidTr="00BD35CF">
        <w:tc>
          <w:tcPr>
            <w:tcW w:w="7382" w:type="dxa"/>
            <w:vAlign w:val="center"/>
          </w:tcPr>
          <w:p w:rsidR="002E1128" w:rsidRPr="00C0031B" w:rsidRDefault="002E1128" w:rsidP="00234A30">
            <w:pPr>
              <w:bidi w:val="0"/>
              <w:spacing w:after="0" w:line="276" w:lineRule="auto"/>
              <w:jc w:val="left"/>
              <w:rPr>
                <w:rFonts w:ascii="Times New Roman" w:hAnsi="Times New Roman" w:cs="Times New Roman"/>
                <w:b w:val="0"/>
                <w:bCs w:val="0"/>
                <w:sz w:val="22"/>
                <w:szCs w:val="22"/>
                <w:lang w:val="en"/>
              </w:rPr>
            </w:pPr>
            <w:r w:rsidRPr="00C0031B">
              <w:rPr>
                <w:rFonts w:ascii="Times New Roman" w:hAnsi="Times New Roman" w:cs="Times New Roman"/>
                <w:b w:val="0"/>
                <w:bCs w:val="0"/>
                <w:sz w:val="22"/>
                <w:szCs w:val="22"/>
                <w:lang w:val="en"/>
              </w:rPr>
              <w:t>General Intelligence Officers Housing Fund</w:t>
            </w:r>
          </w:p>
        </w:tc>
        <w:tc>
          <w:tcPr>
            <w:tcW w:w="838" w:type="dxa"/>
            <w:vAlign w:val="center"/>
          </w:tcPr>
          <w:p w:rsidR="002E1128" w:rsidRPr="00C0031B" w:rsidRDefault="002E1128" w:rsidP="00234A30">
            <w:pPr>
              <w:bidi w:val="0"/>
              <w:spacing w:after="0"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45</w:t>
            </w:r>
          </w:p>
        </w:tc>
      </w:tr>
      <w:tr w:rsidR="002E1128" w:rsidRPr="00C0031B" w:rsidTr="00BD35CF">
        <w:tc>
          <w:tcPr>
            <w:tcW w:w="7382" w:type="dxa"/>
            <w:vAlign w:val="center"/>
          </w:tcPr>
          <w:p w:rsidR="002E1128" w:rsidRPr="00C0031B" w:rsidRDefault="002E1128" w:rsidP="00234A30">
            <w:pPr>
              <w:bidi w:val="0"/>
              <w:spacing w:after="0" w:line="276" w:lineRule="auto"/>
              <w:jc w:val="left"/>
              <w:rPr>
                <w:rFonts w:ascii="Times New Roman" w:hAnsi="Times New Roman" w:cs="Times New Roman"/>
                <w:b w:val="0"/>
                <w:bCs w:val="0"/>
                <w:sz w:val="22"/>
                <w:szCs w:val="22"/>
                <w:lang w:val="en"/>
              </w:rPr>
            </w:pPr>
            <w:r w:rsidRPr="00C0031B">
              <w:rPr>
                <w:rFonts w:ascii="Times New Roman" w:hAnsi="Times New Roman" w:cs="Times New Roman"/>
                <w:b w:val="0"/>
                <w:bCs w:val="0"/>
                <w:sz w:val="22"/>
                <w:szCs w:val="22"/>
                <w:lang w:val="en"/>
              </w:rPr>
              <w:t>The Armed Forces Development and Investment Projects Fund</w:t>
            </w:r>
          </w:p>
        </w:tc>
        <w:tc>
          <w:tcPr>
            <w:tcW w:w="838" w:type="dxa"/>
            <w:vAlign w:val="center"/>
          </w:tcPr>
          <w:p w:rsidR="002E1128" w:rsidRPr="00C0031B" w:rsidRDefault="002E1128" w:rsidP="00234A30">
            <w:pPr>
              <w:bidi w:val="0"/>
              <w:spacing w:after="0"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46</w:t>
            </w:r>
          </w:p>
        </w:tc>
      </w:tr>
      <w:tr w:rsidR="002E1128" w:rsidRPr="00C0031B" w:rsidTr="00BD35CF">
        <w:tc>
          <w:tcPr>
            <w:tcW w:w="7382" w:type="dxa"/>
            <w:vAlign w:val="center"/>
          </w:tcPr>
          <w:p w:rsidR="002E1128" w:rsidRPr="00C0031B" w:rsidRDefault="002E1128" w:rsidP="00234A30">
            <w:pPr>
              <w:bidi w:val="0"/>
              <w:spacing w:after="0" w:line="276" w:lineRule="auto"/>
              <w:jc w:val="left"/>
              <w:rPr>
                <w:rFonts w:ascii="Times New Roman" w:hAnsi="Times New Roman" w:cs="Times New Roman"/>
                <w:b w:val="0"/>
                <w:bCs w:val="0"/>
                <w:sz w:val="22"/>
                <w:szCs w:val="22"/>
                <w:lang w:val="en"/>
              </w:rPr>
            </w:pPr>
            <w:r w:rsidRPr="00C0031B">
              <w:rPr>
                <w:rFonts w:ascii="Times New Roman" w:hAnsi="Times New Roman" w:cs="Times New Roman"/>
                <w:b w:val="0"/>
                <w:bCs w:val="0"/>
                <w:sz w:val="22"/>
                <w:szCs w:val="22"/>
              </w:rPr>
              <w:t xml:space="preserve">The Civil Consumer Institution  </w:t>
            </w:r>
          </w:p>
        </w:tc>
        <w:tc>
          <w:tcPr>
            <w:tcW w:w="838" w:type="dxa"/>
            <w:vAlign w:val="center"/>
          </w:tcPr>
          <w:p w:rsidR="002E1128" w:rsidRPr="00C0031B" w:rsidRDefault="002E1128" w:rsidP="00234A30">
            <w:pPr>
              <w:bidi w:val="0"/>
              <w:spacing w:after="0"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47</w:t>
            </w:r>
          </w:p>
        </w:tc>
      </w:tr>
      <w:tr w:rsidR="002E1128" w:rsidRPr="00C0031B" w:rsidTr="00BD35CF">
        <w:tc>
          <w:tcPr>
            <w:tcW w:w="7382" w:type="dxa"/>
            <w:vAlign w:val="center"/>
          </w:tcPr>
          <w:p w:rsidR="002E1128" w:rsidRPr="00C0031B" w:rsidRDefault="002E1128" w:rsidP="00234A30">
            <w:pPr>
              <w:bidi w:val="0"/>
              <w:spacing w:after="0" w:line="276" w:lineRule="auto"/>
              <w:jc w:val="left"/>
              <w:rPr>
                <w:rFonts w:ascii="Times New Roman" w:hAnsi="Times New Roman" w:cs="Times New Roman"/>
                <w:b w:val="0"/>
                <w:bCs w:val="0"/>
                <w:sz w:val="22"/>
                <w:szCs w:val="22"/>
                <w:rtl/>
                <w:lang w:bidi="ar-JO"/>
              </w:rPr>
            </w:pPr>
            <w:r w:rsidRPr="00C0031B">
              <w:rPr>
                <w:rFonts w:ascii="Times New Roman" w:hAnsi="Times New Roman" w:cs="Times New Roman"/>
                <w:b w:val="0"/>
                <w:bCs w:val="0"/>
                <w:sz w:val="22"/>
                <w:szCs w:val="22"/>
                <w:lang w:bidi="ar-JO"/>
              </w:rPr>
              <w:t>National Aid Fund</w:t>
            </w:r>
          </w:p>
        </w:tc>
        <w:tc>
          <w:tcPr>
            <w:tcW w:w="838" w:type="dxa"/>
            <w:vAlign w:val="center"/>
          </w:tcPr>
          <w:p w:rsidR="002E1128" w:rsidRPr="00C0031B" w:rsidRDefault="002E1128" w:rsidP="00234A30">
            <w:pPr>
              <w:bidi w:val="0"/>
              <w:spacing w:after="0"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48</w:t>
            </w:r>
          </w:p>
        </w:tc>
      </w:tr>
      <w:tr w:rsidR="002E1128" w:rsidRPr="00C0031B" w:rsidTr="00BD35CF">
        <w:tc>
          <w:tcPr>
            <w:tcW w:w="7382" w:type="dxa"/>
            <w:vAlign w:val="center"/>
          </w:tcPr>
          <w:p w:rsidR="002E1128" w:rsidRPr="00C0031B" w:rsidRDefault="002E1128" w:rsidP="00234A30">
            <w:pPr>
              <w:bidi w:val="0"/>
              <w:spacing w:after="0" w:line="276" w:lineRule="auto"/>
              <w:jc w:val="left"/>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 xml:space="preserve">Aqaba Railway Corporation </w:t>
            </w:r>
          </w:p>
        </w:tc>
        <w:tc>
          <w:tcPr>
            <w:tcW w:w="838" w:type="dxa"/>
            <w:vAlign w:val="center"/>
          </w:tcPr>
          <w:p w:rsidR="002E1128" w:rsidRPr="00C0031B" w:rsidRDefault="002E1128" w:rsidP="00234A30">
            <w:pPr>
              <w:bidi w:val="0"/>
              <w:spacing w:after="0"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49</w:t>
            </w:r>
          </w:p>
        </w:tc>
      </w:tr>
      <w:tr w:rsidR="002E1128" w:rsidRPr="00C0031B" w:rsidTr="00BD35CF">
        <w:tc>
          <w:tcPr>
            <w:tcW w:w="7382" w:type="dxa"/>
            <w:vAlign w:val="center"/>
          </w:tcPr>
          <w:p w:rsidR="002E1128" w:rsidRPr="00C0031B" w:rsidRDefault="002E1128" w:rsidP="00234A30">
            <w:pPr>
              <w:bidi w:val="0"/>
              <w:spacing w:after="0" w:line="276" w:lineRule="auto"/>
              <w:jc w:val="left"/>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 xml:space="preserve">Vocational Training Corporation </w:t>
            </w:r>
          </w:p>
        </w:tc>
        <w:tc>
          <w:tcPr>
            <w:tcW w:w="838" w:type="dxa"/>
            <w:vAlign w:val="center"/>
          </w:tcPr>
          <w:p w:rsidR="002E1128" w:rsidRPr="00C0031B" w:rsidRDefault="002E1128" w:rsidP="00234A30">
            <w:pPr>
              <w:bidi w:val="0"/>
              <w:spacing w:after="0"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50</w:t>
            </w:r>
          </w:p>
        </w:tc>
      </w:tr>
      <w:tr w:rsidR="002E1128" w:rsidRPr="00C0031B" w:rsidTr="00BD35CF">
        <w:tc>
          <w:tcPr>
            <w:tcW w:w="7382" w:type="dxa"/>
            <w:vAlign w:val="center"/>
          </w:tcPr>
          <w:p w:rsidR="002E1128" w:rsidRPr="00C0031B" w:rsidRDefault="002E1128" w:rsidP="00234A30">
            <w:pPr>
              <w:bidi w:val="0"/>
              <w:spacing w:after="0" w:line="276" w:lineRule="auto"/>
              <w:jc w:val="left"/>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val="en"/>
              </w:rPr>
              <w:t>General Organization for Environmental Protection</w:t>
            </w:r>
          </w:p>
        </w:tc>
        <w:tc>
          <w:tcPr>
            <w:tcW w:w="838" w:type="dxa"/>
            <w:vAlign w:val="center"/>
          </w:tcPr>
          <w:p w:rsidR="002E1128" w:rsidRPr="00C0031B" w:rsidRDefault="002E1128" w:rsidP="00234A30">
            <w:pPr>
              <w:bidi w:val="0"/>
              <w:spacing w:after="0" w:line="276" w:lineRule="auto"/>
              <w:jc w:val="center"/>
              <w:rPr>
                <w:rFonts w:ascii="Times New Roman" w:hAnsi="Times New Roman" w:cs="Times New Roman"/>
                <w:b w:val="0"/>
                <w:bCs w:val="0"/>
                <w:sz w:val="22"/>
                <w:szCs w:val="22"/>
                <w:rtl/>
                <w:lang w:bidi="ar-JO"/>
              </w:rPr>
            </w:pPr>
            <w:r w:rsidRPr="00C0031B">
              <w:rPr>
                <w:rFonts w:ascii="Times New Roman" w:hAnsi="Times New Roman" w:cs="Times New Roman"/>
                <w:b w:val="0"/>
                <w:bCs w:val="0"/>
                <w:sz w:val="22"/>
                <w:szCs w:val="22"/>
                <w:lang w:bidi="ar-JO"/>
              </w:rPr>
              <w:t>51</w:t>
            </w:r>
          </w:p>
        </w:tc>
      </w:tr>
      <w:tr w:rsidR="002E1128" w:rsidRPr="00C0031B" w:rsidTr="00BD35CF">
        <w:tc>
          <w:tcPr>
            <w:tcW w:w="7382" w:type="dxa"/>
            <w:vAlign w:val="center"/>
          </w:tcPr>
          <w:p w:rsidR="002E1128" w:rsidRPr="00C0031B" w:rsidRDefault="002E1128" w:rsidP="00234A30">
            <w:pPr>
              <w:bidi w:val="0"/>
              <w:spacing w:after="0" w:line="276" w:lineRule="auto"/>
              <w:jc w:val="left"/>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 xml:space="preserve">Housing and Urban Development Corporation </w:t>
            </w:r>
          </w:p>
        </w:tc>
        <w:tc>
          <w:tcPr>
            <w:tcW w:w="838" w:type="dxa"/>
            <w:vAlign w:val="center"/>
          </w:tcPr>
          <w:p w:rsidR="002E1128" w:rsidRPr="00C0031B" w:rsidRDefault="002E1128" w:rsidP="00234A30">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52</w:t>
            </w:r>
          </w:p>
        </w:tc>
      </w:tr>
      <w:tr w:rsidR="002E1128" w:rsidRPr="00C0031B" w:rsidTr="00BD35CF">
        <w:tc>
          <w:tcPr>
            <w:tcW w:w="7382" w:type="dxa"/>
            <w:vAlign w:val="center"/>
          </w:tcPr>
          <w:p w:rsidR="002E1128" w:rsidRPr="00C0031B" w:rsidRDefault="002E1128" w:rsidP="00234A30">
            <w:pPr>
              <w:bidi w:val="0"/>
              <w:spacing w:after="0" w:line="276" w:lineRule="auto"/>
              <w:jc w:val="left"/>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 xml:space="preserve">Development and Employment Fund </w:t>
            </w:r>
          </w:p>
        </w:tc>
        <w:tc>
          <w:tcPr>
            <w:tcW w:w="838" w:type="dxa"/>
            <w:vAlign w:val="center"/>
          </w:tcPr>
          <w:p w:rsidR="002E1128" w:rsidRPr="00C0031B" w:rsidRDefault="002E1128" w:rsidP="00234A30">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53</w:t>
            </w:r>
          </w:p>
        </w:tc>
      </w:tr>
      <w:tr w:rsidR="002E1128" w:rsidRPr="00C0031B" w:rsidTr="00BD35CF">
        <w:tc>
          <w:tcPr>
            <w:tcW w:w="7382" w:type="dxa"/>
            <w:vAlign w:val="center"/>
          </w:tcPr>
          <w:p w:rsidR="002E1128" w:rsidRPr="00C0031B" w:rsidRDefault="002E1128" w:rsidP="00234A30">
            <w:pPr>
              <w:bidi w:val="0"/>
              <w:spacing w:after="0" w:line="276" w:lineRule="auto"/>
              <w:jc w:val="left"/>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 xml:space="preserve">Jordan Hejaz Railway </w:t>
            </w:r>
          </w:p>
        </w:tc>
        <w:tc>
          <w:tcPr>
            <w:tcW w:w="838" w:type="dxa"/>
            <w:vAlign w:val="center"/>
          </w:tcPr>
          <w:p w:rsidR="002E1128" w:rsidRPr="00C0031B" w:rsidRDefault="002E1128" w:rsidP="00234A30">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54</w:t>
            </w:r>
          </w:p>
        </w:tc>
      </w:tr>
      <w:tr w:rsidR="002E1128" w:rsidRPr="00C0031B" w:rsidTr="00BD35CF">
        <w:tc>
          <w:tcPr>
            <w:tcW w:w="7382" w:type="dxa"/>
            <w:vAlign w:val="center"/>
          </w:tcPr>
          <w:p w:rsidR="002E1128" w:rsidRPr="00C0031B" w:rsidRDefault="002E1128" w:rsidP="00234A30">
            <w:pPr>
              <w:bidi w:val="0"/>
              <w:spacing w:after="0" w:line="276" w:lineRule="auto"/>
              <w:jc w:val="left"/>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 xml:space="preserve">Health Insurance Agency </w:t>
            </w:r>
          </w:p>
        </w:tc>
        <w:tc>
          <w:tcPr>
            <w:tcW w:w="838" w:type="dxa"/>
            <w:vAlign w:val="center"/>
          </w:tcPr>
          <w:p w:rsidR="002E1128" w:rsidRPr="00C0031B" w:rsidRDefault="002E1128" w:rsidP="00234A30">
            <w:pPr>
              <w:bidi w:val="0"/>
              <w:spacing w:after="0" w:line="276" w:lineRule="auto"/>
              <w:jc w:val="center"/>
              <w:rPr>
                <w:rFonts w:ascii="Times New Roman" w:hAnsi="Times New Roman" w:cs="Times New Roman"/>
                <w:b w:val="0"/>
                <w:bCs w:val="0"/>
                <w:sz w:val="22"/>
                <w:szCs w:val="22"/>
                <w:rtl/>
                <w:lang w:bidi="ar-JO"/>
              </w:rPr>
            </w:pPr>
            <w:r w:rsidRPr="00C0031B">
              <w:rPr>
                <w:rFonts w:ascii="Times New Roman" w:hAnsi="Times New Roman" w:cs="Times New Roman"/>
                <w:b w:val="0"/>
                <w:bCs w:val="0"/>
                <w:sz w:val="22"/>
                <w:szCs w:val="22"/>
                <w:lang w:bidi="ar-JO"/>
              </w:rPr>
              <w:t>55</w:t>
            </w:r>
          </w:p>
        </w:tc>
      </w:tr>
      <w:tr w:rsidR="002E1128" w:rsidRPr="00C0031B" w:rsidTr="00BD35CF">
        <w:tc>
          <w:tcPr>
            <w:tcW w:w="7382" w:type="dxa"/>
            <w:vAlign w:val="center"/>
          </w:tcPr>
          <w:p w:rsidR="002E1128" w:rsidRPr="00C0031B" w:rsidRDefault="002E1128" w:rsidP="00234A30">
            <w:pPr>
              <w:bidi w:val="0"/>
              <w:spacing w:after="0" w:line="276" w:lineRule="auto"/>
              <w:jc w:val="left"/>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 xml:space="preserve">Jordan Standards and Metrology Organization </w:t>
            </w:r>
          </w:p>
        </w:tc>
        <w:tc>
          <w:tcPr>
            <w:tcW w:w="838" w:type="dxa"/>
            <w:vAlign w:val="center"/>
          </w:tcPr>
          <w:p w:rsidR="002E1128" w:rsidRPr="00C0031B" w:rsidRDefault="002E1128" w:rsidP="00234A30">
            <w:pPr>
              <w:bidi w:val="0"/>
              <w:spacing w:after="0"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56</w:t>
            </w:r>
          </w:p>
        </w:tc>
      </w:tr>
      <w:tr w:rsidR="002E1128" w:rsidRPr="00C0031B" w:rsidTr="00BD35CF">
        <w:tc>
          <w:tcPr>
            <w:tcW w:w="7382" w:type="dxa"/>
            <w:vAlign w:val="center"/>
          </w:tcPr>
          <w:p w:rsidR="002E1128" w:rsidRPr="00C0031B" w:rsidRDefault="002E1128" w:rsidP="00234A30">
            <w:pPr>
              <w:bidi w:val="0"/>
              <w:spacing w:after="0" w:line="276" w:lineRule="auto"/>
              <w:jc w:val="left"/>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 xml:space="preserve">Jordan Postal Saving Fund </w:t>
            </w:r>
          </w:p>
        </w:tc>
        <w:tc>
          <w:tcPr>
            <w:tcW w:w="838" w:type="dxa"/>
            <w:vAlign w:val="center"/>
          </w:tcPr>
          <w:p w:rsidR="002E1128" w:rsidRPr="00C0031B" w:rsidRDefault="002E1128" w:rsidP="00234A30">
            <w:pPr>
              <w:bidi w:val="0"/>
              <w:spacing w:after="0"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57</w:t>
            </w:r>
          </w:p>
        </w:tc>
      </w:tr>
      <w:tr w:rsidR="004000FA" w:rsidRPr="00C0031B" w:rsidTr="00BD35CF">
        <w:tc>
          <w:tcPr>
            <w:tcW w:w="7382" w:type="dxa"/>
            <w:vAlign w:val="center"/>
          </w:tcPr>
          <w:p w:rsidR="004000FA" w:rsidRPr="00C0031B" w:rsidRDefault="004000FA" w:rsidP="00234A30">
            <w:pPr>
              <w:bidi w:val="0"/>
              <w:spacing w:after="0" w:line="276" w:lineRule="auto"/>
              <w:jc w:val="left"/>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 xml:space="preserve">The Royal </w:t>
            </w:r>
            <w:proofErr w:type="spellStart"/>
            <w:r w:rsidRPr="00C0031B">
              <w:rPr>
                <w:rFonts w:ascii="Times New Roman" w:hAnsi="Times New Roman" w:cs="Times New Roman"/>
                <w:b w:val="0"/>
                <w:bCs w:val="0"/>
                <w:sz w:val="22"/>
                <w:szCs w:val="22"/>
                <w:lang w:bidi="ar-JO"/>
              </w:rPr>
              <w:t>Aal</w:t>
            </w:r>
            <w:proofErr w:type="spellEnd"/>
            <w:r w:rsidRPr="00C0031B">
              <w:rPr>
                <w:rFonts w:ascii="Times New Roman" w:hAnsi="Times New Roman" w:cs="Times New Roman"/>
                <w:b w:val="0"/>
                <w:bCs w:val="0"/>
                <w:sz w:val="22"/>
                <w:szCs w:val="22"/>
                <w:lang w:bidi="ar-JO"/>
              </w:rPr>
              <w:t xml:space="preserve"> al-Bayt Institute for Islamic Thoughts </w:t>
            </w:r>
          </w:p>
        </w:tc>
        <w:tc>
          <w:tcPr>
            <w:tcW w:w="838" w:type="dxa"/>
            <w:vAlign w:val="center"/>
          </w:tcPr>
          <w:p w:rsidR="004000FA" w:rsidRPr="00C0031B" w:rsidRDefault="002E1128" w:rsidP="00234A30">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58</w:t>
            </w:r>
          </w:p>
        </w:tc>
      </w:tr>
      <w:tr w:rsidR="004000FA" w:rsidRPr="00C0031B" w:rsidTr="00BD35CF">
        <w:tc>
          <w:tcPr>
            <w:tcW w:w="7382" w:type="dxa"/>
            <w:vAlign w:val="center"/>
          </w:tcPr>
          <w:p w:rsidR="004000FA" w:rsidRPr="00C0031B" w:rsidRDefault="004000FA" w:rsidP="00234A30">
            <w:pPr>
              <w:bidi w:val="0"/>
              <w:spacing w:after="0" w:line="276" w:lineRule="auto"/>
              <w:jc w:val="left"/>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 xml:space="preserve">Higher Council for Youth and Sport </w:t>
            </w:r>
          </w:p>
        </w:tc>
        <w:tc>
          <w:tcPr>
            <w:tcW w:w="838" w:type="dxa"/>
            <w:vAlign w:val="center"/>
          </w:tcPr>
          <w:p w:rsidR="004000FA" w:rsidRPr="00C0031B" w:rsidRDefault="002E1128" w:rsidP="00234A30">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59</w:t>
            </w:r>
          </w:p>
        </w:tc>
      </w:tr>
      <w:tr w:rsidR="004000FA" w:rsidRPr="00C0031B" w:rsidTr="00BD35CF">
        <w:tc>
          <w:tcPr>
            <w:tcW w:w="7382" w:type="dxa"/>
            <w:vAlign w:val="center"/>
          </w:tcPr>
          <w:p w:rsidR="004000FA" w:rsidRPr="00C0031B" w:rsidRDefault="004000FA" w:rsidP="00234A30">
            <w:pPr>
              <w:bidi w:val="0"/>
              <w:spacing w:after="0" w:line="276" w:lineRule="auto"/>
              <w:jc w:val="left"/>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Others (</w:t>
            </w:r>
            <w:r w:rsidRPr="00C0031B">
              <w:rPr>
                <w:rFonts w:ascii="Times New Roman" w:hAnsi="Times New Roman" w:cs="Times New Roman"/>
                <w:b w:val="0"/>
                <w:bCs w:val="0"/>
                <w:sz w:val="22"/>
                <w:szCs w:val="22"/>
                <w:lang w:val="en"/>
              </w:rPr>
              <w:t>subject to prior approval from the Central Bank)</w:t>
            </w:r>
          </w:p>
        </w:tc>
        <w:tc>
          <w:tcPr>
            <w:tcW w:w="838" w:type="dxa"/>
            <w:vAlign w:val="center"/>
          </w:tcPr>
          <w:p w:rsidR="004000FA" w:rsidRPr="00C0031B" w:rsidRDefault="002E1128" w:rsidP="00234A30">
            <w:pPr>
              <w:bidi w:val="0"/>
              <w:spacing w:line="276" w:lineRule="auto"/>
              <w:jc w:val="center"/>
              <w:rPr>
                <w:rFonts w:ascii="Times New Roman" w:hAnsi="Times New Roman" w:cs="Times New Roman"/>
                <w:b w:val="0"/>
                <w:bCs w:val="0"/>
                <w:sz w:val="22"/>
                <w:szCs w:val="22"/>
                <w:lang w:bidi="ar-JO"/>
              </w:rPr>
            </w:pPr>
            <w:r w:rsidRPr="00C0031B">
              <w:rPr>
                <w:rFonts w:ascii="Times New Roman" w:hAnsi="Times New Roman" w:cs="Times New Roman"/>
                <w:b w:val="0"/>
                <w:bCs w:val="0"/>
                <w:sz w:val="22"/>
                <w:szCs w:val="22"/>
                <w:lang w:bidi="ar-JO"/>
              </w:rPr>
              <w:t>60</w:t>
            </w:r>
          </w:p>
        </w:tc>
      </w:tr>
      <w:bookmarkEnd w:id="71"/>
    </w:tbl>
    <w:p w:rsidR="00234A30" w:rsidRDefault="00234A30" w:rsidP="004000FA">
      <w:pPr>
        <w:bidi w:val="0"/>
        <w:jc w:val="center"/>
        <w:rPr>
          <w:rFonts w:ascii="Times New Roman" w:hAnsi="Times New Roman" w:cs="Times New Roman"/>
          <w:lang w:bidi="ar-JO"/>
        </w:rPr>
      </w:pPr>
    </w:p>
    <w:p w:rsidR="00234A30" w:rsidRDefault="00234A30" w:rsidP="00234A30">
      <w:pPr>
        <w:bidi w:val="0"/>
        <w:jc w:val="center"/>
        <w:rPr>
          <w:rFonts w:ascii="Times New Roman" w:hAnsi="Times New Roman" w:cs="Times New Roman"/>
          <w:lang w:bidi="ar-JO"/>
        </w:rPr>
      </w:pPr>
    </w:p>
    <w:p w:rsidR="00C0031B" w:rsidRDefault="00C0031B" w:rsidP="00C0031B">
      <w:pPr>
        <w:bidi w:val="0"/>
        <w:jc w:val="center"/>
        <w:rPr>
          <w:rFonts w:ascii="Times New Roman" w:hAnsi="Times New Roman" w:cs="Times New Roman"/>
          <w:lang w:bidi="ar-JO"/>
        </w:rPr>
      </w:pPr>
    </w:p>
    <w:p w:rsidR="00C0031B" w:rsidRDefault="00C0031B" w:rsidP="00C0031B">
      <w:pPr>
        <w:bidi w:val="0"/>
        <w:jc w:val="center"/>
        <w:rPr>
          <w:rFonts w:ascii="Times New Roman" w:hAnsi="Times New Roman" w:cs="Times New Roman"/>
          <w:lang w:bidi="ar-JO"/>
        </w:rPr>
      </w:pPr>
    </w:p>
    <w:p w:rsidR="00C0031B" w:rsidRDefault="00C0031B" w:rsidP="00C0031B">
      <w:pPr>
        <w:bidi w:val="0"/>
        <w:jc w:val="center"/>
        <w:rPr>
          <w:rFonts w:ascii="Times New Roman" w:hAnsi="Times New Roman" w:cs="Times New Roman"/>
          <w:lang w:bidi="ar-JO"/>
        </w:rPr>
      </w:pPr>
    </w:p>
    <w:p w:rsidR="00EF268A" w:rsidRPr="00F06631" w:rsidRDefault="004000FA" w:rsidP="00B66B27">
      <w:pPr>
        <w:pStyle w:val="Heading1"/>
        <w:pBdr>
          <w:bottom w:val="single" w:sz="4" w:space="1" w:color="auto"/>
        </w:pBdr>
        <w:bidi w:val="0"/>
        <w:jc w:val="center"/>
        <w:rPr>
          <w:rFonts w:asciiTheme="majorBidi" w:hAnsiTheme="majorBidi" w:cstheme="majorBidi"/>
          <w:b/>
          <w:bCs/>
        </w:rPr>
      </w:pPr>
      <w:bookmarkStart w:id="73" w:name="_Toc65354418"/>
      <w:r w:rsidRPr="00F06631">
        <w:rPr>
          <w:rFonts w:asciiTheme="majorBidi" w:hAnsiTheme="majorBidi" w:cstheme="majorBidi"/>
          <w:b/>
          <w:bCs/>
        </w:rPr>
        <w:t>Annex (10)</w:t>
      </w:r>
      <w:r w:rsidR="00B66B27">
        <w:rPr>
          <w:rFonts w:asciiTheme="majorBidi" w:hAnsiTheme="majorBidi" w:cstheme="majorBidi"/>
          <w:b/>
          <w:bCs/>
        </w:rPr>
        <w:t xml:space="preserve"> </w:t>
      </w:r>
      <w:r w:rsidR="00EF268A" w:rsidRPr="00F06631">
        <w:rPr>
          <w:rFonts w:asciiTheme="majorBidi" w:hAnsiTheme="majorBidi" w:cstheme="majorBidi"/>
          <w:b/>
          <w:bCs/>
        </w:rPr>
        <w:t xml:space="preserve">Establishments and institutions that eligible for </w:t>
      </w:r>
      <w:r w:rsidR="00A478B1" w:rsidRPr="00F06631">
        <w:rPr>
          <w:rFonts w:asciiTheme="majorBidi" w:hAnsiTheme="majorBidi" w:cstheme="majorBidi"/>
          <w:b/>
          <w:bCs/>
        </w:rPr>
        <w:t>companies’</w:t>
      </w:r>
      <w:r w:rsidR="00EF268A" w:rsidRPr="00F06631">
        <w:rPr>
          <w:rFonts w:asciiTheme="majorBidi" w:hAnsiTheme="majorBidi" w:cstheme="majorBidi"/>
          <w:b/>
          <w:bCs/>
        </w:rPr>
        <w:t xml:space="preserve"> risk weights</w:t>
      </w:r>
      <w:bookmarkEnd w:id="73"/>
    </w:p>
    <w:p w:rsidR="00234A30" w:rsidRDefault="00234A30" w:rsidP="00234A30">
      <w:pPr>
        <w:bidi w:val="0"/>
        <w:jc w:val="center"/>
        <w:rPr>
          <w:rFonts w:ascii="Times New Roman" w:hAnsi="Times New Roman" w:cs="Times New Roman"/>
          <w:color w:val="202124"/>
          <w:lang w:val="en"/>
        </w:rPr>
      </w:pPr>
    </w:p>
    <w:tbl>
      <w:tblPr>
        <w:tblStyle w:val="TableGrid"/>
        <w:bidiVisual/>
        <w:tblW w:w="0" w:type="auto"/>
        <w:tblInd w:w="175" w:type="dxa"/>
        <w:tblLook w:val="04A0" w:firstRow="1" w:lastRow="0" w:firstColumn="1" w:lastColumn="0" w:noHBand="0" w:noVBand="1"/>
      </w:tblPr>
      <w:tblGrid>
        <w:gridCol w:w="7382"/>
        <w:gridCol w:w="838"/>
      </w:tblGrid>
      <w:tr w:rsidR="00A23EB3" w:rsidRPr="004000FA" w:rsidTr="00AC49F5">
        <w:tc>
          <w:tcPr>
            <w:tcW w:w="7382" w:type="dxa"/>
            <w:shd w:val="clear" w:color="auto" w:fill="EDEDED" w:themeFill="accent3" w:themeFillTint="33"/>
            <w:vAlign w:val="center"/>
          </w:tcPr>
          <w:p w:rsidR="00A23EB3" w:rsidRPr="00234A30" w:rsidRDefault="00A23EB3" w:rsidP="00234A30">
            <w:pPr>
              <w:bidi w:val="0"/>
              <w:spacing w:line="276" w:lineRule="auto"/>
              <w:jc w:val="center"/>
              <w:rPr>
                <w:rFonts w:ascii="Times New Roman" w:hAnsi="Times New Roman" w:cs="Times New Roman"/>
                <w:color w:val="202124"/>
                <w:sz w:val="24"/>
                <w:szCs w:val="24"/>
                <w:rtl/>
                <w:lang w:val="en"/>
              </w:rPr>
            </w:pPr>
            <w:r w:rsidRPr="00234A30">
              <w:rPr>
                <w:rFonts w:ascii="Times New Roman" w:hAnsi="Times New Roman" w:cs="Times New Roman"/>
                <w:color w:val="202124"/>
                <w:sz w:val="24"/>
                <w:szCs w:val="24"/>
                <w:lang w:val="en"/>
              </w:rPr>
              <w:t>Name</w:t>
            </w:r>
          </w:p>
        </w:tc>
        <w:tc>
          <w:tcPr>
            <w:tcW w:w="838" w:type="dxa"/>
            <w:shd w:val="clear" w:color="auto" w:fill="EDEDED" w:themeFill="accent3" w:themeFillTint="33"/>
            <w:vAlign w:val="center"/>
          </w:tcPr>
          <w:p w:rsidR="00A23EB3" w:rsidRPr="00234A30" w:rsidRDefault="00A23EB3" w:rsidP="00234A30">
            <w:pPr>
              <w:bidi w:val="0"/>
              <w:spacing w:line="276" w:lineRule="auto"/>
              <w:jc w:val="center"/>
              <w:rPr>
                <w:rFonts w:ascii="Times New Roman" w:hAnsi="Times New Roman" w:cs="Times New Roman"/>
                <w:color w:val="202124"/>
                <w:sz w:val="24"/>
                <w:szCs w:val="24"/>
                <w:rtl/>
                <w:lang w:val="en"/>
              </w:rPr>
            </w:pPr>
            <w:r w:rsidRPr="00234A30">
              <w:rPr>
                <w:rFonts w:ascii="Times New Roman" w:hAnsi="Times New Roman" w:cs="Times New Roman"/>
                <w:color w:val="202124"/>
                <w:sz w:val="24"/>
                <w:szCs w:val="24"/>
                <w:lang w:val="en"/>
              </w:rPr>
              <w:t>No.</w:t>
            </w:r>
          </w:p>
        </w:tc>
      </w:tr>
      <w:tr w:rsidR="00A23EB3" w:rsidRPr="004000FA" w:rsidTr="00AC49F5">
        <w:tc>
          <w:tcPr>
            <w:tcW w:w="7382" w:type="dxa"/>
            <w:vAlign w:val="center"/>
          </w:tcPr>
          <w:p w:rsidR="00A23EB3" w:rsidRPr="00234A30" w:rsidRDefault="00A23EB3" w:rsidP="00234A30">
            <w:pPr>
              <w:bidi w:val="0"/>
              <w:spacing w:after="0" w:line="276" w:lineRule="auto"/>
              <w:jc w:val="left"/>
              <w:rPr>
                <w:rFonts w:ascii="Times New Roman" w:hAnsi="Times New Roman" w:cs="Times New Roman"/>
                <w:b w:val="0"/>
                <w:bCs w:val="0"/>
                <w:color w:val="202124"/>
                <w:sz w:val="24"/>
                <w:szCs w:val="24"/>
                <w:rtl/>
                <w:lang w:val="en"/>
              </w:rPr>
            </w:pPr>
            <w:r w:rsidRPr="00234A30">
              <w:rPr>
                <w:rFonts w:ascii="Times New Roman" w:hAnsi="Times New Roman" w:cs="Times New Roman"/>
                <w:b w:val="0"/>
                <w:bCs w:val="0"/>
                <w:color w:val="202124"/>
                <w:sz w:val="24"/>
                <w:szCs w:val="24"/>
                <w:lang w:val="en"/>
              </w:rPr>
              <w:t xml:space="preserve">Jordan Petroleum Refinery Company </w:t>
            </w:r>
          </w:p>
        </w:tc>
        <w:tc>
          <w:tcPr>
            <w:tcW w:w="838" w:type="dxa"/>
            <w:vAlign w:val="center"/>
          </w:tcPr>
          <w:p w:rsidR="00A23EB3" w:rsidRPr="00234A30" w:rsidRDefault="00A23EB3" w:rsidP="00234A30">
            <w:pPr>
              <w:bidi w:val="0"/>
              <w:spacing w:line="276" w:lineRule="auto"/>
              <w:jc w:val="center"/>
              <w:rPr>
                <w:rFonts w:ascii="Times New Roman" w:hAnsi="Times New Roman" w:cs="Times New Roman"/>
                <w:b w:val="0"/>
                <w:bCs w:val="0"/>
                <w:color w:val="202124"/>
                <w:sz w:val="24"/>
                <w:szCs w:val="24"/>
                <w:lang w:bidi="ar-JO"/>
              </w:rPr>
            </w:pPr>
            <w:r w:rsidRPr="00234A30">
              <w:rPr>
                <w:rFonts w:ascii="Times New Roman" w:hAnsi="Times New Roman" w:cs="Times New Roman"/>
                <w:b w:val="0"/>
                <w:bCs w:val="0"/>
                <w:color w:val="202124"/>
                <w:sz w:val="24"/>
                <w:szCs w:val="24"/>
                <w:lang w:bidi="ar-JO"/>
              </w:rPr>
              <w:t>1</w:t>
            </w:r>
          </w:p>
        </w:tc>
      </w:tr>
      <w:tr w:rsidR="00A23EB3" w:rsidRPr="004000FA" w:rsidTr="00AC49F5">
        <w:tc>
          <w:tcPr>
            <w:tcW w:w="7382" w:type="dxa"/>
            <w:vAlign w:val="center"/>
          </w:tcPr>
          <w:p w:rsidR="00A23EB3" w:rsidRPr="00234A30" w:rsidRDefault="00A23EB3" w:rsidP="00234A30">
            <w:pPr>
              <w:bidi w:val="0"/>
              <w:spacing w:after="0" w:line="276" w:lineRule="auto"/>
              <w:jc w:val="left"/>
              <w:rPr>
                <w:rFonts w:ascii="Times New Roman" w:hAnsi="Times New Roman" w:cs="Times New Roman"/>
                <w:b w:val="0"/>
                <w:bCs w:val="0"/>
                <w:sz w:val="24"/>
                <w:szCs w:val="24"/>
                <w:rtl/>
                <w:lang w:bidi="ar-JO"/>
              </w:rPr>
            </w:pPr>
            <w:r w:rsidRPr="00234A30">
              <w:rPr>
                <w:rFonts w:ascii="Times New Roman" w:hAnsi="Times New Roman" w:cs="Times New Roman"/>
                <w:b w:val="0"/>
                <w:bCs w:val="0"/>
                <w:sz w:val="24"/>
                <w:szCs w:val="24"/>
                <w:lang w:bidi="ar-JO"/>
              </w:rPr>
              <w:t xml:space="preserve">Jordan Phosphate Mines Company </w:t>
            </w:r>
          </w:p>
        </w:tc>
        <w:tc>
          <w:tcPr>
            <w:tcW w:w="838" w:type="dxa"/>
            <w:vAlign w:val="center"/>
          </w:tcPr>
          <w:p w:rsidR="00A23EB3" w:rsidRPr="00234A30" w:rsidRDefault="00A23EB3" w:rsidP="00234A30">
            <w:pPr>
              <w:bidi w:val="0"/>
              <w:spacing w:line="276" w:lineRule="auto"/>
              <w:jc w:val="center"/>
              <w:rPr>
                <w:rFonts w:ascii="Times New Roman" w:hAnsi="Times New Roman" w:cs="Times New Roman"/>
                <w:b w:val="0"/>
                <w:bCs w:val="0"/>
                <w:color w:val="202124"/>
                <w:sz w:val="24"/>
                <w:szCs w:val="24"/>
                <w:lang w:bidi="ar-JO"/>
              </w:rPr>
            </w:pPr>
            <w:r w:rsidRPr="00234A30">
              <w:rPr>
                <w:rFonts w:ascii="Times New Roman" w:hAnsi="Times New Roman" w:cs="Times New Roman"/>
                <w:b w:val="0"/>
                <w:bCs w:val="0"/>
                <w:color w:val="202124"/>
                <w:sz w:val="24"/>
                <w:szCs w:val="24"/>
                <w:lang w:bidi="ar-JO"/>
              </w:rPr>
              <w:t>2</w:t>
            </w:r>
          </w:p>
        </w:tc>
      </w:tr>
      <w:tr w:rsidR="00A23EB3" w:rsidRPr="004000FA" w:rsidTr="00AC49F5">
        <w:tc>
          <w:tcPr>
            <w:tcW w:w="7382" w:type="dxa"/>
            <w:vAlign w:val="center"/>
          </w:tcPr>
          <w:p w:rsidR="00A23EB3" w:rsidRPr="00234A30" w:rsidRDefault="00A23EB3" w:rsidP="00234A30">
            <w:pPr>
              <w:bidi w:val="0"/>
              <w:spacing w:after="0" w:line="276" w:lineRule="auto"/>
              <w:jc w:val="left"/>
              <w:rPr>
                <w:rFonts w:ascii="Times New Roman" w:hAnsi="Times New Roman" w:cs="Times New Roman"/>
                <w:b w:val="0"/>
                <w:bCs w:val="0"/>
                <w:sz w:val="24"/>
                <w:szCs w:val="24"/>
                <w:rtl/>
                <w:lang w:bidi="ar-JO"/>
              </w:rPr>
            </w:pPr>
            <w:r w:rsidRPr="00234A30">
              <w:rPr>
                <w:rFonts w:ascii="Times New Roman" w:hAnsi="Times New Roman" w:cs="Times New Roman"/>
                <w:b w:val="0"/>
                <w:bCs w:val="0"/>
                <w:sz w:val="24"/>
                <w:szCs w:val="24"/>
                <w:lang w:bidi="ar-JO"/>
              </w:rPr>
              <w:t xml:space="preserve">Arab Potash Company </w:t>
            </w:r>
          </w:p>
        </w:tc>
        <w:tc>
          <w:tcPr>
            <w:tcW w:w="838" w:type="dxa"/>
            <w:vAlign w:val="center"/>
          </w:tcPr>
          <w:p w:rsidR="00A23EB3" w:rsidRPr="00234A30" w:rsidRDefault="00A23EB3" w:rsidP="00234A30">
            <w:pPr>
              <w:bidi w:val="0"/>
              <w:spacing w:line="276" w:lineRule="auto"/>
              <w:jc w:val="center"/>
              <w:rPr>
                <w:rFonts w:ascii="Times New Roman" w:hAnsi="Times New Roman" w:cs="Times New Roman"/>
                <w:b w:val="0"/>
                <w:bCs w:val="0"/>
                <w:color w:val="202124"/>
                <w:sz w:val="24"/>
                <w:szCs w:val="24"/>
                <w:lang w:bidi="ar-JO"/>
              </w:rPr>
            </w:pPr>
            <w:r w:rsidRPr="00234A30">
              <w:rPr>
                <w:rFonts w:ascii="Times New Roman" w:hAnsi="Times New Roman" w:cs="Times New Roman"/>
                <w:b w:val="0"/>
                <w:bCs w:val="0"/>
                <w:color w:val="202124"/>
                <w:sz w:val="24"/>
                <w:szCs w:val="24"/>
                <w:lang w:bidi="ar-JO"/>
              </w:rPr>
              <w:t>3</w:t>
            </w:r>
          </w:p>
        </w:tc>
      </w:tr>
      <w:tr w:rsidR="00A23EB3" w:rsidRPr="004000FA" w:rsidTr="00AC49F5">
        <w:tc>
          <w:tcPr>
            <w:tcW w:w="7382" w:type="dxa"/>
            <w:vAlign w:val="center"/>
          </w:tcPr>
          <w:p w:rsidR="00A23EB3" w:rsidRPr="00234A30" w:rsidRDefault="00A23EB3" w:rsidP="00234A30">
            <w:pPr>
              <w:bidi w:val="0"/>
              <w:spacing w:after="0" w:line="276" w:lineRule="auto"/>
              <w:jc w:val="left"/>
              <w:rPr>
                <w:rFonts w:ascii="Times New Roman" w:hAnsi="Times New Roman" w:cs="Times New Roman"/>
                <w:b w:val="0"/>
                <w:bCs w:val="0"/>
                <w:sz w:val="24"/>
                <w:szCs w:val="24"/>
                <w:rtl/>
                <w:lang w:bidi="ar-JO"/>
              </w:rPr>
            </w:pPr>
            <w:r w:rsidRPr="00234A30">
              <w:rPr>
                <w:rFonts w:ascii="Times New Roman" w:hAnsi="Times New Roman" w:cs="Times New Roman"/>
                <w:b w:val="0"/>
                <w:bCs w:val="0"/>
                <w:sz w:val="24"/>
                <w:szCs w:val="24"/>
                <w:lang w:bidi="ar-JO"/>
              </w:rPr>
              <w:t xml:space="preserve">Arab Mining Company </w:t>
            </w:r>
          </w:p>
        </w:tc>
        <w:tc>
          <w:tcPr>
            <w:tcW w:w="838" w:type="dxa"/>
            <w:vAlign w:val="center"/>
          </w:tcPr>
          <w:p w:rsidR="00A23EB3" w:rsidRPr="00234A30" w:rsidRDefault="00A23EB3" w:rsidP="00234A30">
            <w:pPr>
              <w:bidi w:val="0"/>
              <w:spacing w:line="276" w:lineRule="auto"/>
              <w:jc w:val="center"/>
              <w:rPr>
                <w:rFonts w:ascii="Times New Roman" w:hAnsi="Times New Roman" w:cs="Times New Roman"/>
                <w:b w:val="0"/>
                <w:bCs w:val="0"/>
                <w:color w:val="202124"/>
                <w:sz w:val="24"/>
                <w:szCs w:val="24"/>
                <w:lang w:bidi="ar-JO"/>
              </w:rPr>
            </w:pPr>
            <w:r w:rsidRPr="00234A30">
              <w:rPr>
                <w:rFonts w:ascii="Times New Roman" w:hAnsi="Times New Roman" w:cs="Times New Roman"/>
                <w:b w:val="0"/>
                <w:bCs w:val="0"/>
                <w:color w:val="202124"/>
                <w:sz w:val="24"/>
                <w:szCs w:val="24"/>
                <w:lang w:bidi="ar-JO"/>
              </w:rPr>
              <w:t>4</w:t>
            </w:r>
          </w:p>
        </w:tc>
      </w:tr>
      <w:tr w:rsidR="00A23EB3" w:rsidRPr="004000FA" w:rsidTr="00AC49F5">
        <w:tc>
          <w:tcPr>
            <w:tcW w:w="7382" w:type="dxa"/>
            <w:vAlign w:val="center"/>
          </w:tcPr>
          <w:p w:rsidR="00A23EB3" w:rsidRPr="00234A30" w:rsidRDefault="00A23EB3" w:rsidP="00234A30">
            <w:pPr>
              <w:bidi w:val="0"/>
              <w:spacing w:after="0" w:line="276" w:lineRule="auto"/>
              <w:jc w:val="left"/>
              <w:rPr>
                <w:rFonts w:ascii="Times New Roman" w:hAnsi="Times New Roman" w:cs="Times New Roman"/>
                <w:b w:val="0"/>
                <w:bCs w:val="0"/>
                <w:sz w:val="24"/>
                <w:szCs w:val="24"/>
                <w:rtl/>
              </w:rPr>
            </w:pPr>
            <w:r w:rsidRPr="00234A30">
              <w:rPr>
                <w:rFonts w:ascii="Times New Roman" w:hAnsi="Times New Roman" w:cs="Times New Roman"/>
                <w:b w:val="0"/>
                <w:bCs w:val="0"/>
                <w:sz w:val="24"/>
                <w:szCs w:val="24"/>
              </w:rPr>
              <w:t xml:space="preserve">Jordan Glass Industrials Company </w:t>
            </w:r>
          </w:p>
        </w:tc>
        <w:tc>
          <w:tcPr>
            <w:tcW w:w="838" w:type="dxa"/>
            <w:vAlign w:val="center"/>
          </w:tcPr>
          <w:p w:rsidR="00A23EB3" w:rsidRPr="00234A30" w:rsidRDefault="00A23EB3" w:rsidP="00234A30">
            <w:pPr>
              <w:bidi w:val="0"/>
              <w:spacing w:line="276" w:lineRule="auto"/>
              <w:jc w:val="center"/>
              <w:rPr>
                <w:rFonts w:ascii="Times New Roman" w:hAnsi="Times New Roman" w:cs="Times New Roman"/>
                <w:b w:val="0"/>
                <w:bCs w:val="0"/>
                <w:color w:val="202124"/>
                <w:sz w:val="24"/>
                <w:szCs w:val="24"/>
                <w:lang w:bidi="ar-JO"/>
              </w:rPr>
            </w:pPr>
            <w:r w:rsidRPr="00234A30">
              <w:rPr>
                <w:rFonts w:ascii="Times New Roman" w:hAnsi="Times New Roman" w:cs="Times New Roman"/>
                <w:b w:val="0"/>
                <w:bCs w:val="0"/>
                <w:color w:val="202124"/>
                <w:sz w:val="24"/>
                <w:szCs w:val="24"/>
                <w:lang w:bidi="ar-JO"/>
              </w:rPr>
              <w:t>5</w:t>
            </w:r>
          </w:p>
        </w:tc>
      </w:tr>
      <w:tr w:rsidR="00A23EB3" w:rsidRPr="004000FA" w:rsidTr="00AC49F5">
        <w:tc>
          <w:tcPr>
            <w:tcW w:w="7382" w:type="dxa"/>
            <w:vAlign w:val="center"/>
          </w:tcPr>
          <w:p w:rsidR="00A23EB3" w:rsidRPr="00234A30" w:rsidRDefault="00A23EB3" w:rsidP="00234A30">
            <w:pPr>
              <w:bidi w:val="0"/>
              <w:spacing w:after="0" w:line="276" w:lineRule="auto"/>
              <w:jc w:val="left"/>
              <w:rPr>
                <w:rFonts w:ascii="Times New Roman" w:hAnsi="Times New Roman" w:cs="Times New Roman"/>
                <w:b w:val="0"/>
                <w:bCs w:val="0"/>
                <w:sz w:val="24"/>
                <w:szCs w:val="24"/>
                <w:rtl/>
              </w:rPr>
            </w:pPr>
            <w:r w:rsidRPr="00234A30">
              <w:rPr>
                <w:rFonts w:ascii="Times New Roman" w:hAnsi="Times New Roman" w:cs="Times New Roman"/>
                <w:b w:val="0"/>
                <w:bCs w:val="0"/>
                <w:sz w:val="24"/>
                <w:szCs w:val="24"/>
              </w:rPr>
              <w:t xml:space="preserve">Jordan Company for Wood Industry Company </w:t>
            </w:r>
          </w:p>
        </w:tc>
        <w:tc>
          <w:tcPr>
            <w:tcW w:w="838" w:type="dxa"/>
            <w:vAlign w:val="center"/>
          </w:tcPr>
          <w:p w:rsidR="00A23EB3" w:rsidRPr="00234A30" w:rsidRDefault="00A23EB3" w:rsidP="00234A30">
            <w:pPr>
              <w:bidi w:val="0"/>
              <w:spacing w:line="276" w:lineRule="auto"/>
              <w:jc w:val="center"/>
              <w:rPr>
                <w:rFonts w:ascii="Times New Roman" w:hAnsi="Times New Roman" w:cs="Times New Roman"/>
                <w:b w:val="0"/>
                <w:bCs w:val="0"/>
                <w:color w:val="202124"/>
                <w:sz w:val="24"/>
                <w:szCs w:val="24"/>
                <w:lang w:bidi="ar-JO"/>
              </w:rPr>
            </w:pPr>
            <w:r w:rsidRPr="00234A30">
              <w:rPr>
                <w:rFonts w:ascii="Times New Roman" w:hAnsi="Times New Roman" w:cs="Times New Roman"/>
                <w:b w:val="0"/>
                <w:bCs w:val="0"/>
                <w:color w:val="202124"/>
                <w:sz w:val="24"/>
                <w:szCs w:val="24"/>
                <w:lang w:bidi="ar-JO"/>
              </w:rPr>
              <w:t>6</w:t>
            </w:r>
          </w:p>
        </w:tc>
      </w:tr>
      <w:tr w:rsidR="00A23EB3" w:rsidRPr="004000FA" w:rsidTr="00AC49F5">
        <w:tc>
          <w:tcPr>
            <w:tcW w:w="7382" w:type="dxa"/>
            <w:vAlign w:val="center"/>
          </w:tcPr>
          <w:p w:rsidR="00A23EB3" w:rsidRPr="00234A30" w:rsidRDefault="00A23EB3" w:rsidP="00234A30">
            <w:pPr>
              <w:bidi w:val="0"/>
              <w:spacing w:after="0" w:line="276" w:lineRule="auto"/>
              <w:jc w:val="left"/>
              <w:rPr>
                <w:rFonts w:ascii="Times New Roman" w:hAnsi="Times New Roman" w:cs="Times New Roman"/>
                <w:b w:val="0"/>
                <w:bCs w:val="0"/>
                <w:color w:val="FF0000"/>
                <w:sz w:val="24"/>
                <w:szCs w:val="24"/>
                <w:lang w:bidi="ar-JO"/>
              </w:rPr>
            </w:pPr>
            <w:r w:rsidRPr="00234A30">
              <w:rPr>
                <w:rFonts w:ascii="Times New Roman" w:hAnsi="Times New Roman" w:cs="Times New Roman"/>
                <w:b w:val="0"/>
                <w:bCs w:val="0"/>
                <w:sz w:val="24"/>
                <w:szCs w:val="24"/>
              </w:rPr>
              <w:t>Jordan Hotels and Tourism Company</w:t>
            </w:r>
          </w:p>
        </w:tc>
        <w:tc>
          <w:tcPr>
            <w:tcW w:w="838" w:type="dxa"/>
            <w:vAlign w:val="center"/>
          </w:tcPr>
          <w:p w:rsidR="00A23EB3" w:rsidRPr="00234A30" w:rsidRDefault="00A23EB3" w:rsidP="00234A30">
            <w:pPr>
              <w:bidi w:val="0"/>
              <w:spacing w:line="276" w:lineRule="auto"/>
              <w:jc w:val="center"/>
              <w:rPr>
                <w:rFonts w:ascii="Times New Roman" w:hAnsi="Times New Roman" w:cs="Times New Roman"/>
                <w:b w:val="0"/>
                <w:bCs w:val="0"/>
                <w:color w:val="202124"/>
                <w:sz w:val="24"/>
                <w:szCs w:val="24"/>
                <w:lang w:bidi="ar-JO"/>
              </w:rPr>
            </w:pPr>
            <w:r w:rsidRPr="00234A30">
              <w:rPr>
                <w:rFonts w:ascii="Times New Roman" w:hAnsi="Times New Roman" w:cs="Times New Roman"/>
                <w:b w:val="0"/>
                <w:bCs w:val="0"/>
                <w:color w:val="202124"/>
                <w:sz w:val="24"/>
                <w:szCs w:val="24"/>
                <w:lang w:bidi="ar-JO"/>
              </w:rPr>
              <w:t>7</w:t>
            </w:r>
          </w:p>
        </w:tc>
      </w:tr>
      <w:tr w:rsidR="00A23EB3" w:rsidRPr="004000FA" w:rsidTr="00AC49F5">
        <w:tc>
          <w:tcPr>
            <w:tcW w:w="7382" w:type="dxa"/>
            <w:vAlign w:val="center"/>
          </w:tcPr>
          <w:p w:rsidR="00A23EB3" w:rsidRPr="00234A30" w:rsidRDefault="00A23EB3" w:rsidP="00234A30">
            <w:pPr>
              <w:bidi w:val="0"/>
              <w:spacing w:after="0" w:line="276" w:lineRule="auto"/>
              <w:jc w:val="left"/>
              <w:rPr>
                <w:rFonts w:ascii="Times New Roman" w:hAnsi="Times New Roman" w:cs="Times New Roman"/>
                <w:b w:val="0"/>
                <w:bCs w:val="0"/>
                <w:sz w:val="24"/>
                <w:szCs w:val="24"/>
                <w:rtl/>
                <w:lang w:bidi="ar-JO"/>
              </w:rPr>
            </w:pPr>
            <w:r w:rsidRPr="00234A30">
              <w:rPr>
                <w:rFonts w:ascii="Times New Roman" w:hAnsi="Times New Roman" w:cs="Times New Roman"/>
                <w:b w:val="0"/>
                <w:bCs w:val="0"/>
                <w:color w:val="202124"/>
                <w:sz w:val="24"/>
                <w:szCs w:val="24"/>
                <w:lang w:val="en"/>
              </w:rPr>
              <w:t>Jordanian Company for Television Production</w:t>
            </w:r>
          </w:p>
        </w:tc>
        <w:tc>
          <w:tcPr>
            <w:tcW w:w="838" w:type="dxa"/>
            <w:vAlign w:val="center"/>
          </w:tcPr>
          <w:p w:rsidR="00A23EB3" w:rsidRPr="00234A30" w:rsidRDefault="00A23EB3" w:rsidP="00234A30">
            <w:pPr>
              <w:bidi w:val="0"/>
              <w:spacing w:line="276" w:lineRule="auto"/>
              <w:jc w:val="center"/>
              <w:rPr>
                <w:rFonts w:ascii="Times New Roman" w:hAnsi="Times New Roman" w:cs="Times New Roman"/>
                <w:b w:val="0"/>
                <w:bCs w:val="0"/>
                <w:color w:val="202124"/>
                <w:sz w:val="24"/>
                <w:szCs w:val="24"/>
                <w:lang w:bidi="ar-JO"/>
              </w:rPr>
            </w:pPr>
            <w:r w:rsidRPr="00234A30">
              <w:rPr>
                <w:rFonts w:ascii="Times New Roman" w:hAnsi="Times New Roman" w:cs="Times New Roman"/>
                <w:b w:val="0"/>
                <w:bCs w:val="0"/>
                <w:color w:val="202124"/>
                <w:sz w:val="24"/>
                <w:szCs w:val="24"/>
                <w:lang w:bidi="ar-JO"/>
              </w:rPr>
              <w:t>8</w:t>
            </w:r>
          </w:p>
        </w:tc>
      </w:tr>
      <w:tr w:rsidR="00A23EB3" w:rsidRPr="004000FA" w:rsidTr="00AC49F5">
        <w:tc>
          <w:tcPr>
            <w:tcW w:w="7382" w:type="dxa"/>
            <w:vAlign w:val="center"/>
          </w:tcPr>
          <w:p w:rsidR="00A23EB3" w:rsidRPr="00234A30" w:rsidRDefault="00697016" w:rsidP="00234A30">
            <w:pPr>
              <w:bidi w:val="0"/>
              <w:spacing w:after="0" w:line="276" w:lineRule="auto"/>
              <w:jc w:val="left"/>
              <w:rPr>
                <w:rFonts w:ascii="Times New Roman" w:hAnsi="Times New Roman" w:cs="Times New Roman"/>
                <w:b w:val="0"/>
                <w:bCs w:val="0"/>
                <w:sz w:val="24"/>
                <w:szCs w:val="24"/>
              </w:rPr>
            </w:pPr>
            <w:r w:rsidRPr="00234A30">
              <w:rPr>
                <w:rFonts w:ascii="Times New Roman" w:hAnsi="Times New Roman" w:cs="Times New Roman"/>
                <w:b w:val="0"/>
                <w:bCs w:val="0"/>
                <w:sz w:val="24"/>
                <w:szCs w:val="24"/>
              </w:rPr>
              <w:t xml:space="preserve">Jordan Real Estate Company </w:t>
            </w:r>
          </w:p>
        </w:tc>
        <w:tc>
          <w:tcPr>
            <w:tcW w:w="838" w:type="dxa"/>
            <w:vAlign w:val="center"/>
          </w:tcPr>
          <w:p w:rsidR="00A23EB3" w:rsidRPr="00234A30" w:rsidRDefault="00A23EB3" w:rsidP="00234A30">
            <w:pPr>
              <w:bidi w:val="0"/>
              <w:spacing w:line="276" w:lineRule="auto"/>
              <w:jc w:val="center"/>
              <w:rPr>
                <w:rFonts w:ascii="Times New Roman" w:hAnsi="Times New Roman" w:cs="Times New Roman"/>
                <w:b w:val="0"/>
                <w:bCs w:val="0"/>
                <w:color w:val="202124"/>
                <w:sz w:val="24"/>
                <w:szCs w:val="24"/>
                <w:lang w:bidi="ar-JO"/>
              </w:rPr>
            </w:pPr>
            <w:r w:rsidRPr="00234A30">
              <w:rPr>
                <w:rFonts w:ascii="Times New Roman" w:hAnsi="Times New Roman" w:cs="Times New Roman"/>
                <w:b w:val="0"/>
                <w:bCs w:val="0"/>
                <w:color w:val="202124"/>
                <w:sz w:val="24"/>
                <w:szCs w:val="24"/>
                <w:lang w:bidi="ar-JO"/>
              </w:rPr>
              <w:t>9</w:t>
            </w:r>
          </w:p>
        </w:tc>
      </w:tr>
      <w:tr w:rsidR="00A23EB3" w:rsidRPr="004000FA" w:rsidTr="00AC49F5">
        <w:tc>
          <w:tcPr>
            <w:tcW w:w="7382" w:type="dxa"/>
            <w:vAlign w:val="center"/>
          </w:tcPr>
          <w:p w:rsidR="00A23EB3" w:rsidRPr="00234A30" w:rsidRDefault="00697016" w:rsidP="00234A30">
            <w:pPr>
              <w:bidi w:val="0"/>
              <w:spacing w:after="0" w:line="276" w:lineRule="auto"/>
              <w:jc w:val="left"/>
              <w:rPr>
                <w:rFonts w:ascii="Times New Roman" w:hAnsi="Times New Roman" w:cs="Times New Roman"/>
                <w:b w:val="0"/>
                <w:bCs w:val="0"/>
                <w:sz w:val="24"/>
                <w:szCs w:val="24"/>
                <w:rtl/>
                <w:lang w:bidi="ar-JO"/>
              </w:rPr>
            </w:pPr>
            <w:r w:rsidRPr="00234A30">
              <w:rPr>
                <w:rFonts w:ascii="Times New Roman" w:hAnsi="Times New Roman" w:cs="Times New Roman"/>
                <w:b w:val="0"/>
                <w:bCs w:val="0"/>
                <w:sz w:val="24"/>
                <w:szCs w:val="24"/>
                <w:lang w:bidi="ar-JO"/>
              </w:rPr>
              <w:t xml:space="preserve">Syrian Jordanian Company for Industry </w:t>
            </w:r>
          </w:p>
        </w:tc>
        <w:tc>
          <w:tcPr>
            <w:tcW w:w="838" w:type="dxa"/>
            <w:vAlign w:val="center"/>
          </w:tcPr>
          <w:p w:rsidR="00A23EB3" w:rsidRPr="00234A30" w:rsidRDefault="00A23EB3" w:rsidP="00234A30">
            <w:pPr>
              <w:bidi w:val="0"/>
              <w:spacing w:line="276" w:lineRule="auto"/>
              <w:jc w:val="center"/>
              <w:rPr>
                <w:rFonts w:ascii="Times New Roman" w:hAnsi="Times New Roman" w:cs="Times New Roman"/>
                <w:b w:val="0"/>
                <w:bCs w:val="0"/>
                <w:color w:val="202124"/>
                <w:sz w:val="24"/>
                <w:szCs w:val="24"/>
                <w:lang w:bidi="ar-JO"/>
              </w:rPr>
            </w:pPr>
            <w:r w:rsidRPr="00234A30">
              <w:rPr>
                <w:rFonts w:ascii="Times New Roman" w:hAnsi="Times New Roman" w:cs="Times New Roman"/>
                <w:b w:val="0"/>
                <w:bCs w:val="0"/>
                <w:color w:val="202124"/>
                <w:sz w:val="24"/>
                <w:szCs w:val="24"/>
                <w:lang w:bidi="ar-JO"/>
              </w:rPr>
              <w:t>10</w:t>
            </w:r>
          </w:p>
        </w:tc>
      </w:tr>
      <w:tr w:rsidR="00A23EB3" w:rsidRPr="004000FA" w:rsidTr="00AC49F5">
        <w:tc>
          <w:tcPr>
            <w:tcW w:w="7382" w:type="dxa"/>
            <w:vAlign w:val="center"/>
          </w:tcPr>
          <w:p w:rsidR="00A23EB3" w:rsidRPr="00234A30" w:rsidRDefault="00697016" w:rsidP="00234A30">
            <w:pPr>
              <w:bidi w:val="0"/>
              <w:spacing w:after="0" w:line="276" w:lineRule="auto"/>
              <w:jc w:val="left"/>
              <w:rPr>
                <w:rFonts w:ascii="Times New Roman" w:hAnsi="Times New Roman" w:cs="Times New Roman"/>
                <w:b w:val="0"/>
                <w:bCs w:val="0"/>
                <w:sz w:val="24"/>
                <w:szCs w:val="24"/>
                <w:rtl/>
                <w:lang w:bidi="ar-JO"/>
              </w:rPr>
            </w:pPr>
            <w:r w:rsidRPr="00234A30">
              <w:rPr>
                <w:rFonts w:ascii="Times New Roman" w:hAnsi="Times New Roman" w:cs="Times New Roman"/>
                <w:b w:val="0"/>
                <w:bCs w:val="0"/>
                <w:sz w:val="24"/>
                <w:szCs w:val="24"/>
                <w:lang w:bidi="ar-JO"/>
              </w:rPr>
              <w:t xml:space="preserve">Arabian White Cement Company </w:t>
            </w:r>
          </w:p>
        </w:tc>
        <w:tc>
          <w:tcPr>
            <w:tcW w:w="838" w:type="dxa"/>
            <w:vAlign w:val="center"/>
          </w:tcPr>
          <w:p w:rsidR="00A23EB3" w:rsidRPr="00234A30" w:rsidRDefault="00A23EB3" w:rsidP="00234A30">
            <w:pPr>
              <w:bidi w:val="0"/>
              <w:spacing w:line="276" w:lineRule="auto"/>
              <w:jc w:val="center"/>
              <w:rPr>
                <w:rFonts w:ascii="Times New Roman" w:hAnsi="Times New Roman" w:cs="Times New Roman"/>
                <w:b w:val="0"/>
                <w:bCs w:val="0"/>
                <w:color w:val="202124"/>
                <w:sz w:val="24"/>
                <w:szCs w:val="24"/>
                <w:lang w:bidi="ar-JO"/>
              </w:rPr>
            </w:pPr>
            <w:r w:rsidRPr="00234A30">
              <w:rPr>
                <w:rFonts w:ascii="Times New Roman" w:hAnsi="Times New Roman" w:cs="Times New Roman"/>
                <w:b w:val="0"/>
                <w:bCs w:val="0"/>
                <w:color w:val="202124"/>
                <w:sz w:val="24"/>
                <w:szCs w:val="24"/>
                <w:lang w:bidi="ar-JO"/>
              </w:rPr>
              <w:t>11</w:t>
            </w:r>
          </w:p>
        </w:tc>
      </w:tr>
      <w:tr w:rsidR="00A23EB3" w:rsidRPr="004000FA" w:rsidTr="00AC49F5">
        <w:tc>
          <w:tcPr>
            <w:tcW w:w="7382" w:type="dxa"/>
            <w:vAlign w:val="center"/>
          </w:tcPr>
          <w:p w:rsidR="00A23EB3" w:rsidRPr="00234A30" w:rsidRDefault="00697016" w:rsidP="00234A30">
            <w:pPr>
              <w:bidi w:val="0"/>
              <w:spacing w:after="0" w:line="276" w:lineRule="auto"/>
              <w:jc w:val="left"/>
              <w:rPr>
                <w:rFonts w:ascii="Times New Roman" w:hAnsi="Times New Roman" w:cs="Times New Roman"/>
                <w:b w:val="0"/>
                <w:bCs w:val="0"/>
                <w:sz w:val="24"/>
                <w:szCs w:val="24"/>
                <w:rtl/>
                <w:lang w:bidi="ar-JO"/>
              </w:rPr>
            </w:pPr>
            <w:r w:rsidRPr="00234A30">
              <w:rPr>
                <w:rFonts w:ascii="Times New Roman" w:hAnsi="Times New Roman" w:cs="Times New Roman"/>
                <w:b w:val="0"/>
                <w:bCs w:val="0"/>
                <w:sz w:val="24"/>
                <w:szCs w:val="24"/>
                <w:lang w:bidi="ar-JO"/>
              </w:rPr>
              <w:t xml:space="preserve">Jordan Telecom Company </w:t>
            </w:r>
          </w:p>
        </w:tc>
        <w:tc>
          <w:tcPr>
            <w:tcW w:w="838" w:type="dxa"/>
            <w:vAlign w:val="center"/>
          </w:tcPr>
          <w:p w:rsidR="00A23EB3" w:rsidRPr="00234A30" w:rsidRDefault="00A23EB3" w:rsidP="00234A30">
            <w:pPr>
              <w:bidi w:val="0"/>
              <w:spacing w:line="276" w:lineRule="auto"/>
              <w:jc w:val="center"/>
              <w:rPr>
                <w:rFonts w:ascii="Times New Roman" w:hAnsi="Times New Roman" w:cs="Times New Roman"/>
                <w:b w:val="0"/>
                <w:bCs w:val="0"/>
                <w:color w:val="202124"/>
                <w:sz w:val="24"/>
                <w:szCs w:val="24"/>
                <w:lang w:bidi="ar-JO"/>
              </w:rPr>
            </w:pPr>
            <w:r w:rsidRPr="00234A30">
              <w:rPr>
                <w:rFonts w:ascii="Times New Roman" w:hAnsi="Times New Roman" w:cs="Times New Roman"/>
                <w:b w:val="0"/>
                <w:bCs w:val="0"/>
                <w:color w:val="202124"/>
                <w:sz w:val="24"/>
                <w:szCs w:val="24"/>
                <w:lang w:bidi="ar-JO"/>
              </w:rPr>
              <w:t>12</w:t>
            </w:r>
          </w:p>
        </w:tc>
      </w:tr>
    </w:tbl>
    <w:p w:rsidR="00505A8B" w:rsidRPr="00F20D2C" w:rsidRDefault="004000FA" w:rsidP="00EF268A">
      <w:pPr>
        <w:bidi w:val="0"/>
        <w:jc w:val="center"/>
        <w:rPr>
          <w:rtl/>
          <w:lang w:bidi="ar-JO"/>
        </w:rPr>
      </w:pPr>
      <w:r>
        <w:rPr>
          <w:lang w:bidi="ar-JO"/>
        </w:rPr>
        <w:t xml:space="preserve"> </w:t>
      </w:r>
    </w:p>
    <w:p w:rsidR="00505A8B" w:rsidRDefault="00505A8B" w:rsidP="00505A8B">
      <w:pPr>
        <w:rPr>
          <w:rtl/>
        </w:rPr>
      </w:pPr>
    </w:p>
    <w:p w:rsidR="00505A8B" w:rsidRDefault="00505A8B" w:rsidP="00505A8B">
      <w:pPr>
        <w:rPr>
          <w:rtl/>
        </w:rPr>
      </w:pPr>
    </w:p>
    <w:p w:rsidR="00505A8B" w:rsidRDefault="00505A8B" w:rsidP="00505A8B">
      <w:pPr>
        <w:rPr>
          <w:rtl/>
        </w:rPr>
      </w:pPr>
    </w:p>
    <w:p w:rsidR="00505A8B" w:rsidRDefault="00505A8B" w:rsidP="00505A8B"/>
    <w:p w:rsidR="005B6FC5" w:rsidRDefault="005B6FC5" w:rsidP="00505A8B"/>
    <w:p w:rsidR="005B6FC5" w:rsidRDefault="005B6FC5" w:rsidP="00505A8B"/>
    <w:p w:rsidR="005B6FC5" w:rsidRDefault="005B6FC5" w:rsidP="00505A8B">
      <w:pPr>
        <w:rPr>
          <w:rtl/>
        </w:rPr>
      </w:pPr>
    </w:p>
    <w:p w:rsidR="00505A8B" w:rsidRPr="003C0AC7" w:rsidRDefault="00505A8B" w:rsidP="00505A8B">
      <w:pPr>
        <w:rPr>
          <w:rtl/>
        </w:rPr>
      </w:pPr>
    </w:p>
    <w:p w:rsidR="00505A8B" w:rsidRDefault="00505A8B" w:rsidP="00505A8B"/>
    <w:p w:rsidR="00234A30" w:rsidRDefault="00234A30" w:rsidP="00234A30">
      <w:pPr>
        <w:pStyle w:val="Caption"/>
        <w:bidi w:val="0"/>
        <w:spacing w:line="276" w:lineRule="auto"/>
        <w:jc w:val="center"/>
        <w:rPr>
          <w:rFonts w:ascii="Times New Roman" w:hAnsi="Times New Roman" w:cs="Times New Roman"/>
          <w:b/>
          <w:bCs/>
          <w:color w:val="auto"/>
          <w:sz w:val="24"/>
          <w:szCs w:val="24"/>
        </w:rPr>
      </w:pPr>
      <w:bookmarkStart w:id="74" w:name="_Toc465255837"/>
    </w:p>
    <w:p w:rsidR="00234A30" w:rsidRDefault="00234A30" w:rsidP="00234A30">
      <w:pPr>
        <w:pStyle w:val="Caption"/>
        <w:bidi w:val="0"/>
        <w:spacing w:line="276" w:lineRule="auto"/>
        <w:jc w:val="center"/>
        <w:rPr>
          <w:rFonts w:ascii="Times New Roman" w:hAnsi="Times New Roman" w:cs="Times New Roman"/>
          <w:b/>
          <w:bCs/>
          <w:color w:val="auto"/>
          <w:sz w:val="24"/>
          <w:szCs w:val="24"/>
        </w:rPr>
      </w:pPr>
    </w:p>
    <w:p w:rsidR="005B6FC5" w:rsidRPr="00882A72" w:rsidRDefault="005B6FC5" w:rsidP="00B66B27">
      <w:pPr>
        <w:pStyle w:val="Heading1"/>
        <w:pBdr>
          <w:bottom w:val="single" w:sz="4" w:space="1" w:color="auto"/>
        </w:pBdr>
        <w:bidi w:val="0"/>
        <w:jc w:val="center"/>
        <w:rPr>
          <w:rFonts w:asciiTheme="majorBidi" w:hAnsiTheme="majorBidi" w:cstheme="majorBidi"/>
          <w:b/>
          <w:bCs/>
        </w:rPr>
      </w:pPr>
      <w:bookmarkStart w:id="75" w:name="_Toc65354419"/>
      <w:r w:rsidRPr="00882A72">
        <w:rPr>
          <w:rFonts w:asciiTheme="majorBidi" w:hAnsiTheme="majorBidi" w:cstheme="majorBidi"/>
          <w:b/>
          <w:bCs/>
        </w:rPr>
        <w:t>Annex (11)</w:t>
      </w:r>
      <w:r w:rsidR="00B66B27" w:rsidRPr="00882A72">
        <w:rPr>
          <w:rFonts w:asciiTheme="majorBidi" w:hAnsiTheme="majorBidi" w:cstheme="majorBidi"/>
          <w:b/>
          <w:bCs/>
        </w:rPr>
        <w:t xml:space="preserve"> </w:t>
      </w:r>
      <w:r w:rsidR="002E1128" w:rsidRPr="00882A72">
        <w:rPr>
          <w:rFonts w:asciiTheme="majorBidi" w:hAnsiTheme="majorBidi" w:cstheme="majorBidi"/>
          <w:b/>
          <w:bCs/>
        </w:rPr>
        <w:t>Conditions that must be met by a small enterprise to be included in the retail portfolio</w:t>
      </w:r>
      <w:bookmarkEnd w:id="75"/>
    </w:p>
    <w:p w:rsidR="00234A30" w:rsidRPr="00882A72" w:rsidRDefault="00234A30" w:rsidP="00234A30">
      <w:pPr>
        <w:bidi w:val="0"/>
        <w:spacing w:line="276" w:lineRule="auto"/>
        <w:jc w:val="center"/>
        <w:rPr>
          <w:rFonts w:ascii="Times New Roman" w:hAnsi="Times New Roman" w:cs="Times New Roman"/>
          <w:color w:val="202124"/>
          <w:sz w:val="24"/>
          <w:szCs w:val="24"/>
          <w:lang w:val="en"/>
        </w:rPr>
      </w:pPr>
    </w:p>
    <w:p w:rsidR="00234A30" w:rsidRPr="00882A72" w:rsidRDefault="00234A30" w:rsidP="00234A30">
      <w:pPr>
        <w:bidi w:val="0"/>
        <w:spacing w:after="0" w:line="276" w:lineRule="auto"/>
        <w:jc w:val="center"/>
        <w:rPr>
          <w:rFonts w:ascii="Times New Roman" w:hAnsi="Times New Roman" w:cs="Times New Roman"/>
          <w:b w:val="0"/>
          <w:bCs w:val="0"/>
        </w:rPr>
      </w:pPr>
    </w:p>
    <w:bookmarkEnd w:id="74"/>
    <w:p w:rsidR="00505A8B" w:rsidRPr="00882A72" w:rsidRDefault="00882A72" w:rsidP="00A161E3">
      <w:pPr>
        <w:pStyle w:val="ListParagraph"/>
        <w:numPr>
          <w:ilvl w:val="0"/>
          <w:numId w:val="30"/>
        </w:numPr>
        <w:bidi w:val="0"/>
        <w:spacing w:after="0" w:line="360" w:lineRule="auto"/>
        <w:rPr>
          <w:rFonts w:ascii="Times New Roman" w:hAnsi="Times New Roman" w:cs="Times New Roman"/>
          <w:b w:val="0"/>
          <w:bCs w:val="0"/>
          <w:color w:val="202124"/>
          <w:sz w:val="24"/>
          <w:szCs w:val="24"/>
          <w:lang w:val="en"/>
        </w:rPr>
      </w:pPr>
      <w:r w:rsidRPr="00882A72">
        <w:rPr>
          <w:rFonts w:ascii="Times New Roman" w:hAnsi="Times New Roman" w:cs="Times New Roman"/>
          <w:b w:val="0"/>
          <w:bCs w:val="0"/>
          <w:color w:val="202124"/>
          <w:sz w:val="24"/>
          <w:szCs w:val="24"/>
          <w:lang w:val="en"/>
        </w:rPr>
        <w:t>I</w:t>
      </w:r>
      <w:r w:rsidR="002E1128" w:rsidRPr="00882A72">
        <w:rPr>
          <w:rFonts w:ascii="Times New Roman" w:hAnsi="Times New Roman" w:cs="Times New Roman"/>
          <w:b w:val="0"/>
          <w:bCs w:val="0"/>
          <w:color w:val="202124"/>
          <w:sz w:val="24"/>
          <w:szCs w:val="24"/>
          <w:lang w:val="en"/>
        </w:rPr>
        <w:t>ts legal status is not a public joint stock company.</w:t>
      </w:r>
    </w:p>
    <w:p w:rsidR="002E1128" w:rsidRPr="00882A72" w:rsidRDefault="00882A72" w:rsidP="00882A72">
      <w:pPr>
        <w:pStyle w:val="ListParagraph"/>
        <w:numPr>
          <w:ilvl w:val="0"/>
          <w:numId w:val="30"/>
        </w:numPr>
        <w:bidi w:val="0"/>
        <w:spacing w:after="0" w:line="360" w:lineRule="auto"/>
        <w:rPr>
          <w:rFonts w:ascii="Times New Roman" w:hAnsi="Times New Roman" w:cs="Times New Roman"/>
          <w:b w:val="0"/>
          <w:bCs w:val="0"/>
          <w:color w:val="202124"/>
          <w:sz w:val="24"/>
          <w:szCs w:val="24"/>
          <w:lang w:val="en"/>
        </w:rPr>
      </w:pPr>
      <w:r w:rsidRPr="00882A72">
        <w:rPr>
          <w:rFonts w:ascii="Times New Roman" w:hAnsi="Times New Roman" w:cs="Times New Roman"/>
          <w:b w:val="0"/>
          <w:bCs w:val="0"/>
          <w:color w:val="202124"/>
          <w:sz w:val="24"/>
          <w:szCs w:val="24"/>
          <w:lang w:val="en"/>
        </w:rPr>
        <w:t>The total credit</w:t>
      </w:r>
      <w:r w:rsidR="00234A30" w:rsidRPr="00882A72">
        <w:rPr>
          <w:rFonts w:ascii="Times New Roman" w:hAnsi="Times New Roman" w:cs="Times New Roman"/>
          <w:b w:val="0"/>
          <w:bCs w:val="0"/>
          <w:color w:val="202124"/>
          <w:sz w:val="24"/>
          <w:szCs w:val="24"/>
          <w:lang w:val="en"/>
        </w:rPr>
        <w:t xml:space="preserve"> (direct and indirect ceilings, including liabilities related to financial leasing) does not exceed (250) thousand </w:t>
      </w:r>
      <w:r w:rsidRPr="00882A72">
        <w:rPr>
          <w:rFonts w:ascii="Times New Roman" w:hAnsi="Times New Roman" w:cs="Times New Roman"/>
          <w:b w:val="0"/>
          <w:bCs w:val="0"/>
          <w:color w:val="202124"/>
          <w:sz w:val="24"/>
          <w:szCs w:val="24"/>
          <w:lang w:val="en"/>
        </w:rPr>
        <w:t>JD</w:t>
      </w:r>
      <w:r w:rsidR="00234A30" w:rsidRPr="00882A72">
        <w:rPr>
          <w:rFonts w:ascii="Times New Roman" w:hAnsi="Times New Roman" w:cs="Times New Roman"/>
          <w:b w:val="0"/>
          <w:bCs w:val="0"/>
          <w:color w:val="202124"/>
          <w:sz w:val="24"/>
          <w:szCs w:val="24"/>
          <w:lang w:val="en"/>
        </w:rPr>
        <w:t xml:space="preserve"> with a single bank</w:t>
      </w:r>
      <w:r w:rsidR="00A161E3" w:rsidRPr="00882A72">
        <w:rPr>
          <w:rFonts w:ascii="Times New Roman" w:hAnsi="Times New Roman" w:cs="Times New Roman"/>
          <w:b w:val="0"/>
          <w:bCs w:val="0"/>
          <w:color w:val="202124"/>
          <w:sz w:val="24"/>
          <w:szCs w:val="24"/>
          <w:lang w:val="en"/>
        </w:rPr>
        <w:t>.</w:t>
      </w:r>
    </w:p>
    <w:p w:rsidR="00A161E3" w:rsidRPr="00882A72" w:rsidRDefault="00A161E3" w:rsidP="00882A72">
      <w:pPr>
        <w:pStyle w:val="ListParagraph"/>
        <w:numPr>
          <w:ilvl w:val="0"/>
          <w:numId w:val="30"/>
        </w:numPr>
        <w:bidi w:val="0"/>
        <w:spacing w:after="0" w:line="360" w:lineRule="auto"/>
        <w:rPr>
          <w:rFonts w:ascii="Times New Roman" w:hAnsi="Times New Roman" w:cs="Times New Roman"/>
          <w:b w:val="0"/>
          <w:bCs w:val="0"/>
          <w:color w:val="202124"/>
          <w:sz w:val="24"/>
          <w:szCs w:val="24"/>
          <w:lang w:val="en"/>
        </w:rPr>
      </w:pPr>
      <w:r w:rsidRPr="00882A72">
        <w:rPr>
          <w:rFonts w:ascii="Times New Roman" w:hAnsi="Times New Roman" w:cs="Times New Roman"/>
          <w:b w:val="0"/>
          <w:bCs w:val="0"/>
          <w:color w:val="202124"/>
          <w:sz w:val="24"/>
          <w:szCs w:val="24"/>
          <w:lang w:val="en"/>
        </w:rPr>
        <w:t xml:space="preserve">That its total assets do not exceed (500) thousand </w:t>
      </w:r>
      <w:r w:rsidR="00882A72" w:rsidRPr="00882A72">
        <w:rPr>
          <w:rFonts w:ascii="Times New Roman" w:hAnsi="Times New Roman" w:cs="Times New Roman"/>
          <w:b w:val="0"/>
          <w:bCs w:val="0"/>
          <w:color w:val="202124"/>
          <w:sz w:val="24"/>
          <w:szCs w:val="24"/>
          <w:lang w:val="en"/>
        </w:rPr>
        <w:t>JD</w:t>
      </w:r>
      <w:r w:rsidRPr="00882A72">
        <w:rPr>
          <w:rFonts w:ascii="Times New Roman" w:hAnsi="Times New Roman" w:cs="Times New Roman"/>
          <w:b w:val="0"/>
          <w:bCs w:val="0"/>
          <w:color w:val="202124"/>
          <w:sz w:val="24"/>
          <w:szCs w:val="24"/>
          <w:lang w:val="en"/>
        </w:rPr>
        <w:t>.</w:t>
      </w:r>
    </w:p>
    <w:p w:rsidR="00A161E3" w:rsidRPr="00882A72" w:rsidRDefault="00A161E3" w:rsidP="004101A4">
      <w:pPr>
        <w:pStyle w:val="ListParagraph"/>
        <w:numPr>
          <w:ilvl w:val="0"/>
          <w:numId w:val="30"/>
        </w:numPr>
        <w:bidi w:val="0"/>
        <w:spacing w:after="0" w:line="360" w:lineRule="auto"/>
        <w:rPr>
          <w:rFonts w:ascii="Times New Roman" w:hAnsi="Times New Roman" w:cs="Times New Roman"/>
          <w:b w:val="0"/>
          <w:bCs w:val="0"/>
          <w:color w:val="202124"/>
          <w:sz w:val="24"/>
          <w:szCs w:val="24"/>
          <w:lang w:val="en"/>
        </w:rPr>
      </w:pPr>
      <w:r w:rsidRPr="00882A72">
        <w:rPr>
          <w:rFonts w:ascii="Times New Roman" w:hAnsi="Times New Roman" w:cs="Times New Roman"/>
          <w:b w:val="0"/>
          <w:bCs w:val="0"/>
          <w:color w:val="202124"/>
          <w:sz w:val="24"/>
          <w:szCs w:val="24"/>
          <w:lang w:val="en"/>
        </w:rPr>
        <w:t xml:space="preserve">That its total annual sales do not exceed one million </w:t>
      </w:r>
      <w:r w:rsidR="004101A4">
        <w:rPr>
          <w:rFonts w:ascii="Times New Roman" w:hAnsi="Times New Roman" w:cs="Times New Roman"/>
          <w:b w:val="0"/>
          <w:bCs w:val="0"/>
          <w:color w:val="202124"/>
          <w:sz w:val="24"/>
          <w:szCs w:val="24"/>
          <w:lang w:val="en"/>
        </w:rPr>
        <w:t>JD</w:t>
      </w:r>
      <w:r w:rsidRPr="00882A72">
        <w:rPr>
          <w:rFonts w:ascii="Times New Roman" w:hAnsi="Times New Roman" w:cs="Times New Roman"/>
          <w:b w:val="0"/>
          <w:bCs w:val="0"/>
          <w:color w:val="202124"/>
          <w:sz w:val="24"/>
          <w:szCs w:val="24"/>
          <w:lang w:val="en"/>
        </w:rPr>
        <w:t>.</w:t>
      </w:r>
    </w:p>
    <w:p w:rsidR="00A161E3" w:rsidRPr="00882A72" w:rsidRDefault="00A161E3" w:rsidP="00A161E3">
      <w:pPr>
        <w:pStyle w:val="ListParagraph"/>
        <w:numPr>
          <w:ilvl w:val="0"/>
          <w:numId w:val="30"/>
        </w:numPr>
        <w:bidi w:val="0"/>
        <w:spacing w:after="0" w:line="360" w:lineRule="auto"/>
        <w:rPr>
          <w:rFonts w:ascii="Times New Roman" w:hAnsi="Times New Roman" w:cs="Times New Roman"/>
          <w:b w:val="0"/>
          <w:bCs w:val="0"/>
          <w:color w:val="202124"/>
          <w:sz w:val="24"/>
          <w:szCs w:val="24"/>
          <w:lang w:val="en"/>
        </w:rPr>
      </w:pPr>
      <w:r w:rsidRPr="00882A72">
        <w:rPr>
          <w:rFonts w:ascii="Times New Roman" w:hAnsi="Times New Roman" w:cs="Times New Roman"/>
          <w:b w:val="0"/>
          <w:bCs w:val="0"/>
          <w:color w:val="202124"/>
          <w:sz w:val="24"/>
          <w:szCs w:val="24"/>
          <w:lang w:val="en"/>
        </w:rPr>
        <w:t>These conditions apply only to customers of bank branches within the Kingdom, as for customers of Jordanian bank branches operating abroad, the instructions of the host countries will apply, provided that the branch operating abroad proves its commitment to all instructions in this regard.</w:t>
      </w:r>
    </w:p>
    <w:p w:rsidR="00505A8B" w:rsidRPr="00882A72" w:rsidRDefault="00A161E3" w:rsidP="00A161E3">
      <w:pPr>
        <w:pStyle w:val="ListParagraph"/>
        <w:numPr>
          <w:ilvl w:val="0"/>
          <w:numId w:val="30"/>
        </w:numPr>
        <w:bidi w:val="0"/>
        <w:spacing w:after="0" w:line="360" w:lineRule="auto"/>
        <w:rPr>
          <w:rFonts w:ascii="Times New Roman" w:hAnsi="Times New Roman" w:cs="Times New Roman"/>
          <w:b w:val="0"/>
          <w:bCs w:val="0"/>
          <w:color w:val="202124"/>
          <w:sz w:val="24"/>
          <w:szCs w:val="24"/>
          <w:lang w:val="en"/>
        </w:rPr>
      </w:pPr>
      <w:r w:rsidRPr="00882A72">
        <w:rPr>
          <w:rFonts w:ascii="Times New Roman" w:hAnsi="Times New Roman" w:cs="Times New Roman"/>
          <w:b w:val="0"/>
          <w:bCs w:val="0"/>
          <w:color w:val="202124"/>
          <w:sz w:val="24"/>
          <w:szCs w:val="24"/>
          <w:lang w:val="en"/>
        </w:rPr>
        <w:t>The bank shall ensure compliance with the above conditions periodically (for a period not exceeding one year).</w:t>
      </w:r>
    </w:p>
    <w:p w:rsidR="00A161E3" w:rsidRPr="00205AAB" w:rsidRDefault="00A161E3" w:rsidP="00A161E3">
      <w:pPr>
        <w:ind w:left="1025" w:hanging="450"/>
        <w:rPr>
          <w:b w:val="0"/>
          <w:bCs w:val="0"/>
          <w:rtl/>
        </w:rPr>
      </w:pPr>
    </w:p>
    <w:p w:rsidR="00505A8B" w:rsidRPr="00205AAB" w:rsidRDefault="00505A8B" w:rsidP="00A161E3">
      <w:pPr>
        <w:ind w:left="1025" w:hanging="450"/>
        <w:rPr>
          <w:b w:val="0"/>
          <w:bCs w:val="0"/>
          <w:rtl/>
        </w:rPr>
      </w:pPr>
      <w:r w:rsidRPr="00205AAB">
        <w:rPr>
          <w:b w:val="0"/>
          <w:bCs w:val="0"/>
          <w:rtl/>
        </w:rPr>
        <w:t xml:space="preserve"> </w:t>
      </w:r>
    </w:p>
    <w:p w:rsidR="00505A8B" w:rsidRPr="00AF0943" w:rsidRDefault="00505A8B" w:rsidP="00505A8B">
      <w:pPr>
        <w:ind w:left="1025" w:hanging="450"/>
        <w:rPr>
          <w:rtl/>
        </w:rPr>
      </w:pPr>
    </w:p>
    <w:p w:rsidR="00505A8B" w:rsidRPr="00AF0943" w:rsidRDefault="00505A8B" w:rsidP="00505A8B">
      <w:pPr>
        <w:rPr>
          <w:rtl/>
        </w:rPr>
      </w:pPr>
    </w:p>
    <w:p w:rsidR="00505A8B" w:rsidRDefault="00505A8B" w:rsidP="00505A8B">
      <w:pPr>
        <w:rPr>
          <w:lang w:bidi="ar-JO"/>
        </w:rPr>
      </w:pPr>
    </w:p>
    <w:p w:rsidR="00505A8B" w:rsidRPr="0024790D" w:rsidRDefault="00505A8B" w:rsidP="00505A8B">
      <w:pPr>
        <w:rPr>
          <w:rtl/>
          <w:lang w:bidi="ar-JO"/>
        </w:rPr>
      </w:pPr>
    </w:p>
    <w:p w:rsidR="00505A8B" w:rsidRDefault="00505A8B" w:rsidP="00505A8B">
      <w:pPr>
        <w:rPr>
          <w:rtl/>
          <w:lang w:bidi="ar-JO"/>
        </w:rPr>
      </w:pPr>
    </w:p>
    <w:p w:rsidR="00505A8B" w:rsidRDefault="00505A8B" w:rsidP="00505A8B">
      <w:pPr>
        <w:rPr>
          <w:rtl/>
          <w:lang w:bidi="ar-JO"/>
        </w:rPr>
      </w:pPr>
    </w:p>
    <w:p w:rsidR="00505A8B" w:rsidRDefault="00505A8B" w:rsidP="00505A8B">
      <w:pPr>
        <w:rPr>
          <w:lang w:bidi="ar-JO"/>
        </w:rPr>
      </w:pPr>
    </w:p>
    <w:p w:rsidR="00C0031B" w:rsidRDefault="00C0031B" w:rsidP="00505A8B">
      <w:pPr>
        <w:rPr>
          <w:lang w:bidi="ar-JO"/>
        </w:rPr>
      </w:pPr>
    </w:p>
    <w:p w:rsidR="00C0031B" w:rsidRDefault="00C0031B" w:rsidP="00505A8B">
      <w:pPr>
        <w:rPr>
          <w:rtl/>
          <w:lang w:bidi="ar-JO"/>
        </w:rPr>
      </w:pPr>
    </w:p>
    <w:p w:rsidR="00CE5347" w:rsidRPr="004101A4" w:rsidRDefault="00CE5347" w:rsidP="00B66B27">
      <w:pPr>
        <w:pStyle w:val="Heading1"/>
        <w:pBdr>
          <w:bottom w:val="single" w:sz="4" w:space="1" w:color="auto"/>
        </w:pBdr>
        <w:bidi w:val="0"/>
        <w:jc w:val="center"/>
        <w:rPr>
          <w:rFonts w:asciiTheme="majorBidi" w:hAnsiTheme="majorBidi" w:cstheme="majorBidi"/>
          <w:b/>
          <w:bCs/>
        </w:rPr>
      </w:pPr>
      <w:bookmarkStart w:id="76" w:name="_Toc465255838"/>
      <w:bookmarkStart w:id="77" w:name="_Toc65354420"/>
      <w:r w:rsidRPr="004101A4">
        <w:rPr>
          <w:rFonts w:asciiTheme="majorBidi" w:hAnsiTheme="majorBidi" w:cstheme="majorBidi"/>
          <w:b/>
          <w:bCs/>
        </w:rPr>
        <w:lastRenderedPageBreak/>
        <w:t>Annex (12)</w:t>
      </w:r>
      <w:r w:rsidR="00B66B27" w:rsidRPr="004101A4">
        <w:rPr>
          <w:rFonts w:asciiTheme="majorBidi" w:hAnsiTheme="majorBidi" w:cstheme="majorBidi"/>
          <w:b/>
          <w:bCs/>
        </w:rPr>
        <w:t xml:space="preserve"> </w:t>
      </w:r>
      <w:r w:rsidRPr="004101A4">
        <w:rPr>
          <w:rFonts w:asciiTheme="majorBidi" w:hAnsiTheme="majorBidi" w:cstheme="majorBidi"/>
          <w:b/>
          <w:bCs/>
        </w:rPr>
        <w:t>Qualifying residential mortgages</w:t>
      </w:r>
      <w:bookmarkEnd w:id="77"/>
    </w:p>
    <w:p w:rsidR="00CE5347" w:rsidRPr="00C0031B" w:rsidRDefault="00CE5347" w:rsidP="00CE5347">
      <w:pPr>
        <w:bidi w:val="0"/>
        <w:jc w:val="center"/>
        <w:rPr>
          <w:rFonts w:ascii="Times New Roman" w:hAnsi="Times New Roman" w:cs="Times New Roman"/>
          <w:sz w:val="24"/>
          <w:szCs w:val="24"/>
        </w:rPr>
      </w:pPr>
    </w:p>
    <w:p w:rsidR="00CE5347" w:rsidRPr="00EC3BCC" w:rsidRDefault="00CE5347" w:rsidP="00C17614">
      <w:pPr>
        <w:pStyle w:val="ListParagraph"/>
        <w:numPr>
          <w:ilvl w:val="0"/>
          <w:numId w:val="38"/>
        </w:numPr>
        <w:bidi w:val="0"/>
        <w:spacing w:after="0" w:line="276" w:lineRule="auto"/>
        <w:ind w:left="709" w:hanging="567"/>
        <w:jc w:val="left"/>
        <w:rPr>
          <w:rFonts w:ascii="Times New Roman" w:hAnsi="Times New Roman" w:cs="Times New Roman"/>
          <w:sz w:val="24"/>
          <w:szCs w:val="24"/>
        </w:rPr>
      </w:pPr>
      <w:r w:rsidRPr="00EC3BCC">
        <w:rPr>
          <w:rFonts w:ascii="Times New Roman" w:hAnsi="Times New Roman" w:cs="Times New Roman"/>
          <w:sz w:val="24"/>
          <w:szCs w:val="24"/>
        </w:rPr>
        <w:t>General Rules:</w:t>
      </w:r>
    </w:p>
    <w:p w:rsidR="00CE5347" w:rsidRPr="00EC3BCC" w:rsidRDefault="00735F58" w:rsidP="00C17614">
      <w:pPr>
        <w:pStyle w:val="ListParagraph"/>
        <w:numPr>
          <w:ilvl w:val="1"/>
          <w:numId w:val="38"/>
        </w:numPr>
        <w:bidi w:val="0"/>
        <w:spacing w:after="0" w:line="276" w:lineRule="auto"/>
        <w:ind w:left="1276" w:hanging="567"/>
        <w:jc w:val="left"/>
        <w:rPr>
          <w:rFonts w:ascii="Times New Roman" w:hAnsi="Times New Roman" w:cs="Times New Roman"/>
          <w:b w:val="0"/>
          <w:bCs w:val="0"/>
          <w:sz w:val="24"/>
          <w:szCs w:val="24"/>
        </w:rPr>
      </w:pPr>
      <w:r w:rsidRPr="00EC3BCC">
        <w:rPr>
          <w:rFonts w:ascii="Times New Roman" w:hAnsi="Times New Roman" w:cs="Times New Roman"/>
          <w:b w:val="0"/>
          <w:bCs w:val="0"/>
          <w:sz w:val="24"/>
          <w:szCs w:val="24"/>
        </w:rPr>
        <w:t>Lending fully secured by mortgages on residential property will be risk weighted at 35%, in the event that all of the following conditions are applied.</w:t>
      </w:r>
    </w:p>
    <w:p w:rsidR="00735F58" w:rsidRPr="00EC3BCC" w:rsidRDefault="00735F58" w:rsidP="00C17614">
      <w:pPr>
        <w:pStyle w:val="ListParagraph"/>
        <w:numPr>
          <w:ilvl w:val="1"/>
          <w:numId w:val="38"/>
        </w:numPr>
        <w:bidi w:val="0"/>
        <w:spacing w:after="0" w:line="276" w:lineRule="auto"/>
        <w:ind w:left="1276" w:hanging="567"/>
        <w:jc w:val="left"/>
        <w:rPr>
          <w:rFonts w:ascii="Times New Roman" w:hAnsi="Times New Roman" w:cs="Times New Roman"/>
          <w:b w:val="0"/>
          <w:bCs w:val="0"/>
          <w:sz w:val="24"/>
          <w:szCs w:val="24"/>
        </w:rPr>
      </w:pPr>
      <w:r w:rsidRPr="00EC3BCC">
        <w:rPr>
          <w:rFonts w:ascii="Times New Roman" w:hAnsi="Times New Roman" w:cs="Times New Roman"/>
          <w:b w:val="0"/>
          <w:bCs w:val="0"/>
          <w:color w:val="202124"/>
          <w:sz w:val="24"/>
          <w:szCs w:val="24"/>
          <w:lang w:val="en"/>
        </w:rPr>
        <w:t>The preferential treatment does not apply to:</w:t>
      </w:r>
    </w:p>
    <w:p w:rsidR="00735F58" w:rsidRPr="00EC3BCC" w:rsidRDefault="00735F58" w:rsidP="00C17614">
      <w:pPr>
        <w:pStyle w:val="ListParagraph"/>
        <w:numPr>
          <w:ilvl w:val="2"/>
          <w:numId w:val="38"/>
        </w:numPr>
        <w:bidi w:val="0"/>
        <w:spacing w:after="0" w:line="276" w:lineRule="auto"/>
        <w:ind w:left="2127" w:hanging="851"/>
        <w:jc w:val="left"/>
        <w:rPr>
          <w:rFonts w:ascii="Times New Roman" w:hAnsi="Times New Roman" w:cs="Times New Roman"/>
          <w:b w:val="0"/>
          <w:bCs w:val="0"/>
          <w:sz w:val="24"/>
          <w:szCs w:val="24"/>
        </w:rPr>
      </w:pPr>
      <w:r w:rsidRPr="00EC3BCC">
        <w:rPr>
          <w:rFonts w:ascii="Times New Roman" w:hAnsi="Times New Roman" w:cs="Times New Roman"/>
          <w:b w:val="0"/>
          <w:bCs w:val="0"/>
          <w:sz w:val="24"/>
          <w:szCs w:val="24"/>
        </w:rPr>
        <w:t>Mortgage backed Securities.</w:t>
      </w:r>
    </w:p>
    <w:p w:rsidR="00735F58" w:rsidRPr="00EC3BCC" w:rsidRDefault="00735F58" w:rsidP="00C17614">
      <w:pPr>
        <w:pStyle w:val="ListParagraph"/>
        <w:numPr>
          <w:ilvl w:val="2"/>
          <w:numId w:val="38"/>
        </w:numPr>
        <w:bidi w:val="0"/>
        <w:spacing w:after="0" w:line="276" w:lineRule="auto"/>
        <w:ind w:left="2127" w:hanging="851"/>
        <w:jc w:val="left"/>
        <w:rPr>
          <w:rFonts w:ascii="Times New Roman" w:hAnsi="Times New Roman" w:cs="Times New Roman"/>
          <w:b w:val="0"/>
          <w:bCs w:val="0"/>
          <w:sz w:val="24"/>
          <w:szCs w:val="24"/>
        </w:rPr>
      </w:pPr>
      <w:r w:rsidRPr="00EC3BCC">
        <w:rPr>
          <w:rFonts w:ascii="Times New Roman" w:hAnsi="Times New Roman" w:cs="Times New Roman"/>
          <w:b w:val="0"/>
          <w:bCs w:val="0"/>
          <w:color w:val="202124"/>
          <w:sz w:val="24"/>
          <w:szCs w:val="24"/>
          <w:lang w:val="en"/>
        </w:rPr>
        <w:t>The value of the increase in the amount of the loan granted by the bank in the event of refinancing housing loans granted by other banks.</w:t>
      </w:r>
    </w:p>
    <w:p w:rsidR="00735F58" w:rsidRPr="00EC3BCC" w:rsidRDefault="00735F58" w:rsidP="00C17614">
      <w:pPr>
        <w:pStyle w:val="ListParagraph"/>
        <w:numPr>
          <w:ilvl w:val="1"/>
          <w:numId w:val="38"/>
        </w:numPr>
        <w:bidi w:val="0"/>
        <w:spacing w:after="0" w:line="276" w:lineRule="auto"/>
        <w:ind w:left="1276" w:hanging="567"/>
        <w:jc w:val="left"/>
        <w:rPr>
          <w:rFonts w:ascii="Times New Roman" w:hAnsi="Times New Roman" w:cs="Times New Roman"/>
          <w:b w:val="0"/>
          <w:bCs w:val="0"/>
          <w:color w:val="202124"/>
          <w:sz w:val="24"/>
          <w:szCs w:val="24"/>
          <w:lang w:val="en"/>
        </w:rPr>
      </w:pPr>
      <w:r w:rsidRPr="00EC3BCC">
        <w:rPr>
          <w:rFonts w:ascii="Times New Roman" w:hAnsi="Times New Roman" w:cs="Times New Roman"/>
          <w:b w:val="0"/>
          <w:bCs w:val="0"/>
          <w:color w:val="202124"/>
          <w:sz w:val="24"/>
          <w:szCs w:val="24"/>
          <w:lang w:val="en"/>
        </w:rPr>
        <w:t xml:space="preserve">In the event that any of the above criteria are violated, the full value of the loan is included in the unqualified housing loans portfolio, which </w:t>
      </w:r>
      <w:r w:rsidRPr="00EC3BCC">
        <w:rPr>
          <w:rFonts w:ascii="Times New Roman" w:hAnsi="Times New Roman" w:cs="Times New Roman"/>
          <w:b w:val="0"/>
          <w:bCs w:val="0"/>
          <w:sz w:val="24"/>
          <w:szCs w:val="24"/>
        </w:rPr>
        <w:t xml:space="preserve">will be risk weighted at </w:t>
      </w:r>
      <w:r w:rsidRPr="00EC3BCC">
        <w:rPr>
          <w:rFonts w:ascii="Times New Roman" w:hAnsi="Times New Roman" w:cs="Times New Roman"/>
          <w:b w:val="0"/>
          <w:bCs w:val="0"/>
          <w:color w:val="202124"/>
          <w:sz w:val="24"/>
          <w:szCs w:val="24"/>
          <w:lang w:val="en"/>
        </w:rPr>
        <w:t>(100%).</w:t>
      </w:r>
    </w:p>
    <w:p w:rsidR="00B86B45" w:rsidRPr="00EC3BCC" w:rsidRDefault="00B86B45" w:rsidP="004101A4">
      <w:pPr>
        <w:pStyle w:val="ListParagraph"/>
        <w:numPr>
          <w:ilvl w:val="0"/>
          <w:numId w:val="38"/>
        </w:numPr>
        <w:bidi w:val="0"/>
        <w:spacing w:after="0" w:line="276" w:lineRule="auto"/>
        <w:ind w:hanging="578"/>
        <w:jc w:val="left"/>
        <w:rPr>
          <w:rFonts w:ascii="Times New Roman" w:hAnsi="Times New Roman" w:cs="Times New Roman"/>
          <w:color w:val="202124"/>
          <w:sz w:val="24"/>
          <w:szCs w:val="24"/>
          <w:lang w:val="en"/>
        </w:rPr>
      </w:pPr>
      <w:r w:rsidRPr="00EC3BCC">
        <w:rPr>
          <w:rFonts w:ascii="Times New Roman" w:hAnsi="Times New Roman" w:cs="Times New Roman"/>
          <w:color w:val="202124"/>
          <w:sz w:val="24"/>
          <w:szCs w:val="24"/>
          <w:lang w:val="en"/>
        </w:rPr>
        <w:t xml:space="preserve">Lending </w:t>
      </w:r>
      <w:r w:rsidR="004101A4">
        <w:rPr>
          <w:rFonts w:ascii="Times New Roman" w:eastAsiaTheme="minorHAnsi" w:hAnsi="Times New Roman" w:cs="Times New Roman"/>
          <w:sz w:val="24"/>
          <w:szCs w:val="24"/>
        </w:rPr>
        <w:t>criteria</w:t>
      </w:r>
      <w:r w:rsidRPr="00EC3BCC">
        <w:rPr>
          <w:rFonts w:ascii="Times New Roman" w:hAnsi="Times New Roman" w:cs="Times New Roman"/>
          <w:color w:val="202124"/>
          <w:sz w:val="24"/>
          <w:szCs w:val="24"/>
          <w:lang w:val="en"/>
        </w:rPr>
        <w:t>:</w:t>
      </w:r>
    </w:p>
    <w:p w:rsidR="00C17614" w:rsidRPr="00EC3BCC" w:rsidRDefault="00C17614" w:rsidP="00EC3BCC">
      <w:pPr>
        <w:pStyle w:val="ListParagraph"/>
        <w:numPr>
          <w:ilvl w:val="1"/>
          <w:numId w:val="38"/>
        </w:numPr>
        <w:bidi w:val="0"/>
        <w:spacing w:after="0" w:line="276" w:lineRule="auto"/>
        <w:ind w:left="1276" w:hanging="556"/>
        <w:rPr>
          <w:rFonts w:ascii="Times New Roman" w:hAnsi="Times New Roman" w:cs="Times New Roman"/>
          <w:b w:val="0"/>
          <w:bCs w:val="0"/>
          <w:sz w:val="24"/>
          <w:szCs w:val="24"/>
          <w:lang w:val="en"/>
        </w:rPr>
      </w:pPr>
      <w:r w:rsidRPr="00EC3BCC">
        <w:rPr>
          <w:rFonts w:ascii="Times New Roman" w:hAnsi="Times New Roman" w:cs="Times New Roman"/>
          <w:b w:val="0"/>
          <w:bCs w:val="0"/>
          <w:color w:val="202124"/>
          <w:sz w:val="24"/>
          <w:szCs w:val="24"/>
          <w:lang w:val="en"/>
        </w:rPr>
        <w:t xml:space="preserve">The purpose of the loan is to build, buy, expand or renew a residential property inside Jordan, in the case of the bank’s branches abroad, the funded real estate must be in the host country </w:t>
      </w:r>
      <w:r w:rsidRPr="00EC3BCC">
        <w:rPr>
          <w:rFonts w:ascii="Times New Roman" w:hAnsi="Times New Roman" w:cs="Times New Roman"/>
          <w:b w:val="0"/>
          <w:bCs w:val="0"/>
          <w:sz w:val="24"/>
          <w:szCs w:val="24"/>
          <w:lang w:val="en"/>
        </w:rPr>
        <w:t>(it does not include personal loans secured by real estate mortgages).</w:t>
      </w:r>
    </w:p>
    <w:p w:rsidR="00C17614" w:rsidRPr="00EC3BCC" w:rsidRDefault="00C17614" w:rsidP="00EC3BCC">
      <w:pPr>
        <w:pStyle w:val="ListParagraph"/>
        <w:numPr>
          <w:ilvl w:val="1"/>
          <w:numId w:val="38"/>
        </w:numPr>
        <w:bidi w:val="0"/>
        <w:spacing w:after="0" w:line="276" w:lineRule="auto"/>
        <w:ind w:left="1276" w:hanging="556"/>
        <w:rPr>
          <w:rFonts w:ascii="Times New Roman" w:hAnsi="Times New Roman" w:cs="Times New Roman"/>
          <w:b w:val="0"/>
          <w:bCs w:val="0"/>
          <w:color w:val="202124"/>
          <w:sz w:val="24"/>
          <w:szCs w:val="24"/>
          <w:lang w:val="en"/>
        </w:rPr>
      </w:pPr>
      <w:r w:rsidRPr="00EC3BCC">
        <w:rPr>
          <w:rFonts w:ascii="Times New Roman" w:hAnsi="Times New Roman" w:cs="Times New Roman"/>
          <w:b w:val="0"/>
          <w:bCs w:val="0"/>
          <w:color w:val="202124"/>
          <w:sz w:val="24"/>
          <w:szCs w:val="24"/>
          <w:lang w:val="en"/>
        </w:rPr>
        <w:t>Any re-loaned sums to the customer, under whatever name it was, must be separated from the eligible housing loan portfolio unless it is related to the property and in a manner that fulfills all other conditions.</w:t>
      </w:r>
    </w:p>
    <w:p w:rsidR="00C17614" w:rsidRPr="00EC3BCC" w:rsidRDefault="00C17614" w:rsidP="00EC3BCC">
      <w:pPr>
        <w:pStyle w:val="ListParagraph"/>
        <w:numPr>
          <w:ilvl w:val="1"/>
          <w:numId w:val="38"/>
        </w:numPr>
        <w:bidi w:val="0"/>
        <w:spacing w:after="0" w:line="276" w:lineRule="auto"/>
        <w:ind w:left="1276" w:hanging="556"/>
        <w:rPr>
          <w:rFonts w:ascii="Times New Roman" w:hAnsi="Times New Roman" w:cs="Times New Roman"/>
          <w:b w:val="0"/>
          <w:bCs w:val="0"/>
          <w:color w:val="202124"/>
          <w:sz w:val="24"/>
          <w:szCs w:val="24"/>
          <w:lang w:val="en"/>
        </w:rPr>
      </w:pPr>
      <w:r w:rsidRPr="00EC3BCC">
        <w:rPr>
          <w:rFonts w:ascii="Times New Roman" w:hAnsi="Times New Roman" w:cs="Times New Roman"/>
          <w:b w:val="0"/>
          <w:bCs w:val="0"/>
          <w:color w:val="202124"/>
          <w:sz w:val="24"/>
          <w:szCs w:val="24"/>
          <w:lang w:val="en"/>
        </w:rPr>
        <w:t>The bank must have at all times the legal right to implement on the property, including the right to sell or own in the event of borrower default.</w:t>
      </w:r>
    </w:p>
    <w:p w:rsidR="00C17614" w:rsidRPr="00EC3BCC" w:rsidRDefault="00C17614" w:rsidP="00EC3BCC">
      <w:pPr>
        <w:pStyle w:val="ListParagraph"/>
        <w:numPr>
          <w:ilvl w:val="1"/>
          <w:numId w:val="38"/>
        </w:numPr>
        <w:bidi w:val="0"/>
        <w:spacing w:after="0" w:line="276" w:lineRule="auto"/>
        <w:ind w:left="1276" w:hanging="556"/>
        <w:rPr>
          <w:rFonts w:ascii="Times New Roman" w:hAnsi="Times New Roman" w:cs="Times New Roman"/>
          <w:b w:val="0"/>
          <w:bCs w:val="0"/>
          <w:color w:val="202124"/>
          <w:sz w:val="24"/>
          <w:szCs w:val="24"/>
          <w:lang w:val="en"/>
        </w:rPr>
      </w:pPr>
      <w:r w:rsidRPr="00EC3BCC">
        <w:rPr>
          <w:rFonts w:ascii="Times New Roman" w:hAnsi="Times New Roman" w:cs="Times New Roman"/>
          <w:b w:val="0"/>
          <w:bCs w:val="0"/>
          <w:color w:val="202124"/>
          <w:sz w:val="24"/>
          <w:szCs w:val="24"/>
          <w:lang w:val="en"/>
        </w:rPr>
        <w:t>The bank must have clear and written policies and procedures within its credit policy to assess the borrower's ability to fulfill all of its obligations.</w:t>
      </w:r>
    </w:p>
    <w:p w:rsidR="00C17614" w:rsidRPr="00EC3BCC" w:rsidRDefault="00C17614" w:rsidP="00EC3BCC">
      <w:pPr>
        <w:pStyle w:val="ListParagraph"/>
        <w:numPr>
          <w:ilvl w:val="1"/>
          <w:numId w:val="38"/>
        </w:numPr>
        <w:bidi w:val="0"/>
        <w:spacing w:after="0" w:line="276" w:lineRule="auto"/>
        <w:ind w:left="1276" w:hanging="556"/>
        <w:rPr>
          <w:rFonts w:ascii="Times New Roman" w:hAnsi="Times New Roman" w:cs="Times New Roman"/>
          <w:b w:val="0"/>
          <w:bCs w:val="0"/>
          <w:color w:val="202124"/>
          <w:sz w:val="24"/>
          <w:szCs w:val="24"/>
          <w:lang w:val="en"/>
        </w:rPr>
      </w:pPr>
      <w:r w:rsidRPr="00EC3BCC">
        <w:rPr>
          <w:rFonts w:ascii="Times New Roman" w:hAnsi="Times New Roman" w:cs="Times New Roman"/>
          <w:b w:val="0"/>
          <w:bCs w:val="0"/>
          <w:color w:val="202124"/>
          <w:sz w:val="24"/>
          <w:szCs w:val="24"/>
          <w:lang w:val="en"/>
        </w:rPr>
        <w:t>The bank must have clear, written and documented procedures within its credit policy to ensure the correctness of the information used in the borrower's credit analysis process</w:t>
      </w:r>
      <w:r w:rsidR="0089638D" w:rsidRPr="00EC3BCC">
        <w:rPr>
          <w:rFonts w:ascii="Times New Roman" w:hAnsi="Times New Roman" w:cs="Times New Roman"/>
          <w:b w:val="0"/>
          <w:bCs w:val="0"/>
          <w:color w:val="202124"/>
          <w:sz w:val="24"/>
          <w:szCs w:val="24"/>
          <w:lang w:val="en"/>
        </w:rPr>
        <w:t>, especially those data related to the main income and other sources of income, if any, the customer job data and terms of employment, and data related to his other financial obligations with the bank or the banking system. These tasks are required to be performed before the final approval.</w:t>
      </w:r>
    </w:p>
    <w:p w:rsidR="0089638D" w:rsidRPr="00EC3BCC" w:rsidRDefault="0089638D" w:rsidP="00EC3BCC">
      <w:pPr>
        <w:pStyle w:val="ListParagraph"/>
        <w:numPr>
          <w:ilvl w:val="1"/>
          <w:numId w:val="38"/>
        </w:numPr>
        <w:bidi w:val="0"/>
        <w:spacing w:after="0" w:line="276" w:lineRule="auto"/>
        <w:ind w:left="1276" w:hanging="556"/>
        <w:rPr>
          <w:rFonts w:ascii="Times New Roman" w:hAnsi="Times New Roman" w:cs="Times New Roman"/>
          <w:b w:val="0"/>
          <w:bCs w:val="0"/>
          <w:color w:val="202124"/>
          <w:sz w:val="24"/>
          <w:szCs w:val="24"/>
          <w:lang w:val="en"/>
        </w:rPr>
      </w:pPr>
      <w:r w:rsidRPr="00EC3BCC">
        <w:rPr>
          <w:rFonts w:ascii="Times New Roman" w:hAnsi="Times New Roman" w:cs="Times New Roman"/>
          <w:b w:val="0"/>
          <w:bCs w:val="0"/>
          <w:color w:val="202124"/>
          <w:sz w:val="24"/>
          <w:szCs w:val="24"/>
          <w:lang w:val="en"/>
        </w:rPr>
        <w:t>In the event that outsourcing services are used in the credit analysis process, for example: real estate office services and / or real estate companies, the bank must have a clear policy that governs such relationships, also a clear and written procedures to ensure the safety of the standards approved by external parties when conducting the credit analysis process.</w:t>
      </w:r>
    </w:p>
    <w:p w:rsidR="0089638D" w:rsidRPr="00EC3BCC" w:rsidRDefault="0089638D" w:rsidP="00EC3BCC">
      <w:pPr>
        <w:pStyle w:val="ListParagraph"/>
        <w:numPr>
          <w:ilvl w:val="1"/>
          <w:numId w:val="38"/>
        </w:numPr>
        <w:bidi w:val="0"/>
        <w:spacing w:after="0" w:line="276" w:lineRule="auto"/>
        <w:ind w:left="1276" w:hanging="556"/>
        <w:rPr>
          <w:rFonts w:ascii="Times New Roman" w:hAnsi="Times New Roman" w:cs="Times New Roman"/>
          <w:b w:val="0"/>
          <w:bCs w:val="0"/>
          <w:color w:val="202124"/>
          <w:sz w:val="24"/>
          <w:szCs w:val="24"/>
          <w:lang w:val="en"/>
        </w:rPr>
      </w:pPr>
      <w:r w:rsidRPr="00EC3BCC">
        <w:rPr>
          <w:rFonts w:ascii="Times New Roman" w:hAnsi="Times New Roman" w:cs="Times New Roman"/>
          <w:b w:val="0"/>
          <w:bCs w:val="0"/>
          <w:color w:val="202124"/>
          <w:sz w:val="24"/>
          <w:szCs w:val="24"/>
          <w:lang w:val="en"/>
        </w:rPr>
        <w:t xml:space="preserve">The credit policies and procedures of the bank must include clear and documented criteria for the real estate appraisal process, so that these </w:t>
      </w:r>
      <w:r w:rsidRPr="00EC3BCC">
        <w:rPr>
          <w:rFonts w:ascii="Times New Roman" w:hAnsi="Times New Roman" w:cs="Times New Roman"/>
          <w:b w:val="0"/>
          <w:bCs w:val="0"/>
          <w:color w:val="202124"/>
          <w:sz w:val="24"/>
          <w:szCs w:val="24"/>
          <w:lang w:val="en"/>
        </w:rPr>
        <w:lastRenderedPageBreak/>
        <w:t xml:space="preserve">criteria include cases in which the bank approves internal </w:t>
      </w:r>
      <w:r w:rsidR="00FF2237" w:rsidRPr="00EC3BCC">
        <w:rPr>
          <w:rFonts w:ascii="Times New Roman" w:hAnsi="Times New Roman" w:cs="Times New Roman"/>
          <w:b w:val="0"/>
          <w:bCs w:val="0"/>
          <w:color w:val="202124"/>
          <w:sz w:val="24"/>
          <w:szCs w:val="24"/>
          <w:lang w:val="en"/>
        </w:rPr>
        <w:t xml:space="preserve">appraisers </w:t>
      </w:r>
      <w:r w:rsidRPr="00EC3BCC">
        <w:rPr>
          <w:rFonts w:ascii="Times New Roman" w:hAnsi="Times New Roman" w:cs="Times New Roman"/>
          <w:b w:val="0"/>
          <w:bCs w:val="0"/>
          <w:color w:val="202124"/>
          <w:sz w:val="24"/>
          <w:szCs w:val="24"/>
          <w:lang w:val="en"/>
        </w:rPr>
        <w:t>and cases in which an external appraiser is approved</w:t>
      </w:r>
      <w:r w:rsidR="00FF2237" w:rsidRPr="00EC3BCC">
        <w:rPr>
          <w:rFonts w:ascii="Times New Roman" w:hAnsi="Times New Roman" w:cs="Times New Roman"/>
          <w:b w:val="0"/>
          <w:bCs w:val="0"/>
          <w:color w:val="202124"/>
          <w:sz w:val="24"/>
          <w:szCs w:val="24"/>
          <w:lang w:val="en"/>
        </w:rPr>
        <w:t>. The bank must also adopt a list of its external appraisers.</w:t>
      </w:r>
    </w:p>
    <w:p w:rsidR="00FF2237" w:rsidRPr="00EC3BCC" w:rsidRDefault="00FF2237" w:rsidP="00EC3BCC">
      <w:pPr>
        <w:pStyle w:val="ListParagraph"/>
        <w:numPr>
          <w:ilvl w:val="1"/>
          <w:numId w:val="38"/>
        </w:numPr>
        <w:bidi w:val="0"/>
        <w:spacing w:after="0" w:line="276" w:lineRule="auto"/>
        <w:ind w:left="1276" w:hanging="556"/>
        <w:rPr>
          <w:rFonts w:ascii="Times New Roman" w:hAnsi="Times New Roman" w:cs="Times New Roman"/>
          <w:b w:val="0"/>
          <w:bCs w:val="0"/>
          <w:color w:val="202124"/>
          <w:sz w:val="24"/>
          <w:szCs w:val="24"/>
          <w:lang w:val="en"/>
        </w:rPr>
      </w:pPr>
      <w:r w:rsidRPr="00EC3BCC">
        <w:rPr>
          <w:rFonts w:ascii="Times New Roman" w:hAnsi="Times New Roman" w:cs="Times New Roman"/>
          <w:b w:val="0"/>
          <w:bCs w:val="0"/>
          <w:color w:val="202124"/>
          <w:sz w:val="24"/>
          <w:szCs w:val="24"/>
          <w:lang w:val="en"/>
        </w:rPr>
        <w:t>The bank's credit policies and procedures must include clear and documented criteria for the real estate re-assessing process, so that it includes at the minimum the following: the approved periodicity of revaluation, the requirements for re-evaluation in light of economic conditions that may negatively affect the value of real estate, and the requirements for re-evaluation in the event of default of the borrower.</w:t>
      </w:r>
    </w:p>
    <w:p w:rsidR="00FF2237" w:rsidRPr="00EC3BCC" w:rsidRDefault="00FF2237" w:rsidP="004101A4">
      <w:pPr>
        <w:pStyle w:val="ListParagraph"/>
        <w:numPr>
          <w:ilvl w:val="1"/>
          <w:numId w:val="38"/>
        </w:numPr>
        <w:bidi w:val="0"/>
        <w:spacing w:after="0" w:line="276" w:lineRule="auto"/>
        <w:ind w:left="1276" w:hanging="556"/>
        <w:rPr>
          <w:rFonts w:ascii="Times New Roman" w:hAnsi="Times New Roman" w:cs="Times New Roman"/>
          <w:b w:val="0"/>
          <w:bCs w:val="0"/>
          <w:color w:val="202124"/>
          <w:sz w:val="24"/>
          <w:szCs w:val="24"/>
          <w:lang w:val="en"/>
        </w:rPr>
      </w:pPr>
      <w:r w:rsidRPr="00EC3BCC">
        <w:rPr>
          <w:rFonts w:ascii="Times New Roman" w:hAnsi="Times New Roman" w:cs="Times New Roman"/>
          <w:b w:val="0"/>
          <w:bCs w:val="0"/>
          <w:color w:val="202124"/>
          <w:sz w:val="24"/>
          <w:szCs w:val="24"/>
          <w:lang w:val="en"/>
        </w:rPr>
        <w:t xml:space="preserve">The mortgaged residential real estate is required to be easy to </w:t>
      </w:r>
      <w:r w:rsidR="004101A4">
        <w:rPr>
          <w:rFonts w:ascii="Times New Roman" w:hAnsi="Times New Roman" w:cs="Times New Roman"/>
          <w:b w:val="0"/>
          <w:bCs w:val="0"/>
          <w:color w:val="202124"/>
          <w:sz w:val="24"/>
          <w:szCs w:val="24"/>
          <w:lang w:val="en"/>
        </w:rPr>
        <w:t>liquidity</w:t>
      </w:r>
      <w:r w:rsidRPr="00EC3BCC">
        <w:rPr>
          <w:rFonts w:ascii="Times New Roman" w:hAnsi="Times New Roman" w:cs="Times New Roman"/>
          <w:b w:val="0"/>
          <w:bCs w:val="0"/>
          <w:color w:val="202124"/>
          <w:sz w:val="24"/>
          <w:szCs w:val="24"/>
          <w:lang w:val="en"/>
        </w:rPr>
        <w:t>, within a reasonable period of time, and without substantial loss in its market value, in the event that there is something that prevents this, the loan is not classified within the portfolio of eligible housing loans.</w:t>
      </w:r>
    </w:p>
    <w:p w:rsidR="00FF2237" w:rsidRPr="00EC3BCC" w:rsidRDefault="00FF2237" w:rsidP="00FF2237">
      <w:pPr>
        <w:pStyle w:val="ListParagraph"/>
        <w:bidi w:val="0"/>
        <w:spacing w:after="0" w:line="276" w:lineRule="auto"/>
        <w:ind w:left="1440"/>
        <w:rPr>
          <w:rFonts w:ascii="Times New Roman" w:hAnsi="Times New Roman" w:cs="Times New Roman"/>
          <w:b w:val="0"/>
          <w:bCs w:val="0"/>
          <w:color w:val="202124"/>
          <w:sz w:val="24"/>
          <w:szCs w:val="24"/>
          <w:lang w:val="en"/>
        </w:rPr>
      </w:pPr>
    </w:p>
    <w:p w:rsidR="00B86B45" w:rsidRPr="00EC3BCC" w:rsidRDefault="00B86B45" w:rsidP="004101A4">
      <w:pPr>
        <w:pStyle w:val="ListParagraph"/>
        <w:numPr>
          <w:ilvl w:val="0"/>
          <w:numId w:val="38"/>
        </w:numPr>
        <w:bidi w:val="0"/>
        <w:spacing w:after="0" w:line="276" w:lineRule="auto"/>
        <w:ind w:hanging="578"/>
        <w:jc w:val="left"/>
        <w:rPr>
          <w:rFonts w:ascii="Times New Roman" w:hAnsi="Times New Roman" w:cs="Times New Roman"/>
          <w:color w:val="202124"/>
          <w:sz w:val="24"/>
          <w:szCs w:val="24"/>
          <w:lang w:val="en"/>
        </w:rPr>
      </w:pPr>
      <w:r w:rsidRPr="00EC3BCC">
        <w:rPr>
          <w:rFonts w:ascii="Times New Roman" w:hAnsi="Times New Roman" w:cs="Times New Roman"/>
          <w:color w:val="202124"/>
          <w:sz w:val="24"/>
          <w:szCs w:val="24"/>
          <w:lang w:val="en"/>
        </w:rPr>
        <w:t xml:space="preserve">Funding ratio </w:t>
      </w:r>
      <w:r w:rsidR="004101A4">
        <w:rPr>
          <w:rFonts w:ascii="Times New Roman" w:eastAsiaTheme="minorHAnsi" w:hAnsi="Times New Roman" w:cs="Times New Roman"/>
          <w:sz w:val="24"/>
          <w:szCs w:val="24"/>
        </w:rPr>
        <w:t>criteria</w:t>
      </w:r>
      <w:r w:rsidRPr="00EC3BCC">
        <w:rPr>
          <w:rFonts w:ascii="Times New Roman" w:hAnsi="Times New Roman" w:cs="Times New Roman"/>
          <w:color w:val="202124"/>
          <w:sz w:val="24"/>
          <w:szCs w:val="24"/>
          <w:lang w:val="en"/>
        </w:rPr>
        <w:t>:</w:t>
      </w:r>
    </w:p>
    <w:p w:rsidR="00090EDC" w:rsidRPr="00EC3BCC" w:rsidRDefault="004101A4" w:rsidP="00EC3BCC">
      <w:pPr>
        <w:pStyle w:val="ListParagraph"/>
        <w:numPr>
          <w:ilvl w:val="1"/>
          <w:numId w:val="38"/>
        </w:numPr>
        <w:bidi w:val="0"/>
        <w:spacing w:after="0" w:line="276" w:lineRule="auto"/>
        <w:ind w:left="1276" w:hanging="556"/>
        <w:rPr>
          <w:rFonts w:ascii="Times New Roman" w:hAnsi="Times New Roman" w:cs="Times New Roman"/>
          <w:b w:val="0"/>
          <w:bCs w:val="0"/>
          <w:sz w:val="24"/>
          <w:szCs w:val="24"/>
          <w:lang w:val="en"/>
        </w:rPr>
      </w:pPr>
      <w:r>
        <w:rPr>
          <w:rFonts w:ascii="Times New Roman" w:hAnsi="Times New Roman" w:cs="Times New Roman"/>
          <w:b w:val="0"/>
          <w:bCs w:val="0"/>
          <w:sz w:val="24"/>
          <w:szCs w:val="24"/>
          <w:lang w:val="en"/>
        </w:rPr>
        <w:t>T</w:t>
      </w:r>
      <w:r w:rsidR="00090EDC" w:rsidRPr="00EC3BCC">
        <w:rPr>
          <w:rFonts w:ascii="Times New Roman" w:hAnsi="Times New Roman" w:cs="Times New Roman"/>
          <w:b w:val="0"/>
          <w:bCs w:val="0"/>
          <w:sz w:val="24"/>
          <w:szCs w:val="24"/>
          <w:lang w:val="en"/>
        </w:rPr>
        <w:t>he loan to value does not exceed (80%) of the estimated value of the property or the purchasing value, whichever is less, upon granting.</w:t>
      </w:r>
      <w:r w:rsidR="00090EDC" w:rsidRPr="00EC3BCC">
        <w:rPr>
          <w:color w:val="202124"/>
          <w:sz w:val="24"/>
          <w:szCs w:val="24"/>
          <w:lang w:val="en"/>
        </w:rPr>
        <w:t xml:space="preserve"> </w:t>
      </w:r>
      <w:r w:rsidR="00090EDC" w:rsidRPr="00EC3BCC">
        <w:rPr>
          <w:rFonts w:ascii="Times New Roman" w:hAnsi="Times New Roman" w:cs="Times New Roman"/>
          <w:b w:val="0"/>
          <w:bCs w:val="0"/>
          <w:sz w:val="24"/>
          <w:szCs w:val="24"/>
          <w:lang w:val="en"/>
        </w:rPr>
        <w:t>Otherwise, it should be included in the unqualified housing loan portfolio and given a (100%)</w:t>
      </w:r>
      <w:r w:rsidR="00EC3BCC" w:rsidRPr="00EC3BCC">
        <w:rPr>
          <w:rFonts w:ascii="Times New Roman" w:hAnsi="Times New Roman" w:cs="Times New Roman"/>
          <w:b w:val="0"/>
          <w:bCs w:val="0"/>
          <w:sz w:val="24"/>
          <w:szCs w:val="24"/>
          <w:lang w:val="en"/>
        </w:rPr>
        <w:t xml:space="preserve"> risk weight.</w:t>
      </w:r>
    </w:p>
    <w:p w:rsidR="00EC3BCC" w:rsidRPr="00EC3BCC" w:rsidRDefault="00EC3BCC" w:rsidP="00EC3BCC">
      <w:pPr>
        <w:pStyle w:val="ListParagraph"/>
        <w:numPr>
          <w:ilvl w:val="1"/>
          <w:numId w:val="38"/>
        </w:numPr>
        <w:bidi w:val="0"/>
        <w:spacing w:after="0" w:line="276" w:lineRule="auto"/>
        <w:ind w:left="1276" w:hanging="556"/>
        <w:rPr>
          <w:rFonts w:ascii="Times New Roman" w:hAnsi="Times New Roman" w:cs="Times New Roman"/>
          <w:b w:val="0"/>
          <w:bCs w:val="0"/>
          <w:sz w:val="24"/>
          <w:szCs w:val="24"/>
          <w:lang w:val="en"/>
        </w:rPr>
      </w:pPr>
      <w:r w:rsidRPr="00EC3BCC">
        <w:rPr>
          <w:rFonts w:ascii="Times New Roman" w:hAnsi="Times New Roman" w:cs="Times New Roman"/>
          <w:b w:val="0"/>
          <w:bCs w:val="0"/>
          <w:sz w:val="24"/>
          <w:szCs w:val="24"/>
          <w:lang w:val="en"/>
        </w:rPr>
        <w:t>As for housing loans that are excluded from the qualified portfolio for violating this condition, they may be re-listed within the portfolio as soon as the outstanding balance reaches (80%) of the estimated or purchasing value of the property upon granting.</w:t>
      </w:r>
    </w:p>
    <w:p w:rsidR="00090EDC" w:rsidRPr="00B86B45" w:rsidRDefault="00090EDC" w:rsidP="00090EDC">
      <w:pPr>
        <w:pStyle w:val="ListParagraph"/>
        <w:bidi w:val="0"/>
        <w:spacing w:after="0" w:line="276" w:lineRule="auto"/>
        <w:jc w:val="left"/>
        <w:rPr>
          <w:rFonts w:ascii="Times New Roman" w:hAnsi="Times New Roman" w:cs="Times New Roman"/>
          <w:color w:val="202124"/>
          <w:sz w:val="24"/>
          <w:szCs w:val="24"/>
          <w:lang w:val="en"/>
        </w:rPr>
      </w:pPr>
    </w:p>
    <w:p w:rsidR="00B86B45" w:rsidRDefault="00B86B45" w:rsidP="004101A4">
      <w:pPr>
        <w:pStyle w:val="ListParagraph"/>
        <w:numPr>
          <w:ilvl w:val="0"/>
          <w:numId w:val="38"/>
        </w:numPr>
        <w:bidi w:val="0"/>
        <w:spacing w:after="0" w:line="276" w:lineRule="auto"/>
        <w:ind w:hanging="578"/>
        <w:jc w:val="left"/>
        <w:rPr>
          <w:rFonts w:ascii="Times New Roman" w:hAnsi="Times New Roman" w:cs="Times New Roman"/>
          <w:color w:val="202124"/>
          <w:sz w:val="24"/>
          <w:szCs w:val="24"/>
          <w:lang w:val="en"/>
        </w:rPr>
      </w:pPr>
      <w:r w:rsidRPr="00B86B45">
        <w:rPr>
          <w:rFonts w:ascii="Times New Roman" w:hAnsi="Times New Roman" w:cs="Times New Roman"/>
          <w:color w:val="202124"/>
          <w:sz w:val="24"/>
          <w:szCs w:val="24"/>
          <w:lang w:val="en"/>
        </w:rPr>
        <w:t xml:space="preserve">Mortgage </w:t>
      </w:r>
      <w:r w:rsidR="004101A4">
        <w:rPr>
          <w:rFonts w:ascii="Times New Roman" w:eastAsiaTheme="minorHAnsi" w:hAnsi="Times New Roman" w:cs="Times New Roman"/>
          <w:sz w:val="24"/>
          <w:szCs w:val="24"/>
        </w:rPr>
        <w:t>criteria</w:t>
      </w:r>
      <w:r w:rsidRPr="00B86B45">
        <w:rPr>
          <w:rFonts w:ascii="Times New Roman" w:hAnsi="Times New Roman" w:cs="Times New Roman"/>
          <w:color w:val="202124"/>
          <w:sz w:val="24"/>
          <w:szCs w:val="24"/>
          <w:lang w:val="en"/>
        </w:rPr>
        <w:t>:</w:t>
      </w:r>
    </w:p>
    <w:p w:rsidR="00EC3BCC" w:rsidRPr="00EC3BCC" w:rsidRDefault="00EC3BCC" w:rsidP="00EC3BCC">
      <w:pPr>
        <w:pStyle w:val="ListParagraph"/>
        <w:numPr>
          <w:ilvl w:val="1"/>
          <w:numId w:val="38"/>
        </w:numPr>
        <w:bidi w:val="0"/>
        <w:spacing w:after="0" w:line="276" w:lineRule="auto"/>
        <w:ind w:left="1276" w:hanging="556"/>
        <w:jc w:val="left"/>
        <w:rPr>
          <w:rFonts w:ascii="Times New Roman" w:hAnsi="Times New Roman" w:cs="Times New Roman"/>
          <w:b w:val="0"/>
          <w:bCs w:val="0"/>
          <w:sz w:val="24"/>
          <w:szCs w:val="24"/>
          <w:lang w:val="en"/>
        </w:rPr>
      </w:pPr>
      <w:r w:rsidRPr="00EC3BCC">
        <w:rPr>
          <w:rFonts w:ascii="Times New Roman" w:hAnsi="Times New Roman" w:cs="Times New Roman"/>
          <w:b w:val="0"/>
          <w:bCs w:val="0"/>
          <w:sz w:val="24"/>
          <w:szCs w:val="24"/>
          <w:lang w:val="en"/>
        </w:rPr>
        <w:t>The financed property must be mortgaged of the first degree and subsequent degrees are accepted on the condition that there is no mortgage in favor of another party.</w:t>
      </w:r>
    </w:p>
    <w:p w:rsidR="00EC3BCC" w:rsidRPr="00EC3BCC" w:rsidRDefault="00EC3BCC" w:rsidP="00EC3BCC">
      <w:pPr>
        <w:pStyle w:val="ListParagraph"/>
        <w:numPr>
          <w:ilvl w:val="1"/>
          <w:numId w:val="38"/>
        </w:numPr>
        <w:bidi w:val="0"/>
        <w:spacing w:after="0" w:line="276" w:lineRule="auto"/>
        <w:ind w:left="1276" w:hanging="556"/>
        <w:jc w:val="left"/>
        <w:rPr>
          <w:rFonts w:ascii="Times New Roman" w:hAnsi="Times New Roman" w:cs="Times New Roman"/>
          <w:b w:val="0"/>
          <w:bCs w:val="0"/>
          <w:sz w:val="24"/>
          <w:szCs w:val="24"/>
          <w:lang w:val="en"/>
        </w:rPr>
      </w:pPr>
      <w:r w:rsidRPr="00EC3BCC">
        <w:rPr>
          <w:rFonts w:ascii="Times New Roman" w:hAnsi="Times New Roman" w:cs="Times New Roman"/>
          <w:b w:val="0"/>
          <w:bCs w:val="0"/>
          <w:sz w:val="24"/>
          <w:szCs w:val="24"/>
          <w:lang w:val="en"/>
        </w:rPr>
        <w:t>The value of the mortgage bond must not be less than the value of the granted loan.</w:t>
      </w:r>
    </w:p>
    <w:p w:rsidR="00EC3BCC" w:rsidRDefault="00EC3BCC" w:rsidP="00EC3BCC">
      <w:pPr>
        <w:pStyle w:val="ListParagraph"/>
        <w:numPr>
          <w:ilvl w:val="1"/>
          <w:numId w:val="38"/>
        </w:numPr>
        <w:bidi w:val="0"/>
        <w:spacing w:after="0" w:line="276" w:lineRule="auto"/>
        <w:ind w:left="1276" w:hanging="556"/>
        <w:jc w:val="left"/>
        <w:rPr>
          <w:rFonts w:ascii="Times New Roman" w:hAnsi="Times New Roman" w:cs="Times New Roman"/>
          <w:b w:val="0"/>
          <w:bCs w:val="0"/>
          <w:sz w:val="24"/>
          <w:szCs w:val="24"/>
          <w:lang w:val="en"/>
        </w:rPr>
      </w:pPr>
      <w:r w:rsidRPr="00EC3BCC">
        <w:rPr>
          <w:rFonts w:ascii="Times New Roman" w:hAnsi="Times New Roman" w:cs="Times New Roman"/>
          <w:b w:val="0"/>
          <w:bCs w:val="0"/>
          <w:sz w:val="24"/>
          <w:szCs w:val="24"/>
          <w:lang w:val="en"/>
        </w:rPr>
        <w:t>Mortgages for the purposes of including the loan in the portfolio of eligible housing loans are not accepted if they are related to shares or commonly owned real estate.</w:t>
      </w:r>
    </w:p>
    <w:p w:rsidR="00EC3BCC" w:rsidRPr="00EC3BCC" w:rsidRDefault="00EC3BCC" w:rsidP="00EC3BCC">
      <w:pPr>
        <w:pStyle w:val="ListParagraph"/>
        <w:bidi w:val="0"/>
        <w:spacing w:after="0" w:line="276" w:lineRule="auto"/>
        <w:ind w:left="1276"/>
        <w:jc w:val="left"/>
        <w:rPr>
          <w:rFonts w:ascii="Times New Roman" w:hAnsi="Times New Roman" w:cs="Times New Roman"/>
          <w:b w:val="0"/>
          <w:bCs w:val="0"/>
          <w:sz w:val="24"/>
          <w:szCs w:val="24"/>
          <w:lang w:val="en"/>
        </w:rPr>
      </w:pPr>
    </w:p>
    <w:p w:rsidR="00B86B45" w:rsidRDefault="00B86B45" w:rsidP="004101A4">
      <w:pPr>
        <w:pStyle w:val="ListParagraph"/>
        <w:numPr>
          <w:ilvl w:val="0"/>
          <w:numId w:val="38"/>
        </w:numPr>
        <w:bidi w:val="0"/>
        <w:spacing w:after="0" w:line="276" w:lineRule="auto"/>
        <w:ind w:hanging="578"/>
        <w:jc w:val="left"/>
        <w:rPr>
          <w:rFonts w:ascii="Times New Roman" w:hAnsi="Times New Roman" w:cs="Times New Roman"/>
          <w:color w:val="202124"/>
          <w:sz w:val="24"/>
          <w:szCs w:val="24"/>
          <w:lang w:val="en"/>
        </w:rPr>
      </w:pPr>
      <w:r w:rsidRPr="00B86B45">
        <w:rPr>
          <w:rFonts w:ascii="Times New Roman" w:hAnsi="Times New Roman" w:cs="Times New Roman"/>
          <w:color w:val="202124"/>
          <w:sz w:val="24"/>
          <w:szCs w:val="24"/>
          <w:lang w:val="en"/>
        </w:rPr>
        <w:t xml:space="preserve">Insurance </w:t>
      </w:r>
      <w:r w:rsidR="004101A4">
        <w:rPr>
          <w:rFonts w:ascii="Times New Roman" w:eastAsiaTheme="minorHAnsi" w:hAnsi="Times New Roman" w:cs="Times New Roman"/>
          <w:sz w:val="24"/>
          <w:szCs w:val="24"/>
        </w:rPr>
        <w:t>criteria</w:t>
      </w:r>
      <w:r w:rsidRPr="00B86B45">
        <w:rPr>
          <w:rFonts w:ascii="Times New Roman" w:hAnsi="Times New Roman" w:cs="Times New Roman"/>
          <w:color w:val="202124"/>
          <w:sz w:val="24"/>
          <w:szCs w:val="24"/>
          <w:lang w:val="en"/>
        </w:rPr>
        <w:t>:</w:t>
      </w:r>
    </w:p>
    <w:p w:rsidR="002B1105" w:rsidRPr="002B1105" w:rsidRDefault="002B1105" w:rsidP="006352EB">
      <w:pPr>
        <w:pStyle w:val="ListParagraph"/>
        <w:bidi w:val="0"/>
        <w:spacing w:after="0" w:line="276" w:lineRule="auto"/>
        <w:jc w:val="left"/>
        <w:rPr>
          <w:rFonts w:ascii="Times New Roman" w:hAnsi="Times New Roman" w:cs="Times New Roman"/>
          <w:b w:val="0"/>
          <w:bCs w:val="0"/>
          <w:sz w:val="24"/>
          <w:szCs w:val="24"/>
          <w:lang w:val="en"/>
        </w:rPr>
      </w:pPr>
      <w:r w:rsidRPr="002B1105">
        <w:rPr>
          <w:rFonts w:ascii="Times New Roman" w:hAnsi="Times New Roman" w:cs="Times New Roman"/>
          <w:b w:val="0"/>
          <w:bCs w:val="0"/>
          <w:sz w:val="24"/>
          <w:szCs w:val="24"/>
          <w:lang w:val="en"/>
        </w:rPr>
        <w:t xml:space="preserve">In the event that the financing is more than (80%) of the value of the property with </w:t>
      </w:r>
      <w:r w:rsidR="006352EB">
        <w:rPr>
          <w:rFonts w:ascii="Times New Roman" w:hAnsi="Times New Roman" w:cs="Times New Roman"/>
          <w:b w:val="0"/>
          <w:bCs w:val="0"/>
          <w:sz w:val="24"/>
          <w:szCs w:val="24"/>
          <w:lang w:val="en"/>
        </w:rPr>
        <w:t>m</w:t>
      </w:r>
      <w:r w:rsidRPr="002B1105">
        <w:rPr>
          <w:rFonts w:ascii="Times New Roman" w:hAnsi="Times New Roman" w:cs="Times New Roman"/>
          <w:b w:val="0"/>
          <w:bCs w:val="0"/>
          <w:sz w:val="24"/>
          <w:szCs w:val="24"/>
          <w:lang w:val="en"/>
        </w:rPr>
        <w:t xml:space="preserve">ortgage </w:t>
      </w:r>
      <w:r w:rsidR="006352EB">
        <w:rPr>
          <w:rFonts w:ascii="Times New Roman" w:hAnsi="Times New Roman" w:cs="Times New Roman"/>
          <w:b w:val="0"/>
          <w:bCs w:val="0"/>
          <w:sz w:val="24"/>
          <w:szCs w:val="24"/>
          <w:lang w:val="en"/>
        </w:rPr>
        <w:t>i</w:t>
      </w:r>
      <w:r w:rsidRPr="002B1105">
        <w:rPr>
          <w:rFonts w:ascii="Times New Roman" w:hAnsi="Times New Roman" w:cs="Times New Roman"/>
          <w:b w:val="0"/>
          <w:bCs w:val="0"/>
          <w:sz w:val="24"/>
          <w:szCs w:val="24"/>
          <w:lang w:val="en"/>
        </w:rPr>
        <w:t>nsurance</w:t>
      </w:r>
      <w:r w:rsidR="006352EB">
        <w:rPr>
          <w:rFonts w:ascii="Times New Roman" w:hAnsi="Times New Roman" w:cs="Times New Roman"/>
          <w:b w:val="0"/>
          <w:bCs w:val="0"/>
          <w:sz w:val="24"/>
          <w:szCs w:val="24"/>
          <w:lang w:val="en"/>
        </w:rPr>
        <w:t xml:space="preserve"> </w:t>
      </w:r>
      <w:r w:rsidRPr="002B1105">
        <w:rPr>
          <w:rFonts w:ascii="Times New Roman" w:hAnsi="Times New Roman" w:cs="Times New Roman"/>
          <w:b w:val="0"/>
          <w:bCs w:val="0"/>
          <w:sz w:val="24"/>
          <w:szCs w:val="24"/>
          <w:lang w:val="en"/>
        </w:rPr>
        <w:t>at a rate of not less than (40%) of the loan value issued by an insurance agency recognized by the Central Bank</w:t>
      </w:r>
      <w:r w:rsidR="006352EB">
        <w:rPr>
          <w:rFonts w:ascii="Times New Roman" w:hAnsi="Times New Roman" w:cs="Times New Roman"/>
          <w:b w:val="0"/>
          <w:bCs w:val="0"/>
          <w:sz w:val="24"/>
          <w:szCs w:val="24"/>
          <w:lang w:val="en"/>
        </w:rPr>
        <w:t>,</w:t>
      </w:r>
      <w:r w:rsidR="006352EB" w:rsidRPr="006352EB">
        <w:rPr>
          <w:color w:val="202124"/>
          <w:lang w:val="en"/>
        </w:rPr>
        <w:t xml:space="preserve"> </w:t>
      </w:r>
      <w:r w:rsidR="006352EB" w:rsidRPr="006352EB">
        <w:rPr>
          <w:rFonts w:ascii="Times New Roman" w:hAnsi="Times New Roman" w:cs="Times New Roman"/>
          <w:b w:val="0"/>
          <w:bCs w:val="0"/>
          <w:sz w:val="24"/>
          <w:szCs w:val="24"/>
          <w:lang w:val="en"/>
        </w:rPr>
        <w:t xml:space="preserve">in this case, the </w:t>
      </w:r>
      <w:r w:rsidR="006352EB">
        <w:rPr>
          <w:rFonts w:ascii="Times New Roman" w:hAnsi="Times New Roman" w:cs="Times New Roman"/>
          <w:b w:val="0"/>
          <w:bCs w:val="0"/>
          <w:sz w:val="24"/>
          <w:szCs w:val="24"/>
        </w:rPr>
        <w:t xml:space="preserve">bank may </w:t>
      </w:r>
      <w:r w:rsidR="006352EB">
        <w:rPr>
          <w:rFonts w:ascii="Times New Roman" w:hAnsi="Times New Roman" w:cs="Times New Roman"/>
          <w:b w:val="0"/>
          <w:bCs w:val="0"/>
          <w:sz w:val="24"/>
          <w:szCs w:val="24"/>
          <w:lang w:val="en"/>
        </w:rPr>
        <w:t>include the loan</w:t>
      </w:r>
      <w:r w:rsidR="006352EB" w:rsidRPr="006352EB">
        <w:rPr>
          <w:rFonts w:ascii="Times New Roman" w:hAnsi="Times New Roman" w:cs="Times New Roman"/>
          <w:b w:val="0"/>
          <w:bCs w:val="0"/>
          <w:sz w:val="24"/>
          <w:szCs w:val="24"/>
          <w:lang w:val="en"/>
        </w:rPr>
        <w:t xml:space="preserve"> in the eligible housing loan portfolio</w:t>
      </w:r>
      <w:r w:rsidR="006352EB">
        <w:rPr>
          <w:rFonts w:ascii="Times New Roman" w:hAnsi="Times New Roman" w:cs="Times New Roman"/>
          <w:b w:val="0"/>
          <w:bCs w:val="0"/>
          <w:sz w:val="24"/>
          <w:szCs w:val="24"/>
          <w:lang w:val="en"/>
        </w:rPr>
        <w:t>.</w:t>
      </w:r>
    </w:p>
    <w:p w:rsidR="006352EB" w:rsidRDefault="006352EB" w:rsidP="00841763">
      <w:pPr>
        <w:pStyle w:val="Caption"/>
        <w:bidi w:val="0"/>
        <w:jc w:val="center"/>
        <w:rPr>
          <w:rFonts w:ascii="Times New Roman" w:hAnsi="Times New Roman" w:cs="Times New Roman"/>
          <w:b/>
          <w:bCs/>
          <w:color w:val="auto"/>
          <w:sz w:val="24"/>
          <w:szCs w:val="24"/>
        </w:rPr>
      </w:pPr>
      <w:bookmarkStart w:id="78" w:name="_Toc465255839"/>
      <w:bookmarkEnd w:id="76"/>
    </w:p>
    <w:p w:rsidR="00CE3195" w:rsidRPr="004101A4" w:rsidRDefault="00CE3195" w:rsidP="00B66B27">
      <w:pPr>
        <w:pStyle w:val="Heading1"/>
        <w:pBdr>
          <w:bottom w:val="single" w:sz="4" w:space="1" w:color="auto"/>
        </w:pBdr>
        <w:bidi w:val="0"/>
        <w:jc w:val="center"/>
        <w:rPr>
          <w:rFonts w:asciiTheme="majorBidi" w:hAnsiTheme="majorBidi" w:cstheme="majorBidi"/>
          <w:b/>
          <w:bCs/>
        </w:rPr>
      </w:pPr>
      <w:bookmarkStart w:id="79" w:name="_Toc65354421"/>
      <w:r w:rsidRPr="004101A4">
        <w:rPr>
          <w:rFonts w:asciiTheme="majorBidi" w:hAnsiTheme="majorBidi" w:cstheme="majorBidi"/>
          <w:b/>
          <w:bCs/>
        </w:rPr>
        <w:lastRenderedPageBreak/>
        <w:t>Annex (13) Specialized Lending</w:t>
      </w:r>
      <w:bookmarkEnd w:id="79"/>
      <w:r w:rsidRPr="004101A4">
        <w:rPr>
          <w:rFonts w:asciiTheme="majorBidi" w:hAnsiTheme="majorBidi" w:cstheme="majorBidi"/>
          <w:b/>
          <w:bCs/>
        </w:rPr>
        <w:t xml:space="preserve"> </w:t>
      </w:r>
    </w:p>
    <w:p w:rsidR="00841763" w:rsidRPr="0070739F" w:rsidRDefault="00841763" w:rsidP="00841763">
      <w:pPr>
        <w:bidi w:val="0"/>
        <w:jc w:val="center"/>
        <w:rPr>
          <w:rFonts w:ascii="Times New Roman" w:hAnsi="Times New Roman" w:cs="Times New Roman"/>
          <w:sz w:val="24"/>
          <w:szCs w:val="24"/>
        </w:rPr>
      </w:pPr>
    </w:p>
    <w:p w:rsidR="00CE3195" w:rsidRPr="0070739F" w:rsidRDefault="00CE3195" w:rsidP="00841763">
      <w:pPr>
        <w:pStyle w:val="ListParagraph"/>
        <w:numPr>
          <w:ilvl w:val="0"/>
          <w:numId w:val="27"/>
        </w:numPr>
        <w:bidi w:val="0"/>
        <w:spacing w:after="0" w:line="276" w:lineRule="auto"/>
        <w:ind w:left="426" w:hanging="568"/>
        <w:rPr>
          <w:rFonts w:ascii="Times New Roman" w:hAnsi="Times New Roman" w:cs="Times New Roman"/>
          <w:sz w:val="24"/>
          <w:szCs w:val="24"/>
        </w:rPr>
      </w:pPr>
      <w:r w:rsidRPr="0070739F">
        <w:rPr>
          <w:rFonts w:ascii="Times New Roman" w:hAnsi="Times New Roman" w:cs="Times New Roman"/>
          <w:sz w:val="24"/>
          <w:szCs w:val="24"/>
        </w:rPr>
        <w:t xml:space="preserve">General Rules: </w:t>
      </w:r>
    </w:p>
    <w:p w:rsidR="00CE3195" w:rsidRPr="0070739F" w:rsidRDefault="00CE3195" w:rsidP="00841763">
      <w:pPr>
        <w:pStyle w:val="ListParagraph"/>
        <w:bidi w:val="0"/>
        <w:spacing w:after="0" w:line="276" w:lineRule="auto"/>
        <w:ind w:hanging="294"/>
        <w:rPr>
          <w:rFonts w:ascii="Times New Roman" w:hAnsi="Times New Roman" w:cs="Times New Roman"/>
          <w:b w:val="0"/>
          <w:bCs w:val="0"/>
          <w:color w:val="202124"/>
          <w:sz w:val="24"/>
          <w:szCs w:val="24"/>
          <w:rtl/>
          <w:lang w:val="en"/>
        </w:rPr>
      </w:pPr>
      <w:r w:rsidRPr="0070739F">
        <w:rPr>
          <w:rFonts w:ascii="Times New Roman" w:hAnsi="Times New Roman" w:cs="Times New Roman"/>
          <w:b w:val="0"/>
          <w:bCs w:val="0"/>
          <w:sz w:val="24"/>
          <w:szCs w:val="24"/>
        </w:rPr>
        <w:t xml:space="preserve">Specialized </w:t>
      </w:r>
      <w:r w:rsidRPr="0070739F">
        <w:rPr>
          <w:rFonts w:ascii="Times New Roman" w:hAnsi="Times New Roman" w:cs="Times New Roman"/>
          <w:b w:val="0"/>
          <w:bCs w:val="0"/>
          <w:color w:val="202124"/>
          <w:sz w:val="24"/>
          <w:szCs w:val="24"/>
          <w:lang w:val="en"/>
        </w:rPr>
        <w:t>lending has the following common characteristics</w:t>
      </w:r>
      <w:r w:rsidR="00246F2A" w:rsidRPr="0070739F">
        <w:rPr>
          <w:rFonts w:ascii="Times New Roman" w:hAnsi="Times New Roman" w:cs="Times New Roman"/>
          <w:b w:val="0"/>
          <w:bCs w:val="0"/>
          <w:color w:val="202124"/>
          <w:sz w:val="24"/>
          <w:szCs w:val="24"/>
          <w:rtl/>
          <w:lang w:val="en"/>
        </w:rPr>
        <w:t>:</w:t>
      </w:r>
    </w:p>
    <w:p w:rsidR="00246F2A" w:rsidRPr="0070739F" w:rsidRDefault="00246F2A" w:rsidP="00841763">
      <w:pPr>
        <w:pStyle w:val="ListParagraph"/>
        <w:numPr>
          <w:ilvl w:val="1"/>
          <w:numId w:val="27"/>
        </w:numPr>
        <w:bidi w:val="0"/>
        <w:spacing w:after="0" w:line="276" w:lineRule="auto"/>
        <w:ind w:left="1134" w:hanging="708"/>
        <w:rPr>
          <w:rFonts w:ascii="Times New Roman" w:hAnsi="Times New Roman" w:cs="Times New Roman"/>
          <w:b w:val="0"/>
          <w:bCs w:val="0"/>
          <w:color w:val="202124"/>
          <w:sz w:val="24"/>
          <w:szCs w:val="24"/>
          <w:lang w:val="en"/>
        </w:rPr>
      </w:pPr>
      <w:r w:rsidRPr="0070739F">
        <w:rPr>
          <w:rFonts w:ascii="Times New Roman" w:hAnsi="Times New Roman" w:cs="Times New Roman"/>
          <w:b w:val="0"/>
          <w:bCs w:val="0"/>
          <w:sz w:val="24"/>
          <w:szCs w:val="24"/>
        </w:rPr>
        <w:t xml:space="preserve">The exposure is typically to an entity (often a special purpose entity (SPE)) which was created specifically to implement/ finance/operate </w:t>
      </w:r>
      <w:r w:rsidRPr="0070739F">
        <w:rPr>
          <w:rFonts w:ascii="Times New Roman" w:hAnsi="Times New Roman" w:cs="Times New Roman"/>
          <w:b w:val="0"/>
          <w:bCs w:val="0"/>
          <w:color w:val="202124"/>
          <w:sz w:val="24"/>
          <w:szCs w:val="24"/>
          <w:lang w:val="en"/>
        </w:rPr>
        <w:t xml:space="preserve">any of the five activities listed in the </w:t>
      </w:r>
      <w:r w:rsidRPr="0070739F">
        <w:rPr>
          <w:rFonts w:ascii="Times New Roman" w:hAnsi="Times New Roman" w:cs="Times New Roman"/>
          <w:b w:val="0"/>
          <w:bCs w:val="0"/>
          <w:sz w:val="24"/>
          <w:szCs w:val="24"/>
        </w:rPr>
        <w:t xml:space="preserve">Specialized </w:t>
      </w:r>
      <w:r w:rsidRPr="0070739F">
        <w:rPr>
          <w:rFonts w:ascii="Times New Roman" w:hAnsi="Times New Roman" w:cs="Times New Roman"/>
          <w:b w:val="0"/>
          <w:bCs w:val="0"/>
          <w:color w:val="202124"/>
          <w:sz w:val="24"/>
          <w:szCs w:val="24"/>
          <w:lang w:val="en"/>
        </w:rPr>
        <w:t>lending claims section (2.2.12/1).</w:t>
      </w:r>
    </w:p>
    <w:p w:rsidR="00246F2A" w:rsidRPr="0070739F" w:rsidRDefault="00AC49F5" w:rsidP="00841763">
      <w:pPr>
        <w:pStyle w:val="ListParagraph"/>
        <w:numPr>
          <w:ilvl w:val="1"/>
          <w:numId w:val="27"/>
        </w:numPr>
        <w:bidi w:val="0"/>
        <w:spacing w:after="0" w:line="276" w:lineRule="auto"/>
        <w:ind w:left="1134" w:hanging="708"/>
        <w:rPr>
          <w:rFonts w:ascii="Times New Roman" w:hAnsi="Times New Roman" w:cs="Times New Roman"/>
          <w:b w:val="0"/>
          <w:bCs w:val="0"/>
          <w:sz w:val="24"/>
          <w:szCs w:val="24"/>
        </w:rPr>
      </w:pPr>
      <w:r w:rsidRPr="0070739F">
        <w:rPr>
          <w:rFonts w:ascii="Times New Roman" w:hAnsi="Times New Roman" w:cs="Times New Roman"/>
          <w:b w:val="0"/>
          <w:bCs w:val="0"/>
          <w:color w:val="202124"/>
          <w:sz w:val="24"/>
          <w:szCs w:val="24"/>
          <w:lang w:val="en"/>
        </w:rPr>
        <w:t xml:space="preserve">The credit decision mainly depends on the funded assets ability to generate sufficient income (cash flows) to pay off the credit exposure, not on the creditworthiness (solvency) of the parties that own the </w:t>
      </w:r>
      <w:r w:rsidRPr="0070739F">
        <w:rPr>
          <w:rFonts w:ascii="Times New Roman" w:hAnsi="Times New Roman" w:cs="Times New Roman"/>
          <w:b w:val="0"/>
          <w:bCs w:val="0"/>
          <w:sz w:val="24"/>
          <w:szCs w:val="24"/>
        </w:rPr>
        <w:t>special purpose entity</w:t>
      </w:r>
      <w:r w:rsidRPr="0070739F">
        <w:rPr>
          <w:rFonts w:ascii="Times New Roman" w:hAnsi="Times New Roman" w:cs="Times New Roman"/>
          <w:b w:val="0"/>
          <w:bCs w:val="0"/>
          <w:color w:val="202124"/>
          <w:sz w:val="24"/>
          <w:szCs w:val="24"/>
          <w:lang w:val="en"/>
        </w:rPr>
        <w:t>.</w:t>
      </w:r>
    </w:p>
    <w:p w:rsidR="00AC49F5" w:rsidRPr="0070739F" w:rsidRDefault="00AC49F5" w:rsidP="00841763">
      <w:pPr>
        <w:pStyle w:val="ListParagraph"/>
        <w:numPr>
          <w:ilvl w:val="1"/>
          <w:numId w:val="27"/>
        </w:numPr>
        <w:bidi w:val="0"/>
        <w:spacing w:after="0" w:line="276" w:lineRule="auto"/>
        <w:ind w:left="1134" w:hanging="708"/>
        <w:rPr>
          <w:rFonts w:ascii="Times New Roman" w:hAnsi="Times New Roman" w:cs="Times New Roman"/>
          <w:b w:val="0"/>
          <w:bCs w:val="0"/>
          <w:sz w:val="24"/>
          <w:szCs w:val="24"/>
        </w:rPr>
      </w:pPr>
      <w:r w:rsidRPr="0070739F">
        <w:rPr>
          <w:rFonts w:ascii="Times New Roman" w:hAnsi="Times New Roman" w:cs="Times New Roman"/>
          <w:b w:val="0"/>
          <w:bCs w:val="0"/>
          <w:color w:val="202124"/>
          <w:sz w:val="24"/>
          <w:szCs w:val="24"/>
          <w:lang w:val="en"/>
        </w:rPr>
        <w:t xml:space="preserve">In the event that the credit decision is based on the </w:t>
      </w:r>
      <w:r w:rsidR="00E4246D" w:rsidRPr="0070739F">
        <w:rPr>
          <w:rFonts w:ascii="Times New Roman" w:hAnsi="Times New Roman" w:cs="Times New Roman"/>
          <w:b w:val="0"/>
          <w:bCs w:val="0"/>
          <w:color w:val="202124"/>
          <w:sz w:val="24"/>
          <w:szCs w:val="24"/>
          <w:lang w:val="en"/>
        </w:rPr>
        <w:t xml:space="preserve">creditworthiness </w:t>
      </w:r>
      <w:r w:rsidRPr="0070739F">
        <w:rPr>
          <w:rFonts w:ascii="Times New Roman" w:hAnsi="Times New Roman" w:cs="Times New Roman"/>
          <w:b w:val="0"/>
          <w:bCs w:val="0"/>
          <w:color w:val="202124"/>
          <w:sz w:val="24"/>
          <w:szCs w:val="24"/>
          <w:lang w:val="en"/>
        </w:rPr>
        <w:t xml:space="preserve">(solvency) of the entities that own the </w:t>
      </w:r>
      <w:r w:rsidR="00E4246D" w:rsidRPr="0070739F">
        <w:rPr>
          <w:rFonts w:ascii="Times New Roman" w:hAnsi="Times New Roman" w:cs="Times New Roman"/>
          <w:b w:val="0"/>
          <w:bCs w:val="0"/>
          <w:sz w:val="24"/>
          <w:szCs w:val="24"/>
        </w:rPr>
        <w:t>special purpose entity</w:t>
      </w:r>
      <w:r w:rsidRPr="0070739F">
        <w:rPr>
          <w:rFonts w:ascii="Times New Roman" w:hAnsi="Times New Roman" w:cs="Times New Roman"/>
          <w:b w:val="0"/>
          <w:bCs w:val="0"/>
          <w:color w:val="202124"/>
          <w:sz w:val="24"/>
          <w:szCs w:val="24"/>
          <w:lang w:val="en"/>
        </w:rPr>
        <w:t>, the credit exposure is excluded from the framework (concept) of specialized lending and is treated accordingly as corporate claims</w:t>
      </w:r>
      <w:r w:rsidR="00E4246D" w:rsidRPr="0070739F">
        <w:rPr>
          <w:rFonts w:ascii="Times New Roman" w:hAnsi="Times New Roman" w:cs="Times New Roman"/>
          <w:b w:val="0"/>
          <w:bCs w:val="0"/>
          <w:color w:val="202124"/>
          <w:sz w:val="24"/>
          <w:szCs w:val="24"/>
          <w:lang w:val="en"/>
        </w:rPr>
        <w:t>. For this, it is required to obtain the guarantees of the owners of the full value of the financing until the last maturity date.</w:t>
      </w:r>
    </w:p>
    <w:p w:rsidR="00E4246D" w:rsidRPr="0070739F" w:rsidRDefault="00E4246D" w:rsidP="00841763">
      <w:pPr>
        <w:pStyle w:val="ListParagraph"/>
        <w:numPr>
          <w:ilvl w:val="1"/>
          <w:numId w:val="27"/>
        </w:numPr>
        <w:bidi w:val="0"/>
        <w:spacing w:after="0" w:line="276" w:lineRule="auto"/>
        <w:ind w:left="1134" w:hanging="708"/>
        <w:rPr>
          <w:rFonts w:ascii="Times New Roman" w:hAnsi="Times New Roman" w:cs="Times New Roman"/>
          <w:b w:val="0"/>
          <w:bCs w:val="0"/>
          <w:sz w:val="24"/>
          <w:szCs w:val="24"/>
        </w:rPr>
      </w:pPr>
      <w:r w:rsidRPr="0070739F">
        <w:rPr>
          <w:rFonts w:ascii="Times New Roman" w:hAnsi="Times New Roman" w:cs="Times New Roman"/>
          <w:b w:val="0"/>
          <w:bCs w:val="0"/>
          <w:sz w:val="24"/>
          <w:szCs w:val="24"/>
        </w:rPr>
        <w:t>The borrowing entity has little or no other material assets or activities, and therefore little or no independent capacity to repay the obligation, apart from the income that it receives from the asset(s) being financed.</w:t>
      </w:r>
    </w:p>
    <w:p w:rsidR="00E4246D" w:rsidRPr="0070739F" w:rsidRDefault="00E4246D" w:rsidP="00841763">
      <w:pPr>
        <w:pStyle w:val="ListParagraph"/>
        <w:numPr>
          <w:ilvl w:val="1"/>
          <w:numId w:val="27"/>
        </w:numPr>
        <w:bidi w:val="0"/>
        <w:spacing w:after="0" w:line="276" w:lineRule="auto"/>
        <w:ind w:left="1134" w:hanging="708"/>
        <w:rPr>
          <w:rFonts w:ascii="Times New Roman" w:hAnsi="Times New Roman" w:cs="Times New Roman"/>
          <w:b w:val="0"/>
          <w:bCs w:val="0"/>
          <w:sz w:val="24"/>
          <w:szCs w:val="24"/>
        </w:rPr>
      </w:pPr>
      <w:r w:rsidRPr="0070739F">
        <w:rPr>
          <w:rFonts w:ascii="Times New Roman" w:hAnsi="Times New Roman" w:cs="Times New Roman"/>
          <w:b w:val="0"/>
          <w:bCs w:val="0"/>
          <w:sz w:val="24"/>
          <w:szCs w:val="24"/>
        </w:rPr>
        <w:t>The terms of the obligation give the lender a substantial degree of control over the asset(s) and the income that it generates.</w:t>
      </w:r>
    </w:p>
    <w:p w:rsidR="00E4246D" w:rsidRPr="00B66B27" w:rsidRDefault="00E4246D" w:rsidP="004101A4">
      <w:pPr>
        <w:pStyle w:val="ListParagraph"/>
        <w:numPr>
          <w:ilvl w:val="1"/>
          <w:numId w:val="27"/>
        </w:numPr>
        <w:bidi w:val="0"/>
        <w:spacing w:after="0" w:line="276" w:lineRule="auto"/>
        <w:ind w:left="1134" w:hanging="708"/>
        <w:rPr>
          <w:rFonts w:ascii="Times New Roman" w:hAnsi="Times New Roman" w:cs="Times New Roman"/>
          <w:b w:val="0"/>
          <w:bCs w:val="0"/>
          <w:sz w:val="24"/>
          <w:szCs w:val="24"/>
        </w:rPr>
      </w:pPr>
      <w:r w:rsidRPr="0070739F">
        <w:rPr>
          <w:rFonts w:ascii="Times New Roman" w:hAnsi="Times New Roman" w:cs="Times New Roman"/>
          <w:b w:val="0"/>
          <w:bCs w:val="0"/>
          <w:color w:val="202124"/>
          <w:sz w:val="24"/>
          <w:szCs w:val="24"/>
          <w:lang w:val="en"/>
        </w:rPr>
        <w:t xml:space="preserve">The financed assets must be fully mortgaged as </w:t>
      </w:r>
      <w:r w:rsidRPr="0070739F">
        <w:rPr>
          <w:rFonts w:ascii="Times New Roman" w:hAnsi="Times New Roman" w:cs="Times New Roman"/>
          <w:b w:val="0"/>
          <w:bCs w:val="0"/>
          <w:color w:val="202124"/>
          <w:sz w:val="24"/>
          <w:szCs w:val="24"/>
        </w:rPr>
        <w:t>guarantee</w:t>
      </w:r>
      <w:r w:rsidR="00B66B27">
        <w:rPr>
          <w:rFonts w:ascii="Times New Roman" w:hAnsi="Times New Roman" w:cs="Times New Roman"/>
          <w:b w:val="0"/>
          <w:bCs w:val="0"/>
          <w:color w:val="202124"/>
          <w:sz w:val="24"/>
          <w:szCs w:val="24"/>
          <w:lang w:val="en"/>
        </w:rPr>
        <w:t xml:space="preserve"> for the lending bank.</w:t>
      </w:r>
    </w:p>
    <w:p w:rsidR="00B66B27" w:rsidRPr="0070739F" w:rsidRDefault="00B66B27" w:rsidP="00B66B27">
      <w:pPr>
        <w:pStyle w:val="ListParagraph"/>
        <w:bidi w:val="0"/>
        <w:spacing w:after="0" w:line="276" w:lineRule="auto"/>
        <w:ind w:left="1134"/>
        <w:rPr>
          <w:rFonts w:ascii="Times New Roman" w:hAnsi="Times New Roman" w:cs="Times New Roman"/>
          <w:b w:val="0"/>
          <w:bCs w:val="0"/>
          <w:sz w:val="24"/>
          <w:szCs w:val="24"/>
        </w:rPr>
      </w:pPr>
    </w:p>
    <w:p w:rsidR="00CE3195" w:rsidRPr="0070739F" w:rsidRDefault="00E4246D" w:rsidP="00841763">
      <w:pPr>
        <w:pStyle w:val="ListParagraph"/>
        <w:numPr>
          <w:ilvl w:val="0"/>
          <w:numId w:val="27"/>
        </w:numPr>
        <w:bidi w:val="0"/>
        <w:spacing w:after="0" w:line="276" w:lineRule="auto"/>
        <w:ind w:left="426" w:hanging="568"/>
        <w:rPr>
          <w:rFonts w:ascii="Times New Roman" w:hAnsi="Times New Roman" w:cs="Times New Roman"/>
          <w:sz w:val="24"/>
          <w:szCs w:val="24"/>
        </w:rPr>
      </w:pPr>
      <w:r w:rsidRPr="0070739F">
        <w:rPr>
          <w:rFonts w:ascii="Times New Roman" w:hAnsi="Times New Roman" w:cs="Times New Roman"/>
          <w:color w:val="202124"/>
          <w:sz w:val="24"/>
          <w:szCs w:val="24"/>
          <w:lang w:val="en"/>
        </w:rPr>
        <w:t>Types of specialized lending:</w:t>
      </w:r>
    </w:p>
    <w:p w:rsidR="00E4246D" w:rsidRPr="0070739F" w:rsidRDefault="00E4246D" w:rsidP="00841763">
      <w:pPr>
        <w:pStyle w:val="ListParagraph"/>
        <w:bidi w:val="0"/>
        <w:spacing w:after="0" w:line="276" w:lineRule="auto"/>
        <w:ind w:hanging="294"/>
        <w:rPr>
          <w:rFonts w:ascii="Times New Roman" w:hAnsi="Times New Roman" w:cs="Times New Roman"/>
          <w:b w:val="0"/>
          <w:bCs w:val="0"/>
          <w:color w:val="202124"/>
          <w:sz w:val="24"/>
          <w:szCs w:val="24"/>
          <w:lang w:val="en"/>
        </w:rPr>
      </w:pPr>
      <w:r w:rsidRPr="0070739F">
        <w:rPr>
          <w:rFonts w:ascii="Times New Roman" w:hAnsi="Times New Roman" w:cs="Times New Roman"/>
          <w:b w:val="0"/>
          <w:bCs w:val="0"/>
          <w:color w:val="202124"/>
          <w:sz w:val="24"/>
          <w:szCs w:val="24"/>
          <w:lang w:val="en"/>
        </w:rPr>
        <w:t>This type of lending is divided into five types as follows:</w:t>
      </w:r>
    </w:p>
    <w:p w:rsidR="00E4246D" w:rsidRPr="0070739F" w:rsidRDefault="00E4246D" w:rsidP="00841763">
      <w:pPr>
        <w:pStyle w:val="ListParagraph"/>
        <w:numPr>
          <w:ilvl w:val="1"/>
          <w:numId w:val="27"/>
        </w:numPr>
        <w:bidi w:val="0"/>
        <w:spacing w:after="0" w:line="276" w:lineRule="auto"/>
        <w:ind w:left="1134" w:hanging="708"/>
        <w:rPr>
          <w:rFonts w:ascii="Times New Roman" w:hAnsi="Times New Roman" w:cs="Times New Roman"/>
          <w:sz w:val="24"/>
          <w:szCs w:val="24"/>
        </w:rPr>
      </w:pPr>
      <w:r w:rsidRPr="0070739F">
        <w:rPr>
          <w:rFonts w:ascii="Times New Roman" w:hAnsi="Times New Roman" w:cs="Times New Roman"/>
          <w:sz w:val="24"/>
          <w:szCs w:val="24"/>
        </w:rPr>
        <w:t>Project Finance:</w:t>
      </w:r>
    </w:p>
    <w:p w:rsidR="00F90D99" w:rsidRPr="0070739F" w:rsidRDefault="00841763" w:rsidP="00841763">
      <w:pPr>
        <w:pStyle w:val="ListParagraph"/>
        <w:numPr>
          <w:ilvl w:val="2"/>
          <w:numId w:val="27"/>
        </w:numPr>
        <w:bidi w:val="0"/>
        <w:spacing w:after="0" w:line="276" w:lineRule="auto"/>
        <w:ind w:left="1985" w:hanging="905"/>
        <w:rPr>
          <w:rFonts w:ascii="Times New Roman" w:hAnsi="Times New Roman" w:cs="Times New Roman"/>
          <w:b w:val="0"/>
          <w:bCs w:val="0"/>
          <w:sz w:val="24"/>
          <w:szCs w:val="24"/>
        </w:rPr>
      </w:pPr>
      <w:r w:rsidRPr="0070739F">
        <w:rPr>
          <w:rFonts w:ascii="Times New Roman" w:hAnsi="Times New Roman" w:cs="Times New Roman"/>
          <w:b w:val="0"/>
          <w:bCs w:val="0"/>
          <w:sz w:val="24"/>
          <w:szCs w:val="24"/>
        </w:rPr>
        <w:t>I</w:t>
      </w:r>
      <w:r w:rsidR="00F90D99" w:rsidRPr="0070739F">
        <w:rPr>
          <w:rFonts w:ascii="Times New Roman" w:hAnsi="Times New Roman" w:cs="Times New Roman"/>
          <w:b w:val="0"/>
          <w:bCs w:val="0"/>
          <w:sz w:val="24"/>
          <w:szCs w:val="24"/>
        </w:rPr>
        <w:t xml:space="preserve">s a method of funding in which the lender looks primarily to the revenues generated by a single project, both as the source of repayment and as security for the </w:t>
      </w:r>
      <w:proofErr w:type="gramStart"/>
      <w:r w:rsidR="00F90D99" w:rsidRPr="0070739F">
        <w:rPr>
          <w:rFonts w:ascii="Times New Roman" w:hAnsi="Times New Roman" w:cs="Times New Roman"/>
          <w:b w:val="0"/>
          <w:bCs w:val="0"/>
          <w:sz w:val="24"/>
          <w:szCs w:val="24"/>
        </w:rPr>
        <w:t>exposure.</w:t>
      </w:r>
      <w:proofErr w:type="gramEnd"/>
    </w:p>
    <w:p w:rsidR="00F90D99" w:rsidRPr="0070739F" w:rsidRDefault="00F90D99" w:rsidP="00841763">
      <w:pPr>
        <w:pStyle w:val="ListParagraph"/>
        <w:numPr>
          <w:ilvl w:val="2"/>
          <w:numId w:val="27"/>
        </w:numPr>
        <w:bidi w:val="0"/>
        <w:spacing w:after="0" w:line="276" w:lineRule="auto"/>
        <w:ind w:left="1985" w:hanging="905"/>
        <w:rPr>
          <w:rFonts w:ascii="Times New Roman" w:hAnsi="Times New Roman" w:cs="Times New Roman"/>
          <w:b w:val="0"/>
          <w:bCs w:val="0"/>
          <w:sz w:val="24"/>
          <w:szCs w:val="24"/>
        </w:rPr>
      </w:pPr>
      <w:r w:rsidRPr="0070739F">
        <w:rPr>
          <w:rFonts w:ascii="Times New Roman" w:hAnsi="Times New Roman" w:cs="Times New Roman"/>
          <w:b w:val="0"/>
          <w:bCs w:val="0"/>
          <w:sz w:val="24"/>
          <w:szCs w:val="24"/>
        </w:rPr>
        <w:t>This type of financing is usually for large, complex and expensive installations that might include, for example, power plants, chemical processing plants, mines, transportation infrastructure, environment, and telecommunications infrastructure.</w:t>
      </w:r>
    </w:p>
    <w:p w:rsidR="00F90D99" w:rsidRPr="0070739F" w:rsidRDefault="00F90D99" w:rsidP="00841763">
      <w:pPr>
        <w:pStyle w:val="ListParagraph"/>
        <w:numPr>
          <w:ilvl w:val="2"/>
          <w:numId w:val="27"/>
        </w:numPr>
        <w:bidi w:val="0"/>
        <w:spacing w:after="0" w:line="276" w:lineRule="auto"/>
        <w:ind w:left="1985" w:hanging="905"/>
        <w:rPr>
          <w:rFonts w:ascii="Times New Roman" w:hAnsi="Times New Roman" w:cs="Times New Roman"/>
          <w:b w:val="0"/>
          <w:bCs w:val="0"/>
          <w:sz w:val="24"/>
          <w:szCs w:val="24"/>
        </w:rPr>
      </w:pPr>
      <w:r w:rsidRPr="0070739F">
        <w:rPr>
          <w:rFonts w:ascii="Times New Roman" w:hAnsi="Times New Roman" w:cs="Times New Roman"/>
          <w:b w:val="0"/>
          <w:bCs w:val="0"/>
          <w:sz w:val="24"/>
          <w:szCs w:val="24"/>
        </w:rPr>
        <w:t>Project finance may take the form of financing of the construction of a new capital installation, or refinancing of an existing installation, with or without improvements.</w:t>
      </w:r>
    </w:p>
    <w:p w:rsidR="00F90D99" w:rsidRPr="0070739F" w:rsidRDefault="00F90D99" w:rsidP="00841763">
      <w:pPr>
        <w:pStyle w:val="ListParagraph"/>
        <w:numPr>
          <w:ilvl w:val="2"/>
          <w:numId w:val="27"/>
        </w:numPr>
        <w:bidi w:val="0"/>
        <w:spacing w:after="0" w:line="276" w:lineRule="auto"/>
        <w:ind w:left="1985" w:hanging="905"/>
        <w:rPr>
          <w:rFonts w:ascii="Times New Roman" w:hAnsi="Times New Roman" w:cs="Times New Roman"/>
          <w:b w:val="0"/>
          <w:bCs w:val="0"/>
          <w:sz w:val="24"/>
          <w:szCs w:val="24"/>
        </w:rPr>
      </w:pPr>
      <w:r w:rsidRPr="0070739F">
        <w:rPr>
          <w:rFonts w:ascii="Times New Roman" w:hAnsi="Times New Roman" w:cs="Times New Roman"/>
          <w:b w:val="0"/>
          <w:bCs w:val="0"/>
          <w:sz w:val="24"/>
          <w:szCs w:val="24"/>
        </w:rPr>
        <w:t>In such transactions, the lender is usually paid solely or almost exclusively out of the money generated by the contracts for the facility’s output, such as the electricity sold by a power plant.</w:t>
      </w:r>
    </w:p>
    <w:p w:rsidR="00F90D99" w:rsidRPr="0070739F" w:rsidRDefault="00F90D99" w:rsidP="00841763">
      <w:pPr>
        <w:pStyle w:val="ListParagraph"/>
        <w:numPr>
          <w:ilvl w:val="2"/>
          <w:numId w:val="27"/>
        </w:numPr>
        <w:bidi w:val="0"/>
        <w:spacing w:after="0" w:line="276" w:lineRule="auto"/>
        <w:ind w:left="1985" w:hanging="905"/>
        <w:rPr>
          <w:rFonts w:ascii="Times New Roman" w:hAnsi="Times New Roman" w:cs="Times New Roman"/>
          <w:b w:val="0"/>
          <w:bCs w:val="0"/>
          <w:sz w:val="24"/>
          <w:szCs w:val="24"/>
        </w:rPr>
      </w:pPr>
      <w:r w:rsidRPr="0070739F">
        <w:rPr>
          <w:rFonts w:ascii="Times New Roman" w:hAnsi="Times New Roman" w:cs="Times New Roman"/>
          <w:b w:val="0"/>
          <w:bCs w:val="0"/>
          <w:sz w:val="24"/>
          <w:szCs w:val="24"/>
        </w:rPr>
        <w:lastRenderedPageBreak/>
        <w:t>The borrower is usually an SPE that is not permitted to perform any function other than developing, owning, and operating the installation.</w:t>
      </w:r>
    </w:p>
    <w:p w:rsidR="00E4246D" w:rsidRPr="0070739F" w:rsidRDefault="00E4246D" w:rsidP="00841763">
      <w:pPr>
        <w:pStyle w:val="ListParagraph"/>
        <w:numPr>
          <w:ilvl w:val="1"/>
          <w:numId w:val="27"/>
        </w:numPr>
        <w:bidi w:val="0"/>
        <w:spacing w:after="0" w:line="276" w:lineRule="auto"/>
        <w:ind w:left="1134" w:hanging="708"/>
        <w:rPr>
          <w:rFonts w:ascii="Times New Roman" w:hAnsi="Times New Roman" w:cs="Times New Roman"/>
          <w:sz w:val="24"/>
          <w:szCs w:val="24"/>
        </w:rPr>
      </w:pPr>
      <w:r w:rsidRPr="0070739F">
        <w:rPr>
          <w:rFonts w:ascii="Times New Roman" w:hAnsi="Times New Roman" w:cs="Times New Roman"/>
          <w:sz w:val="24"/>
          <w:szCs w:val="24"/>
        </w:rPr>
        <w:t>Object finance:</w:t>
      </w:r>
    </w:p>
    <w:p w:rsidR="00F90D99" w:rsidRPr="0070739F" w:rsidRDefault="00077ADA" w:rsidP="00B23B46">
      <w:pPr>
        <w:pStyle w:val="ListParagraph"/>
        <w:numPr>
          <w:ilvl w:val="2"/>
          <w:numId w:val="27"/>
        </w:numPr>
        <w:bidi w:val="0"/>
        <w:spacing w:after="0" w:line="276" w:lineRule="auto"/>
        <w:ind w:left="1985" w:hanging="851"/>
        <w:rPr>
          <w:rFonts w:ascii="Times New Roman" w:hAnsi="Times New Roman" w:cs="Times New Roman"/>
          <w:b w:val="0"/>
          <w:bCs w:val="0"/>
          <w:sz w:val="24"/>
          <w:szCs w:val="24"/>
        </w:rPr>
      </w:pPr>
      <w:r w:rsidRPr="0070739F">
        <w:rPr>
          <w:rFonts w:ascii="Times New Roman" w:hAnsi="Times New Roman" w:cs="Times New Roman"/>
          <w:b w:val="0"/>
          <w:bCs w:val="0"/>
          <w:sz w:val="24"/>
          <w:szCs w:val="24"/>
        </w:rPr>
        <w:t>Object finance (OF) refers to a method of funding the acquisition of physical asset</w:t>
      </w:r>
      <w:r w:rsidR="00B23B46">
        <w:rPr>
          <w:rFonts w:ascii="Times New Roman" w:hAnsi="Times New Roman" w:cs="Times New Roman"/>
          <w:b w:val="0"/>
          <w:bCs w:val="0"/>
          <w:sz w:val="24"/>
          <w:szCs w:val="24"/>
        </w:rPr>
        <w:t>s (e.g. ships, aircraft</w:t>
      </w:r>
      <w:r w:rsidRPr="0070739F">
        <w:rPr>
          <w:rFonts w:ascii="Times New Roman" w:hAnsi="Times New Roman" w:cs="Times New Roman"/>
          <w:b w:val="0"/>
          <w:bCs w:val="0"/>
          <w:sz w:val="24"/>
          <w:szCs w:val="24"/>
        </w:rPr>
        <w:t>, railcars, and fleets) where the repayment of the exposure is dependent on the cash flows generated by the specific assets that have been financed and pledged or assigned to the lender.</w:t>
      </w:r>
    </w:p>
    <w:p w:rsidR="008C5A75" w:rsidRPr="0070739F" w:rsidRDefault="008C5A75" w:rsidP="00841763">
      <w:pPr>
        <w:pStyle w:val="ListParagraph"/>
        <w:numPr>
          <w:ilvl w:val="2"/>
          <w:numId w:val="27"/>
        </w:numPr>
        <w:bidi w:val="0"/>
        <w:spacing w:after="0" w:line="276" w:lineRule="auto"/>
        <w:ind w:left="1985" w:hanging="851"/>
        <w:rPr>
          <w:rFonts w:ascii="Times New Roman" w:hAnsi="Times New Roman" w:cs="Times New Roman"/>
          <w:b w:val="0"/>
          <w:bCs w:val="0"/>
          <w:sz w:val="24"/>
          <w:szCs w:val="24"/>
        </w:rPr>
      </w:pPr>
      <w:r w:rsidRPr="0070739F">
        <w:rPr>
          <w:rFonts w:ascii="Times New Roman" w:hAnsi="Times New Roman" w:cs="Times New Roman"/>
          <w:b w:val="0"/>
          <w:bCs w:val="0"/>
          <w:sz w:val="24"/>
          <w:szCs w:val="24"/>
        </w:rPr>
        <w:t>A primary source of these cash flows might be rental or lease contracts with one or several third parties.</w:t>
      </w:r>
    </w:p>
    <w:p w:rsidR="00E4246D" w:rsidRPr="0070739F" w:rsidRDefault="00E4246D" w:rsidP="00841763">
      <w:pPr>
        <w:pStyle w:val="ListParagraph"/>
        <w:numPr>
          <w:ilvl w:val="1"/>
          <w:numId w:val="27"/>
        </w:numPr>
        <w:bidi w:val="0"/>
        <w:spacing w:after="0" w:line="276" w:lineRule="auto"/>
        <w:ind w:left="1134" w:hanging="708"/>
        <w:rPr>
          <w:rFonts w:ascii="Times New Roman" w:hAnsi="Times New Roman" w:cs="Times New Roman"/>
          <w:sz w:val="24"/>
          <w:szCs w:val="24"/>
        </w:rPr>
      </w:pPr>
      <w:r w:rsidRPr="0070739F">
        <w:rPr>
          <w:rFonts w:ascii="Times New Roman" w:hAnsi="Times New Roman" w:cs="Times New Roman"/>
          <w:sz w:val="24"/>
          <w:szCs w:val="24"/>
        </w:rPr>
        <w:t>Commodities finance:</w:t>
      </w:r>
    </w:p>
    <w:p w:rsidR="008C5A75" w:rsidRPr="0070739F" w:rsidRDefault="008C5A75" w:rsidP="00841763">
      <w:pPr>
        <w:pStyle w:val="ListParagraph"/>
        <w:numPr>
          <w:ilvl w:val="2"/>
          <w:numId w:val="27"/>
        </w:numPr>
        <w:bidi w:val="0"/>
        <w:spacing w:after="0" w:line="276" w:lineRule="auto"/>
        <w:ind w:left="1985" w:hanging="851"/>
        <w:rPr>
          <w:rFonts w:ascii="Times New Roman" w:hAnsi="Times New Roman" w:cs="Times New Roman"/>
          <w:b w:val="0"/>
          <w:bCs w:val="0"/>
          <w:sz w:val="24"/>
          <w:szCs w:val="24"/>
        </w:rPr>
      </w:pPr>
      <w:r w:rsidRPr="0070739F">
        <w:rPr>
          <w:rFonts w:ascii="Times New Roman" w:hAnsi="Times New Roman" w:cs="Times New Roman"/>
          <w:b w:val="0"/>
          <w:bCs w:val="0"/>
          <w:sz w:val="24"/>
          <w:szCs w:val="24"/>
        </w:rPr>
        <w:t>Commodities finance (CF) refers to structured short-term lending (no more than 180 days) to finance reserves, inventories, or receivables of exchange-traded commodities (e.g. crude oil, metals, or crops).</w:t>
      </w:r>
    </w:p>
    <w:p w:rsidR="008C5A75" w:rsidRPr="0070739F" w:rsidRDefault="008C5A75" w:rsidP="00841763">
      <w:pPr>
        <w:pStyle w:val="ListParagraph"/>
        <w:numPr>
          <w:ilvl w:val="2"/>
          <w:numId w:val="27"/>
        </w:numPr>
        <w:bidi w:val="0"/>
        <w:spacing w:after="0" w:line="276" w:lineRule="auto"/>
        <w:ind w:left="1985" w:hanging="851"/>
        <w:rPr>
          <w:rFonts w:ascii="Times New Roman" w:hAnsi="Times New Roman" w:cs="Times New Roman"/>
          <w:b w:val="0"/>
          <w:bCs w:val="0"/>
          <w:sz w:val="24"/>
          <w:szCs w:val="24"/>
        </w:rPr>
      </w:pPr>
      <w:r w:rsidRPr="0070739F">
        <w:rPr>
          <w:rFonts w:ascii="Times New Roman" w:hAnsi="Times New Roman" w:cs="Times New Roman"/>
          <w:b w:val="0"/>
          <w:bCs w:val="0"/>
          <w:sz w:val="24"/>
          <w:szCs w:val="24"/>
        </w:rPr>
        <w:t>the exposure will be repaid from the proceeds of the sale of the commodity and the borrower has no independent capacity to repay the exposure. This is the case when the borrower has no other activities and no other material assets on its balance sheet.</w:t>
      </w:r>
    </w:p>
    <w:p w:rsidR="008C5A75" w:rsidRPr="0070739F" w:rsidRDefault="008C5A75" w:rsidP="00841763">
      <w:pPr>
        <w:pStyle w:val="ListParagraph"/>
        <w:numPr>
          <w:ilvl w:val="2"/>
          <w:numId w:val="27"/>
        </w:numPr>
        <w:bidi w:val="0"/>
        <w:spacing w:after="0" w:line="276" w:lineRule="auto"/>
        <w:ind w:left="1985" w:hanging="851"/>
        <w:rPr>
          <w:rFonts w:ascii="Times New Roman" w:hAnsi="Times New Roman" w:cs="Times New Roman"/>
          <w:b w:val="0"/>
          <w:bCs w:val="0"/>
          <w:sz w:val="24"/>
          <w:szCs w:val="24"/>
        </w:rPr>
      </w:pPr>
      <w:r w:rsidRPr="0070739F">
        <w:rPr>
          <w:rFonts w:ascii="Times New Roman" w:hAnsi="Times New Roman" w:cs="Times New Roman"/>
          <w:b w:val="0"/>
          <w:bCs w:val="0"/>
          <w:sz w:val="24"/>
          <w:szCs w:val="24"/>
        </w:rPr>
        <w:t>The structured nature of the financing is designed to compensate for the weak credit quality of the borrower. The exposure’s rating reflects its self-liquidating nature and the lender’s skill in structuring the transaction rather than the credit quality of the borrower.</w:t>
      </w:r>
    </w:p>
    <w:p w:rsidR="008C5A75" w:rsidRPr="0070739F" w:rsidRDefault="00DC525B" w:rsidP="00841763">
      <w:pPr>
        <w:pStyle w:val="ListParagraph"/>
        <w:numPr>
          <w:ilvl w:val="2"/>
          <w:numId w:val="27"/>
        </w:numPr>
        <w:bidi w:val="0"/>
        <w:spacing w:after="0" w:line="276" w:lineRule="auto"/>
        <w:ind w:left="1985" w:hanging="851"/>
        <w:rPr>
          <w:rFonts w:ascii="Times New Roman" w:hAnsi="Times New Roman" w:cs="Times New Roman"/>
          <w:b w:val="0"/>
          <w:bCs w:val="0"/>
          <w:sz w:val="24"/>
          <w:szCs w:val="24"/>
        </w:rPr>
      </w:pPr>
      <w:r w:rsidRPr="0070739F">
        <w:rPr>
          <w:rFonts w:ascii="Times New Roman" w:hAnsi="Times New Roman" w:cs="Times New Roman"/>
          <w:b w:val="0"/>
          <w:bCs w:val="0"/>
          <w:sz w:val="24"/>
          <w:szCs w:val="24"/>
        </w:rPr>
        <w:t xml:space="preserve">such lending can be distinguished from exposures financing the reserves, inventories, or receivables of other more diversified corporate borrowers. Banks are able to rate the credit quality of the latter type of borrowers based on their broader ongoing operations. In such cases, the value of the commodity serves as a risk </w:t>
      </w:r>
      <w:proofErr w:type="spellStart"/>
      <w:r w:rsidRPr="0070739F">
        <w:rPr>
          <w:rFonts w:ascii="Times New Roman" w:hAnsi="Times New Roman" w:cs="Times New Roman"/>
          <w:b w:val="0"/>
          <w:bCs w:val="0"/>
          <w:sz w:val="24"/>
          <w:szCs w:val="24"/>
        </w:rPr>
        <w:t>mitigant</w:t>
      </w:r>
      <w:proofErr w:type="spellEnd"/>
      <w:r w:rsidRPr="0070739F">
        <w:rPr>
          <w:rFonts w:ascii="Times New Roman" w:hAnsi="Times New Roman" w:cs="Times New Roman"/>
          <w:b w:val="0"/>
          <w:bCs w:val="0"/>
          <w:sz w:val="24"/>
          <w:szCs w:val="24"/>
        </w:rPr>
        <w:t xml:space="preserve"> rather than as the primary source of repayment.</w:t>
      </w:r>
    </w:p>
    <w:p w:rsidR="00841763" w:rsidRPr="0070739F" w:rsidRDefault="00841763" w:rsidP="00841763">
      <w:pPr>
        <w:pStyle w:val="ListParagraph"/>
        <w:bidi w:val="0"/>
        <w:spacing w:after="0" w:line="276" w:lineRule="auto"/>
        <w:ind w:left="1985"/>
        <w:rPr>
          <w:rFonts w:ascii="Times New Roman" w:hAnsi="Times New Roman" w:cs="Times New Roman"/>
          <w:b w:val="0"/>
          <w:bCs w:val="0"/>
          <w:sz w:val="24"/>
          <w:szCs w:val="24"/>
        </w:rPr>
      </w:pPr>
    </w:p>
    <w:p w:rsidR="00E4246D" w:rsidRPr="0070739F" w:rsidRDefault="00E4246D" w:rsidP="00841763">
      <w:pPr>
        <w:pStyle w:val="ListParagraph"/>
        <w:numPr>
          <w:ilvl w:val="1"/>
          <w:numId w:val="27"/>
        </w:numPr>
        <w:bidi w:val="0"/>
        <w:spacing w:after="0" w:line="276" w:lineRule="auto"/>
        <w:ind w:left="1134" w:hanging="708"/>
        <w:rPr>
          <w:rFonts w:ascii="Times New Roman" w:hAnsi="Times New Roman" w:cs="Times New Roman"/>
          <w:sz w:val="24"/>
          <w:szCs w:val="24"/>
        </w:rPr>
      </w:pPr>
      <w:r w:rsidRPr="0070739F">
        <w:rPr>
          <w:rFonts w:ascii="Times New Roman" w:hAnsi="Times New Roman" w:cs="Times New Roman"/>
          <w:sz w:val="24"/>
          <w:szCs w:val="24"/>
        </w:rPr>
        <w:t>Income-producing real estate:</w:t>
      </w:r>
    </w:p>
    <w:p w:rsidR="001D4514" w:rsidRPr="0070739F" w:rsidRDefault="003B0F8A" w:rsidP="00841763">
      <w:pPr>
        <w:pStyle w:val="ListParagraph"/>
        <w:numPr>
          <w:ilvl w:val="2"/>
          <w:numId w:val="27"/>
        </w:numPr>
        <w:bidi w:val="0"/>
        <w:spacing w:after="0" w:line="276" w:lineRule="auto"/>
        <w:ind w:left="1985" w:hanging="851"/>
        <w:rPr>
          <w:rFonts w:ascii="Times New Roman" w:hAnsi="Times New Roman" w:cs="Times New Roman"/>
          <w:b w:val="0"/>
          <w:bCs w:val="0"/>
          <w:sz w:val="24"/>
          <w:szCs w:val="24"/>
        </w:rPr>
      </w:pPr>
      <w:r w:rsidRPr="0070739F">
        <w:rPr>
          <w:rFonts w:ascii="Times New Roman" w:hAnsi="Times New Roman" w:cs="Times New Roman"/>
          <w:b w:val="0"/>
          <w:bCs w:val="0"/>
          <w:sz w:val="24"/>
          <w:szCs w:val="24"/>
        </w:rPr>
        <w:t>Refers to a method of providing funding to real estate e (such as, office buildings to let, retail space, multifamily residential buildings, industrial or warehouse space, and hotels) where the prospects for repayment and recovery on the exposure depend primarily on the cash flows generated by the asset. The primary source of these cash flows would generally be lease or rental payments or the sale of the asset.</w:t>
      </w:r>
    </w:p>
    <w:p w:rsidR="003B0F8A" w:rsidRPr="0070739F" w:rsidRDefault="003B0F8A" w:rsidP="00841763">
      <w:pPr>
        <w:pStyle w:val="ListParagraph"/>
        <w:numPr>
          <w:ilvl w:val="2"/>
          <w:numId w:val="27"/>
        </w:numPr>
        <w:bidi w:val="0"/>
        <w:spacing w:after="0" w:line="276" w:lineRule="auto"/>
        <w:ind w:left="1985" w:hanging="851"/>
        <w:rPr>
          <w:rFonts w:ascii="Times New Roman" w:hAnsi="Times New Roman" w:cs="Times New Roman"/>
          <w:b w:val="0"/>
          <w:bCs w:val="0"/>
          <w:sz w:val="24"/>
          <w:szCs w:val="24"/>
        </w:rPr>
      </w:pPr>
      <w:r w:rsidRPr="0070739F">
        <w:rPr>
          <w:rFonts w:ascii="Times New Roman" w:hAnsi="Times New Roman" w:cs="Times New Roman"/>
          <w:b w:val="0"/>
          <w:bCs w:val="0"/>
          <w:sz w:val="24"/>
          <w:szCs w:val="24"/>
        </w:rPr>
        <w:t xml:space="preserve">The borrower may be, but is not required to be, an SPE, an operating company focused on real estate construction or holdings, or an operating company with </w:t>
      </w:r>
      <w:r w:rsidR="00037E96" w:rsidRPr="0070739F">
        <w:rPr>
          <w:rFonts w:ascii="Times New Roman" w:hAnsi="Times New Roman" w:cs="Times New Roman"/>
          <w:b w:val="0"/>
          <w:bCs w:val="0"/>
          <w:sz w:val="24"/>
          <w:szCs w:val="24"/>
        </w:rPr>
        <w:t xml:space="preserve">no other major </w:t>
      </w:r>
      <w:r w:rsidRPr="0070739F">
        <w:rPr>
          <w:rFonts w:ascii="Times New Roman" w:hAnsi="Times New Roman" w:cs="Times New Roman"/>
          <w:b w:val="0"/>
          <w:bCs w:val="0"/>
          <w:sz w:val="24"/>
          <w:szCs w:val="24"/>
        </w:rPr>
        <w:t>sources of revenue.</w:t>
      </w:r>
    </w:p>
    <w:p w:rsidR="00037E96" w:rsidRPr="0070739F" w:rsidRDefault="00E4246D" w:rsidP="00841763">
      <w:pPr>
        <w:pStyle w:val="ListParagraph"/>
        <w:numPr>
          <w:ilvl w:val="1"/>
          <w:numId w:val="27"/>
        </w:numPr>
        <w:bidi w:val="0"/>
        <w:spacing w:after="0" w:line="276" w:lineRule="auto"/>
        <w:ind w:left="1134" w:hanging="708"/>
        <w:rPr>
          <w:rFonts w:ascii="Times New Roman" w:hAnsi="Times New Roman" w:cs="Times New Roman"/>
          <w:sz w:val="24"/>
          <w:szCs w:val="24"/>
        </w:rPr>
      </w:pPr>
      <w:r w:rsidRPr="0070739F">
        <w:rPr>
          <w:rFonts w:ascii="Times New Roman" w:hAnsi="Times New Roman" w:cs="Times New Roman"/>
          <w:sz w:val="24"/>
          <w:szCs w:val="24"/>
        </w:rPr>
        <w:lastRenderedPageBreak/>
        <w:t>High-volatility commercial real estate:</w:t>
      </w:r>
    </w:p>
    <w:p w:rsidR="00E4246D" w:rsidRPr="0070739F" w:rsidRDefault="00515070" w:rsidP="00841763">
      <w:pPr>
        <w:pStyle w:val="ListParagraph"/>
        <w:numPr>
          <w:ilvl w:val="2"/>
          <w:numId w:val="27"/>
        </w:numPr>
        <w:bidi w:val="0"/>
        <w:spacing w:after="0" w:line="276" w:lineRule="auto"/>
        <w:ind w:left="1985" w:hanging="851"/>
        <w:rPr>
          <w:rFonts w:ascii="Times New Roman" w:hAnsi="Times New Roman" w:cs="Times New Roman"/>
          <w:b w:val="0"/>
          <w:bCs w:val="0"/>
          <w:sz w:val="24"/>
          <w:szCs w:val="24"/>
        </w:rPr>
      </w:pPr>
      <w:r w:rsidRPr="0070739F">
        <w:rPr>
          <w:rFonts w:ascii="Times New Roman" w:hAnsi="Times New Roman" w:cs="Times New Roman"/>
          <w:b w:val="0"/>
          <w:bCs w:val="0"/>
          <w:sz w:val="24"/>
          <w:szCs w:val="24"/>
        </w:rPr>
        <w:t xml:space="preserve">High-volatility commercial real estate (HVCRE) lending is the financing of commercial real estate that exhibits higher loss rate volatility compared to other types of SL. </w:t>
      </w:r>
    </w:p>
    <w:p w:rsidR="00515070" w:rsidRPr="0070739F" w:rsidRDefault="00515070" w:rsidP="00841763">
      <w:pPr>
        <w:pStyle w:val="ListParagraph"/>
        <w:numPr>
          <w:ilvl w:val="2"/>
          <w:numId w:val="27"/>
        </w:numPr>
        <w:bidi w:val="0"/>
        <w:spacing w:after="0" w:line="276" w:lineRule="auto"/>
        <w:ind w:left="1985" w:hanging="851"/>
        <w:rPr>
          <w:rFonts w:ascii="Times New Roman" w:hAnsi="Times New Roman" w:cs="Times New Roman"/>
          <w:b w:val="0"/>
          <w:bCs w:val="0"/>
          <w:sz w:val="24"/>
          <w:szCs w:val="24"/>
        </w:rPr>
      </w:pPr>
      <w:r w:rsidRPr="0070739F">
        <w:rPr>
          <w:rFonts w:ascii="Times New Roman" w:hAnsi="Times New Roman" w:cs="Times New Roman"/>
          <w:b w:val="0"/>
          <w:bCs w:val="0"/>
          <w:sz w:val="24"/>
          <w:szCs w:val="24"/>
        </w:rPr>
        <w:t xml:space="preserve">HVCRE includes (Land acquisition, development and construction), </w:t>
      </w:r>
      <w:r w:rsidRPr="0070739F">
        <w:rPr>
          <w:rFonts w:ascii="Times New Roman" w:hAnsi="Times New Roman" w:cs="Times New Roman"/>
          <w:b w:val="0"/>
          <w:bCs w:val="0"/>
          <w:color w:val="202124"/>
          <w:sz w:val="24"/>
          <w:szCs w:val="24"/>
          <w:lang w:val="en"/>
        </w:rPr>
        <w:t>If any of the following apply:</w:t>
      </w:r>
    </w:p>
    <w:p w:rsidR="00515070" w:rsidRPr="0070739F" w:rsidRDefault="00841763" w:rsidP="00B23B46">
      <w:pPr>
        <w:pStyle w:val="ListParagraph"/>
        <w:numPr>
          <w:ilvl w:val="0"/>
          <w:numId w:val="50"/>
        </w:numPr>
        <w:bidi w:val="0"/>
        <w:spacing w:after="0" w:line="276" w:lineRule="auto"/>
        <w:ind w:left="2430" w:hanging="450"/>
        <w:rPr>
          <w:rFonts w:ascii="Times New Roman" w:hAnsi="Times New Roman" w:cs="Times New Roman"/>
          <w:b w:val="0"/>
          <w:bCs w:val="0"/>
          <w:sz w:val="24"/>
          <w:szCs w:val="24"/>
        </w:rPr>
      </w:pPr>
      <w:r w:rsidRPr="0070739F">
        <w:rPr>
          <w:rFonts w:ascii="Times New Roman" w:hAnsi="Times New Roman" w:cs="Times New Roman"/>
          <w:b w:val="0"/>
          <w:bCs w:val="0"/>
          <w:sz w:val="24"/>
          <w:szCs w:val="24"/>
        </w:rPr>
        <w:t>T</w:t>
      </w:r>
      <w:r w:rsidR="003A4C91" w:rsidRPr="0070739F">
        <w:rPr>
          <w:rFonts w:ascii="Times New Roman" w:hAnsi="Times New Roman" w:cs="Times New Roman"/>
          <w:b w:val="0"/>
          <w:bCs w:val="0"/>
          <w:sz w:val="24"/>
          <w:szCs w:val="24"/>
        </w:rPr>
        <w:t>he source of repayment at origination of the exposure is either the future uncertain sale of the property or cash flows whose source of repayment is substantially uncertain (e.g. the property has not yet been leased to the occupancy rate prevailing in that geographic market for that type of commercial real estate).</w:t>
      </w:r>
    </w:p>
    <w:p w:rsidR="003A4C91" w:rsidRPr="0070739F" w:rsidRDefault="003A4C91" w:rsidP="00B23B46">
      <w:pPr>
        <w:pStyle w:val="ListParagraph"/>
        <w:numPr>
          <w:ilvl w:val="0"/>
          <w:numId w:val="50"/>
        </w:numPr>
        <w:bidi w:val="0"/>
        <w:spacing w:after="0" w:line="276" w:lineRule="auto"/>
        <w:ind w:left="2430" w:hanging="450"/>
        <w:rPr>
          <w:rFonts w:ascii="Times New Roman" w:hAnsi="Times New Roman" w:cs="Times New Roman"/>
          <w:b w:val="0"/>
          <w:bCs w:val="0"/>
          <w:sz w:val="24"/>
          <w:szCs w:val="24"/>
        </w:rPr>
      </w:pPr>
      <w:r w:rsidRPr="0070739F">
        <w:rPr>
          <w:rFonts w:ascii="Times New Roman" w:hAnsi="Times New Roman" w:cs="Times New Roman"/>
          <w:b w:val="0"/>
          <w:bCs w:val="0"/>
          <w:color w:val="202124"/>
          <w:sz w:val="24"/>
          <w:szCs w:val="24"/>
          <w:lang w:val="en"/>
        </w:rPr>
        <w:t>Commercial real estate financed by more than 70% of the estimated value of the construction cost, including the value of the land.</w:t>
      </w:r>
    </w:p>
    <w:p w:rsidR="003A4C91" w:rsidRPr="0070739F" w:rsidRDefault="003A4C91" w:rsidP="00B23B46">
      <w:pPr>
        <w:pStyle w:val="ListParagraph"/>
        <w:numPr>
          <w:ilvl w:val="0"/>
          <w:numId w:val="50"/>
        </w:numPr>
        <w:bidi w:val="0"/>
        <w:spacing w:after="0" w:line="276" w:lineRule="auto"/>
        <w:ind w:left="2430" w:hanging="450"/>
        <w:rPr>
          <w:rFonts w:ascii="Times New Roman" w:hAnsi="Times New Roman" w:cs="Times New Roman"/>
          <w:b w:val="0"/>
          <w:bCs w:val="0"/>
          <w:sz w:val="24"/>
          <w:szCs w:val="24"/>
        </w:rPr>
      </w:pPr>
      <w:r w:rsidRPr="0070739F">
        <w:rPr>
          <w:rFonts w:ascii="Times New Roman" w:hAnsi="Times New Roman" w:cs="Times New Roman"/>
          <w:b w:val="0"/>
          <w:bCs w:val="0"/>
          <w:color w:val="202124"/>
          <w:sz w:val="24"/>
          <w:szCs w:val="24"/>
          <w:lang w:val="en"/>
        </w:rPr>
        <w:t>Any real estate that the Central Bank of Jordan includes in this category, regardless of the financing percentage.</w:t>
      </w:r>
    </w:p>
    <w:p w:rsidR="003A4C91" w:rsidRPr="0070739F" w:rsidRDefault="003A4C91" w:rsidP="00B23B46">
      <w:pPr>
        <w:pStyle w:val="ListParagraph"/>
        <w:numPr>
          <w:ilvl w:val="0"/>
          <w:numId w:val="50"/>
        </w:numPr>
        <w:bidi w:val="0"/>
        <w:spacing w:after="0" w:line="276" w:lineRule="auto"/>
        <w:ind w:left="2430" w:hanging="450"/>
        <w:rPr>
          <w:rFonts w:ascii="Times New Roman" w:hAnsi="Times New Roman" w:cs="Times New Roman"/>
          <w:b w:val="0"/>
          <w:bCs w:val="0"/>
          <w:sz w:val="24"/>
          <w:szCs w:val="24"/>
        </w:rPr>
      </w:pPr>
      <w:r w:rsidRPr="0070739F">
        <w:rPr>
          <w:rFonts w:ascii="Times New Roman" w:hAnsi="Times New Roman" w:cs="Times New Roman"/>
          <w:b w:val="0"/>
          <w:bCs w:val="0"/>
          <w:color w:val="202124"/>
          <w:sz w:val="24"/>
          <w:szCs w:val="24"/>
          <w:lang w:val="en"/>
        </w:rPr>
        <w:t>Any real estate that any supervisory authority in the host country (in which the real estate is originating) is included in this category even if it is not explicitly classified as such by the Central Bank of Jordan.</w:t>
      </w:r>
    </w:p>
    <w:bookmarkEnd w:id="78"/>
    <w:p w:rsidR="00505A8B" w:rsidRPr="00C33D97" w:rsidRDefault="00505A8B" w:rsidP="00841763">
      <w:pPr>
        <w:ind w:left="2552" w:hanging="567"/>
        <w:rPr>
          <w:rtl/>
        </w:rPr>
      </w:pPr>
    </w:p>
    <w:p w:rsidR="00505A8B" w:rsidRPr="00C33D97" w:rsidRDefault="00505A8B" w:rsidP="00505A8B">
      <w:pPr>
        <w:rPr>
          <w:rtl/>
        </w:rPr>
      </w:pPr>
    </w:p>
    <w:p w:rsidR="00505A8B" w:rsidRPr="00C33D97" w:rsidRDefault="00505A8B" w:rsidP="00505A8B">
      <w:pPr>
        <w:rPr>
          <w:rtl/>
        </w:rPr>
      </w:pPr>
    </w:p>
    <w:p w:rsidR="00505A8B" w:rsidRDefault="00505A8B" w:rsidP="00505A8B"/>
    <w:p w:rsidR="0070739F" w:rsidRDefault="0070739F" w:rsidP="00505A8B"/>
    <w:p w:rsidR="0070739F" w:rsidRDefault="0070739F" w:rsidP="00505A8B"/>
    <w:p w:rsidR="0070739F" w:rsidRDefault="0070739F" w:rsidP="00505A8B"/>
    <w:p w:rsidR="0070739F" w:rsidRDefault="0070739F" w:rsidP="00505A8B"/>
    <w:p w:rsidR="0070739F" w:rsidRDefault="0070739F" w:rsidP="00505A8B"/>
    <w:p w:rsidR="0070739F" w:rsidRDefault="0070739F" w:rsidP="00505A8B"/>
    <w:p w:rsidR="0070739F" w:rsidRDefault="0070739F" w:rsidP="00505A8B"/>
    <w:p w:rsidR="0070739F" w:rsidRDefault="0070739F" w:rsidP="00505A8B"/>
    <w:p w:rsidR="0070739F" w:rsidRPr="00C33D97" w:rsidRDefault="0070739F" w:rsidP="00505A8B"/>
    <w:p w:rsidR="00431145" w:rsidRPr="00F06631" w:rsidRDefault="00431145" w:rsidP="00B66B27">
      <w:pPr>
        <w:pStyle w:val="Heading1"/>
        <w:pBdr>
          <w:bottom w:val="single" w:sz="4" w:space="1" w:color="auto"/>
        </w:pBdr>
        <w:bidi w:val="0"/>
        <w:jc w:val="center"/>
        <w:rPr>
          <w:rFonts w:asciiTheme="majorBidi" w:hAnsiTheme="majorBidi" w:cstheme="majorBidi"/>
          <w:b/>
          <w:bCs/>
        </w:rPr>
      </w:pPr>
      <w:bookmarkStart w:id="80" w:name="_Toc465255840"/>
      <w:bookmarkStart w:id="81" w:name="_Toc65354422"/>
      <w:r w:rsidRPr="00F06631">
        <w:rPr>
          <w:rFonts w:asciiTheme="majorBidi" w:hAnsiTheme="majorBidi" w:cstheme="majorBidi"/>
          <w:b/>
          <w:bCs/>
        </w:rPr>
        <w:t>Annex (14)</w:t>
      </w:r>
      <w:r w:rsidR="00B66B27">
        <w:rPr>
          <w:rFonts w:asciiTheme="majorBidi" w:hAnsiTheme="majorBidi" w:cstheme="majorBidi"/>
          <w:b/>
          <w:bCs/>
        </w:rPr>
        <w:t xml:space="preserve"> </w:t>
      </w:r>
      <w:r w:rsidRPr="00F06631">
        <w:rPr>
          <w:rFonts w:asciiTheme="majorBidi" w:hAnsiTheme="majorBidi" w:cstheme="majorBidi"/>
          <w:b/>
          <w:bCs/>
        </w:rPr>
        <w:t>Mapping of Business Lines</w:t>
      </w:r>
      <w:bookmarkEnd w:id="81"/>
    </w:p>
    <w:p w:rsidR="00431145" w:rsidRDefault="00431145" w:rsidP="00431145">
      <w:pPr>
        <w:bidi w:val="0"/>
        <w:jc w:val="center"/>
        <w:rPr>
          <w:rFonts w:ascii="Arial,Bold" w:eastAsiaTheme="minorHAnsi" w:hAnsi="Arial,Bold" w:cs="Arial,Bold"/>
        </w:rPr>
      </w:pPr>
    </w:p>
    <w:tbl>
      <w:tblPr>
        <w:tblStyle w:val="TableGrid"/>
        <w:tblW w:w="9073" w:type="dxa"/>
        <w:tblInd w:w="-289" w:type="dxa"/>
        <w:tblLook w:val="04A0" w:firstRow="1" w:lastRow="0" w:firstColumn="1" w:lastColumn="0" w:noHBand="0" w:noVBand="1"/>
      </w:tblPr>
      <w:tblGrid>
        <w:gridCol w:w="3087"/>
        <w:gridCol w:w="1733"/>
        <w:gridCol w:w="4253"/>
      </w:tblGrid>
      <w:tr w:rsidR="00431145" w:rsidTr="00841763">
        <w:tc>
          <w:tcPr>
            <w:tcW w:w="3087" w:type="dxa"/>
            <w:shd w:val="clear" w:color="auto" w:fill="EDEDED" w:themeFill="accent3" w:themeFillTint="33"/>
            <w:vAlign w:val="center"/>
          </w:tcPr>
          <w:p w:rsidR="00431145" w:rsidRPr="00841763" w:rsidRDefault="00431145" w:rsidP="00431145">
            <w:pPr>
              <w:bidi w:val="0"/>
              <w:jc w:val="center"/>
              <w:rPr>
                <w:rFonts w:ascii="Times New Roman" w:hAnsi="Times New Roman" w:cs="Times New Roman"/>
                <w:sz w:val="24"/>
                <w:szCs w:val="24"/>
              </w:rPr>
            </w:pPr>
            <w:r w:rsidRPr="00841763">
              <w:rPr>
                <w:rFonts w:ascii="Times New Roman" w:hAnsi="Times New Roman" w:cs="Times New Roman"/>
                <w:sz w:val="24"/>
                <w:szCs w:val="24"/>
              </w:rPr>
              <w:t xml:space="preserve">Main </w:t>
            </w:r>
            <w:r w:rsidRPr="00841763">
              <w:rPr>
                <w:rFonts w:ascii="Times New Roman" w:eastAsiaTheme="minorHAnsi" w:hAnsi="Times New Roman" w:cs="Times New Roman"/>
                <w:sz w:val="24"/>
                <w:szCs w:val="24"/>
              </w:rPr>
              <w:t>Business Lines (Banks,</w:t>
            </w:r>
            <w:r w:rsidR="00CC4B29">
              <w:rPr>
                <w:rFonts w:ascii="Times New Roman" w:eastAsiaTheme="minorHAnsi" w:hAnsi="Times New Roman" w:cs="Times New Roman"/>
                <w:sz w:val="24"/>
                <w:szCs w:val="24"/>
              </w:rPr>
              <w:t xml:space="preserve"> Investment banks, non-banking c</w:t>
            </w:r>
            <w:r w:rsidRPr="00841763">
              <w:rPr>
                <w:rFonts w:ascii="Times New Roman" w:eastAsiaTheme="minorHAnsi" w:hAnsi="Times New Roman" w:cs="Times New Roman"/>
                <w:sz w:val="24"/>
                <w:szCs w:val="24"/>
              </w:rPr>
              <w:t>ompanies)</w:t>
            </w:r>
          </w:p>
        </w:tc>
        <w:tc>
          <w:tcPr>
            <w:tcW w:w="1733" w:type="dxa"/>
            <w:shd w:val="clear" w:color="auto" w:fill="EDEDED" w:themeFill="accent3" w:themeFillTint="33"/>
            <w:vAlign w:val="center"/>
          </w:tcPr>
          <w:p w:rsidR="00431145" w:rsidRPr="00841763" w:rsidRDefault="006765AD" w:rsidP="00431145">
            <w:pPr>
              <w:bidi w:val="0"/>
              <w:jc w:val="center"/>
              <w:rPr>
                <w:rFonts w:ascii="Times New Roman" w:hAnsi="Times New Roman" w:cs="Times New Roman"/>
                <w:sz w:val="24"/>
                <w:szCs w:val="24"/>
              </w:rPr>
            </w:pPr>
            <w:r w:rsidRPr="00841763">
              <w:rPr>
                <w:rFonts w:ascii="Times New Roman" w:hAnsi="Times New Roman" w:cs="Times New Roman"/>
                <w:sz w:val="24"/>
                <w:szCs w:val="24"/>
                <w:lang w:val="en"/>
              </w:rPr>
              <w:t>Beta equivalent</w:t>
            </w:r>
          </w:p>
        </w:tc>
        <w:tc>
          <w:tcPr>
            <w:tcW w:w="4253" w:type="dxa"/>
            <w:shd w:val="clear" w:color="auto" w:fill="EDEDED" w:themeFill="accent3" w:themeFillTint="33"/>
            <w:vAlign w:val="center"/>
          </w:tcPr>
          <w:p w:rsidR="00431145" w:rsidRPr="00841763" w:rsidRDefault="00431145" w:rsidP="00431145">
            <w:pPr>
              <w:bidi w:val="0"/>
              <w:jc w:val="center"/>
              <w:rPr>
                <w:rFonts w:ascii="Times New Roman" w:hAnsi="Times New Roman" w:cs="Times New Roman"/>
                <w:sz w:val="24"/>
                <w:szCs w:val="24"/>
              </w:rPr>
            </w:pPr>
            <w:r w:rsidRPr="00841763">
              <w:rPr>
                <w:rFonts w:ascii="Times New Roman" w:hAnsi="Times New Roman" w:cs="Times New Roman"/>
                <w:sz w:val="24"/>
                <w:szCs w:val="24"/>
              </w:rPr>
              <w:t xml:space="preserve">Description </w:t>
            </w:r>
          </w:p>
        </w:tc>
      </w:tr>
      <w:tr w:rsidR="00431145" w:rsidTr="00841763">
        <w:tc>
          <w:tcPr>
            <w:tcW w:w="3087" w:type="dxa"/>
            <w:vAlign w:val="center"/>
          </w:tcPr>
          <w:p w:rsidR="00431145" w:rsidRPr="00841763" w:rsidRDefault="00431145" w:rsidP="00841763">
            <w:pPr>
              <w:bidi w:val="0"/>
              <w:spacing w:after="0" w:line="276" w:lineRule="auto"/>
              <w:jc w:val="center"/>
              <w:rPr>
                <w:rFonts w:ascii="Times New Roman" w:hAnsi="Times New Roman" w:cs="Times New Roman"/>
                <w:b w:val="0"/>
                <w:bCs w:val="0"/>
                <w:sz w:val="24"/>
                <w:szCs w:val="24"/>
              </w:rPr>
            </w:pPr>
            <w:r w:rsidRPr="00841763">
              <w:rPr>
                <w:rFonts w:ascii="Times New Roman" w:hAnsi="Times New Roman" w:cs="Times New Roman"/>
                <w:b w:val="0"/>
                <w:bCs w:val="0"/>
                <w:sz w:val="24"/>
                <w:szCs w:val="24"/>
                <w:lang w:bidi="ar-JO"/>
              </w:rPr>
              <w:t>Corporate Finance</w:t>
            </w:r>
          </w:p>
        </w:tc>
        <w:tc>
          <w:tcPr>
            <w:tcW w:w="1733" w:type="dxa"/>
            <w:vAlign w:val="center"/>
          </w:tcPr>
          <w:p w:rsidR="00431145" w:rsidRPr="00841763" w:rsidRDefault="00431145" w:rsidP="00841763">
            <w:pPr>
              <w:bidi w:val="0"/>
              <w:spacing w:after="0" w:line="276" w:lineRule="auto"/>
              <w:jc w:val="center"/>
              <w:rPr>
                <w:rFonts w:ascii="Times New Roman" w:hAnsi="Times New Roman" w:cs="Times New Roman"/>
                <w:b w:val="0"/>
                <w:bCs w:val="0"/>
                <w:sz w:val="24"/>
                <w:szCs w:val="24"/>
              </w:rPr>
            </w:pPr>
            <w:r w:rsidRPr="00841763">
              <w:rPr>
                <w:rFonts w:ascii="Times New Roman" w:hAnsi="Times New Roman" w:cs="Times New Roman"/>
                <w:b w:val="0"/>
                <w:bCs w:val="0"/>
                <w:sz w:val="24"/>
                <w:szCs w:val="24"/>
              </w:rPr>
              <w:t>18%</w:t>
            </w:r>
          </w:p>
        </w:tc>
        <w:tc>
          <w:tcPr>
            <w:tcW w:w="4253" w:type="dxa"/>
            <w:vAlign w:val="center"/>
          </w:tcPr>
          <w:p w:rsidR="00431145" w:rsidRPr="00766C1E" w:rsidRDefault="00431145" w:rsidP="00841763">
            <w:pPr>
              <w:bidi w:val="0"/>
              <w:spacing w:after="0" w:line="276" w:lineRule="auto"/>
              <w:jc w:val="center"/>
              <w:rPr>
                <w:rFonts w:ascii="Times New Roman" w:hAnsi="Times New Roman" w:cs="Times New Roman"/>
                <w:b w:val="0"/>
                <w:bCs w:val="0"/>
                <w:sz w:val="24"/>
                <w:szCs w:val="24"/>
              </w:rPr>
            </w:pPr>
            <w:r w:rsidRPr="00766C1E">
              <w:rPr>
                <w:rFonts w:ascii="Times New Roman" w:eastAsiaTheme="minorHAnsi" w:hAnsi="Times New Roman" w:cs="Times New Roman"/>
                <w:b w:val="0"/>
                <w:bCs w:val="0"/>
                <w:sz w:val="24"/>
                <w:szCs w:val="24"/>
              </w:rPr>
              <w:t>Mergers and acquisitions, underwriting, securitisation, syndications, IPO</w:t>
            </w:r>
          </w:p>
        </w:tc>
      </w:tr>
      <w:tr w:rsidR="00431145" w:rsidTr="00841763">
        <w:tc>
          <w:tcPr>
            <w:tcW w:w="3087" w:type="dxa"/>
            <w:vAlign w:val="center"/>
          </w:tcPr>
          <w:p w:rsidR="00431145" w:rsidRPr="00841763" w:rsidRDefault="00431145" w:rsidP="00841763">
            <w:pPr>
              <w:bidi w:val="0"/>
              <w:spacing w:after="0" w:line="276" w:lineRule="auto"/>
              <w:jc w:val="center"/>
              <w:rPr>
                <w:rFonts w:ascii="Times New Roman" w:eastAsiaTheme="minorHAnsi" w:hAnsi="Times New Roman" w:cs="Times New Roman"/>
                <w:b w:val="0"/>
                <w:bCs w:val="0"/>
                <w:sz w:val="24"/>
                <w:szCs w:val="24"/>
              </w:rPr>
            </w:pPr>
            <w:r w:rsidRPr="00841763">
              <w:rPr>
                <w:rFonts w:ascii="Times New Roman" w:eastAsiaTheme="minorHAnsi" w:hAnsi="Times New Roman" w:cs="Times New Roman"/>
                <w:b w:val="0"/>
                <w:bCs w:val="0"/>
                <w:sz w:val="24"/>
                <w:szCs w:val="24"/>
              </w:rPr>
              <w:t>Trading &amp; Sales</w:t>
            </w:r>
          </w:p>
        </w:tc>
        <w:tc>
          <w:tcPr>
            <w:tcW w:w="1733" w:type="dxa"/>
            <w:vAlign w:val="center"/>
          </w:tcPr>
          <w:p w:rsidR="00431145" w:rsidRPr="00841763" w:rsidRDefault="00431145" w:rsidP="00841763">
            <w:pPr>
              <w:bidi w:val="0"/>
              <w:spacing w:after="0" w:line="276" w:lineRule="auto"/>
              <w:jc w:val="center"/>
              <w:rPr>
                <w:rFonts w:ascii="Times New Roman" w:eastAsiaTheme="minorHAnsi" w:hAnsi="Times New Roman" w:cs="Times New Roman"/>
                <w:b w:val="0"/>
                <w:bCs w:val="0"/>
                <w:sz w:val="24"/>
                <w:szCs w:val="24"/>
              </w:rPr>
            </w:pPr>
            <w:r w:rsidRPr="00841763">
              <w:rPr>
                <w:rFonts w:ascii="Times New Roman" w:eastAsiaTheme="minorHAnsi" w:hAnsi="Times New Roman" w:cs="Times New Roman"/>
                <w:b w:val="0"/>
                <w:bCs w:val="0"/>
                <w:sz w:val="24"/>
                <w:szCs w:val="24"/>
              </w:rPr>
              <w:t>18%</w:t>
            </w:r>
          </w:p>
        </w:tc>
        <w:tc>
          <w:tcPr>
            <w:tcW w:w="4253" w:type="dxa"/>
            <w:vAlign w:val="center"/>
          </w:tcPr>
          <w:p w:rsidR="00431145" w:rsidRPr="00766C1E" w:rsidRDefault="00431145" w:rsidP="00841763">
            <w:pPr>
              <w:bidi w:val="0"/>
              <w:spacing w:after="0" w:line="276" w:lineRule="auto"/>
              <w:jc w:val="center"/>
              <w:rPr>
                <w:rFonts w:ascii="Times New Roman" w:eastAsiaTheme="minorHAnsi" w:hAnsi="Times New Roman" w:cs="Times New Roman"/>
                <w:b w:val="0"/>
                <w:bCs w:val="0"/>
                <w:sz w:val="24"/>
                <w:szCs w:val="24"/>
              </w:rPr>
            </w:pPr>
            <w:r w:rsidRPr="00766C1E">
              <w:rPr>
                <w:rFonts w:ascii="Times New Roman" w:eastAsiaTheme="minorHAnsi" w:hAnsi="Times New Roman" w:cs="Times New Roman"/>
                <w:b w:val="0"/>
                <w:bCs w:val="0"/>
                <w:sz w:val="24"/>
                <w:szCs w:val="24"/>
              </w:rPr>
              <w:t>Private sector lending, banking services, trusts and real estate, providing consulting</w:t>
            </w:r>
          </w:p>
        </w:tc>
      </w:tr>
      <w:tr w:rsidR="00431145" w:rsidTr="00841763">
        <w:tc>
          <w:tcPr>
            <w:tcW w:w="3087" w:type="dxa"/>
            <w:vAlign w:val="center"/>
          </w:tcPr>
          <w:p w:rsidR="00431145" w:rsidRPr="00841763" w:rsidRDefault="00431145" w:rsidP="00841763">
            <w:pPr>
              <w:bidi w:val="0"/>
              <w:spacing w:after="0" w:line="276" w:lineRule="auto"/>
              <w:jc w:val="center"/>
              <w:rPr>
                <w:rFonts w:ascii="Times New Roman" w:eastAsiaTheme="minorHAnsi" w:hAnsi="Times New Roman" w:cs="Times New Roman"/>
                <w:b w:val="0"/>
                <w:bCs w:val="0"/>
                <w:sz w:val="24"/>
                <w:szCs w:val="24"/>
              </w:rPr>
            </w:pPr>
            <w:r w:rsidRPr="00841763">
              <w:rPr>
                <w:rFonts w:ascii="Times New Roman" w:eastAsiaTheme="minorHAnsi" w:hAnsi="Times New Roman" w:cs="Times New Roman"/>
                <w:b w:val="0"/>
                <w:bCs w:val="0"/>
                <w:sz w:val="24"/>
                <w:szCs w:val="24"/>
              </w:rPr>
              <w:t>Retail Banking</w:t>
            </w:r>
          </w:p>
        </w:tc>
        <w:tc>
          <w:tcPr>
            <w:tcW w:w="1733" w:type="dxa"/>
            <w:vAlign w:val="center"/>
          </w:tcPr>
          <w:p w:rsidR="00431145" w:rsidRPr="00841763" w:rsidRDefault="00431145" w:rsidP="00841763">
            <w:pPr>
              <w:bidi w:val="0"/>
              <w:spacing w:after="0" w:line="276" w:lineRule="auto"/>
              <w:jc w:val="center"/>
              <w:rPr>
                <w:rFonts w:ascii="Times New Roman" w:eastAsiaTheme="minorHAnsi" w:hAnsi="Times New Roman" w:cs="Times New Roman"/>
                <w:b w:val="0"/>
                <w:bCs w:val="0"/>
                <w:sz w:val="24"/>
                <w:szCs w:val="24"/>
              </w:rPr>
            </w:pPr>
            <w:r w:rsidRPr="00841763">
              <w:rPr>
                <w:rFonts w:ascii="Times New Roman" w:eastAsiaTheme="minorHAnsi" w:hAnsi="Times New Roman" w:cs="Times New Roman"/>
                <w:b w:val="0"/>
                <w:bCs w:val="0"/>
                <w:sz w:val="24"/>
                <w:szCs w:val="24"/>
              </w:rPr>
              <w:t>12%</w:t>
            </w:r>
          </w:p>
        </w:tc>
        <w:tc>
          <w:tcPr>
            <w:tcW w:w="4253" w:type="dxa"/>
            <w:vAlign w:val="center"/>
          </w:tcPr>
          <w:p w:rsidR="00431145" w:rsidRPr="00766C1E" w:rsidRDefault="00431145" w:rsidP="00841763">
            <w:pPr>
              <w:bidi w:val="0"/>
              <w:spacing w:after="0" w:line="276" w:lineRule="auto"/>
              <w:jc w:val="center"/>
              <w:rPr>
                <w:rFonts w:ascii="Times New Roman" w:eastAsiaTheme="minorHAnsi" w:hAnsi="Times New Roman" w:cs="Times New Roman"/>
                <w:b w:val="0"/>
                <w:bCs w:val="0"/>
                <w:sz w:val="24"/>
                <w:szCs w:val="24"/>
              </w:rPr>
            </w:pPr>
            <w:r w:rsidRPr="00766C1E">
              <w:rPr>
                <w:rFonts w:ascii="Times New Roman" w:eastAsiaTheme="minorHAnsi" w:hAnsi="Times New Roman" w:cs="Times New Roman"/>
                <w:b w:val="0"/>
                <w:bCs w:val="0"/>
                <w:sz w:val="24"/>
                <w:szCs w:val="24"/>
              </w:rPr>
              <w:t>Retail loans and deposits, retail banking services, card services</w:t>
            </w:r>
          </w:p>
        </w:tc>
      </w:tr>
      <w:tr w:rsidR="00431145" w:rsidTr="00841763">
        <w:tc>
          <w:tcPr>
            <w:tcW w:w="3087" w:type="dxa"/>
            <w:vAlign w:val="center"/>
          </w:tcPr>
          <w:p w:rsidR="00431145" w:rsidRPr="00841763" w:rsidRDefault="00431145" w:rsidP="00841763">
            <w:pPr>
              <w:bidi w:val="0"/>
              <w:spacing w:after="0" w:line="276" w:lineRule="auto"/>
              <w:jc w:val="center"/>
              <w:rPr>
                <w:rFonts w:ascii="Times New Roman" w:eastAsiaTheme="minorHAnsi" w:hAnsi="Times New Roman" w:cs="Times New Roman"/>
                <w:b w:val="0"/>
                <w:bCs w:val="0"/>
                <w:sz w:val="24"/>
                <w:szCs w:val="24"/>
              </w:rPr>
            </w:pPr>
            <w:r w:rsidRPr="00841763">
              <w:rPr>
                <w:rFonts w:ascii="Times New Roman" w:eastAsiaTheme="minorHAnsi" w:hAnsi="Times New Roman" w:cs="Times New Roman"/>
                <w:b w:val="0"/>
                <w:bCs w:val="0"/>
                <w:sz w:val="24"/>
                <w:szCs w:val="24"/>
              </w:rPr>
              <w:t>Commercial Banking</w:t>
            </w:r>
          </w:p>
        </w:tc>
        <w:tc>
          <w:tcPr>
            <w:tcW w:w="1733" w:type="dxa"/>
            <w:vAlign w:val="center"/>
          </w:tcPr>
          <w:p w:rsidR="00431145" w:rsidRPr="00841763" w:rsidRDefault="006765AD" w:rsidP="00841763">
            <w:pPr>
              <w:bidi w:val="0"/>
              <w:spacing w:after="0" w:line="276" w:lineRule="auto"/>
              <w:jc w:val="center"/>
              <w:rPr>
                <w:rFonts w:ascii="Times New Roman" w:eastAsiaTheme="minorHAnsi" w:hAnsi="Times New Roman" w:cs="Times New Roman"/>
                <w:b w:val="0"/>
                <w:bCs w:val="0"/>
                <w:sz w:val="24"/>
                <w:szCs w:val="24"/>
              </w:rPr>
            </w:pPr>
            <w:r w:rsidRPr="00841763">
              <w:rPr>
                <w:rFonts w:ascii="Times New Roman" w:eastAsiaTheme="minorHAnsi" w:hAnsi="Times New Roman" w:cs="Times New Roman"/>
                <w:b w:val="0"/>
                <w:bCs w:val="0"/>
                <w:sz w:val="24"/>
                <w:szCs w:val="24"/>
              </w:rPr>
              <w:t>15%</w:t>
            </w:r>
          </w:p>
        </w:tc>
        <w:tc>
          <w:tcPr>
            <w:tcW w:w="4253" w:type="dxa"/>
            <w:vAlign w:val="center"/>
          </w:tcPr>
          <w:p w:rsidR="00431145" w:rsidRPr="00766C1E" w:rsidRDefault="006765AD" w:rsidP="00841763">
            <w:pPr>
              <w:bidi w:val="0"/>
              <w:spacing w:after="0" w:line="276" w:lineRule="auto"/>
              <w:jc w:val="center"/>
              <w:rPr>
                <w:rFonts w:ascii="Times New Roman" w:eastAsiaTheme="minorHAnsi" w:hAnsi="Times New Roman" w:cs="Times New Roman"/>
                <w:b w:val="0"/>
                <w:bCs w:val="0"/>
                <w:sz w:val="24"/>
                <w:szCs w:val="24"/>
              </w:rPr>
            </w:pPr>
            <w:r w:rsidRPr="00766C1E">
              <w:rPr>
                <w:rFonts w:ascii="Times New Roman" w:eastAsiaTheme="minorHAnsi" w:hAnsi="Times New Roman" w:cs="Times New Roman"/>
                <w:b w:val="0"/>
                <w:bCs w:val="0"/>
                <w:sz w:val="24"/>
                <w:szCs w:val="24"/>
              </w:rPr>
              <w:t>Project finance, real estate, export finance, guarantees,</w:t>
            </w:r>
          </w:p>
        </w:tc>
      </w:tr>
      <w:tr w:rsidR="006765AD" w:rsidTr="00841763">
        <w:tc>
          <w:tcPr>
            <w:tcW w:w="3087" w:type="dxa"/>
            <w:vAlign w:val="center"/>
          </w:tcPr>
          <w:p w:rsidR="006765AD" w:rsidRPr="00841763" w:rsidRDefault="006765AD" w:rsidP="00841763">
            <w:pPr>
              <w:bidi w:val="0"/>
              <w:spacing w:after="0" w:line="276" w:lineRule="auto"/>
              <w:jc w:val="center"/>
              <w:rPr>
                <w:rFonts w:ascii="Times New Roman" w:eastAsiaTheme="minorHAnsi" w:hAnsi="Times New Roman" w:cs="Times New Roman"/>
                <w:b w:val="0"/>
                <w:bCs w:val="0"/>
                <w:sz w:val="24"/>
                <w:szCs w:val="24"/>
              </w:rPr>
            </w:pPr>
            <w:r w:rsidRPr="00841763">
              <w:rPr>
                <w:rFonts w:ascii="Times New Roman" w:eastAsiaTheme="minorHAnsi" w:hAnsi="Times New Roman" w:cs="Times New Roman"/>
                <w:b w:val="0"/>
                <w:bCs w:val="0"/>
                <w:sz w:val="24"/>
                <w:szCs w:val="24"/>
              </w:rPr>
              <w:t>Payment and Settlement</w:t>
            </w:r>
          </w:p>
        </w:tc>
        <w:tc>
          <w:tcPr>
            <w:tcW w:w="1733" w:type="dxa"/>
            <w:vAlign w:val="center"/>
          </w:tcPr>
          <w:p w:rsidR="006765AD" w:rsidRPr="00841763" w:rsidRDefault="006765AD" w:rsidP="00841763">
            <w:pPr>
              <w:bidi w:val="0"/>
              <w:spacing w:after="0" w:line="276" w:lineRule="auto"/>
              <w:jc w:val="center"/>
              <w:rPr>
                <w:rFonts w:ascii="Times New Roman" w:eastAsiaTheme="minorHAnsi" w:hAnsi="Times New Roman" w:cs="Times New Roman"/>
                <w:b w:val="0"/>
                <w:bCs w:val="0"/>
                <w:sz w:val="24"/>
                <w:szCs w:val="24"/>
              </w:rPr>
            </w:pPr>
            <w:r w:rsidRPr="00841763">
              <w:rPr>
                <w:rFonts w:ascii="Times New Roman" w:eastAsiaTheme="minorHAnsi" w:hAnsi="Times New Roman" w:cs="Times New Roman"/>
                <w:b w:val="0"/>
                <w:bCs w:val="0"/>
                <w:sz w:val="24"/>
                <w:szCs w:val="24"/>
              </w:rPr>
              <w:t>18%</w:t>
            </w:r>
          </w:p>
        </w:tc>
        <w:tc>
          <w:tcPr>
            <w:tcW w:w="4253" w:type="dxa"/>
            <w:vAlign w:val="center"/>
          </w:tcPr>
          <w:p w:rsidR="006765AD" w:rsidRPr="00766C1E" w:rsidRDefault="006765AD" w:rsidP="00841763">
            <w:pPr>
              <w:bidi w:val="0"/>
              <w:spacing w:after="0" w:line="276" w:lineRule="auto"/>
              <w:jc w:val="center"/>
              <w:rPr>
                <w:rFonts w:ascii="Times New Roman" w:eastAsiaTheme="minorHAnsi" w:hAnsi="Times New Roman" w:cs="Times New Roman"/>
                <w:b w:val="0"/>
                <w:bCs w:val="0"/>
                <w:sz w:val="24"/>
                <w:szCs w:val="24"/>
              </w:rPr>
            </w:pPr>
            <w:r w:rsidRPr="00766C1E">
              <w:rPr>
                <w:rFonts w:ascii="Times New Roman" w:eastAsiaTheme="minorHAnsi" w:hAnsi="Times New Roman" w:cs="Times New Roman"/>
                <w:b w:val="0"/>
                <w:bCs w:val="0"/>
                <w:sz w:val="24"/>
                <w:szCs w:val="24"/>
              </w:rPr>
              <w:t>Payments and collections, funds transfer, clearing and settlement</w:t>
            </w:r>
          </w:p>
        </w:tc>
      </w:tr>
      <w:tr w:rsidR="006765AD" w:rsidTr="00841763">
        <w:tc>
          <w:tcPr>
            <w:tcW w:w="3087" w:type="dxa"/>
            <w:vAlign w:val="center"/>
          </w:tcPr>
          <w:p w:rsidR="006765AD" w:rsidRPr="00841763" w:rsidRDefault="006765AD" w:rsidP="00841763">
            <w:pPr>
              <w:autoSpaceDE w:val="0"/>
              <w:autoSpaceDN w:val="0"/>
              <w:bidi w:val="0"/>
              <w:adjustRightInd w:val="0"/>
              <w:spacing w:after="0" w:line="276" w:lineRule="auto"/>
              <w:jc w:val="center"/>
              <w:rPr>
                <w:rFonts w:ascii="Times New Roman" w:eastAsiaTheme="minorHAnsi" w:hAnsi="Times New Roman" w:cs="Times New Roman"/>
                <w:b w:val="0"/>
                <w:bCs w:val="0"/>
                <w:sz w:val="24"/>
                <w:szCs w:val="24"/>
              </w:rPr>
            </w:pPr>
            <w:r w:rsidRPr="00841763">
              <w:rPr>
                <w:rFonts w:ascii="Times New Roman" w:eastAsiaTheme="minorHAnsi" w:hAnsi="Times New Roman" w:cs="Times New Roman"/>
                <w:b w:val="0"/>
                <w:bCs w:val="0"/>
                <w:sz w:val="24"/>
                <w:szCs w:val="24"/>
              </w:rPr>
              <w:t>Agency Services</w:t>
            </w:r>
          </w:p>
        </w:tc>
        <w:tc>
          <w:tcPr>
            <w:tcW w:w="1733" w:type="dxa"/>
            <w:vAlign w:val="center"/>
          </w:tcPr>
          <w:p w:rsidR="006765AD" w:rsidRPr="00841763" w:rsidRDefault="006765AD" w:rsidP="00841763">
            <w:pPr>
              <w:bidi w:val="0"/>
              <w:spacing w:after="0" w:line="276" w:lineRule="auto"/>
              <w:jc w:val="center"/>
              <w:rPr>
                <w:rFonts w:ascii="Times New Roman" w:eastAsiaTheme="minorHAnsi" w:hAnsi="Times New Roman" w:cs="Times New Roman"/>
                <w:b w:val="0"/>
                <w:bCs w:val="0"/>
                <w:sz w:val="24"/>
                <w:szCs w:val="24"/>
              </w:rPr>
            </w:pPr>
            <w:r w:rsidRPr="00841763">
              <w:rPr>
                <w:rFonts w:ascii="Times New Roman" w:eastAsiaTheme="minorHAnsi" w:hAnsi="Times New Roman" w:cs="Times New Roman"/>
                <w:b w:val="0"/>
                <w:bCs w:val="0"/>
                <w:sz w:val="24"/>
                <w:szCs w:val="24"/>
              </w:rPr>
              <w:t>15%</w:t>
            </w:r>
          </w:p>
        </w:tc>
        <w:tc>
          <w:tcPr>
            <w:tcW w:w="4253" w:type="dxa"/>
            <w:vAlign w:val="center"/>
          </w:tcPr>
          <w:p w:rsidR="006765AD" w:rsidRPr="00766C1E" w:rsidRDefault="00766C1E" w:rsidP="00841763">
            <w:pPr>
              <w:bidi w:val="0"/>
              <w:spacing w:after="0" w:line="276" w:lineRule="auto"/>
              <w:jc w:val="center"/>
              <w:rPr>
                <w:rFonts w:ascii="Times New Roman" w:eastAsiaTheme="minorHAnsi" w:hAnsi="Times New Roman" w:cs="Times New Roman"/>
                <w:b w:val="0"/>
                <w:bCs w:val="0"/>
                <w:sz w:val="24"/>
                <w:szCs w:val="24"/>
              </w:rPr>
            </w:pPr>
            <w:r w:rsidRPr="00766C1E">
              <w:rPr>
                <w:rFonts w:ascii="Times New Roman" w:eastAsiaTheme="minorHAnsi" w:hAnsi="Times New Roman" w:cs="Times New Roman"/>
                <w:b w:val="0"/>
                <w:bCs w:val="0"/>
                <w:sz w:val="24"/>
                <w:szCs w:val="24"/>
              </w:rPr>
              <w:t xml:space="preserve">Issuer and paying agents for corporate </w:t>
            </w:r>
            <w:r>
              <w:rPr>
                <w:rFonts w:ascii="Times New Roman" w:eastAsiaTheme="minorHAnsi" w:hAnsi="Times New Roman" w:cs="Times New Roman"/>
                <w:b w:val="0"/>
                <w:bCs w:val="0"/>
                <w:sz w:val="24"/>
                <w:szCs w:val="24"/>
              </w:rPr>
              <w:t>a</w:t>
            </w:r>
            <w:r w:rsidRPr="00766C1E">
              <w:rPr>
                <w:rFonts w:ascii="Times New Roman" w:eastAsiaTheme="minorHAnsi" w:hAnsi="Times New Roman" w:cs="Times New Roman"/>
                <w:b w:val="0"/>
                <w:bCs w:val="0"/>
                <w:sz w:val="24"/>
                <w:szCs w:val="24"/>
              </w:rPr>
              <w:t>gency</w:t>
            </w:r>
          </w:p>
        </w:tc>
      </w:tr>
      <w:tr w:rsidR="006765AD" w:rsidTr="00841763">
        <w:tc>
          <w:tcPr>
            <w:tcW w:w="3087" w:type="dxa"/>
            <w:vAlign w:val="center"/>
          </w:tcPr>
          <w:p w:rsidR="006765AD" w:rsidRPr="00841763" w:rsidRDefault="006765AD" w:rsidP="00841763">
            <w:pPr>
              <w:autoSpaceDE w:val="0"/>
              <w:autoSpaceDN w:val="0"/>
              <w:bidi w:val="0"/>
              <w:adjustRightInd w:val="0"/>
              <w:spacing w:after="0" w:line="276" w:lineRule="auto"/>
              <w:jc w:val="center"/>
              <w:rPr>
                <w:rFonts w:ascii="Times New Roman" w:eastAsiaTheme="minorHAnsi" w:hAnsi="Times New Roman" w:cs="Times New Roman"/>
                <w:b w:val="0"/>
                <w:bCs w:val="0"/>
                <w:sz w:val="24"/>
                <w:szCs w:val="24"/>
              </w:rPr>
            </w:pPr>
            <w:r w:rsidRPr="00841763">
              <w:rPr>
                <w:rFonts w:ascii="Times New Roman" w:eastAsiaTheme="minorHAnsi" w:hAnsi="Times New Roman" w:cs="Times New Roman"/>
                <w:b w:val="0"/>
                <w:bCs w:val="0"/>
                <w:sz w:val="24"/>
                <w:szCs w:val="24"/>
              </w:rPr>
              <w:t>Asset</w:t>
            </w:r>
            <w:r w:rsidRPr="00841763">
              <w:rPr>
                <w:rFonts w:ascii="Times New Roman" w:eastAsiaTheme="minorHAnsi" w:hAnsi="Times New Roman" w:cs="Times New Roman"/>
                <w:b w:val="0"/>
                <w:bCs w:val="0"/>
                <w:sz w:val="24"/>
                <w:szCs w:val="24"/>
                <w:rtl/>
              </w:rPr>
              <w:t xml:space="preserve"> </w:t>
            </w:r>
            <w:r w:rsidRPr="00841763">
              <w:rPr>
                <w:rFonts w:ascii="Times New Roman" w:eastAsiaTheme="minorHAnsi" w:hAnsi="Times New Roman" w:cs="Times New Roman"/>
                <w:b w:val="0"/>
                <w:bCs w:val="0"/>
                <w:sz w:val="24"/>
                <w:szCs w:val="24"/>
              </w:rPr>
              <w:t>Management</w:t>
            </w:r>
          </w:p>
        </w:tc>
        <w:tc>
          <w:tcPr>
            <w:tcW w:w="1733" w:type="dxa"/>
            <w:vAlign w:val="center"/>
          </w:tcPr>
          <w:p w:rsidR="006765AD" w:rsidRPr="00841763" w:rsidRDefault="006765AD" w:rsidP="00841763">
            <w:pPr>
              <w:bidi w:val="0"/>
              <w:spacing w:after="0" w:line="276" w:lineRule="auto"/>
              <w:jc w:val="center"/>
              <w:rPr>
                <w:rFonts w:ascii="Times New Roman" w:eastAsiaTheme="minorHAnsi" w:hAnsi="Times New Roman" w:cs="Times New Roman"/>
                <w:b w:val="0"/>
                <w:bCs w:val="0"/>
                <w:sz w:val="24"/>
                <w:szCs w:val="24"/>
              </w:rPr>
            </w:pPr>
            <w:r w:rsidRPr="00841763">
              <w:rPr>
                <w:rFonts w:ascii="Times New Roman" w:eastAsiaTheme="minorHAnsi" w:hAnsi="Times New Roman" w:cs="Times New Roman"/>
                <w:b w:val="0"/>
                <w:bCs w:val="0"/>
                <w:sz w:val="24"/>
                <w:szCs w:val="24"/>
              </w:rPr>
              <w:t>12%</w:t>
            </w:r>
          </w:p>
        </w:tc>
        <w:tc>
          <w:tcPr>
            <w:tcW w:w="4253" w:type="dxa"/>
            <w:vAlign w:val="center"/>
          </w:tcPr>
          <w:p w:rsidR="006765AD" w:rsidRDefault="00766C1E" w:rsidP="00766C1E">
            <w:pPr>
              <w:bidi w:val="0"/>
              <w:spacing w:after="0" w:line="276" w:lineRule="auto"/>
              <w:ind w:left="183" w:hanging="183"/>
              <w:rPr>
                <w:rFonts w:ascii="Times New Roman" w:eastAsiaTheme="minorHAnsi" w:hAnsi="Times New Roman" w:cs="Times New Roman"/>
                <w:b w:val="0"/>
                <w:bCs w:val="0"/>
                <w:sz w:val="24"/>
                <w:szCs w:val="24"/>
              </w:rPr>
            </w:pPr>
            <w:r>
              <w:rPr>
                <w:rFonts w:ascii="Times New Roman" w:eastAsiaTheme="minorHAnsi" w:hAnsi="Times New Roman" w:cs="Times New Roman"/>
                <w:b w:val="0"/>
                <w:bCs w:val="0"/>
                <w:sz w:val="24"/>
                <w:szCs w:val="24"/>
              </w:rPr>
              <w:t xml:space="preserve"> - </w:t>
            </w:r>
            <w:r w:rsidRPr="00766C1E">
              <w:rPr>
                <w:rFonts w:ascii="Times New Roman" w:eastAsiaTheme="minorHAnsi" w:hAnsi="Times New Roman" w:cs="Times New Roman"/>
                <w:b w:val="0"/>
                <w:bCs w:val="0"/>
                <w:sz w:val="24"/>
                <w:szCs w:val="24"/>
              </w:rPr>
              <w:t>Pooled, segregated, retail, institutional, closed, open, private equity for Discretionary Fund Management</w:t>
            </w:r>
            <w:r>
              <w:rPr>
                <w:rFonts w:ascii="Times New Roman" w:eastAsiaTheme="minorHAnsi" w:hAnsi="Times New Roman" w:cs="Times New Roman"/>
                <w:b w:val="0"/>
                <w:bCs w:val="0"/>
                <w:sz w:val="24"/>
                <w:szCs w:val="24"/>
              </w:rPr>
              <w:t>.</w:t>
            </w:r>
          </w:p>
          <w:p w:rsidR="00766C1E" w:rsidRPr="00766C1E" w:rsidRDefault="00766C1E" w:rsidP="00766C1E">
            <w:pPr>
              <w:bidi w:val="0"/>
              <w:spacing w:after="0" w:line="276" w:lineRule="auto"/>
              <w:ind w:left="183" w:hanging="183"/>
              <w:rPr>
                <w:rFonts w:ascii="Times New Roman" w:eastAsiaTheme="minorHAnsi" w:hAnsi="Times New Roman" w:cs="Times New Roman"/>
                <w:b w:val="0"/>
                <w:bCs w:val="0"/>
                <w:sz w:val="24"/>
                <w:szCs w:val="24"/>
              </w:rPr>
            </w:pPr>
            <w:r>
              <w:rPr>
                <w:rFonts w:ascii="Times New Roman" w:eastAsiaTheme="minorHAnsi" w:hAnsi="Times New Roman" w:cs="Times New Roman"/>
                <w:b w:val="0"/>
                <w:bCs w:val="0"/>
                <w:sz w:val="24"/>
                <w:szCs w:val="24"/>
              </w:rPr>
              <w:t xml:space="preserve">- </w:t>
            </w:r>
            <w:r w:rsidRPr="00766C1E">
              <w:rPr>
                <w:rFonts w:ascii="Times New Roman" w:eastAsiaTheme="minorHAnsi" w:hAnsi="Times New Roman" w:cs="Times New Roman"/>
                <w:b w:val="0"/>
                <w:bCs w:val="0"/>
                <w:sz w:val="24"/>
                <w:szCs w:val="24"/>
              </w:rPr>
              <w:t>Pooled, segregated, retail, institutional, closed, open for Non-Discretionary Fund Management</w:t>
            </w:r>
          </w:p>
        </w:tc>
      </w:tr>
      <w:tr w:rsidR="006765AD" w:rsidTr="00841763">
        <w:tc>
          <w:tcPr>
            <w:tcW w:w="3087" w:type="dxa"/>
            <w:vAlign w:val="center"/>
          </w:tcPr>
          <w:p w:rsidR="006765AD" w:rsidRPr="00841763" w:rsidRDefault="006765AD" w:rsidP="00841763">
            <w:pPr>
              <w:autoSpaceDE w:val="0"/>
              <w:autoSpaceDN w:val="0"/>
              <w:bidi w:val="0"/>
              <w:adjustRightInd w:val="0"/>
              <w:spacing w:after="0" w:line="276" w:lineRule="auto"/>
              <w:jc w:val="center"/>
              <w:rPr>
                <w:rFonts w:ascii="Times New Roman" w:eastAsiaTheme="minorHAnsi" w:hAnsi="Times New Roman" w:cs="Times New Roman"/>
                <w:b w:val="0"/>
                <w:bCs w:val="0"/>
                <w:sz w:val="24"/>
                <w:szCs w:val="24"/>
              </w:rPr>
            </w:pPr>
            <w:r w:rsidRPr="00841763">
              <w:rPr>
                <w:rFonts w:ascii="Times New Roman" w:eastAsiaTheme="minorHAnsi" w:hAnsi="Times New Roman" w:cs="Times New Roman"/>
                <w:b w:val="0"/>
                <w:bCs w:val="0"/>
                <w:sz w:val="24"/>
                <w:szCs w:val="24"/>
              </w:rPr>
              <w:t>Retail Brokerage</w:t>
            </w:r>
          </w:p>
        </w:tc>
        <w:tc>
          <w:tcPr>
            <w:tcW w:w="1733" w:type="dxa"/>
            <w:vAlign w:val="center"/>
          </w:tcPr>
          <w:p w:rsidR="006765AD" w:rsidRPr="00841763" w:rsidRDefault="006765AD" w:rsidP="00841763">
            <w:pPr>
              <w:bidi w:val="0"/>
              <w:spacing w:after="0" w:line="276" w:lineRule="auto"/>
              <w:jc w:val="center"/>
              <w:rPr>
                <w:rFonts w:ascii="Times New Roman" w:eastAsiaTheme="minorHAnsi" w:hAnsi="Times New Roman" w:cs="Times New Roman"/>
                <w:b w:val="0"/>
                <w:bCs w:val="0"/>
                <w:sz w:val="24"/>
                <w:szCs w:val="24"/>
              </w:rPr>
            </w:pPr>
            <w:r w:rsidRPr="00841763">
              <w:rPr>
                <w:rFonts w:ascii="Times New Roman" w:eastAsiaTheme="minorHAnsi" w:hAnsi="Times New Roman" w:cs="Times New Roman"/>
                <w:b w:val="0"/>
                <w:bCs w:val="0"/>
                <w:sz w:val="24"/>
                <w:szCs w:val="24"/>
              </w:rPr>
              <w:t>12%</w:t>
            </w:r>
          </w:p>
        </w:tc>
        <w:tc>
          <w:tcPr>
            <w:tcW w:w="4253" w:type="dxa"/>
            <w:vAlign w:val="center"/>
          </w:tcPr>
          <w:p w:rsidR="006765AD" w:rsidRPr="00766C1E" w:rsidRDefault="00766C1E" w:rsidP="00841763">
            <w:pPr>
              <w:bidi w:val="0"/>
              <w:spacing w:after="0" w:line="276" w:lineRule="auto"/>
              <w:jc w:val="center"/>
              <w:rPr>
                <w:rFonts w:ascii="Times New Roman" w:eastAsiaTheme="minorHAnsi" w:hAnsi="Times New Roman" w:cs="Times New Roman"/>
                <w:b w:val="0"/>
                <w:bCs w:val="0"/>
                <w:sz w:val="24"/>
                <w:szCs w:val="24"/>
              </w:rPr>
            </w:pPr>
            <w:r w:rsidRPr="00766C1E">
              <w:rPr>
                <w:rFonts w:ascii="Times New Roman" w:eastAsiaTheme="minorHAnsi" w:hAnsi="Times New Roman" w:cs="Times New Roman"/>
                <w:b w:val="0"/>
                <w:bCs w:val="0"/>
                <w:sz w:val="24"/>
                <w:szCs w:val="24"/>
              </w:rPr>
              <w:t>Execution and full service</w:t>
            </w:r>
          </w:p>
        </w:tc>
      </w:tr>
    </w:tbl>
    <w:p w:rsidR="00431145" w:rsidRPr="00431145" w:rsidRDefault="00431145" w:rsidP="00431145">
      <w:pPr>
        <w:bidi w:val="0"/>
        <w:jc w:val="center"/>
      </w:pPr>
    </w:p>
    <w:bookmarkEnd w:id="80"/>
    <w:p w:rsidR="00505A8B" w:rsidRDefault="00505A8B" w:rsidP="00505A8B">
      <w:pPr>
        <w:rPr>
          <w:lang w:bidi="ar-JO"/>
        </w:rPr>
      </w:pPr>
    </w:p>
    <w:p w:rsidR="006765AD" w:rsidRDefault="006765AD" w:rsidP="00505A8B">
      <w:pPr>
        <w:rPr>
          <w:lang w:bidi="ar-JO"/>
        </w:rPr>
      </w:pPr>
    </w:p>
    <w:p w:rsidR="006765AD" w:rsidRDefault="006765AD" w:rsidP="00505A8B">
      <w:pPr>
        <w:rPr>
          <w:lang w:bidi="ar-JO"/>
        </w:rPr>
      </w:pPr>
    </w:p>
    <w:p w:rsidR="006765AD" w:rsidRDefault="006765AD" w:rsidP="00505A8B">
      <w:pPr>
        <w:rPr>
          <w:rtl/>
          <w:lang w:bidi="ar-JO"/>
        </w:rPr>
      </w:pPr>
    </w:p>
    <w:p w:rsidR="00505A8B" w:rsidRDefault="00505A8B" w:rsidP="00505A8B">
      <w:pPr>
        <w:rPr>
          <w:rtl/>
          <w:lang w:bidi="ar-JO"/>
        </w:rPr>
      </w:pPr>
    </w:p>
    <w:p w:rsidR="00505A8B" w:rsidRDefault="00505A8B" w:rsidP="00505A8B">
      <w:pPr>
        <w:rPr>
          <w:rtl/>
          <w:lang w:bidi="ar-JO"/>
        </w:rPr>
      </w:pPr>
    </w:p>
    <w:p w:rsidR="00505A8B" w:rsidRDefault="00505A8B" w:rsidP="00505A8B">
      <w:pPr>
        <w:rPr>
          <w:rtl/>
          <w:lang w:bidi="ar-JO"/>
        </w:rPr>
      </w:pPr>
    </w:p>
    <w:p w:rsidR="006379F7" w:rsidRDefault="006379F7" w:rsidP="006379F7">
      <w:pPr>
        <w:bidi w:val="0"/>
        <w:jc w:val="center"/>
        <w:rPr>
          <w:rFonts w:ascii="Times New Roman" w:hAnsi="Times New Roman" w:cs="Times New Roman"/>
        </w:rPr>
      </w:pPr>
    </w:p>
    <w:p w:rsidR="006078A3" w:rsidRPr="00F06631" w:rsidRDefault="006078A3" w:rsidP="00563636">
      <w:pPr>
        <w:pStyle w:val="Heading1"/>
        <w:pBdr>
          <w:bottom w:val="single" w:sz="4" w:space="1" w:color="auto"/>
        </w:pBdr>
        <w:bidi w:val="0"/>
        <w:jc w:val="center"/>
        <w:rPr>
          <w:rFonts w:asciiTheme="majorBidi" w:hAnsiTheme="majorBidi" w:cstheme="majorBidi"/>
          <w:b/>
          <w:bCs/>
        </w:rPr>
      </w:pPr>
      <w:r>
        <w:rPr>
          <w:lang w:bidi="ar-JO"/>
        </w:rPr>
        <w:lastRenderedPageBreak/>
        <w:tab/>
      </w:r>
      <w:bookmarkStart w:id="82" w:name="_Toc65354423"/>
      <w:r w:rsidRPr="00F06631">
        <w:rPr>
          <w:rFonts w:asciiTheme="majorBidi" w:hAnsiTheme="majorBidi" w:cstheme="majorBidi"/>
          <w:b/>
          <w:bCs/>
        </w:rPr>
        <w:t>Annex (15)</w:t>
      </w:r>
      <w:r w:rsidR="00B66B27">
        <w:rPr>
          <w:rFonts w:asciiTheme="majorBidi" w:hAnsiTheme="majorBidi" w:cstheme="majorBidi"/>
          <w:b/>
          <w:bCs/>
        </w:rPr>
        <w:t xml:space="preserve"> </w:t>
      </w:r>
      <w:r w:rsidRPr="00563636">
        <w:rPr>
          <w:rFonts w:asciiTheme="majorBidi" w:hAnsiTheme="majorBidi" w:cstheme="majorBidi"/>
          <w:b/>
          <w:bCs/>
        </w:rPr>
        <w:t xml:space="preserve">Specific risk </w:t>
      </w:r>
      <w:r w:rsidR="00563636" w:rsidRPr="00563636">
        <w:rPr>
          <w:rFonts w:asciiTheme="majorBidi" w:hAnsiTheme="majorBidi" w:cstheme="majorBidi"/>
          <w:b/>
          <w:bCs/>
        </w:rPr>
        <w:t>for interest rate related debt instruments</w:t>
      </w:r>
      <w:bookmarkEnd w:id="82"/>
      <w:r w:rsidR="00563636" w:rsidRPr="00563636">
        <w:rPr>
          <w:rFonts w:asciiTheme="majorBidi" w:hAnsiTheme="majorBidi" w:cstheme="majorBidi"/>
          <w:b/>
          <w:bCs/>
        </w:rPr>
        <w:t xml:space="preserve"> </w:t>
      </w:r>
    </w:p>
    <w:p w:rsidR="00F06631" w:rsidRDefault="00F06631" w:rsidP="00F06631">
      <w:pPr>
        <w:bidi w:val="0"/>
        <w:jc w:val="center"/>
        <w:rPr>
          <w:rFonts w:ascii="Times New Roman" w:hAnsi="Times New Roman" w:cs="Times New Roman"/>
        </w:rPr>
      </w:pPr>
    </w:p>
    <w:p w:rsidR="00F06631" w:rsidRDefault="00F06631" w:rsidP="00F06631">
      <w:pPr>
        <w:bidi w:val="0"/>
        <w:jc w:val="center"/>
        <w:rPr>
          <w:rFonts w:ascii="Times New Roman" w:hAnsi="Times New Roman" w:cs="Times New Roman"/>
        </w:rPr>
      </w:pPr>
    </w:p>
    <w:p w:rsidR="006078A3" w:rsidRPr="006078A3" w:rsidRDefault="006078A3" w:rsidP="006078A3">
      <w:pPr>
        <w:bidi w:val="0"/>
        <w:jc w:val="right"/>
        <w:rPr>
          <w:rFonts w:ascii="Times New Roman" w:hAnsi="Times New Roman" w:cs="Times New Roman"/>
          <w:b w:val="0"/>
          <w:bCs w:val="0"/>
          <w:sz w:val="22"/>
          <w:szCs w:val="22"/>
        </w:rPr>
      </w:pPr>
      <w:r w:rsidRPr="006078A3">
        <w:rPr>
          <w:rFonts w:ascii="Times New Roman" w:hAnsi="Times New Roman" w:cs="Times New Roman"/>
          <w:b w:val="0"/>
          <w:bCs w:val="0"/>
          <w:sz w:val="22"/>
          <w:szCs w:val="22"/>
        </w:rPr>
        <w:t>Thousands JD</w:t>
      </w:r>
    </w:p>
    <w:tbl>
      <w:tblPr>
        <w:tblStyle w:val="TableGrid"/>
        <w:tblW w:w="10065" w:type="dxa"/>
        <w:tblInd w:w="-998" w:type="dxa"/>
        <w:tblLook w:val="04A0" w:firstRow="1" w:lastRow="0" w:firstColumn="1" w:lastColumn="0" w:noHBand="0" w:noVBand="1"/>
      </w:tblPr>
      <w:tblGrid>
        <w:gridCol w:w="2109"/>
        <w:gridCol w:w="1578"/>
        <w:gridCol w:w="1468"/>
        <w:gridCol w:w="1060"/>
        <w:gridCol w:w="1060"/>
        <w:gridCol w:w="696"/>
        <w:gridCol w:w="979"/>
        <w:gridCol w:w="1115"/>
      </w:tblGrid>
      <w:tr w:rsidR="003E6A96" w:rsidTr="00CC4B29">
        <w:tc>
          <w:tcPr>
            <w:tcW w:w="2109" w:type="dxa"/>
            <w:shd w:val="clear" w:color="auto" w:fill="DBDBDB" w:themeFill="accent3" w:themeFillTint="66"/>
            <w:vAlign w:val="center"/>
          </w:tcPr>
          <w:p w:rsidR="006078A3" w:rsidRPr="006078A3" w:rsidRDefault="006078A3" w:rsidP="006078A3">
            <w:pPr>
              <w:bidi w:val="0"/>
              <w:jc w:val="center"/>
              <w:rPr>
                <w:rFonts w:ascii="Times New Roman" w:hAnsi="Times New Roman" w:cs="Times New Roman"/>
                <w:sz w:val="22"/>
                <w:szCs w:val="22"/>
              </w:rPr>
            </w:pPr>
            <w:r w:rsidRPr="006078A3">
              <w:rPr>
                <w:rFonts w:ascii="Times New Roman" w:hAnsi="Times New Roman" w:cs="Times New Roman"/>
                <w:sz w:val="22"/>
                <w:szCs w:val="22"/>
              </w:rPr>
              <w:t>Instruments</w:t>
            </w:r>
          </w:p>
        </w:tc>
        <w:tc>
          <w:tcPr>
            <w:tcW w:w="1578" w:type="dxa"/>
            <w:shd w:val="clear" w:color="auto" w:fill="DBDBDB" w:themeFill="accent3" w:themeFillTint="66"/>
            <w:vAlign w:val="center"/>
          </w:tcPr>
          <w:p w:rsidR="006078A3" w:rsidRPr="006078A3" w:rsidRDefault="006078A3" w:rsidP="006078A3">
            <w:pPr>
              <w:bidi w:val="0"/>
              <w:jc w:val="center"/>
              <w:rPr>
                <w:rFonts w:ascii="Times New Roman" w:hAnsi="Times New Roman" w:cs="Times New Roman"/>
                <w:sz w:val="22"/>
                <w:szCs w:val="22"/>
              </w:rPr>
            </w:pPr>
            <w:r w:rsidRPr="006078A3">
              <w:rPr>
                <w:rFonts w:ascii="Times New Roman" w:hAnsi="Times New Roman" w:cs="Times New Roman"/>
                <w:sz w:val="22"/>
                <w:szCs w:val="22"/>
              </w:rPr>
              <w:t>Rating</w:t>
            </w:r>
          </w:p>
        </w:tc>
        <w:tc>
          <w:tcPr>
            <w:tcW w:w="1468" w:type="dxa"/>
            <w:shd w:val="clear" w:color="auto" w:fill="DBDBDB" w:themeFill="accent3" w:themeFillTint="66"/>
            <w:vAlign w:val="center"/>
          </w:tcPr>
          <w:p w:rsidR="006078A3" w:rsidRPr="006078A3" w:rsidRDefault="006078A3" w:rsidP="006078A3">
            <w:pPr>
              <w:bidi w:val="0"/>
              <w:jc w:val="center"/>
              <w:rPr>
                <w:rFonts w:ascii="Times New Roman" w:hAnsi="Times New Roman" w:cs="Times New Roman"/>
                <w:sz w:val="22"/>
                <w:szCs w:val="22"/>
              </w:rPr>
            </w:pPr>
            <w:r w:rsidRPr="006078A3">
              <w:rPr>
                <w:rFonts w:ascii="Times New Roman" w:hAnsi="Times New Roman" w:cs="Times New Roman"/>
                <w:sz w:val="22"/>
                <w:szCs w:val="22"/>
              </w:rPr>
              <w:t>Maturity</w:t>
            </w:r>
          </w:p>
        </w:tc>
        <w:tc>
          <w:tcPr>
            <w:tcW w:w="1060" w:type="dxa"/>
            <w:shd w:val="clear" w:color="auto" w:fill="DBDBDB" w:themeFill="accent3" w:themeFillTint="66"/>
            <w:vAlign w:val="center"/>
          </w:tcPr>
          <w:p w:rsidR="006078A3" w:rsidRPr="006078A3" w:rsidRDefault="006078A3" w:rsidP="006078A3">
            <w:pPr>
              <w:bidi w:val="0"/>
              <w:jc w:val="center"/>
              <w:rPr>
                <w:rFonts w:ascii="Times New Roman" w:hAnsi="Times New Roman" w:cs="Times New Roman"/>
                <w:sz w:val="22"/>
                <w:szCs w:val="22"/>
              </w:rPr>
            </w:pPr>
            <w:r w:rsidRPr="006078A3">
              <w:rPr>
                <w:rFonts w:ascii="Times New Roman" w:hAnsi="Times New Roman" w:cs="Times New Roman"/>
                <w:sz w:val="22"/>
                <w:szCs w:val="22"/>
              </w:rPr>
              <w:t>Long Positions</w:t>
            </w:r>
          </w:p>
        </w:tc>
        <w:tc>
          <w:tcPr>
            <w:tcW w:w="1060" w:type="dxa"/>
            <w:shd w:val="clear" w:color="auto" w:fill="DBDBDB" w:themeFill="accent3" w:themeFillTint="66"/>
            <w:vAlign w:val="center"/>
          </w:tcPr>
          <w:p w:rsidR="006078A3" w:rsidRPr="006078A3" w:rsidRDefault="006078A3" w:rsidP="006078A3">
            <w:pPr>
              <w:bidi w:val="0"/>
              <w:jc w:val="center"/>
              <w:rPr>
                <w:rFonts w:ascii="Times New Roman" w:hAnsi="Times New Roman" w:cs="Times New Roman"/>
                <w:sz w:val="22"/>
                <w:szCs w:val="22"/>
              </w:rPr>
            </w:pPr>
            <w:r w:rsidRPr="006078A3">
              <w:rPr>
                <w:rFonts w:ascii="Times New Roman" w:hAnsi="Times New Roman" w:cs="Times New Roman"/>
                <w:sz w:val="22"/>
                <w:szCs w:val="22"/>
              </w:rPr>
              <w:t>short Positions</w:t>
            </w:r>
          </w:p>
        </w:tc>
        <w:tc>
          <w:tcPr>
            <w:tcW w:w="696" w:type="dxa"/>
            <w:shd w:val="clear" w:color="auto" w:fill="DBDBDB" w:themeFill="accent3" w:themeFillTint="66"/>
            <w:vAlign w:val="center"/>
          </w:tcPr>
          <w:p w:rsidR="006078A3" w:rsidRPr="006078A3" w:rsidRDefault="006078A3" w:rsidP="006078A3">
            <w:pPr>
              <w:bidi w:val="0"/>
              <w:jc w:val="center"/>
              <w:rPr>
                <w:rFonts w:ascii="Times New Roman" w:hAnsi="Times New Roman" w:cs="Times New Roman"/>
                <w:sz w:val="22"/>
                <w:szCs w:val="22"/>
              </w:rPr>
            </w:pPr>
            <w:r w:rsidRPr="006078A3">
              <w:rPr>
                <w:rFonts w:ascii="Times New Roman" w:hAnsi="Times New Roman" w:cs="Times New Roman"/>
                <w:sz w:val="22"/>
                <w:szCs w:val="22"/>
              </w:rPr>
              <w:t>1+2</w:t>
            </w:r>
          </w:p>
        </w:tc>
        <w:tc>
          <w:tcPr>
            <w:tcW w:w="979" w:type="dxa"/>
            <w:shd w:val="clear" w:color="auto" w:fill="DBDBDB" w:themeFill="accent3" w:themeFillTint="66"/>
            <w:vAlign w:val="center"/>
          </w:tcPr>
          <w:p w:rsidR="006078A3" w:rsidRPr="006078A3" w:rsidRDefault="006078A3" w:rsidP="006078A3">
            <w:pPr>
              <w:bidi w:val="0"/>
              <w:jc w:val="center"/>
              <w:rPr>
                <w:rFonts w:ascii="Times New Roman" w:hAnsi="Times New Roman" w:cs="Times New Roman"/>
                <w:sz w:val="22"/>
                <w:szCs w:val="22"/>
              </w:rPr>
            </w:pPr>
            <w:r w:rsidRPr="006078A3">
              <w:rPr>
                <w:rFonts w:ascii="Times New Roman" w:hAnsi="Times New Roman" w:cs="Times New Roman"/>
                <w:sz w:val="22"/>
                <w:szCs w:val="22"/>
              </w:rPr>
              <w:t>Risk weight</w:t>
            </w:r>
          </w:p>
        </w:tc>
        <w:tc>
          <w:tcPr>
            <w:tcW w:w="1115" w:type="dxa"/>
            <w:shd w:val="clear" w:color="auto" w:fill="DBDBDB" w:themeFill="accent3" w:themeFillTint="66"/>
            <w:vAlign w:val="center"/>
          </w:tcPr>
          <w:p w:rsidR="006078A3" w:rsidRPr="006078A3" w:rsidRDefault="006078A3" w:rsidP="006078A3">
            <w:pPr>
              <w:bidi w:val="0"/>
              <w:jc w:val="center"/>
              <w:rPr>
                <w:rFonts w:ascii="Times New Roman" w:hAnsi="Times New Roman" w:cs="Times New Roman"/>
                <w:sz w:val="22"/>
                <w:szCs w:val="22"/>
              </w:rPr>
            </w:pPr>
            <w:r w:rsidRPr="006078A3">
              <w:rPr>
                <w:rFonts w:ascii="Times New Roman" w:hAnsi="Times New Roman" w:cs="Times New Roman"/>
                <w:sz w:val="22"/>
                <w:szCs w:val="22"/>
              </w:rPr>
              <w:t>Capital 3*4</w:t>
            </w:r>
          </w:p>
        </w:tc>
      </w:tr>
      <w:tr w:rsidR="003E6A96" w:rsidTr="003E6A96">
        <w:tc>
          <w:tcPr>
            <w:tcW w:w="2109" w:type="dxa"/>
            <w:shd w:val="clear" w:color="auto" w:fill="EDEDED" w:themeFill="accent3" w:themeFillTint="33"/>
          </w:tcPr>
          <w:p w:rsidR="006078A3" w:rsidRPr="006078A3" w:rsidRDefault="006078A3" w:rsidP="006078A3">
            <w:pPr>
              <w:bidi w:val="0"/>
              <w:jc w:val="center"/>
              <w:rPr>
                <w:rFonts w:ascii="Times New Roman" w:hAnsi="Times New Roman" w:cs="Times New Roman"/>
                <w:sz w:val="22"/>
                <w:szCs w:val="22"/>
              </w:rPr>
            </w:pPr>
          </w:p>
        </w:tc>
        <w:tc>
          <w:tcPr>
            <w:tcW w:w="1578" w:type="dxa"/>
            <w:shd w:val="clear" w:color="auto" w:fill="EDEDED" w:themeFill="accent3" w:themeFillTint="33"/>
          </w:tcPr>
          <w:p w:rsidR="006078A3" w:rsidRPr="006078A3" w:rsidRDefault="006078A3" w:rsidP="006078A3">
            <w:pPr>
              <w:bidi w:val="0"/>
              <w:jc w:val="center"/>
              <w:rPr>
                <w:rFonts w:ascii="Times New Roman" w:hAnsi="Times New Roman" w:cs="Times New Roman"/>
                <w:sz w:val="22"/>
                <w:szCs w:val="22"/>
              </w:rPr>
            </w:pPr>
          </w:p>
        </w:tc>
        <w:tc>
          <w:tcPr>
            <w:tcW w:w="1468" w:type="dxa"/>
            <w:shd w:val="clear" w:color="auto" w:fill="EDEDED" w:themeFill="accent3" w:themeFillTint="33"/>
          </w:tcPr>
          <w:p w:rsidR="006078A3" w:rsidRPr="006078A3" w:rsidRDefault="006078A3" w:rsidP="006078A3">
            <w:pPr>
              <w:bidi w:val="0"/>
              <w:jc w:val="center"/>
              <w:rPr>
                <w:rFonts w:ascii="Times New Roman" w:hAnsi="Times New Roman" w:cs="Times New Roman"/>
                <w:sz w:val="22"/>
                <w:szCs w:val="22"/>
              </w:rPr>
            </w:pPr>
          </w:p>
        </w:tc>
        <w:tc>
          <w:tcPr>
            <w:tcW w:w="1060" w:type="dxa"/>
            <w:shd w:val="clear" w:color="auto" w:fill="EDEDED" w:themeFill="accent3" w:themeFillTint="33"/>
          </w:tcPr>
          <w:p w:rsidR="006078A3" w:rsidRPr="006078A3" w:rsidRDefault="006078A3" w:rsidP="006078A3">
            <w:pPr>
              <w:bidi w:val="0"/>
              <w:jc w:val="center"/>
              <w:rPr>
                <w:rFonts w:ascii="Times New Roman" w:hAnsi="Times New Roman" w:cs="Times New Roman"/>
                <w:sz w:val="22"/>
                <w:szCs w:val="22"/>
              </w:rPr>
            </w:pPr>
            <w:r w:rsidRPr="006078A3">
              <w:rPr>
                <w:rFonts w:ascii="Times New Roman" w:hAnsi="Times New Roman" w:cs="Times New Roman"/>
                <w:sz w:val="22"/>
                <w:szCs w:val="22"/>
              </w:rPr>
              <w:t>1</w:t>
            </w:r>
          </w:p>
        </w:tc>
        <w:tc>
          <w:tcPr>
            <w:tcW w:w="1060" w:type="dxa"/>
            <w:shd w:val="clear" w:color="auto" w:fill="EDEDED" w:themeFill="accent3" w:themeFillTint="33"/>
          </w:tcPr>
          <w:p w:rsidR="006078A3" w:rsidRPr="006078A3" w:rsidRDefault="006078A3" w:rsidP="006078A3">
            <w:pPr>
              <w:bidi w:val="0"/>
              <w:jc w:val="center"/>
              <w:rPr>
                <w:rFonts w:ascii="Times New Roman" w:hAnsi="Times New Roman" w:cs="Times New Roman"/>
                <w:sz w:val="22"/>
                <w:szCs w:val="22"/>
              </w:rPr>
            </w:pPr>
            <w:r w:rsidRPr="006078A3">
              <w:rPr>
                <w:rFonts w:ascii="Times New Roman" w:hAnsi="Times New Roman" w:cs="Times New Roman"/>
                <w:sz w:val="22"/>
                <w:szCs w:val="22"/>
              </w:rPr>
              <w:t>2</w:t>
            </w:r>
          </w:p>
        </w:tc>
        <w:tc>
          <w:tcPr>
            <w:tcW w:w="696" w:type="dxa"/>
            <w:shd w:val="clear" w:color="auto" w:fill="EDEDED" w:themeFill="accent3" w:themeFillTint="33"/>
          </w:tcPr>
          <w:p w:rsidR="006078A3" w:rsidRPr="006078A3" w:rsidRDefault="006078A3" w:rsidP="006078A3">
            <w:pPr>
              <w:bidi w:val="0"/>
              <w:jc w:val="center"/>
              <w:rPr>
                <w:rFonts w:ascii="Times New Roman" w:hAnsi="Times New Roman" w:cs="Times New Roman"/>
                <w:sz w:val="22"/>
                <w:szCs w:val="22"/>
              </w:rPr>
            </w:pPr>
            <w:r w:rsidRPr="006078A3">
              <w:rPr>
                <w:rFonts w:ascii="Times New Roman" w:hAnsi="Times New Roman" w:cs="Times New Roman"/>
                <w:sz w:val="22"/>
                <w:szCs w:val="22"/>
              </w:rPr>
              <w:t>3</w:t>
            </w:r>
          </w:p>
        </w:tc>
        <w:tc>
          <w:tcPr>
            <w:tcW w:w="979" w:type="dxa"/>
            <w:shd w:val="clear" w:color="auto" w:fill="EDEDED" w:themeFill="accent3" w:themeFillTint="33"/>
          </w:tcPr>
          <w:p w:rsidR="006078A3" w:rsidRPr="006078A3" w:rsidRDefault="006078A3" w:rsidP="006078A3">
            <w:pPr>
              <w:bidi w:val="0"/>
              <w:jc w:val="center"/>
              <w:rPr>
                <w:rFonts w:ascii="Times New Roman" w:hAnsi="Times New Roman" w:cs="Times New Roman"/>
                <w:sz w:val="22"/>
                <w:szCs w:val="22"/>
              </w:rPr>
            </w:pPr>
            <w:r w:rsidRPr="006078A3">
              <w:rPr>
                <w:rFonts w:ascii="Times New Roman" w:hAnsi="Times New Roman" w:cs="Times New Roman"/>
                <w:sz w:val="22"/>
                <w:szCs w:val="22"/>
              </w:rPr>
              <w:t>4</w:t>
            </w:r>
          </w:p>
        </w:tc>
        <w:tc>
          <w:tcPr>
            <w:tcW w:w="1115" w:type="dxa"/>
            <w:shd w:val="clear" w:color="auto" w:fill="EDEDED" w:themeFill="accent3" w:themeFillTint="33"/>
          </w:tcPr>
          <w:p w:rsidR="006078A3" w:rsidRPr="006078A3" w:rsidRDefault="006078A3" w:rsidP="006078A3">
            <w:pPr>
              <w:bidi w:val="0"/>
              <w:jc w:val="center"/>
              <w:rPr>
                <w:rFonts w:ascii="Times New Roman" w:hAnsi="Times New Roman" w:cs="Times New Roman"/>
                <w:sz w:val="22"/>
                <w:szCs w:val="22"/>
              </w:rPr>
            </w:pPr>
            <w:r w:rsidRPr="006078A3">
              <w:rPr>
                <w:rFonts w:ascii="Times New Roman" w:hAnsi="Times New Roman" w:cs="Times New Roman"/>
                <w:sz w:val="22"/>
                <w:szCs w:val="22"/>
              </w:rPr>
              <w:t>5</w:t>
            </w:r>
          </w:p>
        </w:tc>
      </w:tr>
      <w:tr w:rsidR="00AC484E" w:rsidTr="003E6A96">
        <w:tc>
          <w:tcPr>
            <w:tcW w:w="2109" w:type="dxa"/>
            <w:vAlign w:val="center"/>
          </w:tcPr>
          <w:p w:rsidR="00AC484E" w:rsidRPr="006078A3" w:rsidRDefault="00AC484E" w:rsidP="003E6A96">
            <w:pPr>
              <w:bidi w:val="0"/>
              <w:spacing w:after="0"/>
              <w:jc w:val="center"/>
              <w:rPr>
                <w:rFonts w:ascii="Times New Roman" w:hAnsi="Times New Roman" w:cs="Times New Roman"/>
                <w:b w:val="0"/>
                <w:bCs w:val="0"/>
                <w:sz w:val="22"/>
                <w:szCs w:val="22"/>
              </w:rPr>
            </w:pPr>
            <w:r w:rsidRPr="006078A3">
              <w:rPr>
                <w:rFonts w:ascii="Times New Roman" w:hAnsi="Times New Roman" w:cs="Times New Roman"/>
                <w:b w:val="0"/>
                <w:bCs w:val="0"/>
                <w:color w:val="202124"/>
                <w:sz w:val="22"/>
                <w:szCs w:val="22"/>
                <w:lang w:val="en"/>
              </w:rPr>
              <w:t>securities issued by the Jordanian government or its guarantee in Jordanian dinars</w:t>
            </w:r>
          </w:p>
        </w:tc>
        <w:tc>
          <w:tcPr>
            <w:tcW w:w="3046" w:type="dxa"/>
            <w:gridSpan w:val="2"/>
            <w:vAlign w:val="center"/>
          </w:tcPr>
          <w:p w:rsidR="00AC484E" w:rsidRPr="003E6A96" w:rsidRDefault="00AC484E" w:rsidP="003E6A96">
            <w:pPr>
              <w:bidi w:val="0"/>
              <w:spacing w:after="0"/>
              <w:jc w:val="center"/>
              <w:rPr>
                <w:rFonts w:ascii="Times New Roman" w:hAnsi="Times New Roman" w:cs="Times New Roman"/>
                <w:b w:val="0"/>
                <w:bCs w:val="0"/>
                <w:sz w:val="22"/>
                <w:szCs w:val="22"/>
              </w:rPr>
            </w:pPr>
            <w:r w:rsidRPr="003E6A96">
              <w:rPr>
                <w:rFonts w:ascii="Times New Roman" w:hAnsi="Times New Roman" w:cs="Times New Roman"/>
                <w:b w:val="0"/>
                <w:bCs w:val="0"/>
                <w:color w:val="202124"/>
                <w:sz w:val="22"/>
                <w:szCs w:val="22"/>
                <w:lang w:val="en"/>
              </w:rPr>
              <w:t>Regardless the rating</w:t>
            </w:r>
          </w:p>
        </w:tc>
        <w:tc>
          <w:tcPr>
            <w:tcW w:w="1060" w:type="dxa"/>
          </w:tcPr>
          <w:p w:rsidR="00AC484E" w:rsidRPr="006078A3" w:rsidRDefault="00AC484E" w:rsidP="003E6A96">
            <w:pPr>
              <w:bidi w:val="0"/>
              <w:spacing w:after="0"/>
              <w:jc w:val="center"/>
              <w:rPr>
                <w:rFonts w:ascii="Times New Roman" w:hAnsi="Times New Roman" w:cs="Times New Roman"/>
                <w:b w:val="0"/>
                <w:bCs w:val="0"/>
                <w:sz w:val="22"/>
                <w:szCs w:val="22"/>
              </w:rPr>
            </w:pPr>
          </w:p>
        </w:tc>
        <w:tc>
          <w:tcPr>
            <w:tcW w:w="1060" w:type="dxa"/>
          </w:tcPr>
          <w:p w:rsidR="00AC484E" w:rsidRPr="006078A3" w:rsidRDefault="00AC484E" w:rsidP="003E6A96">
            <w:pPr>
              <w:bidi w:val="0"/>
              <w:spacing w:after="0"/>
              <w:jc w:val="center"/>
              <w:rPr>
                <w:rFonts w:ascii="Times New Roman" w:hAnsi="Times New Roman" w:cs="Times New Roman"/>
                <w:b w:val="0"/>
                <w:bCs w:val="0"/>
                <w:sz w:val="22"/>
                <w:szCs w:val="22"/>
              </w:rPr>
            </w:pPr>
          </w:p>
        </w:tc>
        <w:tc>
          <w:tcPr>
            <w:tcW w:w="696" w:type="dxa"/>
            <w:vAlign w:val="center"/>
          </w:tcPr>
          <w:p w:rsidR="00AC484E" w:rsidRPr="006078A3" w:rsidRDefault="00AC484E" w:rsidP="003E6A96">
            <w:pPr>
              <w:bidi w:val="0"/>
              <w:spacing w:after="0"/>
              <w:jc w:val="center"/>
              <w:rPr>
                <w:rFonts w:ascii="Times New Roman" w:hAnsi="Times New Roman" w:cs="Times New Roman"/>
                <w:b w:val="0"/>
                <w:bCs w:val="0"/>
                <w:sz w:val="22"/>
                <w:szCs w:val="22"/>
              </w:rPr>
            </w:pPr>
            <w:r w:rsidRPr="006078A3">
              <w:rPr>
                <w:rFonts w:ascii="Times New Roman" w:hAnsi="Times New Roman" w:cs="Times New Roman"/>
                <w:b w:val="0"/>
                <w:bCs w:val="0"/>
                <w:sz w:val="22"/>
                <w:szCs w:val="22"/>
              </w:rPr>
              <w:t>0</w:t>
            </w:r>
          </w:p>
        </w:tc>
        <w:tc>
          <w:tcPr>
            <w:tcW w:w="979" w:type="dxa"/>
            <w:vAlign w:val="center"/>
          </w:tcPr>
          <w:p w:rsidR="00AC484E" w:rsidRPr="006078A3" w:rsidRDefault="00AC484E" w:rsidP="003E6A96">
            <w:pPr>
              <w:bidi w:val="0"/>
              <w:spacing w:after="0"/>
              <w:jc w:val="center"/>
              <w:rPr>
                <w:rFonts w:ascii="Times New Roman" w:hAnsi="Times New Roman" w:cs="Times New Roman"/>
                <w:b w:val="0"/>
                <w:bCs w:val="0"/>
                <w:sz w:val="22"/>
                <w:szCs w:val="22"/>
              </w:rPr>
            </w:pPr>
            <w:r w:rsidRPr="006078A3">
              <w:rPr>
                <w:rFonts w:ascii="Times New Roman" w:hAnsi="Times New Roman" w:cs="Times New Roman"/>
                <w:b w:val="0"/>
                <w:bCs w:val="0"/>
                <w:sz w:val="22"/>
                <w:szCs w:val="22"/>
              </w:rPr>
              <w:t>0%</w:t>
            </w:r>
          </w:p>
        </w:tc>
        <w:tc>
          <w:tcPr>
            <w:tcW w:w="1115" w:type="dxa"/>
            <w:vAlign w:val="center"/>
          </w:tcPr>
          <w:p w:rsidR="00AC484E" w:rsidRPr="006078A3" w:rsidRDefault="00AC484E" w:rsidP="003E6A96">
            <w:pPr>
              <w:bidi w:val="0"/>
              <w:spacing w:after="0"/>
              <w:jc w:val="center"/>
              <w:rPr>
                <w:rFonts w:ascii="Times New Roman" w:hAnsi="Times New Roman" w:cs="Times New Roman"/>
                <w:b w:val="0"/>
                <w:bCs w:val="0"/>
                <w:sz w:val="22"/>
                <w:szCs w:val="22"/>
              </w:rPr>
            </w:pPr>
            <w:r w:rsidRPr="006078A3">
              <w:rPr>
                <w:rFonts w:ascii="Times New Roman" w:hAnsi="Times New Roman" w:cs="Times New Roman"/>
                <w:b w:val="0"/>
                <w:bCs w:val="0"/>
                <w:sz w:val="22"/>
                <w:szCs w:val="22"/>
              </w:rPr>
              <w:t>0</w:t>
            </w:r>
          </w:p>
        </w:tc>
      </w:tr>
      <w:tr w:rsidR="0057079A" w:rsidTr="003E6A96">
        <w:tc>
          <w:tcPr>
            <w:tcW w:w="2109" w:type="dxa"/>
            <w:vMerge w:val="restart"/>
            <w:vAlign w:val="center"/>
          </w:tcPr>
          <w:p w:rsidR="0057079A" w:rsidRPr="00AC484E" w:rsidRDefault="0057079A" w:rsidP="003E6A96">
            <w:pPr>
              <w:bidi w:val="0"/>
              <w:spacing w:after="0"/>
              <w:jc w:val="center"/>
              <w:rPr>
                <w:rFonts w:ascii="Times New Roman" w:hAnsi="Times New Roman" w:cs="Times New Roman"/>
                <w:b w:val="0"/>
                <w:bCs w:val="0"/>
                <w:color w:val="202124"/>
                <w:sz w:val="22"/>
                <w:szCs w:val="22"/>
                <w:lang w:val="en"/>
              </w:rPr>
            </w:pPr>
            <w:r>
              <w:rPr>
                <w:rFonts w:ascii="Times New Roman" w:hAnsi="Times New Roman" w:cs="Times New Roman"/>
                <w:b w:val="0"/>
                <w:bCs w:val="0"/>
                <w:color w:val="202124"/>
                <w:sz w:val="22"/>
                <w:szCs w:val="22"/>
                <w:lang w:val="en"/>
              </w:rPr>
              <w:t xml:space="preserve">securities issued by </w:t>
            </w:r>
            <w:r w:rsidRPr="006078A3">
              <w:rPr>
                <w:rFonts w:ascii="Times New Roman" w:hAnsi="Times New Roman" w:cs="Times New Roman"/>
                <w:b w:val="0"/>
                <w:bCs w:val="0"/>
                <w:color w:val="202124"/>
                <w:sz w:val="22"/>
                <w:szCs w:val="22"/>
                <w:lang w:val="en"/>
              </w:rPr>
              <w:t>government</w:t>
            </w:r>
            <w:r>
              <w:rPr>
                <w:rFonts w:ascii="Times New Roman" w:hAnsi="Times New Roman" w:cs="Times New Roman"/>
                <w:b w:val="0"/>
                <w:bCs w:val="0"/>
                <w:color w:val="202124"/>
                <w:sz w:val="22"/>
                <w:szCs w:val="22"/>
                <w:lang w:val="en"/>
              </w:rPr>
              <w:t>s (including the securities</w:t>
            </w:r>
            <w:r w:rsidRPr="006078A3">
              <w:rPr>
                <w:rFonts w:ascii="Times New Roman" w:hAnsi="Times New Roman" w:cs="Times New Roman"/>
                <w:b w:val="0"/>
                <w:bCs w:val="0"/>
                <w:color w:val="202124"/>
                <w:sz w:val="22"/>
                <w:szCs w:val="22"/>
                <w:lang w:val="en"/>
              </w:rPr>
              <w:t xml:space="preserve"> issued by the Jordanian government in </w:t>
            </w:r>
            <w:r>
              <w:rPr>
                <w:rFonts w:ascii="Times New Roman" w:hAnsi="Times New Roman" w:cs="Times New Roman"/>
                <w:b w:val="0"/>
                <w:bCs w:val="0"/>
                <w:color w:val="202124"/>
                <w:sz w:val="22"/>
                <w:szCs w:val="22"/>
                <w:lang w:val="en"/>
              </w:rPr>
              <w:t>foreign currency) c</w:t>
            </w:r>
            <w:r w:rsidRPr="00AC484E">
              <w:rPr>
                <w:rFonts w:ascii="Times New Roman" w:hAnsi="Times New Roman" w:cs="Times New Roman"/>
                <w:b w:val="0"/>
                <w:bCs w:val="0"/>
                <w:color w:val="202124"/>
                <w:sz w:val="22"/>
                <w:szCs w:val="22"/>
                <w:lang w:val="en"/>
              </w:rPr>
              <w:t>lassified as follows:</w:t>
            </w:r>
          </w:p>
        </w:tc>
        <w:tc>
          <w:tcPr>
            <w:tcW w:w="3046" w:type="dxa"/>
            <w:gridSpan w:val="2"/>
          </w:tcPr>
          <w:p w:rsidR="0057079A" w:rsidRPr="003E6A96" w:rsidRDefault="0057079A" w:rsidP="003E6A96">
            <w:pPr>
              <w:bidi w:val="0"/>
              <w:spacing w:after="0"/>
              <w:jc w:val="center"/>
              <w:rPr>
                <w:rFonts w:ascii="Times New Roman" w:hAnsi="Times New Roman" w:cs="Times New Roman"/>
                <w:b w:val="0"/>
                <w:bCs w:val="0"/>
                <w:sz w:val="22"/>
                <w:szCs w:val="22"/>
              </w:rPr>
            </w:pPr>
            <w:r w:rsidRPr="003E6A96">
              <w:rPr>
                <w:rFonts w:ascii="Times New Roman" w:hAnsi="Times New Roman" w:cs="Times New Roman"/>
                <w:b w:val="0"/>
                <w:bCs w:val="0"/>
                <w:sz w:val="22"/>
                <w:szCs w:val="22"/>
              </w:rPr>
              <w:t>(AAA) – (AA-)</w:t>
            </w:r>
          </w:p>
        </w:tc>
        <w:tc>
          <w:tcPr>
            <w:tcW w:w="1060" w:type="dxa"/>
          </w:tcPr>
          <w:p w:rsidR="0057079A" w:rsidRPr="006078A3" w:rsidRDefault="0057079A" w:rsidP="003E6A96">
            <w:pPr>
              <w:bidi w:val="0"/>
              <w:spacing w:after="0"/>
              <w:jc w:val="center"/>
              <w:rPr>
                <w:rFonts w:ascii="Times New Roman" w:hAnsi="Times New Roman" w:cs="Times New Roman"/>
                <w:sz w:val="22"/>
                <w:szCs w:val="22"/>
              </w:rPr>
            </w:pPr>
          </w:p>
        </w:tc>
        <w:tc>
          <w:tcPr>
            <w:tcW w:w="1060" w:type="dxa"/>
          </w:tcPr>
          <w:p w:rsidR="0057079A" w:rsidRPr="006078A3" w:rsidRDefault="0057079A" w:rsidP="003E6A96">
            <w:pPr>
              <w:bidi w:val="0"/>
              <w:spacing w:after="0"/>
              <w:jc w:val="center"/>
              <w:rPr>
                <w:rFonts w:ascii="Times New Roman" w:hAnsi="Times New Roman" w:cs="Times New Roman"/>
                <w:sz w:val="22"/>
                <w:szCs w:val="22"/>
              </w:rPr>
            </w:pPr>
          </w:p>
        </w:tc>
        <w:tc>
          <w:tcPr>
            <w:tcW w:w="696" w:type="dxa"/>
            <w:vAlign w:val="center"/>
          </w:tcPr>
          <w:p w:rsidR="0057079A" w:rsidRPr="006078A3" w:rsidRDefault="0057079A" w:rsidP="003E6A96">
            <w:pPr>
              <w:bidi w:val="0"/>
              <w:spacing w:after="0"/>
              <w:jc w:val="center"/>
              <w:rPr>
                <w:rFonts w:ascii="Times New Roman" w:hAnsi="Times New Roman" w:cs="Times New Roman"/>
                <w:sz w:val="22"/>
                <w:szCs w:val="22"/>
              </w:rPr>
            </w:pPr>
            <w:r>
              <w:rPr>
                <w:rFonts w:ascii="Times New Roman" w:hAnsi="Times New Roman" w:cs="Times New Roman"/>
                <w:sz w:val="22"/>
                <w:szCs w:val="22"/>
              </w:rPr>
              <w:t>0</w:t>
            </w:r>
          </w:p>
        </w:tc>
        <w:tc>
          <w:tcPr>
            <w:tcW w:w="979" w:type="dxa"/>
            <w:vAlign w:val="center"/>
          </w:tcPr>
          <w:p w:rsidR="0057079A" w:rsidRPr="006078A3" w:rsidRDefault="0057079A" w:rsidP="003E6A96">
            <w:pPr>
              <w:bidi w:val="0"/>
              <w:spacing w:after="0"/>
              <w:jc w:val="center"/>
              <w:rPr>
                <w:rFonts w:ascii="Times New Roman" w:hAnsi="Times New Roman" w:cs="Times New Roman"/>
                <w:sz w:val="22"/>
                <w:szCs w:val="22"/>
              </w:rPr>
            </w:pPr>
            <w:r>
              <w:rPr>
                <w:rFonts w:ascii="Times New Roman" w:hAnsi="Times New Roman" w:cs="Times New Roman"/>
                <w:sz w:val="22"/>
                <w:szCs w:val="22"/>
              </w:rPr>
              <w:t>0%</w:t>
            </w:r>
          </w:p>
        </w:tc>
        <w:tc>
          <w:tcPr>
            <w:tcW w:w="1115" w:type="dxa"/>
            <w:vAlign w:val="center"/>
          </w:tcPr>
          <w:p w:rsidR="0057079A" w:rsidRPr="006078A3" w:rsidRDefault="0057079A" w:rsidP="003E6A96">
            <w:pPr>
              <w:bidi w:val="0"/>
              <w:spacing w:after="0"/>
              <w:jc w:val="center"/>
              <w:rPr>
                <w:rFonts w:ascii="Times New Roman" w:hAnsi="Times New Roman" w:cs="Times New Roman"/>
                <w:sz w:val="22"/>
                <w:szCs w:val="22"/>
              </w:rPr>
            </w:pPr>
            <w:r>
              <w:rPr>
                <w:rFonts w:ascii="Times New Roman" w:hAnsi="Times New Roman" w:cs="Times New Roman"/>
                <w:sz w:val="22"/>
                <w:szCs w:val="22"/>
              </w:rPr>
              <w:t>0</w:t>
            </w:r>
          </w:p>
        </w:tc>
      </w:tr>
      <w:tr w:rsidR="0057079A" w:rsidTr="003E6A96">
        <w:tc>
          <w:tcPr>
            <w:tcW w:w="2109" w:type="dxa"/>
            <w:vMerge/>
            <w:vAlign w:val="center"/>
          </w:tcPr>
          <w:p w:rsidR="0057079A" w:rsidRDefault="0057079A" w:rsidP="003E6A96">
            <w:pPr>
              <w:bidi w:val="0"/>
              <w:spacing w:after="0"/>
              <w:jc w:val="center"/>
              <w:rPr>
                <w:rFonts w:ascii="Times New Roman" w:hAnsi="Times New Roman" w:cs="Times New Roman"/>
                <w:b w:val="0"/>
                <w:bCs w:val="0"/>
                <w:color w:val="202124"/>
                <w:sz w:val="22"/>
                <w:szCs w:val="22"/>
                <w:lang w:val="en"/>
              </w:rPr>
            </w:pPr>
          </w:p>
        </w:tc>
        <w:tc>
          <w:tcPr>
            <w:tcW w:w="1578" w:type="dxa"/>
            <w:vMerge w:val="restart"/>
            <w:vAlign w:val="center"/>
          </w:tcPr>
          <w:p w:rsidR="0057079A" w:rsidRPr="003E6A96" w:rsidRDefault="0057079A" w:rsidP="003E6A96">
            <w:pPr>
              <w:bidi w:val="0"/>
              <w:spacing w:after="0"/>
              <w:jc w:val="center"/>
              <w:rPr>
                <w:rFonts w:ascii="Times New Roman" w:hAnsi="Times New Roman" w:cs="Times New Roman"/>
                <w:b w:val="0"/>
                <w:bCs w:val="0"/>
                <w:sz w:val="22"/>
                <w:szCs w:val="22"/>
              </w:rPr>
            </w:pPr>
            <w:r w:rsidRPr="003E6A96">
              <w:rPr>
                <w:rFonts w:ascii="Times New Roman" w:hAnsi="Times New Roman" w:cs="Times New Roman"/>
                <w:b w:val="0"/>
                <w:bCs w:val="0"/>
                <w:sz w:val="22"/>
                <w:szCs w:val="22"/>
              </w:rPr>
              <w:t>(A+) – (BBB-) and the residual term to maturity:</w:t>
            </w:r>
          </w:p>
        </w:tc>
        <w:tc>
          <w:tcPr>
            <w:tcW w:w="1468" w:type="dxa"/>
            <w:vAlign w:val="center"/>
          </w:tcPr>
          <w:p w:rsidR="0057079A" w:rsidRPr="003E6A96" w:rsidRDefault="0057079A" w:rsidP="003E6A96">
            <w:pPr>
              <w:bidi w:val="0"/>
              <w:spacing w:after="0"/>
              <w:jc w:val="center"/>
              <w:rPr>
                <w:rFonts w:ascii="Times New Roman" w:hAnsi="Times New Roman" w:cs="Times New Roman"/>
                <w:b w:val="0"/>
                <w:bCs w:val="0"/>
                <w:sz w:val="22"/>
                <w:szCs w:val="22"/>
              </w:rPr>
            </w:pPr>
            <w:r w:rsidRPr="003E6A96">
              <w:rPr>
                <w:rFonts w:ascii="Times New Roman" w:hAnsi="Times New Roman" w:cs="Times New Roman"/>
                <w:b w:val="0"/>
                <w:bCs w:val="0"/>
                <w:sz w:val="22"/>
                <w:szCs w:val="22"/>
              </w:rPr>
              <w:t>6 months or less</w:t>
            </w:r>
          </w:p>
        </w:tc>
        <w:tc>
          <w:tcPr>
            <w:tcW w:w="1060" w:type="dxa"/>
          </w:tcPr>
          <w:p w:rsidR="0057079A" w:rsidRPr="006078A3" w:rsidRDefault="0057079A" w:rsidP="003E6A96">
            <w:pPr>
              <w:bidi w:val="0"/>
              <w:spacing w:after="0"/>
              <w:jc w:val="center"/>
              <w:rPr>
                <w:rFonts w:ascii="Times New Roman" w:hAnsi="Times New Roman" w:cs="Times New Roman"/>
                <w:sz w:val="22"/>
                <w:szCs w:val="22"/>
              </w:rPr>
            </w:pPr>
          </w:p>
        </w:tc>
        <w:tc>
          <w:tcPr>
            <w:tcW w:w="1060" w:type="dxa"/>
          </w:tcPr>
          <w:p w:rsidR="0057079A" w:rsidRPr="006078A3" w:rsidRDefault="0057079A" w:rsidP="003E6A96">
            <w:pPr>
              <w:bidi w:val="0"/>
              <w:spacing w:after="0"/>
              <w:jc w:val="center"/>
              <w:rPr>
                <w:rFonts w:ascii="Times New Roman" w:hAnsi="Times New Roman" w:cs="Times New Roman"/>
                <w:sz w:val="22"/>
                <w:szCs w:val="22"/>
              </w:rPr>
            </w:pPr>
          </w:p>
        </w:tc>
        <w:tc>
          <w:tcPr>
            <w:tcW w:w="696" w:type="dxa"/>
            <w:vAlign w:val="center"/>
          </w:tcPr>
          <w:p w:rsidR="0057079A" w:rsidRPr="006078A3" w:rsidRDefault="0057079A" w:rsidP="003E6A96">
            <w:pPr>
              <w:bidi w:val="0"/>
              <w:spacing w:after="0"/>
              <w:jc w:val="center"/>
              <w:rPr>
                <w:rFonts w:ascii="Times New Roman" w:hAnsi="Times New Roman" w:cs="Times New Roman"/>
                <w:sz w:val="22"/>
                <w:szCs w:val="22"/>
              </w:rPr>
            </w:pPr>
            <w:r>
              <w:rPr>
                <w:rFonts w:ascii="Times New Roman" w:hAnsi="Times New Roman" w:cs="Times New Roman"/>
                <w:sz w:val="22"/>
                <w:szCs w:val="22"/>
              </w:rPr>
              <w:t>0</w:t>
            </w:r>
          </w:p>
        </w:tc>
        <w:tc>
          <w:tcPr>
            <w:tcW w:w="979" w:type="dxa"/>
            <w:vAlign w:val="center"/>
          </w:tcPr>
          <w:p w:rsidR="0057079A" w:rsidRPr="006078A3" w:rsidRDefault="0057079A" w:rsidP="003E6A96">
            <w:pPr>
              <w:bidi w:val="0"/>
              <w:spacing w:after="0"/>
              <w:jc w:val="center"/>
              <w:rPr>
                <w:rFonts w:ascii="Times New Roman" w:hAnsi="Times New Roman" w:cs="Times New Roman"/>
                <w:sz w:val="22"/>
                <w:szCs w:val="22"/>
              </w:rPr>
            </w:pPr>
            <w:r>
              <w:rPr>
                <w:rFonts w:ascii="Times New Roman" w:hAnsi="Times New Roman" w:cs="Times New Roman"/>
                <w:sz w:val="22"/>
                <w:szCs w:val="22"/>
              </w:rPr>
              <w:t>0.25%</w:t>
            </w:r>
          </w:p>
        </w:tc>
        <w:tc>
          <w:tcPr>
            <w:tcW w:w="1115" w:type="dxa"/>
            <w:vAlign w:val="center"/>
          </w:tcPr>
          <w:p w:rsidR="0057079A" w:rsidRPr="006078A3" w:rsidRDefault="0057079A" w:rsidP="003E6A96">
            <w:pPr>
              <w:bidi w:val="0"/>
              <w:spacing w:after="0"/>
              <w:jc w:val="center"/>
              <w:rPr>
                <w:rFonts w:ascii="Times New Roman" w:hAnsi="Times New Roman" w:cs="Times New Roman"/>
                <w:sz w:val="22"/>
                <w:szCs w:val="22"/>
              </w:rPr>
            </w:pPr>
            <w:r>
              <w:rPr>
                <w:rFonts w:ascii="Times New Roman" w:hAnsi="Times New Roman" w:cs="Times New Roman"/>
                <w:sz w:val="22"/>
                <w:szCs w:val="22"/>
              </w:rPr>
              <w:t>0</w:t>
            </w:r>
          </w:p>
        </w:tc>
      </w:tr>
      <w:tr w:rsidR="0057079A" w:rsidTr="003E6A96">
        <w:tc>
          <w:tcPr>
            <w:tcW w:w="2109" w:type="dxa"/>
            <w:vMerge/>
            <w:vAlign w:val="center"/>
          </w:tcPr>
          <w:p w:rsidR="0057079A" w:rsidRDefault="0057079A" w:rsidP="003E6A96">
            <w:pPr>
              <w:bidi w:val="0"/>
              <w:spacing w:after="0"/>
              <w:jc w:val="center"/>
              <w:rPr>
                <w:rFonts w:ascii="Times New Roman" w:hAnsi="Times New Roman" w:cs="Times New Roman"/>
                <w:b w:val="0"/>
                <w:bCs w:val="0"/>
                <w:color w:val="202124"/>
                <w:sz w:val="22"/>
                <w:szCs w:val="22"/>
                <w:lang w:val="en"/>
              </w:rPr>
            </w:pPr>
          </w:p>
        </w:tc>
        <w:tc>
          <w:tcPr>
            <w:tcW w:w="1578" w:type="dxa"/>
            <w:vMerge/>
            <w:vAlign w:val="center"/>
          </w:tcPr>
          <w:p w:rsidR="0057079A" w:rsidRPr="003E6A96" w:rsidRDefault="0057079A" w:rsidP="003E6A96">
            <w:pPr>
              <w:bidi w:val="0"/>
              <w:spacing w:after="0"/>
              <w:jc w:val="center"/>
              <w:rPr>
                <w:rFonts w:ascii="Times New Roman" w:hAnsi="Times New Roman" w:cs="Times New Roman"/>
                <w:b w:val="0"/>
                <w:bCs w:val="0"/>
                <w:sz w:val="22"/>
                <w:szCs w:val="22"/>
              </w:rPr>
            </w:pPr>
          </w:p>
        </w:tc>
        <w:tc>
          <w:tcPr>
            <w:tcW w:w="1468" w:type="dxa"/>
            <w:vAlign w:val="center"/>
          </w:tcPr>
          <w:p w:rsidR="0057079A" w:rsidRPr="003E6A96" w:rsidRDefault="0057079A" w:rsidP="003E6A96">
            <w:pPr>
              <w:bidi w:val="0"/>
              <w:spacing w:after="0"/>
              <w:jc w:val="center"/>
              <w:rPr>
                <w:rFonts w:ascii="Times New Roman" w:hAnsi="Times New Roman" w:cs="Times New Roman"/>
                <w:b w:val="0"/>
                <w:bCs w:val="0"/>
                <w:sz w:val="22"/>
                <w:szCs w:val="22"/>
              </w:rPr>
            </w:pPr>
            <w:r w:rsidRPr="003E6A96">
              <w:rPr>
                <w:rFonts w:ascii="Times New Roman" w:hAnsi="Times New Roman" w:cs="Times New Roman"/>
                <w:b w:val="0"/>
                <w:bCs w:val="0"/>
                <w:sz w:val="22"/>
                <w:szCs w:val="22"/>
              </w:rPr>
              <w:t>Over 6 to 24 months</w:t>
            </w:r>
          </w:p>
        </w:tc>
        <w:tc>
          <w:tcPr>
            <w:tcW w:w="1060" w:type="dxa"/>
          </w:tcPr>
          <w:p w:rsidR="0057079A" w:rsidRPr="006078A3" w:rsidRDefault="0057079A" w:rsidP="003E6A96">
            <w:pPr>
              <w:bidi w:val="0"/>
              <w:spacing w:after="0"/>
              <w:jc w:val="center"/>
              <w:rPr>
                <w:rFonts w:ascii="Times New Roman" w:hAnsi="Times New Roman" w:cs="Times New Roman"/>
                <w:sz w:val="22"/>
                <w:szCs w:val="22"/>
              </w:rPr>
            </w:pPr>
          </w:p>
        </w:tc>
        <w:tc>
          <w:tcPr>
            <w:tcW w:w="1060" w:type="dxa"/>
          </w:tcPr>
          <w:p w:rsidR="0057079A" w:rsidRPr="006078A3" w:rsidRDefault="0057079A" w:rsidP="003E6A96">
            <w:pPr>
              <w:bidi w:val="0"/>
              <w:spacing w:after="0"/>
              <w:jc w:val="center"/>
              <w:rPr>
                <w:rFonts w:ascii="Times New Roman" w:hAnsi="Times New Roman" w:cs="Times New Roman"/>
                <w:sz w:val="22"/>
                <w:szCs w:val="22"/>
              </w:rPr>
            </w:pPr>
          </w:p>
        </w:tc>
        <w:tc>
          <w:tcPr>
            <w:tcW w:w="696" w:type="dxa"/>
            <w:vAlign w:val="center"/>
          </w:tcPr>
          <w:p w:rsidR="0057079A" w:rsidRPr="006078A3" w:rsidRDefault="0057079A" w:rsidP="003E6A96">
            <w:pPr>
              <w:bidi w:val="0"/>
              <w:spacing w:after="0"/>
              <w:jc w:val="center"/>
              <w:rPr>
                <w:rFonts w:ascii="Times New Roman" w:hAnsi="Times New Roman" w:cs="Times New Roman"/>
                <w:sz w:val="22"/>
                <w:szCs w:val="22"/>
              </w:rPr>
            </w:pPr>
            <w:r>
              <w:rPr>
                <w:rFonts w:ascii="Times New Roman" w:hAnsi="Times New Roman" w:cs="Times New Roman"/>
                <w:sz w:val="22"/>
                <w:szCs w:val="22"/>
              </w:rPr>
              <w:t>0</w:t>
            </w:r>
          </w:p>
        </w:tc>
        <w:tc>
          <w:tcPr>
            <w:tcW w:w="979" w:type="dxa"/>
            <w:vAlign w:val="center"/>
          </w:tcPr>
          <w:p w:rsidR="0057079A" w:rsidRPr="006078A3" w:rsidRDefault="0057079A" w:rsidP="003E6A96">
            <w:pPr>
              <w:bidi w:val="0"/>
              <w:spacing w:after="0"/>
              <w:jc w:val="center"/>
              <w:rPr>
                <w:rFonts w:ascii="Times New Roman" w:hAnsi="Times New Roman" w:cs="Times New Roman"/>
                <w:sz w:val="22"/>
                <w:szCs w:val="22"/>
              </w:rPr>
            </w:pPr>
            <w:r>
              <w:rPr>
                <w:rFonts w:ascii="Times New Roman" w:hAnsi="Times New Roman" w:cs="Times New Roman"/>
                <w:sz w:val="22"/>
                <w:szCs w:val="22"/>
              </w:rPr>
              <w:t>1%</w:t>
            </w:r>
          </w:p>
        </w:tc>
        <w:tc>
          <w:tcPr>
            <w:tcW w:w="1115" w:type="dxa"/>
            <w:vAlign w:val="center"/>
          </w:tcPr>
          <w:p w:rsidR="0057079A" w:rsidRPr="006078A3" w:rsidRDefault="0057079A" w:rsidP="003E6A96">
            <w:pPr>
              <w:bidi w:val="0"/>
              <w:spacing w:after="0"/>
              <w:jc w:val="center"/>
              <w:rPr>
                <w:rFonts w:ascii="Times New Roman" w:hAnsi="Times New Roman" w:cs="Times New Roman"/>
                <w:sz w:val="22"/>
                <w:szCs w:val="22"/>
              </w:rPr>
            </w:pPr>
            <w:r>
              <w:rPr>
                <w:rFonts w:ascii="Times New Roman" w:hAnsi="Times New Roman" w:cs="Times New Roman"/>
                <w:sz w:val="22"/>
                <w:szCs w:val="22"/>
              </w:rPr>
              <w:t>0</w:t>
            </w:r>
          </w:p>
        </w:tc>
      </w:tr>
      <w:tr w:rsidR="0057079A" w:rsidTr="003E6A96">
        <w:tc>
          <w:tcPr>
            <w:tcW w:w="2109" w:type="dxa"/>
            <w:vMerge/>
            <w:vAlign w:val="center"/>
          </w:tcPr>
          <w:p w:rsidR="0057079A" w:rsidRDefault="0057079A" w:rsidP="003E6A96">
            <w:pPr>
              <w:bidi w:val="0"/>
              <w:spacing w:after="0"/>
              <w:jc w:val="center"/>
              <w:rPr>
                <w:rFonts w:ascii="Times New Roman" w:hAnsi="Times New Roman" w:cs="Times New Roman"/>
                <w:b w:val="0"/>
                <w:bCs w:val="0"/>
                <w:color w:val="202124"/>
                <w:sz w:val="22"/>
                <w:szCs w:val="22"/>
                <w:lang w:val="en"/>
              </w:rPr>
            </w:pPr>
          </w:p>
        </w:tc>
        <w:tc>
          <w:tcPr>
            <w:tcW w:w="1578" w:type="dxa"/>
            <w:vMerge/>
            <w:vAlign w:val="center"/>
          </w:tcPr>
          <w:p w:rsidR="0057079A" w:rsidRPr="003E6A96" w:rsidRDefault="0057079A" w:rsidP="003E6A96">
            <w:pPr>
              <w:bidi w:val="0"/>
              <w:spacing w:after="0"/>
              <w:jc w:val="center"/>
              <w:rPr>
                <w:rFonts w:ascii="Times New Roman" w:hAnsi="Times New Roman" w:cs="Times New Roman"/>
                <w:b w:val="0"/>
                <w:bCs w:val="0"/>
                <w:sz w:val="22"/>
                <w:szCs w:val="22"/>
              </w:rPr>
            </w:pPr>
          </w:p>
        </w:tc>
        <w:tc>
          <w:tcPr>
            <w:tcW w:w="1468" w:type="dxa"/>
            <w:vAlign w:val="center"/>
          </w:tcPr>
          <w:p w:rsidR="0057079A" w:rsidRPr="003E6A96" w:rsidRDefault="0057079A" w:rsidP="003E6A96">
            <w:pPr>
              <w:bidi w:val="0"/>
              <w:spacing w:after="0"/>
              <w:jc w:val="center"/>
              <w:rPr>
                <w:rFonts w:ascii="Times New Roman" w:hAnsi="Times New Roman" w:cs="Times New Roman"/>
                <w:b w:val="0"/>
                <w:bCs w:val="0"/>
                <w:sz w:val="22"/>
                <w:szCs w:val="22"/>
              </w:rPr>
            </w:pPr>
            <w:r w:rsidRPr="003E6A96">
              <w:rPr>
                <w:rFonts w:ascii="Times New Roman" w:hAnsi="Times New Roman" w:cs="Times New Roman"/>
                <w:b w:val="0"/>
                <w:bCs w:val="0"/>
                <w:sz w:val="22"/>
                <w:szCs w:val="22"/>
              </w:rPr>
              <w:t>Over 24 months</w:t>
            </w:r>
          </w:p>
        </w:tc>
        <w:tc>
          <w:tcPr>
            <w:tcW w:w="1060" w:type="dxa"/>
          </w:tcPr>
          <w:p w:rsidR="0057079A" w:rsidRPr="006078A3" w:rsidRDefault="0057079A" w:rsidP="003E6A96">
            <w:pPr>
              <w:bidi w:val="0"/>
              <w:spacing w:after="0"/>
              <w:jc w:val="center"/>
              <w:rPr>
                <w:rFonts w:ascii="Times New Roman" w:hAnsi="Times New Roman" w:cs="Times New Roman"/>
                <w:sz w:val="22"/>
                <w:szCs w:val="22"/>
              </w:rPr>
            </w:pPr>
          </w:p>
        </w:tc>
        <w:tc>
          <w:tcPr>
            <w:tcW w:w="1060" w:type="dxa"/>
          </w:tcPr>
          <w:p w:rsidR="0057079A" w:rsidRPr="006078A3" w:rsidRDefault="0057079A" w:rsidP="003E6A96">
            <w:pPr>
              <w:bidi w:val="0"/>
              <w:spacing w:after="0"/>
              <w:jc w:val="center"/>
              <w:rPr>
                <w:rFonts w:ascii="Times New Roman" w:hAnsi="Times New Roman" w:cs="Times New Roman"/>
                <w:sz w:val="22"/>
                <w:szCs w:val="22"/>
              </w:rPr>
            </w:pPr>
          </w:p>
        </w:tc>
        <w:tc>
          <w:tcPr>
            <w:tcW w:w="696" w:type="dxa"/>
            <w:vAlign w:val="center"/>
          </w:tcPr>
          <w:p w:rsidR="0057079A" w:rsidRPr="006078A3" w:rsidRDefault="0057079A" w:rsidP="003E6A96">
            <w:pPr>
              <w:bidi w:val="0"/>
              <w:spacing w:after="0"/>
              <w:jc w:val="center"/>
              <w:rPr>
                <w:rFonts w:ascii="Times New Roman" w:hAnsi="Times New Roman" w:cs="Times New Roman"/>
                <w:sz w:val="22"/>
                <w:szCs w:val="22"/>
              </w:rPr>
            </w:pPr>
            <w:r>
              <w:rPr>
                <w:rFonts w:ascii="Times New Roman" w:hAnsi="Times New Roman" w:cs="Times New Roman"/>
                <w:sz w:val="22"/>
                <w:szCs w:val="22"/>
              </w:rPr>
              <w:t>0</w:t>
            </w:r>
          </w:p>
        </w:tc>
        <w:tc>
          <w:tcPr>
            <w:tcW w:w="979" w:type="dxa"/>
            <w:vAlign w:val="center"/>
          </w:tcPr>
          <w:p w:rsidR="0057079A" w:rsidRPr="006078A3" w:rsidRDefault="0057079A" w:rsidP="003E6A96">
            <w:pPr>
              <w:bidi w:val="0"/>
              <w:spacing w:after="0"/>
              <w:jc w:val="center"/>
              <w:rPr>
                <w:rFonts w:ascii="Times New Roman" w:hAnsi="Times New Roman" w:cs="Times New Roman"/>
                <w:sz w:val="22"/>
                <w:szCs w:val="22"/>
              </w:rPr>
            </w:pPr>
            <w:r>
              <w:rPr>
                <w:rFonts w:ascii="Times New Roman" w:hAnsi="Times New Roman" w:cs="Times New Roman"/>
                <w:sz w:val="22"/>
                <w:szCs w:val="22"/>
              </w:rPr>
              <w:t>1.6%</w:t>
            </w:r>
          </w:p>
        </w:tc>
        <w:tc>
          <w:tcPr>
            <w:tcW w:w="1115" w:type="dxa"/>
            <w:vAlign w:val="center"/>
          </w:tcPr>
          <w:p w:rsidR="0057079A" w:rsidRPr="006078A3" w:rsidRDefault="0057079A" w:rsidP="003E6A96">
            <w:pPr>
              <w:bidi w:val="0"/>
              <w:spacing w:after="0"/>
              <w:jc w:val="center"/>
              <w:rPr>
                <w:rFonts w:ascii="Times New Roman" w:hAnsi="Times New Roman" w:cs="Times New Roman"/>
                <w:sz w:val="22"/>
                <w:szCs w:val="22"/>
              </w:rPr>
            </w:pPr>
            <w:r>
              <w:rPr>
                <w:rFonts w:ascii="Times New Roman" w:hAnsi="Times New Roman" w:cs="Times New Roman"/>
                <w:sz w:val="22"/>
                <w:szCs w:val="22"/>
              </w:rPr>
              <w:t>0</w:t>
            </w:r>
          </w:p>
        </w:tc>
      </w:tr>
      <w:tr w:rsidR="0057079A" w:rsidTr="003E6A96">
        <w:tc>
          <w:tcPr>
            <w:tcW w:w="2109" w:type="dxa"/>
            <w:vMerge/>
            <w:vAlign w:val="center"/>
          </w:tcPr>
          <w:p w:rsidR="0057079A" w:rsidRDefault="0057079A" w:rsidP="003E6A96">
            <w:pPr>
              <w:bidi w:val="0"/>
              <w:spacing w:after="0"/>
              <w:jc w:val="center"/>
              <w:rPr>
                <w:rFonts w:ascii="Times New Roman" w:hAnsi="Times New Roman" w:cs="Times New Roman"/>
                <w:b w:val="0"/>
                <w:bCs w:val="0"/>
                <w:color w:val="202124"/>
                <w:sz w:val="22"/>
                <w:szCs w:val="22"/>
                <w:lang w:val="en"/>
              </w:rPr>
            </w:pPr>
          </w:p>
        </w:tc>
        <w:tc>
          <w:tcPr>
            <w:tcW w:w="3046" w:type="dxa"/>
            <w:gridSpan w:val="2"/>
            <w:vAlign w:val="center"/>
          </w:tcPr>
          <w:p w:rsidR="0057079A" w:rsidRPr="003E6A96" w:rsidRDefault="0057079A" w:rsidP="003E6A96">
            <w:pPr>
              <w:bidi w:val="0"/>
              <w:spacing w:after="0"/>
              <w:jc w:val="center"/>
              <w:rPr>
                <w:rFonts w:ascii="Times New Roman" w:hAnsi="Times New Roman" w:cs="Times New Roman"/>
                <w:b w:val="0"/>
                <w:bCs w:val="0"/>
                <w:sz w:val="22"/>
                <w:szCs w:val="22"/>
              </w:rPr>
            </w:pPr>
            <w:r w:rsidRPr="003E6A96">
              <w:rPr>
                <w:rFonts w:ascii="Times New Roman" w:hAnsi="Times New Roman" w:cs="Times New Roman"/>
                <w:b w:val="0"/>
                <w:bCs w:val="0"/>
                <w:sz w:val="22"/>
                <w:szCs w:val="22"/>
              </w:rPr>
              <w:t>(BB+) – (B-)</w:t>
            </w:r>
          </w:p>
        </w:tc>
        <w:tc>
          <w:tcPr>
            <w:tcW w:w="1060" w:type="dxa"/>
          </w:tcPr>
          <w:p w:rsidR="0057079A" w:rsidRPr="006078A3" w:rsidRDefault="0057079A" w:rsidP="003E6A96">
            <w:pPr>
              <w:bidi w:val="0"/>
              <w:spacing w:after="0"/>
              <w:jc w:val="center"/>
              <w:rPr>
                <w:rFonts w:ascii="Times New Roman" w:hAnsi="Times New Roman" w:cs="Times New Roman"/>
                <w:sz w:val="22"/>
                <w:szCs w:val="22"/>
              </w:rPr>
            </w:pPr>
          </w:p>
        </w:tc>
        <w:tc>
          <w:tcPr>
            <w:tcW w:w="1060" w:type="dxa"/>
          </w:tcPr>
          <w:p w:rsidR="0057079A" w:rsidRPr="006078A3" w:rsidRDefault="0057079A" w:rsidP="003E6A96">
            <w:pPr>
              <w:bidi w:val="0"/>
              <w:spacing w:after="0"/>
              <w:jc w:val="center"/>
              <w:rPr>
                <w:rFonts w:ascii="Times New Roman" w:hAnsi="Times New Roman" w:cs="Times New Roman"/>
                <w:sz w:val="22"/>
                <w:szCs w:val="22"/>
              </w:rPr>
            </w:pPr>
          </w:p>
        </w:tc>
        <w:tc>
          <w:tcPr>
            <w:tcW w:w="696" w:type="dxa"/>
            <w:vAlign w:val="center"/>
          </w:tcPr>
          <w:p w:rsidR="0057079A" w:rsidRPr="006078A3" w:rsidRDefault="0057079A" w:rsidP="003E6A96">
            <w:pPr>
              <w:bidi w:val="0"/>
              <w:spacing w:after="0"/>
              <w:jc w:val="center"/>
              <w:rPr>
                <w:rFonts w:ascii="Times New Roman" w:hAnsi="Times New Roman" w:cs="Times New Roman"/>
                <w:sz w:val="22"/>
                <w:szCs w:val="22"/>
              </w:rPr>
            </w:pPr>
            <w:r>
              <w:rPr>
                <w:rFonts w:ascii="Times New Roman" w:hAnsi="Times New Roman" w:cs="Times New Roman"/>
                <w:sz w:val="22"/>
                <w:szCs w:val="22"/>
              </w:rPr>
              <w:t>0</w:t>
            </w:r>
          </w:p>
        </w:tc>
        <w:tc>
          <w:tcPr>
            <w:tcW w:w="979" w:type="dxa"/>
            <w:vAlign w:val="center"/>
          </w:tcPr>
          <w:p w:rsidR="0057079A" w:rsidRPr="006078A3" w:rsidRDefault="0057079A" w:rsidP="003E6A96">
            <w:pPr>
              <w:bidi w:val="0"/>
              <w:spacing w:after="0"/>
              <w:jc w:val="center"/>
              <w:rPr>
                <w:rFonts w:ascii="Times New Roman" w:hAnsi="Times New Roman" w:cs="Times New Roman"/>
                <w:sz w:val="22"/>
                <w:szCs w:val="22"/>
              </w:rPr>
            </w:pPr>
            <w:r>
              <w:rPr>
                <w:rFonts w:ascii="Times New Roman" w:hAnsi="Times New Roman" w:cs="Times New Roman"/>
                <w:sz w:val="22"/>
                <w:szCs w:val="22"/>
              </w:rPr>
              <w:t>8%</w:t>
            </w:r>
          </w:p>
        </w:tc>
        <w:tc>
          <w:tcPr>
            <w:tcW w:w="1115" w:type="dxa"/>
            <w:vAlign w:val="center"/>
          </w:tcPr>
          <w:p w:rsidR="0057079A" w:rsidRPr="006078A3" w:rsidRDefault="0057079A" w:rsidP="003E6A96">
            <w:pPr>
              <w:bidi w:val="0"/>
              <w:spacing w:after="0"/>
              <w:jc w:val="center"/>
              <w:rPr>
                <w:rFonts w:ascii="Times New Roman" w:hAnsi="Times New Roman" w:cs="Times New Roman"/>
                <w:sz w:val="22"/>
                <w:szCs w:val="22"/>
              </w:rPr>
            </w:pPr>
            <w:r>
              <w:rPr>
                <w:rFonts w:ascii="Times New Roman" w:hAnsi="Times New Roman" w:cs="Times New Roman"/>
                <w:sz w:val="22"/>
                <w:szCs w:val="22"/>
              </w:rPr>
              <w:t>0</w:t>
            </w:r>
          </w:p>
        </w:tc>
      </w:tr>
      <w:tr w:rsidR="0057079A" w:rsidTr="003E6A96">
        <w:tc>
          <w:tcPr>
            <w:tcW w:w="2109" w:type="dxa"/>
            <w:vMerge/>
            <w:vAlign w:val="center"/>
          </w:tcPr>
          <w:p w:rsidR="0057079A" w:rsidRDefault="0057079A" w:rsidP="003E6A96">
            <w:pPr>
              <w:bidi w:val="0"/>
              <w:spacing w:after="0"/>
              <w:jc w:val="center"/>
              <w:rPr>
                <w:rFonts w:ascii="Times New Roman" w:hAnsi="Times New Roman" w:cs="Times New Roman"/>
                <w:b w:val="0"/>
                <w:bCs w:val="0"/>
                <w:color w:val="202124"/>
                <w:sz w:val="22"/>
                <w:szCs w:val="22"/>
                <w:lang w:val="en"/>
              </w:rPr>
            </w:pPr>
          </w:p>
        </w:tc>
        <w:tc>
          <w:tcPr>
            <w:tcW w:w="3046" w:type="dxa"/>
            <w:gridSpan w:val="2"/>
            <w:vAlign w:val="center"/>
          </w:tcPr>
          <w:p w:rsidR="0057079A" w:rsidRPr="003E6A96" w:rsidRDefault="0057079A" w:rsidP="003E6A96">
            <w:pPr>
              <w:bidi w:val="0"/>
              <w:spacing w:after="0"/>
              <w:jc w:val="center"/>
              <w:rPr>
                <w:rFonts w:ascii="Times New Roman" w:hAnsi="Times New Roman" w:cs="Times New Roman"/>
                <w:b w:val="0"/>
                <w:bCs w:val="0"/>
                <w:sz w:val="22"/>
                <w:szCs w:val="22"/>
              </w:rPr>
            </w:pPr>
            <w:r w:rsidRPr="003E6A96">
              <w:rPr>
                <w:rFonts w:ascii="Times New Roman" w:hAnsi="Times New Roman" w:cs="Times New Roman"/>
                <w:b w:val="0"/>
                <w:bCs w:val="0"/>
                <w:sz w:val="22"/>
                <w:szCs w:val="22"/>
              </w:rPr>
              <w:t>Less than (B-)</w:t>
            </w:r>
          </w:p>
        </w:tc>
        <w:tc>
          <w:tcPr>
            <w:tcW w:w="1060" w:type="dxa"/>
          </w:tcPr>
          <w:p w:rsidR="0057079A" w:rsidRPr="006078A3" w:rsidRDefault="0057079A" w:rsidP="003E6A96">
            <w:pPr>
              <w:bidi w:val="0"/>
              <w:spacing w:after="0"/>
              <w:jc w:val="center"/>
              <w:rPr>
                <w:rFonts w:ascii="Times New Roman" w:hAnsi="Times New Roman" w:cs="Times New Roman"/>
                <w:sz w:val="22"/>
                <w:szCs w:val="22"/>
              </w:rPr>
            </w:pPr>
          </w:p>
        </w:tc>
        <w:tc>
          <w:tcPr>
            <w:tcW w:w="1060" w:type="dxa"/>
          </w:tcPr>
          <w:p w:rsidR="0057079A" w:rsidRPr="006078A3" w:rsidRDefault="0057079A" w:rsidP="003E6A96">
            <w:pPr>
              <w:bidi w:val="0"/>
              <w:spacing w:after="0"/>
              <w:jc w:val="center"/>
              <w:rPr>
                <w:rFonts w:ascii="Times New Roman" w:hAnsi="Times New Roman" w:cs="Times New Roman"/>
                <w:sz w:val="22"/>
                <w:szCs w:val="22"/>
              </w:rPr>
            </w:pPr>
          </w:p>
        </w:tc>
        <w:tc>
          <w:tcPr>
            <w:tcW w:w="696" w:type="dxa"/>
            <w:vAlign w:val="center"/>
          </w:tcPr>
          <w:p w:rsidR="0057079A" w:rsidRPr="006078A3" w:rsidRDefault="0057079A" w:rsidP="003E6A96">
            <w:pPr>
              <w:bidi w:val="0"/>
              <w:spacing w:after="0"/>
              <w:jc w:val="center"/>
              <w:rPr>
                <w:rFonts w:ascii="Times New Roman" w:hAnsi="Times New Roman" w:cs="Times New Roman"/>
                <w:sz w:val="22"/>
                <w:szCs w:val="22"/>
              </w:rPr>
            </w:pPr>
            <w:r>
              <w:rPr>
                <w:rFonts w:ascii="Times New Roman" w:hAnsi="Times New Roman" w:cs="Times New Roman"/>
                <w:sz w:val="22"/>
                <w:szCs w:val="22"/>
              </w:rPr>
              <w:t>0</w:t>
            </w:r>
          </w:p>
        </w:tc>
        <w:tc>
          <w:tcPr>
            <w:tcW w:w="979" w:type="dxa"/>
            <w:vAlign w:val="center"/>
          </w:tcPr>
          <w:p w:rsidR="0057079A" w:rsidRPr="006078A3" w:rsidRDefault="0057079A" w:rsidP="003E6A96">
            <w:pPr>
              <w:bidi w:val="0"/>
              <w:spacing w:after="0"/>
              <w:jc w:val="center"/>
              <w:rPr>
                <w:rFonts w:ascii="Times New Roman" w:hAnsi="Times New Roman" w:cs="Times New Roman"/>
                <w:sz w:val="22"/>
                <w:szCs w:val="22"/>
              </w:rPr>
            </w:pPr>
            <w:r>
              <w:rPr>
                <w:rFonts w:ascii="Times New Roman" w:hAnsi="Times New Roman" w:cs="Times New Roman"/>
                <w:sz w:val="22"/>
                <w:szCs w:val="22"/>
              </w:rPr>
              <w:t>12%</w:t>
            </w:r>
          </w:p>
        </w:tc>
        <w:tc>
          <w:tcPr>
            <w:tcW w:w="1115" w:type="dxa"/>
            <w:vAlign w:val="center"/>
          </w:tcPr>
          <w:p w:rsidR="0057079A" w:rsidRPr="006078A3" w:rsidRDefault="0057079A" w:rsidP="003E6A96">
            <w:pPr>
              <w:bidi w:val="0"/>
              <w:spacing w:after="0"/>
              <w:jc w:val="center"/>
              <w:rPr>
                <w:rFonts w:ascii="Times New Roman" w:hAnsi="Times New Roman" w:cs="Times New Roman"/>
                <w:sz w:val="22"/>
                <w:szCs w:val="22"/>
              </w:rPr>
            </w:pPr>
            <w:r>
              <w:rPr>
                <w:rFonts w:ascii="Times New Roman" w:hAnsi="Times New Roman" w:cs="Times New Roman"/>
                <w:sz w:val="22"/>
                <w:szCs w:val="22"/>
              </w:rPr>
              <w:t>0</w:t>
            </w:r>
          </w:p>
        </w:tc>
      </w:tr>
      <w:tr w:rsidR="0057079A" w:rsidTr="003E6A96">
        <w:tc>
          <w:tcPr>
            <w:tcW w:w="2109" w:type="dxa"/>
            <w:vMerge/>
            <w:vAlign w:val="center"/>
          </w:tcPr>
          <w:p w:rsidR="0057079A" w:rsidRDefault="0057079A" w:rsidP="003E6A96">
            <w:pPr>
              <w:bidi w:val="0"/>
              <w:spacing w:after="0"/>
              <w:jc w:val="center"/>
              <w:rPr>
                <w:rFonts w:ascii="Times New Roman" w:hAnsi="Times New Roman" w:cs="Times New Roman"/>
                <w:b w:val="0"/>
                <w:bCs w:val="0"/>
                <w:color w:val="202124"/>
                <w:sz w:val="22"/>
                <w:szCs w:val="22"/>
                <w:lang w:val="en"/>
              </w:rPr>
            </w:pPr>
          </w:p>
        </w:tc>
        <w:tc>
          <w:tcPr>
            <w:tcW w:w="3046" w:type="dxa"/>
            <w:gridSpan w:val="2"/>
            <w:vAlign w:val="center"/>
          </w:tcPr>
          <w:p w:rsidR="0057079A" w:rsidRPr="003E6A96" w:rsidRDefault="0057079A" w:rsidP="003E6A96">
            <w:pPr>
              <w:bidi w:val="0"/>
              <w:spacing w:after="0"/>
              <w:jc w:val="center"/>
              <w:rPr>
                <w:rFonts w:ascii="Times New Roman" w:hAnsi="Times New Roman" w:cs="Times New Roman"/>
                <w:b w:val="0"/>
                <w:bCs w:val="0"/>
                <w:sz w:val="22"/>
                <w:szCs w:val="22"/>
              </w:rPr>
            </w:pPr>
            <w:r w:rsidRPr="003E6A96">
              <w:rPr>
                <w:rFonts w:ascii="Times New Roman" w:hAnsi="Times New Roman" w:cs="Times New Roman"/>
                <w:b w:val="0"/>
                <w:bCs w:val="0"/>
                <w:sz w:val="22"/>
                <w:szCs w:val="22"/>
              </w:rPr>
              <w:t>Unrated</w:t>
            </w:r>
          </w:p>
        </w:tc>
        <w:tc>
          <w:tcPr>
            <w:tcW w:w="1060" w:type="dxa"/>
          </w:tcPr>
          <w:p w:rsidR="0057079A" w:rsidRPr="006078A3" w:rsidRDefault="0057079A" w:rsidP="003E6A96">
            <w:pPr>
              <w:bidi w:val="0"/>
              <w:spacing w:after="0"/>
              <w:jc w:val="center"/>
              <w:rPr>
                <w:rFonts w:ascii="Times New Roman" w:hAnsi="Times New Roman" w:cs="Times New Roman"/>
                <w:sz w:val="22"/>
                <w:szCs w:val="22"/>
              </w:rPr>
            </w:pPr>
          </w:p>
        </w:tc>
        <w:tc>
          <w:tcPr>
            <w:tcW w:w="1060" w:type="dxa"/>
          </w:tcPr>
          <w:p w:rsidR="0057079A" w:rsidRPr="006078A3" w:rsidRDefault="0057079A" w:rsidP="003E6A96">
            <w:pPr>
              <w:bidi w:val="0"/>
              <w:spacing w:after="0"/>
              <w:jc w:val="center"/>
              <w:rPr>
                <w:rFonts w:ascii="Times New Roman" w:hAnsi="Times New Roman" w:cs="Times New Roman"/>
                <w:sz w:val="22"/>
                <w:szCs w:val="22"/>
              </w:rPr>
            </w:pPr>
          </w:p>
        </w:tc>
        <w:tc>
          <w:tcPr>
            <w:tcW w:w="696" w:type="dxa"/>
            <w:vAlign w:val="center"/>
          </w:tcPr>
          <w:p w:rsidR="0057079A" w:rsidRPr="006078A3" w:rsidRDefault="0057079A" w:rsidP="003E6A96">
            <w:pPr>
              <w:bidi w:val="0"/>
              <w:spacing w:after="0"/>
              <w:jc w:val="center"/>
              <w:rPr>
                <w:rFonts w:ascii="Times New Roman" w:hAnsi="Times New Roman" w:cs="Times New Roman"/>
                <w:sz w:val="22"/>
                <w:szCs w:val="22"/>
              </w:rPr>
            </w:pPr>
            <w:r>
              <w:rPr>
                <w:rFonts w:ascii="Times New Roman" w:hAnsi="Times New Roman" w:cs="Times New Roman"/>
                <w:sz w:val="22"/>
                <w:szCs w:val="22"/>
              </w:rPr>
              <w:t>0</w:t>
            </w:r>
          </w:p>
        </w:tc>
        <w:tc>
          <w:tcPr>
            <w:tcW w:w="979" w:type="dxa"/>
            <w:vAlign w:val="center"/>
          </w:tcPr>
          <w:p w:rsidR="0057079A" w:rsidRPr="006078A3" w:rsidRDefault="0057079A" w:rsidP="003E6A96">
            <w:pPr>
              <w:bidi w:val="0"/>
              <w:spacing w:after="0"/>
              <w:jc w:val="center"/>
              <w:rPr>
                <w:rFonts w:ascii="Times New Roman" w:hAnsi="Times New Roman" w:cs="Times New Roman"/>
                <w:sz w:val="22"/>
                <w:szCs w:val="22"/>
              </w:rPr>
            </w:pPr>
            <w:r>
              <w:rPr>
                <w:rFonts w:ascii="Times New Roman" w:hAnsi="Times New Roman" w:cs="Times New Roman"/>
                <w:sz w:val="22"/>
                <w:szCs w:val="22"/>
              </w:rPr>
              <w:t>8%</w:t>
            </w:r>
          </w:p>
        </w:tc>
        <w:tc>
          <w:tcPr>
            <w:tcW w:w="1115" w:type="dxa"/>
            <w:vAlign w:val="center"/>
          </w:tcPr>
          <w:p w:rsidR="0057079A" w:rsidRPr="006078A3" w:rsidRDefault="0057079A" w:rsidP="003E6A96">
            <w:pPr>
              <w:bidi w:val="0"/>
              <w:spacing w:after="0"/>
              <w:jc w:val="center"/>
              <w:rPr>
                <w:rFonts w:ascii="Times New Roman" w:hAnsi="Times New Roman" w:cs="Times New Roman"/>
                <w:sz w:val="22"/>
                <w:szCs w:val="22"/>
              </w:rPr>
            </w:pPr>
            <w:r>
              <w:rPr>
                <w:rFonts w:ascii="Times New Roman" w:hAnsi="Times New Roman" w:cs="Times New Roman"/>
                <w:sz w:val="22"/>
                <w:szCs w:val="22"/>
              </w:rPr>
              <w:t>0</w:t>
            </w:r>
          </w:p>
        </w:tc>
      </w:tr>
      <w:tr w:rsidR="0057079A" w:rsidTr="003E6A96">
        <w:tc>
          <w:tcPr>
            <w:tcW w:w="2109" w:type="dxa"/>
            <w:vMerge w:val="restart"/>
            <w:vAlign w:val="center"/>
          </w:tcPr>
          <w:p w:rsidR="0057079A" w:rsidRDefault="0057079A" w:rsidP="003E6A96">
            <w:pPr>
              <w:bidi w:val="0"/>
              <w:spacing w:after="0"/>
              <w:jc w:val="center"/>
              <w:rPr>
                <w:rFonts w:ascii="Times New Roman" w:hAnsi="Times New Roman" w:cs="Times New Roman"/>
                <w:b w:val="0"/>
                <w:bCs w:val="0"/>
                <w:color w:val="202124"/>
                <w:sz w:val="22"/>
                <w:szCs w:val="22"/>
                <w:lang w:val="en"/>
              </w:rPr>
            </w:pPr>
            <w:r>
              <w:rPr>
                <w:rFonts w:ascii="Times New Roman" w:hAnsi="Times New Roman" w:cs="Times New Roman"/>
                <w:b w:val="0"/>
                <w:bCs w:val="0"/>
                <w:color w:val="202124"/>
                <w:sz w:val="22"/>
                <w:szCs w:val="22"/>
                <w:lang w:val="en"/>
              </w:rPr>
              <w:t>Qualifying securities</w:t>
            </w:r>
          </w:p>
        </w:tc>
        <w:tc>
          <w:tcPr>
            <w:tcW w:w="1578" w:type="dxa"/>
            <w:vMerge w:val="restart"/>
            <w:vAlign w:val="center"/>
          </w:tcPr>
          <w:p w:rsidR="0057079A" w:rsidRPr="003E6A96" w:rsidRDefault="0057079A" w:rsidP="003E6A96">
            <w:pPr>
              <w:bidi w:val="0"/>
              <w:spacing w:after="0"/>
              <w:jc w:val="center"/>
              <w:rPr>
                <w:rFonts w:ascii="Times New Roman" w:hAnsi="Times New Roman" w:cs="Times New Roman"/>
                <w:b w:val="0"/>
                <w:bCs w:val="0"/>
                <w:sz w:val="22"/>
                <w:szCs w:val="22"/>
              </w:rPr>
            </w:pPr>
            <w:r w:rsidRPr="003E6A96">
              <w:rPr>
                <w:rFonts w:ascii="Times New Roman" w:hAnsi="Times New Roman" w:cs="Times New Roman"/>
                <w:b w:val="0"/>
                <w:bCs w:val="0"/>
                <w:sz w:val="22"/>
                <w:szCs w:val="22"/>
              </w:rPr>
              <w:t>residual term to maturity:</w:t>
            </w:r>
          </w:p>
        </w:tc>
        <w:tc>
          <w:tcPr>
            <w:tcW w:w="1468" w:type="dxa"/>
            <w:vAlign w:val="center"/>
          </w:tcPr>
          <w:p w:rsidR="0057079A" w:rsidRPr="003E6A96" w:rsidRDefault="0057079A" w:rsidP="003E6A96">
            <w:pPr>
              <w:bidi w:val="0"/>
              <w:spacing w:after="0"/>
              <w:jc w:val="center"/>
              <w:rPr>
                <w:rFonts w:ascii="Times New Roman" w:hAnsi="Times New Roman" w:cs="Times New Roman"/>
                <w:b w:val="0"/>
                <w:bCs w:val="0"/>
                <w:sz w:val="22"/>
                <w:szCs w:val="22"/>
              </w:rPr>
            </w:pPr>
            <w:r w:rsidRPr="003E6A96">
              <w:rPr>
                <w:rFonts w:ascii="Times New Roman" w:hAnsi="Times New Roman" w:cs="Times New Roman"/>
                <w:b w:val="0"/>
                <w:bCs w:val="0"/>
                <w:sz w:val="22"/>
                <w:szCs w:val="22"/>
              </w:rPr>
              <w:t>6 months or less</w:t>
            </w:r>
          </w:p>
        </w:tc>
        <w:tc>
          <w:tcPr>
            <w:tcW w:w="1060" w:type="dxa"/>
          </w:tcPr>
          <w:p w:rsidR="0057079A" w:rsidRPr="006078A3" w:rsidRDefault="0057079A" w:rsidP="003E6A96">
            <w:pPr>
              <w:bidi w:val="0"/>
              <w:spacing w:after="0"/>
              <w:jc w:val="center"/>
              <w:rPr>
                <w:rFonts w:ascii="Times New Roman" w:hAnsi="Times New Roman" w:cs="Times New Roman"/>
                <w:sz w:val="22"/>
                <w:szCs w:val="22"/>
              </w:rPr>
            </w:pPr>
          </w:p>
        </w:tc>
        <w:tc>
          <w:tcPr>
            <w:tcW w:w="1060" w:type="dxa"/>
          </w:tcPr>
          <w:p w:rsidR="0057079A" w:rsidRPr="006078A3" w:rsidRDefault="0057079A" w:rsidP="003E6A96">
            <w:pPr>
              <w:bidi w:val="0"/>
              <w:spacing w:after="0"/>
              <w:jc w:val="center"/>
              <w:rPr>
                <w:rFonts w:ascii="Times New Roman" w:hAnsi="Times New Roman" w:cs="Times New Roman"/>
                <w:sz w:val="22"/>
                <w:szCs w:val="22"/>
              </w:rPr>
            </w:pPr>
          </w:p>
        </w:tc>
        <w:tc>
          <w:tcPr>
            <w:tcW w:w="696" w:type="dxa"/>
            <w:vAlign w:val="center"/>
          </w:tcPr>
          <w:p w:rsidR="0057079A" w:rsidRPr="006078A3" w:rsidRDefault="0057079A" w:rsidP="003E6A96">
            <w:pPr>
              <w:bidi w:val="0"/>
              <w:spacing w:after="0"/>
              <w:jc w:val="center"/>
              <w:rPr>
                <w:rFonts w:ascii="Times New Roman" w:hAnsi="Times New Roman" w:cs="Times New Roman"/>
                <w:sz w:val="22"/>
                <w:szCs w:val="22"/>
              </w:rPr>
            </w:pPr>
            <w:r>
              <w:rPr>
                <w:rFonts w:ascii="Times New Roman" w:hAnsi="Times New Roman" w:cs="Times New Roman"/>
                <w:sz w:val="22"/>
                <w:szCs w:val="22"/>
              </w:rPr>
              <w:t>0</w:t>
            </w:r>
          </w:p>
        </w:tc>
        <w:tc>
          <w:tcPr>
            <w:tcW w:w="979" w:type="dxa"/>
            <w:vAlign w:val="center"/>
          </w:tcPr>
          <w:p w:rsidR="0057079A" w:rsidRPr="006078A3" w:rsidRDefault="0057079A" w:rsidP="003E6A96">
            <w:pPr>
              <w:bidi w:val="0"/>
              <w:spacing w:after="0"/>
              <w:jc w:val="center"/>
              <w:rPr>
                <w:rFonts w:ascii="Times New Roman" w:hAnsi="Times New Roman" w:cs="Times New Roman"/>
                <w:sz w:val="22"/>
                <w:szCs w:val="22"/>
              </w:rPr>
            </w:pPr>
            <w:r>
              <w:rPr>
                <w:rFonts w:ascii="Times New Roman" w:hAnsi="Times New Roman" w:cs="Times New Roman"/>
                <w:sz w:val="22"/>
                <w:szCs w:val="22"/>
              </w:rPr>
              <w:t>0.25%</w:t>
            </w:r>
          </w:p>
        </w:tc>
        <w:tc>
          <w:tcPr>
            <w:tcW w:w="1115" w:type="dxa"/>
            <w:vAlign w:val="center"/>
          </w:tcPr>
          <w:p w:rsidR="0057079A" w:rsidRPr="006078A3" w:rsidRDefault="0057079A" w:rsidP="003E6A96">
            <w:pPr>
              <w:bidi w:val="0"/>
              <w:spacing w:after="0"/>
              <w:jc w:val="center"/>
              <w:rPr>
                <w:rFonts w:ascii="Times New Roman" w:hAnsi="Times New Roman" w:cs="Times New Roman"/>
                <w:sz w:val="22"/>
                <w:szCs w:val="22"/>
              </w:rPr>
            </w:pPr>
            <w:r>
              <w:rPr>
                <w:rFonts w:ascii="Times New Roman" w:hAnsi="Times New Roman" w:cs="Times New Roman"/>
                <w:sz w:val="22"/>
                <w:szCs w:val="22"/>
              </w:rPr>
              <w:t>0</w:t>
            </w:r>
          </w:p>
        </w:tc>
      </w:tr>
      <w:tr w:rsidR="0057079A" w:rsidTr="003E6A96">
        <w:tc>
          <w:tcPr>
            <w:tcW w:w="2109" w:type="dxa"/>
            <w:vMerge/>
            <w:vAlign w:val="center"/>
          </w:tcPr>
          <w:p w:rsidR="0057079A" w:rsidRDefault="0057079A" w:rsidP="003E6A96">
            <w:pPr>
              <w:bidi w:val="0"/>
              <w:spacing w:after="0"/>
              <w:jc w:val="center"/>
              <w:rPr>
                <w:rFonts w:ascii="Times New Roman" w:hAnsi="Times New Roman" w:cs="Times New Roman"/>
                <w:b w:val="0"/>
                <w:bCs w:val="0"/>
                <w:color w:val="202124"/>
                <w:sz w:val="22"/>
                <w:szCs w:val="22"/>
                <w:lang w:val="en"/>
              </w:rPr>
            </w:pPr>
          </w:p>
        </w:tc>
        <w:tc>
          <w:tcPr>
            <w:tcW w:w="1578" w:type="dxa"/>
            <w:vMerge/>
            <w:vAlign w:val="center"/>
          </w:tcPr>
          <w:p w:rsidR="0057079A" w:rsidRPr="003E6A96" w:rsidRDefault="0057079A" w:rsidP="003E6A96">
            <w:pPr>
              <w:bidi w:val="0"/>
              <w:spacing w:after="0"/>
              <w:jc w:val="center"/>
              <w:rPr>
                <w:rFonts w:ascii="Times New Roman" w:hAnsi="Times New Roman" w:cs="Times New Roman"/>
                <w:b w:val="0"/>
                <w:bCs w:val="0"/>
                <w:sz w:val="22"/>
                <w:szCs w:val="22"/>
              </w:rPr>
            </w:pPr>
          </w:p>
        </w:tc>
        <w:tc>
          <w:tcPr>
            <w:tcW w:w="1468" w:type="dxa"/>
            <w:vAlign w:val="center"/>
          </w:tcPr>
          <w:p w:rsidR="0057079A" w:rsidRPr="003E6A96" w:rsidRDefault="0057079A" w:rsidP="003E6A96">
            <w:pPr>
              <w:bidi w:val="0"/>
              <w:spacing w:after="0"/>
              <w:jc w:val="center"/>
              <w:rPr>
                <w:rFonts w:ascii="Times New Roman" w:hAnsi="Times New Roman" w:cs="Times New Roman"/>
                <w:b w:val="0"/>
                <w:bCs w:val="0"/>
                <w:sz w:val="22"/>
                <w:szCs w:val="22"/>
              </w:rPr>
            </w:pPr>
            <w:r w:rsidRPr="003E6A96">
              <w:rPr>
                <w:rFonts w:ascii="Times New Roman" w:hAnsi="Times New Roman" w:cs="Times New Roman"/>
                <w:b w:val="0"/>
                <w:bCs w:val="0"/>
                <w:sz w:val="22"/>
                <w:szCs w:val="22"/>
              </w:rPr>
              <w:t>Over 6 to 24 months</w:t>
            </w:r>
          </w:p>
        </w:tc>
        <w:tc>
          <w:tcPr>
            <w:tcW w:w="1060" w:type="dxa"/>
          </w:tcPr>
          <w:p w:rsidR="0057079A" w:rsidRPr="006078A3" w:rsidRDefault="0057079A" w:rsidP="003E6A96">
            <w:pPr>
              <w:bidi w:val="0"/>
              <w:spacing w:after="0"/>
              <w:jc w:val="center"/>
              <w:rPr>
                <w:rFonts w:ascii="Times New Roman" w:hAnsi="Times New Roman" w:cs="Times New Roman"/>
                <w:sz w:val="22"/>
                <w:szCs w:val="22"/>
              </w:rPr>
            </w:pPr>
          </w:p>
        </w:tc>
        <w:tc>
          <w:tcPr>
            <w:tcW w:w="1060" w:type="dxa"/>
          </w:tcPr>
          <w:p w:rsidR="0057079A" w:rsidRPr="006078A3" w:rsidRDefault="0057079A" w:rsidP="003E6A96">
            <w:pPr>
              <w:bidi w:val="0"/>
              <w:spacing w:after="0"/>
              <w:jc w:val="center"/>
              <w:rPr>
                <w:rFonts w:ascii="Times New Roman" w:hAnsi="Times New Roman" w:cs="Times New Roman"/>
                <w:sz w:val="22"/>
                <w:szCs w:val="22"/>
              </w:rPr>
            </w:pPr>
          </w:p>
        </w:tc>
        <w:tc>
          <w:tcPr>
            <w:tcW w:w="696" w:type="dxa"/>
            <w:vAlign w:val="center"/>
          </w:tcPr>
          <w:p w:rsidR="0057079A" w:rsidRPr="006078A3" w:rsidRDefault="0057079A" w:rsidP="003E6A96">
            <w:pPr>
              <w:bidi w:val="0"/>
              <w:spacing w:after="0"/>
              <w:jc w:val="center"/>
              <w:rPr>
                <w:rFonts w:ascii="Times New Roman" w:hAnsi="Times New Roman" w:cs="Times New Roman"/>
                <w:sz w:val="22"/>
                <w:szCs w:val="22"/>
              </w:rPr>
            </w:pPr>
            <w:r>
              <w:rPr>
                <w:rFonts w:ascii="Times New Roman" w:hAnsi="Times New Roman" w:cs="Times New Roman"/>
                <w:sz w:val="22"/>
                <w:szCs w:val="22"/>
              </w:rPr>
              <w:t>0</w:t>
            </w:r>
          </w:p>
        </w:tc>
        <w:tc>
          <w:tcPr>
            <w:tcW w:w="979" w:type="dxa"/>
            <w:vAlign w:val="center"/>
          </w:tcPr>
          <w:p w:rsidR="0057079A" w:rsidRPr="006078A3" w:rsidRDefault="0057079A" w:rsidP="003E6A96">
            <w:pPr>
              <w:bidi w:val="0"/>
              <w:spacing w:after="0"/>
              <w:jc w:val="center"/>
              <w:rPr>
                <w:rFonts w:ascii="Times New Roman" w:hAnsi="Times New Roman" w:cs="Times New Roman"/>
                <w:sz w:val="22"/>
                <w:szCs w:val="22"/>
              </w:rPr>
            </w:pPr>
            <w:r>
              <w:rPr>
                <w:rFonts w:ascii="Times New Roman" w:hAnsi="Times New Roman" w:cs="Times New Roman"/>
                <w:sz w:val="22"/>
                <w:szCs w:val="22"/>
              </w:rPr>
              <w:t>1%</w:t>
            </w:r>
          </w:p>
        </w:tc>
        <w:tc>
          <w:tcPr>
            <w:tcW w:w="1115" w:type="dxa"/>
            <w:vAlign w:val="center"/>
          </w:tcPr>
          <w:p w:rsidR="0057079A" w:rsidRPr="006078A3" w:rsidRDefault="0057079A" w:rsidP="003E6A96">
            <w:pPr>
              <w:bidi w:val="0"/>
              <w:spacing w:after="0"/>
              <w:jc w:val="center"/>
              <w:rPr>
                <w:rFonts w:ascii="Times New Roman" w:hAnsi="Times New Roman" w:cs="Times New Roman"/>
                <w:sz w:val="22"/>
                <w:szCs w:val="22"/>
              </w:rPr>
            </w:pPr>
            <w:r>
              <w:rPr>
                <w:rFonts w:ascii="Times New Roman" w:hAnsi="Times New Roman" w:cs="Times New Roman"/>
                <w:sz w:val="22"/>
                <w:szCs w:val="22"/>
              </w:rPr>
              <w:t>0</w:t>
            </w:r>
          </w:p>
        </w:tc>
      </w:tr>
      <w:tr w:rsidR="0057079A" w:rsidTr="003E6A96">
        <w:tc>
          <w:tcPr>
            <w:tcW w:w="2109" w:type="dxa"/>
            <w:vMerge/>
            <w:vAlign w:val="center"/>
          </w:tcPr>
          <w:p w:rsidR="0057079A" w:rsidRDefault="0057079A" w:rsidP="003E6A96">
            <w:pPr>
              <w:bidi w:val="0"/>
              <w:spacing w:after="0"/>
              <w:jc w:val="center"/>
              <w:rPr>
                <w:rFonts w:ascii="Times New Roman" w:hAnsi="Times New Roman" w:cs="Times New Roman"/>
                <w:b w:val="0"/>
                <w:bCs w:val="0"/>
                <w:color w:val="202124"/>
                <w:sz w:val="22"/>
                <w:szCs w:val="22"/>
                <w:lang w:val="en"/>
              </w:rPr>
            </w:pPr>
          </w:p>
        </w:tc>
        <w:tc>
          <w:tcPr>
            <w:tcW w:w="1578" w:type="dxa"/>
            <w:vMerge/>
            <w:vAlign w:val="center"/>
          </w:tcPr>
          <w:p w:rsidR="0057079A" w:rsidRPr="003E6A96" w:rsidRDefault="0057079A" w:rsidP="003E6A96">
            <w:pPr>
              <w:bidi w:val="0"/>
              <w:spacing w:after="0"/>
              <w:jc w:val="center"/>
              <w:rPr>
                <w:rFonts w:ascii="Times New Roman" w:hAnsi="Times New Roman" w:cs="Times New Roman"/>
                <w:b w:val="0"/>
                <w:bCs w:val="0"/>
                <w:sz w:val="22"/>
                <w:szCs w:val="22"/>
              </w:rPr>
            </w:pPr>
          </w:p>
        </w:tc>
        <w:tc>
          <w:tcPr>
            <w:tcW w:w="1468" w:type="dxa"/>
            <w:vAlign w:val="center"/>
          </w:tcPr>
          <w:p w:rsidR="0057079A" w:rsidRPr="003E6A96" w:rsidRDefault="0057079A" w:rsidP="003E6A96">
            <w:pPr>
              <w:bidi w:val="0"/>
              <w:spacing w:after="0"/>
              <w:jc w:val="center"/>
              <w:rPr>
                <w:rFonts w:ascii="Times New Roman" w:hAnsi="Times New Roman" w:cs="Times New Roman"/>
                <w:b w:val="0"/>
                <w:bCs w:val="0"/>
                <w:sz w:val="22"/>
                <w:szCs w:val="22"/>
              </w:rPr>
            </w:pPr>
            <w:r w:rsidRPr="003E6A96">
              <w:rPr>
                <w:rFonts w:ascii="Times New Roman" w:hAnsi="Times New Roman" w:cs="Times New Roman"/>
                <w:b w:val="0"/>
                <w:bCs w:val="0"/>
                <w:sz w:val="22"/>
                <w:szCs w:val="22"/>
              </w:rPr>
              <w:t>Over 24 months</w:t>
            </w:r>
          </w:p>
        </w:tc>
        <w:tc>
          <w:tcPr>
            <w:tcW w:w="1060" w:type="dxa"/>
          </w:tcPr>
          <w:p w:rsidR="0057079A" w:rsidRPr="006078A3" w:rsidRDefault="0057079A" w:rsidP="003E6A96">
            <w:pPr>
              <w:bidi w:val="0"/>
              <w:spacing w:after="0"/>
              <w:jc w:val="center"/>
              <w:rPr>
                <w:rFonts w:ascii="Times New Roman" w:hAnsi="Times New Roman" w:cs="Times New Roman"/>
                <w:sz w:val="22"/>
                <w:szCs w:val="22"/>
              </w:rPr>
            </w:pPr>
          </w:p>
        </w:tc>
        <w:tc>
          <w:tcPr>
            <w:tcW w:w="1060" w:type="dxa"/>
          </w:tcPr>
          <w:p w:rsidR="0057079A" w:rsidRPr="006078A3" w:rsidRDefault="0057079A" w:rsidP="003E6A96">
            <w:pPr>
              <w:bidi w:val="0"/>
              <w:spacing w:after="0"/>
              <w:jc w:val="center"/>
              <w:rPr>
                <w:rFonts w:ascii="Times New Roman" w:hAnsi="Times New Roman" w:cs="Times New Roman"/>
                <w:sz w:val="22"/>
                <w:szCs w:val="22"/>
              </w:rPr>
            </w:pPr>
          </w:p>
        </w:tc>
        <w:tc>
          <w:tcPr>
            <w:tcW w:w="696" w:type="dxa"/>
            <w:vAlign w:val="center"/>
          </w:tcPr>
          <w:p w:rsidR="0057079A" w:rsidRPr="006078A3" w:rsidRDefault="0057079A" w:rsidP="003E6A96">
            <w:pPr>
              <w:bidi w:val="0"/>
              <w:spacing w:after="0"/>
              <w:jc w:val="center"/>
              <w:rPr>
                <w:rFonts w:ascii="Times New Roman" w:hAnsi="Times New Roman" w:cs="Times New Roman"/>
                <w:sz w:val="22"/>
                <w:szCs w:val="22"/>
              </w:rPr>
            </w:pPr>
            <w:r>
              <w:rPr>
                <w:rFonts w:ascii="Times New Roman" w:hAnsi="Times New Roman" w:cs="Times New Roman"/>
                <w:sz w:val="22"/>
                <w:szCs w:val="22"/>
              </w:rPr>
              <w:t>0</w:t>
            </w:r>
          </w:p>
        </w:tc>
        <w:tc>
          <w:tcPr>
            <w:tcW w:w="979" w:type="dxa"/>
            <w:vAlign w:val="center"/>
          </w:tcPr>
          <w:p w:rsidR="0057079A" w:rsidRPr="006078A3" w:rsidRDefault="0057079A" w:rsidP="003E6A96">
            <w:pPr>
              <w:bidi w:val="0"/>
              <w:spacing w:after="0"/>
              <w:jc w:val="center"/>
              <w:rPr>
                <w:rFonts w:ascii="Times New Roman" w:hAnsi="Times New Roman" w:cs="Times New Roman"/>
                <w:sz w:val="22"/>
                <w:szCs w:val="22"/>
              </w:rPr>
            </w:pPr>
            <w:r>
              <w:rPr>
                <w:rFonts w:ascii="Times New Roman" w:hAnsi="Times New Roman" w:cs="Times New Roman"/>
                <w:sz w:val="22"/>
                <w:szCs w:val="22"/>
              </w:rPr>
              <w:t>1.6%</w:t>
            </w:r>
          </w:p>
        </w:tc>
        <w:tc>
          <w:tcPr>
            <w:tcW w:w="1115" w:type="dxa"/>
            <w:vAlign w:val="center"/>
          </w:tcPr>
          <w:p w:rsidR="0057079A" w:rsidRPr="006078A3" w:rsidRDefault="0057079A" w:rsidP="003E6A96">
            <w:pPr>
              <w:bidi w:val="0"/>
              <w:spacing w:after="0"/>
              <w:jc w:val="center"/>
              <w:rPr>
                <w:rFonts w:ascii="Times New Roman" w:hAnsi="Times New Roman" w:cs="Times New Roman"/>
                <w:sz w:val="22"/>
                <w:szCs w:val="22"/>
              </w:rPr>
            </w:pPr>
            <w:r>
              <w:rPr>
                <w:rFonts w:ascii="Times New Roman" w:hAnsi="Times New Roman" w:cs="Times New Roman"/>
                <w:sz w:val="22"/>
                <w:szCs w:val="22"/>
              </w:rPr>
              <w:t>0</w:t>
            </w:r>
          </w:p>
        </w:tc>
      </w:tr>
      <w:tr w:rsidR="0057079A" w:rsidTr="003E6A96">
        <w:tc>
          <w:tcPr>
            <w:tcW w:w="2109" w:type="dxa"/>
            <w:vMerge w:val="restart"/>
            <w:vAlign w:val="center"/>
          </w:tcPr>
          <w:p w:rsidR="0057079A" w:rsidRDefault="0057079A" w:rsidP="003E6A96">
            <w:pPr>
              <w:bidi w:val="0"/>
              <w:spacing w:after="0"/>
              <w:jc w:val="center"/>
              <w:rPr>
                <w:rFonts w:ascii="Times New Roman" w:hAnsi="Times New Roman" w:cs="Times New Roman"/>
                <w:b w:val="0"/>
                <w:bCs w:val="0"/>
                <w:color w:val="202124"/>
                <w:sz w:val="22"/>
                <w:szCs w:val="22"/>
                <w:lang w:val="en"/>
              </w:rPr>
            </w:pPr>
            <w:r>
              <w:rPr>
                <w:rFonts w:ascii="Times New Roman" w:hAnsi="Times New Roman" w:cs="Times New Roman"/>
                <w:b w:val="0"/>
                <w:bCs w:val="0"/>
                <w:color w:val="202124"/>
                <w:sz w:val="22"/>
                <w:szCs w:val="22"/>
                <w:lang w:val="en"/>
              </w:rPr>
              <w:t>Other Debt Instruments</w:t>
            </w:r>
          </w:p>
        </w:tc>
        <w:tc>
          <w:tcPr>
            <w:tcW w:w="3046" w:type="dxa"/>
            <w:gridSpan w:val="2"/>
            <w:vAlign w:val="center"/>
          </w:tcPr>
          <w:p w:rsidR="0057079A" w:rsidRPr="003E6A96" w:rsidRDefault="0057079A" w:rsidP="003E6A96">
            <w:pPr>
              <w:bidi w:val="0"/>
              <w:spacing w:after="0"/>
              <w:jc w:val="center"/>
              <w:rPr>
                <w:rFonts w:ascii="Times New Roman" w:hAnsi="Times New Roman" w:cs="Times New Roman"/>
                <w:b w:val="0"/>
                <w:bCs w:val="0"/>
                <w:sz w:val="22"/>
                <w:szCs w:val="22"/>
              </w:rPr>
            </w:pPr>
            <w:r w:rsidRPr="003E6A96">
              <w:rPr>
                <w:rFonts w:ascii="Times New Roman" w:hAnsi="Times New Roman" w:cs="Times New Roman"/>
                <w:b w:val="0"/>
                <w:bCs w:val="0"/>
                <w:sz w:val="22"/>
                <w:szCs w:val="22"/>
              </w:rPr>
              <w:t>(BB+) – (BB-)</w:t>
            </w:r>
          </w:p>
        </w:tc>
        <w:tc>
          <w:tcPr>
            <w:tcW w:w="1060" w:type="dxa"/>
          </w:tcPr>
          <w:p w:rsidR="0057079A" w:rsidRPr="006078A3" w:rsidRDefault="0057079A" w:rsidP="003E6A96">
            <w:pPr>
              <w:bidi w:val="0"/>
              <w:spacing w:after="0"/>
              <w:jc w:val="center"/>
              <w:rPr>
                <w:rFonts w:ascii="Times New Roman" w:hAnsi="Times New Roman" w:cs="Times New Roman"/>
                <w:sz w:val="22"/>
                <w:szCs w:val="22"/>
              </w:rPr>
            </w:pPr>
          </w:p>
        </w:tc>
        <w:tc>
          <w:tcPr>
            <w:tcW w:w="1060" w:type="dxa"/>
          </w:tcPr>
          <w:p w:rsidR="0057079A" w:rsidRPr="006078A3" w:rsidRDefault="0057079A" w:rsidP="003E6A96">
            <w:pPr>
              <w:bidi w:val="0"/>
              <w:spacing w:after="0"/>
              <w:jc w:val="center"/>
              <w:rPr>
                <w:rFonts w:ascii="Times New Roman" w:hAnsi="Times New Roman" w:cs="Times New Roman"/>
                <w:sz w:val="22"/>
                <w:szCs w:val="22"/>
              </w:rPr>
            </w:pPr>
          </w:p>
        </w:tc>
        <w:tc>
          <w:tcPr>
            <w:tcW w:w="696" w:type="dxa"/>
            <w:vAlign w:val="center"/>
          </w:tcPr>
          <w:p w:rsidR="0057079A" w:rsidRPr="006078A3" w:rsidRDefault="0057079A" w:rsidP="003E6A96">
            <w:pPr>
              <w:bidi w:val="0"/>
              <w:spacing w:after="0"/>
              <w:jc w:val="center"/>
              <w:rPr>
                <w:rFonts w:ascii="Times New Roman" w:hAnsi="Times New Roman" w:cs="Times New Roman"/>
                <w:sz w:val="22"/>
                <w:szCs w:val="22"/>
              </w:rPr>
            </w:pPr>
            <w:r>
              <w:rPr>
                <w:rFonts w:ascii="Times New Roman" w:hAnsi="Times New Roman" w:cs="Times New Roman"/>
                <w:sz w:val="22"/>
                <w:szCs w:val="22"/>
              </w:rPr>
              <w:t>0</w:t>
            </w:r>
          </w:p>
        </w:tc>
        <w:tc>
          <w:tcPr>
            <w:tcW w:w="979" w:type="dxa"/>
            <w:vAlign w:val="center"/>
          </w:tcPr>
          <w:p w:rsidR="0057079A" w:rsidRPr="006078A3" w:rsidRDefault="0057079A" w:rsidP="003E6A96">
            <w:pPr>
              <w:bidi w:val="0"/>
              <w:spacing w:after="0"/>
              <w:jc w:val="center"/>
              <w:rPr>
                <w:rFonts w:ascii="Times New Roman" w:hAnsi="Times New Roman" w:cs="Times New Roman"/>
                <w:sz w:val="22"/>
                <w:szCs w:val="22"/>
              </w:rPr>
            </w:pPr>
            <w:r>
              <w:rPr>
                <w:rFonts w:ascii="Times New Roman" w:hAnsi="Times New Roman" w:cs="Times New Roman"/>
                <w:sz w:val="22"/>
                <w:szCs w:val="22"/>
              </w:rPr>
              <w:t>8%</w:t>
            </w:r>
          </w:p>
        </w:tc>
        <w:tc>
          <w:tcPr>
            <w:tcW w:w="1115" w:type="dxa"/>
            <w:vAlign w:val="center"/>
          </w:tcPr>
          <w:p w:rsidR="0057079A" w:rsidRPr="006078A3" w:rsidRDefault="0057079A" w:rsidP="003E6A96">
            <w:pPr>
              <w:bidi w:val="0"/>
              <w:spacing w:after="0"/>
              <w:jc w:val="center"/>
              <w:rPr>
                <w:rFonts w:ascii="Times New Roman" w:hAnsi="Times New Roman" w:cs="Times New Roman"/>
                <w:sz w:val="22"/>
                <w:szCs w:val="22"/>
              </w:rPr>
            </w:pPr>
            <w:r>
              <w:rPr>
                <w:rFonts w:ascii="Times New Roman" w:hAnsi="Times New Roman" w:cs="Times New Roman"/>
                <w:sz w:val="22"/>
                <w:szCs w:val="22"/>
              </w:rPr>
              <w:t>0</w:t>
            </w:r>
          </w:p>
        </w:tc>
      </w:tr>
      <w:tr w:rsidR="0057079A" w:rsidTr="003E6A96">
        <w:tc>
          <w:tcPr>
            <w:tcW w:w="2109" w:type="dxa"/>
            <w:vMerge/>
          </w:tcPr>
          <w:p w:rsidR="0057079A" w:rsidRDefault="0057079A" w:rsidP="003E6A96">
            <w:pPr>
              <w:bidi w:val="0"/>
              <w:spacing w:after="0"/>
              <w:jc w:val="left"/>
              <w:rPr>
                <w:rFonts w:ascii="Times New Roman" w:hAnsi="Times New Roman" w:cs="Times New Roman"/>
                <w:b w:val="0"/>
                <w:bCs w:val="0"/>
                <w:color w:val="202124"/>
                <w:sz w:val="22"/>
                <w:szCs w:val="22"/>
                <w:lang w:val="en"/>
              </w:rPr>
            </w:pPr>
          </w:p>
        </w:tc>
        <w:tc>
          <w:tcPr>
            <w:tcW w:w="3046" w:type="dxa"/>
            <w:gridSpan w:val="2"/>
            <w:vAlign w:val="center"/>
          </w:tcPr>
          <w:p w:rsidR="0057079A" w:rsidRPr="003E6A96" w:rsidRDefault="0057079A" w:rsidP="003E6A96">
            <w:pPr>
              <w:bidi w:val="0"/>
              <w:spacing w:after="0"/>
              <w:jc w:val="center"/>
              <w:rPr>
                <w:rFonts w:ascii="Times New Roman" w:hAnsi="Times New Roman" w:cs="Times New Roman"/>
                <w:b w:val="0"/>
                <w:bCs w:val="0"/>
                <w:sz w:val="22"/>
                <w:szCs w:val="22"/>
              </w:rPr>
            </w:pPr>
            <w:r w:rsidRPr="003E6A96">
              <w:rPr>
                <w:rFonts w:ascii="Times New Roman" w:hAnsi="Times New Roman" w:cs="Times New Roman"/>
                <w:b w:val="0"/>
                <w:bCs w:val="0"/>
                <w:sz w:val="22"/>
                <w:szCs w:val="22"/>
              </w:rPr>
              <w:t>Less than (BB-)</w:t>
            </w:r>
          </w:p>
        </w:tc>
        <w:tc>
          <w:tcPr>
            <w:tcW w:w="1060" w:type="dxa"/>
          </w:tcPr>
          <w:p w:rsidR="0057079A" w:rsidRPr="006078A3" w:rsidRDefault="0057079A" w:rsidP="003E6A96">
            <w:pPr>
              <w:bidi w:val="0"/>
              <w:spacing w:after="0"/>
              <w:jc w:val="center"/>
              <w:rPr>
                <w:rFonts w:ascii="Times New Roman" w:hAnsi="Times New Roman" w:cs="Times New Roman"/>
                <w:sz w:val="22"/>
                <w:szCs w:val="22"/>
              </w:rPr>
            </w:pPr>
          </w:p>
        </w:tc>
        <w:tc>
          <w:tcPr>
            <w:tcW w:w="1060" w:type="dxa"/>
          </w:tcPr>
          <w:p w:rsidR="0057079A" w:rsidRPr="006078A3" w:rsidRDefault="0057079A" w:rsidP="003E6A96">
            <w:pPr>
              <w:bidi w:val="0"/>
              <w:spacing w:after="0"/>
              <w:jc w:val="center"/>
              <w:rPr>
                <w:rFonts w:ascii="Times New Roman" w:hAnsi="Times New Roman" w:cs="Times New Roman"/>
                <w:sz w:val="22"/>
                <w:szCs w:val="22"/>
              </w:rPr>
            </w:pPr>
          </w:p>
        </w:tc>
        <w:tc>
          <w:tcPr>
            <w:tcW w:w="696" w:type="dxa"/>
            <w:vAlign w:val="center"/>
          </w:tcPr>
          <w:p w:rsidR="0057079A" w:rsidRPr="006078A3" w:rsidRDefault="0057079A" w:rsidP="003E6A96">
            <w:pPr>
              <w:bidi w:val="0"/>
              <w:spacing w:after="0"/>
              <w:jc w:val="center"/>
              <w:rPr>
                <w:rFonts w:ascii="Times New Roman" w:hAnsi="Times New Roman" w:cs="Times New Roman"/>
                <w:sz w:val="22"/>
                <w:szCs w:val="22"/>
              </w:rPr>
            </w:pPr>
            <w:r>
              <w:rPr>
                <w:rFonts w:ascii="Times New Roman" w:hAnsi="Times New Roman" w:cs="Times New Roman"/>
                <w:sz w:val="22"/>
                <w:szCs w:val="22"/>
              </w:rPr>
              <w:t>0</w:t>
            </w:r>
          </w:p>
        </w:tc>
        <w:tc>
          <w:tcPr>
            <w:tcW w:w="979" w:type="dxa"/>
            <w:vAlign w:val="center"/>
          </w:tcPr>
          <w:p w:rsidR="0057079A" w:rsidRPr="006078A3" w:rsidRDefault="0057079A" w:rsidP="003E6A96">
            <w:pPr>
              <w:bidi w:val="0"/>
              <w:spacing w:after="0"/>
              <w:jc w:val="center"/>
              <w:rPr>
                <w:rFonts w:ascii="Times New Roman" w:hAnsi="Times New Roman" w:cs="Times New Roman"/>
                <w:sz w:val="22"/>
                <w:szCs w:val="22"/>
              </w:rPr>
            </w:pPr>
            <w:r>
              <w:rPr>
                <w:rFonts w:ascii="Times New Roman" w:hAnsi="Times New Roman" w:cs="Times New Roman"/>
                <w:sz w:val="22"/>
                <w:szCs w:val="22"/>
              </w:rPr>
              <w:t>12%</w:t>
            </w:r>
          </w:p>
        </w:tc>
        <w:tc>
          <w:tcPr>
            <w:tcW w:w="1115" w:type="dxa"/>
            <w:vAlign w:val="center"/>
          </w:tcPr>
          <w:p w:rsidR="0057079A" w:rsidRPr="006078A3" w:rsidRDefault="0057079A" w:rsidP="003E6A96">
            <w:pPr>
              <w:bidi w:val="0"/>
              <w:spacing w:after="0"/>
              <w:jc w:val="center"/>
              <w:rPr>
                <w:rFonts w:ascii="Times New Roman" w:hAnsi="Times New Roman" w:cs="Times New Roman"/>
                <w:sz w:val="22"/>
                <w:szCs w:val="22"/>
              </w:rPr>
            </w:pPr>
            <w:r>
              <w:rPr>
                <w:rFonts w:ascii="Times New Roman" w:hAnsi="Times New Roman" w:cs="Times New Roman"/>
                <w:sz w:val="22"/>
                <w:szCs w:val="22"/>
              </w:rPr>
              <w:t>0</w:t>
            </w:r>
          </w:p>
        </w:tc>
      </w:tr>
      <w:tr w:rsidR="0057079A" w:rsidTr="003E6A96">
        <w:tc>
          <w:tcPr>
            <w:tcW w:w="2109" w:type="dxa"/>
            <w:vMerge/>
          </w:tcPr>
          <w:p w:rsidR="0057079A" w:rsidRDefault="0057079A" w:rsidP="003E6A96">
            <w:pPr>
              <w:bidi w:val="0"/>
              <w:spacing w:after="0"/>
              <w:jc w:val="left"/>
              <w:rPr>
                <w:rFonts w:ascii="Times New Roman" w:hAnsi="Times New Roman" w:cs="Times New Roman"/>
                <w:b w:val="0"/>
                <w:bCs w:val="0"/>
                <w:color w:val="202124"/>
                <w:sz w:val="22"/>
                <w:szCs w:val="22"/>
                <w:lang w:val="en"/>
              </w:rPr>
            </w:pPr>
          </w:p>
        </w:tc>
        <w:tc>
          <w:tcPr>
            <w:tcW w:w="3046" w:type="dxa"/>
            <w:gridSpan w:val="2"/>
            <w:vAlign w:val="center"/>
          </w:tcPr>
          <w:p w:rsidR="0057079A" w:rsidRPr="003E6A96" w:rsidRDefault="0057079A" w:rsidP="003E6A96">
            <w:pPr>
              <w:bidi w:val="0"/>
              <w:spacing w:after="0"/>
              <w:jc w:val="center"/>
              <w:rPr>
                <w:rFonts w:ascii="Times New Roman" w:hAnsi="Times New Roman" w:cs="Times New Roman"/>
                <w:b w:val="0"/>
                <w:bCs w:val="0"/>
                <w:sz w:val="22"/>
                <w:szCs w:val="22"/>
              </w:rPr>
            </w:pPr>
            <w:r w:rsidRPr="003E6A96">
              <w:rPr>
                <w:rFonts w:ascii="Times New Roman" w:hAnsi="Times New Roman" w:cs="Times New Roman"/>
                <w:b w:val="0"/>
                <w:bCs w:val="0"/>
                <w:sz w:val="22"/>
                <w:szCs w:val="22"/>
              </w:rPr>
              <w:t>Unrated</w:t>
            </w:r>
          </w:p>
        </w:tc>
        <w:tc>
          <w:tcPr>
            <w:tcW w:w="1060" w:type="dxa"/>
          </w:tcPr>
          <w:p w:rsidR="0057079A" w:rsidRPr="006078A3" w:rsidRDefault="0057079A" w:rsidP="003E6A96">
            <w:pPr>
              <w:bidi w:val="0"/>
              <w:spacing w:after="0"/>
              <w:jc w:val="center"/>
              <w:rPr>
                <w:rFonts w:ascii="Times New Roman" w:hAnsi="Times New Roman" w:cs="Times New Roman"/>
                <w:sz w:val="22"/>
                <w:szCs w:val="22"/>
              </w:rPr>
            </w:pPr>
          </w:p>
        </w:tc>
        <w:tc>
          <w:tcPr>
            <w:tcW w:w="1060" w:type="dxa"/>
          </w:tcPr>
          <w:p w:rsidR="0057079A" w:rsidRPr="006078A3" w:rsidRDefault="0057079A" w:rsidP="003E6A96">
            <w:pPr>
              <w:bidi w:val="0"/>
              <w:spacing w:after="0"/>
              <w:jc w:val="center"/>
              <w:rPr>
                <w:rFonts w:ascii="Times New Roman" w:hAnsi="Times New Roman" w:cs="Times New Roman"/>
                <w:sz w:val="22"/>
                <w:szCs w:val="22"/>
              </w:rPr>
            </w:pPr>
          </w:p>
        </w:tc>
        <w:tc>
          <w:tcPr>
            <w:tcW w:w="696" w:type="dxa"/>
            <w:vAlign w:val="center"/>
          </w:tcPr>
          <w:p w:rsidR="0057079A" w:rsidRPr="006078A3" w:rsidRDefault="0057079A" w:rsidP="003E6A96">
            <w:pPr>
              <w:bidi w:val="0"/>
              <w:spacing w:after="0"/>
              <w:jc w:val="center"/>
              <w:rPr>
                <w:rFonts w:ascii="Times New Roman" w:hAnsi="Times New Roman" w:cs="Times New Roman"/>
                <w:sz w:val="22"/>
                <w:szCs w:val="22"/>
              </w:rPr>
            </w:pPr>
            <w:r>
              <w:rPr>
                <w:rFonts w:ascii="Times New Roman" w:hAnsi="Times New Roman" w:cs="Times New Roman"/>
                <w:sz w:val="22"/>
                <w:szCs w:val="22"/>
              </w:rPr>
              <w:t>0</w:t>
            </w:r>
          </w:p>
        </w:tc>
        <w:tc>
          <w:tcPr>
            <w:tcW w:w="979" w:type="dxa"/>
            <w:vAlign w:val="center"/>
          </w:tcPr>
          <w:p w:rsidR="0057079A" w:rsidRPr="006078A3" w:rsidRDefault="0057079A" w:rsidP="003E6A96">
            <w:pPr>
              <w:bidi w:val="0"/>
              <w:spacing w:after="0"/>
              <w:jc w:val="center"/>
              <w:rPr>
                <w:rFonts w:ascii="Times New Roman" w:hAnsi="Times New Roman" w:cs="Times New Roman"/>
                <w:sz w:val="22"/>
                <w:szCs w:val="22"/>
              </w:rPr>
            </w:pPr>
            <w:r>
              <w:rPr>
                <w:rFonts w:ascii="Times New Roman" w:hAnsi="Times New Roman" w:cs="Times New Roman"/>
                <w:sz w:val="22"/>
                <w:szCs w:val="22"/>
              </w:rPr>
              <w:t>8%</w:t>
            </w:r>
          </w:p>
        </w:tc>
        <w:tc>
          <w:tcPr>
            <w:tcW w:w="1115" w:type="dxa"/>
            <w:vAlign w:val="center"/>
          </w:tcPr>
          <w:p w:rsidR="0057079A" w:rsidRPr="006078A3" w:rsidRDefault="0057079A" w:rsidP="003E6A96">
            <w:pPr>
              <w:bidi w:val="0"/>
              <w:spacing w:after="0"/>
              <w:jc w:val="center"/>
              <w:rPr>
                <w:rFonts w:ascii="Times New Roman" w:hAnsi="Times New Roman" w:cs="Times New Roman"/>
                <w:sz w:val="22"/>
                <w:szCs w:val="22"/>
              </w:rPr>
            </w:pPr>
            <w:r>
              <w:rPr>
                <w:rFonts w:ascii="Times New Roman" w:hAnsi="Times New Roman" w:cs="Times New Roman"/>
                <w:sz w:val="22"/>
                <w:szCs w:val="22"/>
              </w:rPr>
              <w:t>0</w:t>
            </w:r>
          </w:p>
        </w:tc>
      </w:tr>
      <w:tr w:rsidR="0057079A" w:rsidTr="003E6A96">
        <w:tc>
          <w:tcPr>
            <w:tcW w:w="8950" w:type="dxa"/>
            <w:gridSpan w:val="7"/>
            <w:shd w:val="clear" w:color="auto" w:fill="EDEDED" w:themeFill="accent3" w:themeFillTint="33"/>
            <w:vAlign w:val="center"/>
          </w:tcPr>
          <w:p w:rsidR="0057079A" w:rsidRPr="006078A3" w:rsidRDefault="003E6A96" w:rsidP="002E519D">
            <w:pPr>
              <w:bidi w:val="0"/>
              <w:spacing w:after="0"/>
              <w:jc w:val="left"/>
              <w:rPr>
                <w:rFonts w:ascii="Times New Roman" w:hAnsi="Times New Roman" w:cs="Times New Roman"/>
                <w:sz w:val="22"/>
                <w:szCs w:val="22"/>
              </w:rPr>
            </w:pPr>
            <w:r>
              <w:rPr>
                <w:rFonts w:ascii="Times New Roman" w:hAnsi="Times New Roman" w:cs="Times New Roman"/>
                <w:sz w:val="22"/>
                <w:szCs w:val="22"/>
              </w:rPr>
              <w:t xml:space="preserve">Total of capital </w:t>
            </w:r>
            <w:r w:rsidR="002E519D">
              <w:rPr>
                <w:rFonts w:ascii="Times New Roman" w:hAnsi="Times New Roman" w:cs="Times New Roman"/>
                <w:sz w:val="22"/>
                <w:szCs w:val="22"/>
              </w:rPr>
              <w:t>requirement for</w:t>
            </w:r>
            <w:r>
              <w:rPr>
                <w:rFonts w:ascii="Times New Roman" w:hAnsi="Times New Roman" w:cs="Times New Roman"/>
                <w:sz w:val="22"/>
                <w:szCs w:val="22"/>
              </w:rPr>
              <w:t xml:space="preserve"> interest rate specific risk</w:t>
            </w:r>
          </w:p>
        </w:tc>
        <w:tc>
          <w:tcPr>
            <w:tcW w:w="1115" w:type="dxa"/>
            <w:shd w:val="clear" w:color="auto" w:fill="EDEDED" w:themeFill="accent3" w:themeFillTint="33"/>
          </w:tcPr>
          <w:p w:rsidR="0057079A" w:rsidRPr="006078A3" w:rsidRDefault="0057079A" w:rsidP="003E6A96">
            <w:pPr>
              <w:bidi w:val="0"/>
              <w:spacing w:after="0"/>
              <w:jc w:val="center"/>
              <w:rPr>
                <w:rFonts w:ascii="Times New Roman" w:hAnsi="Times New Roman" w:cs="Times New Roman"/>
                <w:sz w:val="22"/>
                <w:szCs w:val="22"/>
              </w:rPr>
            </w:pPr>
            <w:r>
              <w:rPr>
                <w:rFonts w:ascii="Times New Roman" w:hAnsi="Times New Roman" w:cs="Times New Roman"/>
                <w:sz w:val="22"/>
                <w:szCs w:val="22"/>
              </w:rPr>
              <w:t>0</w:t>
            </w:r>
          </w:p>
        </w:tc>
      </w:tr>
      <w:tr w:rsidR="0057079A" w:rsidTr="003E6A96">
        <w:tc>
          <w:tcPr>
            <w:tcW w:w="8950" w:type="dxa"/>
            <w:gridSpan w:val="7"/>
            <w:shd w:val="clear" w:color="auto" w:fill="EDEDED" w:themeFill="accent3" w:themeFillTint="33"/>
            <w:vAlign w:val="center"/>
          </w:tcPr>
          <w:p w:rsidR="0057079A" w:rsidRPr="006078A3" w:rsidRDefault="003E6A96" w:rsidP="003E6A96">
            <w:pPr>
              <w:bidi w:val="0"/>
              <w:spacing w:after="0"/>
              <w:jc w:val="left"/>
              <w:rPr>
                <w:rFonts w:ascii="Times New Roman" w:hAnsi="Times New Roman" w:cs="Times New Roman"/>
                <w:sz w:val="22"/>
                <w:szCs w:val="22"/>
              </w:rPr>
            </w:pPr>
            <w:r>
              <w:rPr>
                <w:rFonts w:ascii="Times New Roman" w:hAnsi="Times New Roman" w:cs="Times New Roman"/>
                <w:sz w:val="22"/>
                <w:szCs w:val="22"/>
              </w:rPr>
              <w:t xml:space="preserve">Specific market risk = Total of capital </w:t>
            </w:r>
            <w:r w:rsidR="002E519D">
              <w:rPr>
                <w:rFonts w:ascii="Times New Roman" w:hAnsi="Times New Roman" w:cs="Times New Roman"/>
                <w:sz w:val="22"/>
                <w:szCs w:val="22"/>
              </w:rPr>
              <w:t xml:space="preserve">requirement for </w:t>
            </w:r>
            <w:r>
              <w:rPr>
                <w:rFonts w:ascii="Times New Roman" w:hAnsi="Times New Roman" w:cs="Times New Roman"/>
                <w:sz w:val="22"/>
                <w:szCs w:val="22"/>
              </w:rPr>
              <w:t>interest rate specific risk*12.5</w:t>
            </w:r>
          </w:p>
        </w:tc>
        <w:tc>
          <w:tcPr>
            <w:tcW w:w="1115" w:type="dxa"/>
            <w:shd w:val="clear" w:color="auto" w:fill="EDEDED" w:themeFill="accent3" w:themeFillTint="33"/>
          </w:tcPr>
          <w:p w:rsidR="0057079A" w:rsidRPr="006078A3" w:rsidRDefault="0057079A" w:rsidP="003E6A96">
            <w:pPr>
              <w:bidi w:val="0"/>
              <w:spacing w:after="0"/>
              <w:jc w:val="center"/>
              <w:rPr>
                <w:rFonts w:ascii="Times New Roman" w:hAnsi="Times New Roman" w:cs="Times New Roman"/>
                <w:sz w:val="22"/>
                <w:szCs w:val="22"/>
              </w:rPr>
            </w:pPr>
            <w:r>
              <w:rPr>
                <w:rFonts w:ascii="Times New Roman" w:hAnsi="Times New Roman" w:cs="Times New Roman"/>
                <w:sz w:val="22"/>
                <w:szCs w:val="22"/>
              </w:rPr>
              <w:t>0</w:t>
            </w:r>
          </w:p>
        </w:tc>
      </w:tr>
    </w:tbl>
    <w:p w:rsidR="006078A3" w:rsidRDefault="006078A3" w:rsidP="006078A3">
      <w:pPr>
        <w:bidi w:val="0"/>
        <w:jc w:val="center"/>
        <w:rPr>
          <w:rFonts w:ascii="Times New Roman" w:hAnsi="Times New Roman" w:cs="Times New Roman"/>
        </w:rPr>
      </w:pPr>
    </w:p>
    <w:p w:rsidR="00386808" w:rsidRDefault="00386808" w:rsidP="00505A8B">
      <w:pPr>
        <w:pStyle w:val="Caption"/>
        <w:jc w:val="center"/>
        <w:rPr>
          <w:b/>
          <w:bCs/>
          <w:color w:val="auto"/>
          <w:sz w:val="28"/>
          <w:szCs w:val="28"/>
        </w:rPr>
      </w:pPr>
      <w:bookmarkStart w:id="83" w:name="_Toc465255842"/>
    </w:p>
    <w:p w:rsidR="003E6A96" w:rsidRDefault="003E6A96" w:rsidP="003E6A96"/>
    <w:p w:rsidR="003E6A96" w:rsidRDefault="003E6A96" w:rsidP="003E6A96"/>
    <w:p w:rsidR="003E6A96" w:rsidRDefault="003E6A96" w:rsidP="003E6A96"/>
    <w:p w:rsidR="003E6A96" w:rsidRDefault="003E6A96" w:rsidP="003E6A96"/>
    <w:p w:rsidR="003235D7" w:rsidRDefault="003235D7" w:rsidP="003E6A96"/>
    <w:p w:rsidR="003235D7" w:rsidRDefault="003235D7" w:rsidP="003E6A96"/>
    <w:p w:rsidR="00C756C8" w:rsidRPr="003E6A96" w:rsidRDefault="00C756C8" w:rsidP="003E6A96"/>
    <w:p w:rsidR="00416246" w:rsidRPr="00563636" w:rsidRDefault="00386808" w:rsidP="00B66B27">
      <w:pPr>
        <w:pStyle w:val="Heading1"/>
        <w:pBdr>
          <w:bottom w:val="single" w:sz="4" w:space="1" w:color="auto"/>
        </w:pBdr>
        <w:bidi w:val="0"/>
        <w:jc w:val="center"/>
        <w:rPr>
          <w:rFonts w:asciiTheme="majorBidi" w:hAnsiTheme="majorBidi" w:cstheme="majorBidi"/>
          <w:b/>
          <w:bCs/>
        </w:rPr>
      </w:pPr>
      <w:bookmarkStart w:id="84" w:name="_Toc65354424"/>
      <w:r w:rsidRPr="00F06631">
        <w:rPr>
          <w:rFonts w:asciiTheme="majorBidi" w:hAnsiTheme="majorBidi" w:cstheme="majorBidi"/>
          <w:b/>
          <w:bCs/>
        </w:rPr>
        <w:t>Annex (16)</w:t>
      </w:r>
      <w:r w:rsidR="00B66B27">
        <w:rPr>
          <w:rFonts w:asciiTheme="majorBidi" w:hAnsiTheme="majorBidi" w:cstheme="majorBidi"/>
          <w:b/>
          <w:bCs/>
        </w:rPr>
        <w:t xml:space="preserve"> </w:t>
      </w:r>
      <w:r w:rsidR="003E2F9E" w:rsidRPr="00563636">
        <w:rPr>
          <w:rFonts w:asciiTheme="majorBidi" w:hAnsiTheme="majorBidi" w:cstheme="majorBidi"/>
          <w:b/>
          <w:bCs/>
        </w:rPr>
        <w:t xml:space="preserve">General risk for interest rate related </w:t>
      </w:r>
      <w:r w:rsidR="00416246" w:rsidRPr="00563636">
        <w:rPr>
          <w:rFonts w:asciiTheme="majorBidi" w:hAnsiTheme="majorBidi" w:cstheme="majorBidi"/>
          <w:b/>
          <w:bCs/>
        </w:rPr>
        <w:t>debt instruments</w:t>
      </w:r>
      <w:bookmarkEnd w:id="84"/>
      <w:r w:rsidR="00416246" w:rsidRPr="00563636">
        <w:rPr>
          <w:rFonts w:asciiTheme="majorBidi" w:hAnsiTheme="majorBidi" w:cstheme="majorBidi"/>
          <w:b/>
          <w:bCs/>
        </w:rPr>
        <w:t xml:space="preserve"> </w:t>
      </w:r>
    </w:p>
    <w:p w:rsidR="00386808" w:rsidRPr="00F06631" w:rsidRDefault="00386808" w:rsidP="00F06631">
      <w:pPr>
        <w:pStyle w:val="Heading1"/>
        <w:pBdr>
          <w:bottom w:val="single" w:sz="4" w:space="1" w:color="auto"/>
        </w:pBdr>
        <w:bidi w:val="0"/>
        <w:jc w:val="center"/>
        <w:rPr>
          <w:rFonts w:asciiTheme="majorBidi" w:hAnsiTheme="majorBidi" w:cstheme="majorBidi"/>
          <w:b/>
          <w:bCs/>
        </w:rPr>
      </w:pPr>
      <w:bookmarkStart w:id="85" w:name="_Toc64568888"/>
      <w:bookmarkStart w:id="86" w:name="_Toc65354425"/>
      <w:bookmarkEnd w:id="83"/>
      <w:r w:rsidRPr="00563636">
        <w:rPr>
          <w:rFonts w:asciiTheme="majorBidi" w:hAnsiTheme="majorBidi" w:cstheme="majorBidi"/>
          <w:b/>
          <w:bCs/>
        </w:rPr>
        <w:t>Maturity method: time-bands and weights</w:t>
      </w:r>
      <w:bookmarkEnd w:id="85"/>
      <w:bookmarkEnd w:id="86"/>
    </w:p>
    <w:p w:rsidR="00416246" w:rsidRPr="00386808" w:rsidRDefault="00416246" w:rsidP="00416246">
      <w:pPr>
        <w:jc w:val="center"/>
      </w:pPr>
    </w:p>
    <w:tbl>
      <w:tblPr>
        <w:tblStyle w:val="TableGrid"/>
        <w:bidiVisual/>
        <w:tblW w:w="0" w:type="auto"/>
        <w:tblLook w:val="04A0" w:firstRow="1" w:lastRow="0" w:firstColumn="1" w:lastColumn="0" w:noHBand="0" w:noVBand="1"/>
      </w:tblPr>
      <w:tblGrid>
        <w:gridCol w:w="2798"/>
        <w:gridCol w:w="2798"/>
        <w:gridCol w:w="2799"/>
      </w:tblGrid>
      <w:tr w:rsidR="00386808" w:rsidRPr="00CD6F30" w:rsidTr="00386808">
        <w:tc>
          <w:tcPr>
            <w:tcW w:w="2798" w:type="dxa"/>
            <w:shd w:val="clear" w:color="auto" w:fill="EDEDED" w:themeFill="accent3" w:themeFillTint="33"/>
          </w:tcPr>
          <w:p w:rsidR="00386808" w:rsidRPr="00CD6F30" w:rsidRDefault="00386808" w:rsidP="00CD6F30">
            <w:pPr>
              <w:bidi w:val="0"/>
              <w:spacing w:after="0" w:line="276" w:lineRule="auto"/>
              <w:jc w:val="center"/>
              <w:rPr>
                <w:rFonts w:ascii="Times New Roman" w:hAnsi="Times New Roman" w:cs="Times New Roman"/>
                <w:sz w:val="24"/>
                <w:szCs w:val="24"/>
                <w:rtl/>
              </w:rPr>
            </w:pPr>
            <w:r w:rsidRPr="00CD6F30">
              <w:rPr>
                <w:rFonts w:ascii="Times New Roman" w:eastAsiaTheme="minorHAnsi" w:hAnsi="Times New Roman" w:cs="Times New Roman"/>
                <w:sz w:val="24"/>
                <w:szCs w:val="24"/>
              </w:rPr>
              <w:t>Risk weight</w:t>
            </w:r>
          </w:p>
        </w:tc>
        <w:tc>
          <w:tcPr>
            <w:tcW w:w="2798" w:type="dxa"/>
            <w:shd w:val="clear" w:color="auto" w:fill="EDEDED" w:themeFill="accent3" w:themeFillTint="33"/>
          </w:tcPr>
          <w:p w:rsidR="00386808" w:rsidRPr="00CD6F30" w:rsidRDefault="00386808" w:rsidP="00CD6F30">
            <w:pPr>
              <w:bidi w:val="0"/>
              <w:spacing w:after="0" w:line="276" w:lineRule="auto"/>
              <w:jc w:val="center"/>
              <w:rPr>
                <w:rFonts w:ascii="Times New Roman" w:hAnsi="Times New Roman" w:cs="Times New Roman"/>
                <w:sz w:val="24"/>
                <w:szCs w:val="24"/>
                <w:rtl/>
              </w:rPr>
            </w:pPr>
            <w:r w:rsidRPr="00CD6F30">
              <w:rPr>
                <w:rFonts w:ascii="Times New Roman" w:eastAsiaTheme="minorHAnsi" w:hAnsi="Times New Roman" w:cs="Times New Roman"/>
                <w:sz w:val="24"/>
                <w:szCs w:val="24"/>
              </w:rPr>
              <w:t>Coupon less than 3%</w:t>
            </w:r>
          </w:p>
        </w:tc>
        <w:tc>
          <w:tcPr>
            <w:tcW w:w="2799" w:type="dxa"/>
            <w:shd w:val="clear" w:color="auto" w:fill="EDEDED" w:themeFill="accent3" w:themeFillTint="33"/>
          </w:tcPr>
          <w:p w:rsidR="00386808" w:rsidRPr="00CD6F30" w:rsidRDefault="00386808" w:rsidP="00CD6F30">
            <w:pPr>
              <w:bidi w:val="0"/>
              <w:spacing w:after="0" w:line="276" w:lineRule="auto"/>
              <w:jc w:val="center"/>
              <w:rPr>
                <w:rFonts w:ascii="Times New Roman" w:hAnsi="Times New Roman" w:cs="Times New Roman"/>
                <w:sz w:val="24"/>
                <w:szCs w:val="24"/>
                <w:rtl/>
              </w:rPr>
            </w:pPr>
            <w:r w:rsidRPr="00CD6F30">
              <w:rPr>
                <w:rFonts w:ascii="Times New Roman" w:eastAsiaTheme="minorHAnsi" w:hAnsi="Times New Roman" w:cs="Times New Roman"/>
                <w:sz w:val="24"/>
                <w:szCs w:val="24"/>
              </w:rPr>
              <w:t>Coupon 3% or more</w:t>
            </w:r>
          </w:p>
        </w:tc>
      </w:tr>
      <w:tr w:rsidR="00386808" w:rsidRPr="00CD6F30" w:rsidTr="00CD6F30">
        <w:tc>
          <w:tcPr>
            <w:tcW w:w="2798" w:type="dxa"/>
            <w:vAlign w:val="center"/>
          </w:tcPr>
          <w:p w:rsidR="00386808" w:rsidRPr="00CD6F30" w:rsidRDefault="00386808" w:rsidP="00CD6F30">
            <w:pPr>
              <w:bidi w:val="0"/>
              <w:spacing w:after="0" w:line="276" w:lineRule="auto"/>
              <w:jc w:val="center"/>
              <w:rPr>
                <w:rFonts w:ascii="Times New Roman" w:hAnsi="Times New Roman" w:cs="Times New Roman"/>
                <w:b w:val="0"/>
                <w:bCs w:val="0"/>
                <w:sz w:val="24"/>
                <w:szCs w:val="24"/>
                <w:rtl/>
              </w:rPr>
            </w:pPr>
            <w:r w:rsidRPr="00CD6F30">
              <w:rPr>
                <w:rFonts w:ascii="Times New Roman" w:hAnsi="Times New Roman" w:cs="Times New Roman"/>
                <w:b w:val="0"/>
                <w:bCs w:val="0"/>
                <w:sz w:val="24"/>
                <w:szCs w:val="24"/>
              </w:rPr>
              <w:t>0%</w:t>
            </w:r>
          </w:p>
        </w:tc>
        <w:tc>
          <w:tcPr>
            <w:tcW w:w="2798" w:type="dxa"/>
            <w:vAlign w:val="center"/>
          </w:tcPr>
          <w:p w:rsidR="00386808" w:rsidRPr="00CD6F30" w:rsidRDefault="00386808" w:rsidP="00CD6F30">
            <w:pPr>
              <w:bidi w:val="0"/>
              <w:spacing w:after="0" w:line="276" w:lineRule="auto"/>
              <w:jc w:val="center"/>
              <w:rPr>
                <w:rFonts w:ascii="Times New Roman" w:hAnsi="Times New Roman" w:cs="Times New Roman"/>
                <w:b w:val="0"/>
                <w:bCs w:val="0"/>
                <w:sz w:val="24"/>
                <w:szCs w:val="24"/>
                <w:rtl/>
              </w:rPr>
            </w:pPr>
            <w:r w:rsidRPr="00CD6F30">
              <w:rPr>
                <w:rFonts w:ascii="Times New Roman" w:eastAsiaTheme="minorHAnsi" w:hAnsi="Times New Roman" w:cs="Times New Roman"/>
                <w:b w:val="0"/>
                <w:bCs w:val="0"/>
                <w:sz w:val="24"/>
                <w:szCs w:val="24"/>
              </w:rPr>
              <w:t>1 month or less</w:t>
            </w:r>
          </w:p>
        </w:tc>
        <w:tc>
          <w:tcPr>
            <w:tcW w:w="2799" w:type="dxa"/>
            <w:vAlign w:val="center"/>
          </w:tcPr>
          <w:p w:rsidR="00386808" w:rsidRPr="00CD6F30" w:rsidRDefault="00386808" w:rsidP="00CD6F30">
            <w:pPr>
              <w:bidi w:val="0"/>
              <w:spacing w:after="0" w:line="276" w:lineRule="auto"/>
              <w:jc w:val="center"/>
              <w:rPr>
                <w:rFonts w:ascii="Times New Roman" w:hAnsi="Times New Roman" w:cs="Times New Roman"/>
                <w:b w:val="0"/>
                <w:bCs w:val="0"/>
                <w:sz w:val="24"/>
                <w:szCs w:val="24"/>
                <w:rtl/>
              </w:rPr>
            </w:pPr>
            <w:r w:rsidRPr="00CD6F30">
              <w:rPr>
                <w:rFonts w:ascii="Times New Roman" w:eastAsiaTheme="minorHAnsi" w:hAnsi="Times New Roman" w:cs="Times New Roman"/>
                <w:b w:val="0"/>
                <w:bCs w:val="0"/>
                <w:sz w:val="24"/>
                <w:szCs w:val="24"/>
              </w:rPr>
              <w:t>1 month or less</w:t>
            </w:r>
          </w:p>
        </w:tc>
      </w:tr>
      <w:tr w:rsidR="00386808" w:rsidRPr="00CD6F30" w:rsidTr="00CD6F30">
        <w:tc>
          <w:tcPr>
            <w:tcW w:w="2798" w:type="dxa"/>
            <w:vAlign w:val="center"/>
          </w:tcPr>
          <w:p w:rsidR="00386808" w:rsidRPr="00CD6F30" w:rsidRDefault="00386808" w:rsidP="00CD6F30">
            <w:pPr>
              <w:bidi w:val="0"/>
              <w:spacing w:after="0" w:line="276" w:lineRule="auto"/>
              <w:jc w:val="center"/>
              <w:rPr>
                <w:rFonts w:ascii="Times New Roman" w:hAnsi="Times New Roman" w:cs="Times New Roman"/>
                <w:b w:val="0"/>
                <w:bCs w:val="0"/>
                <w:sz w:val="24"/>
                <w:szCs w:val="24"/>
                <w:rtl/>
              </w:rPr>
            </w:pPr>
            <w:r w:rsidRPr="00CD6F30">
              <w:rPr>
                <w:rFonts w:ascii="Times New Roman" w:hAnsi="Times New Roman" w:cs="Times New Roman"/>
                <w:b w:val="0"/>
                <w:bCs w:val="0"/>
                <w:sz w:val="24"/>
                <w:szCs w:val="24"/>
              </w:rPr>
              <w:t>0.20%</w:t>
            </w:r>
          </w:p>
        </w:tc>
        <w:tc>
          <w:tcPr>
            <w:tcW w:w="2798" w:type="dxa"/>
            <w:vAlign w:val="center"/>
          </w:tcPr>
          <w:p w:rsidR="00386808" w:rsidRPr="00CD6F30" w:rsidRDefault="00386808" w:rsidP="00CD6F30">
            <w:pPr>
              <w:bidi w:val="0"/>
              <w:spacing w:after="0" w:line="276" w:lineRule="auto"/>
              <w:jc w:val="center"/>
              <w:rPr>
                <w:rFonts w:ascii="Times New Roman" w:hAnsi="Times New Roman" w:cs="Times New Roman"/>
                <w:b w:val="0"/>
                <w:bCs w:val="0"/>
                <w:sz w:val="24"/>
                <w:szCs w:val="24"/>
                <w:rtl/>
              </w:rPr>
            </w:pPr>
            <w:r w:rsidRPr="00CD6F30">
              <w:rPr>
                <w:rFonts w:ascii="Times New Roman" w:eastAsiaTheme="minorHAnsi" w:hAnsi="Times New Roman" w:cs="Times New Roman"/>
                <w:b w:val="0"/>
                <w:bCs w:val="0"/>
                <w:sz w:val="24"/>
                <w:szCs w:val="24"/>
              </w:rPr>
              <w:t>1 to 3 months</w:t>
            </w:r>
          </w:p>
        </w:tc>
        <w:tc>
          <w:tcPr>
            <w:tcW w:w="2799" w:type="dxa"/>
            <w:vAlign w:val="center"/>
          </w:tcPr>
          <w:p w:rsidR="00386808" w:rsidRPr="00CD6F30" w:rsidRDefault="00386808" w:rsidP="00CD6F30">
            <w:pPr>
              <w:bidi w:val="0"/>
              <w:spacing w:after="0" w:line="276" w:lineRule="auto"/>
              <w:jc w:val="center"/>
              <w:rPr>
                <w:rFonts w:ascii="Times New Roman" w:hAnsi="Times New Roman" w:cs="Times New Roman"/>
                <w:b w:val="0"/>
                <w:bCs w:val="0"/>
                <w:sz w:val="24"/>
                <w:szCs w:val="24"/>
                <w:rtl/>
              </w:rPr>
            </w:pPr>
            <w:r w:rsidRPr="00CD6F30">
              <w:rPr>
                <w:rFonts w:ascii="Times New Roman" w:eastAsiaTheme="minorHAnsi" w:hAnsi="Times New Roman" w:cs="Times New Roman"/>
                <w:b w:val="0"/>
                <w:bCs w:val="0"/>
                <w:sz w:val="24"/>
                <w:szCs w:val="24"/>
              </w:rPr>
              <w:t>1 to 3 months</w:t>
            </w:r>
          </w:p>
        </w:tc>
      </w:tr>
      <w:tr w:rsidR="00386808" w:rsidRPr="00CD6F30" w:rsidTr="00CD6F30">
        <w:tc>
          <w:tcPr>
            <w:tcW w:w="2798" w:type="dxa"/>
            <w:vAlign w:val="center"/>
          </w:tcPr>
          <w:p w:rsidR="00386808" w:rsidRPr="00CD6F30" w:rsidRDefault="00386808" w:rsidP="00CD6F30">
            <w:pPr>
              <w:bidi w:val="0"/>
              <w:spacing w:after="0" w:line="276" w:lineRule="auto"/>
              <w:jc w:val="center"/>
              <w:rPr>
                <w:rFonts w:ascii="Times New Roman" w:hAnsi="Times New Roman" w:cs="Times New Roman"/>
                <w:b w:val="0"/>
                <w:bCs w:val="0"/>
                <w:sz w:val="24"/>
                <w:szCs w:val="24"/>
                <w:rtl/>
              </w:rPr>
            </w:pPr>
            <w:r w:rsidRPr="00CD6F30">
              <w:rPr>
                <w:rFonts w:ascii="Times New Roman" w:hAnsi="Times New Roman" w:cs="Times New Roman"/>
                <w:b w:val="0"/>
                <w:bCs w:val="0"/>
                <w:sz w:val="24"/>
                <w:szCs w:val="24"/>
              </w:rPr>
              <w:t>0.40%</w:t>
            </w:r>
          </w:p>
        </w:tc>
        <w:tc>
          <w:tcPr>
            <w:tcW w:w="2798" w:type="dxa"/>
            <w:vAlign w:val="center"/>
          </w:tcPr>
          <w:p w:rsidR="00386808" w:rsidRPr="00CD6F30" w:rsidRDefault="00386808" w:rsidP="00CD6F30">
            <w:pPr>
              <w:bidi w:val="0"/>
              <w:spacing w:after="0" w:line="276" w:lineRule="auto"/>
              <w:jc w:val="center"/>
              <w:rPr>
                <w:rFonts w:ascii="Times New Roman" w:hAnsi="Times New Roman" w:cs="Times New Roman"/>
                <w:b w:val="0"/>
                <w:bCs w:val="0"/>
                <w:sz w:val="24"/>
                <w:szCs w:val="24"/>
                <w:rtl/>
              </w:rPr>
            </w:pPr>
            <w:r w:rsidRPr="00CD6F30">
              <w:rPr>
                <w:rFonts w:ascii="Times New Roman" w:eastAsiaTheme="minorHAnsi" w:hAnsi="Times New Roman" w:cs="Times New Roman"/>
                <w:b w:val="0"/>
                <w:bCs w:val="0"/>
                <w:sz w:val="24"/>
                <w:szCs w:val="24"/>
              </w:rPr>
              <w:t>3 to 6 months</w:t>
            </w:r>
          </w:p>
        </w:tc>
        <w:tc>
          <w:tcPr>
            <w:tcW w:w="2799" w:type="dxa"/>
            <w:vAlign w:val="center"/>
          </w:tcPr>
          <w:p w:rsidR="00386808" w:rsidRPr="00CD6F30" w:rsidRDefault="00386808" w:rsidP="00CD6F30">
            <w:pPr>
              <w:bidi w:val="0"/>
              <w:spacing w:after="0" w:line="276" w:lineRule="auto"/>
              <w:jc w:val="center"/>
              <w:rPr>
                <w:rFonts w:ascii="Times New Roman" w:hAnsi="Times New Roman" w:cs="Times New Roman"/>
                <w:b w:val="0"/>
                <w:bCs w:val="0"/>
                <w:sz w:val="24"/>
                <w:szCs w:val="24"/>
                <w:rtl/>
              </w:rPr>
            </w:pPr>
            <w:r w:rsidRPr="00CD6F30">
              <w:rPr>
                <w:rFonts w:ascii="Times New Roman" w:eastAsiaTheme="minorHAnsi" w:hAnsi="Times New Roman" w:cs="Times New Roman"/>
                <w:b w:val="0"/>
                <w:bCs w:val="0"/>
                <w:sz w:val="24"/>
                <w:szCs w:val="24"/>
              </w:rPr>
              <w:t>3 to 6 months</w:t>
            </w:r>
          </w:p>
        </w:tc>
      </w:tr>
      <w:tr w:rsidR="00386808" w:rsidRPr="00CD6F30" w:rsidTr="00CD6F30">
        <w:tc>
          <w:tcPr>
            <w:tcW w:w="2798" w:type="dxa"/>
            <w:vAlign w:val="center"/>
          </w:tcPr>
          <w:p w:rsidR="00386808" w:rsidRPr="00CD6F30" w:rsidRDefault="00386808" w:rsidP="00CD6F30">
            <w:pPr>
              <w:bidi w:val="0"/>
              <w:spacing w:after="0" w:line="276" w:lineRule="auto"/>
              <w:jc w:val="center"/>
              <w:rPr>
                <w:rFonts w:ascii="Times New Roman" w:hAnsi="Times New Roman" w:cs="Times New Roman"/>
                <w:b w:val="0"/>
                <w:bCs w:val="0"/>
                <w:sz w:val="24"/>
                <w:szCs w:val="24"/>
                <w:rtl/>
              </w:rPr>
            </w:pPr>
            <w:r w:rsidRPr="00CD6F30">
              <w:rPr>
                <w:rFonts w:ascii="Times New Roman" w:hAnsi="Times New Roman" w:cs="Times New Roman"/>
                <w:b w:val="0"/>
                <w:bCs w:val="0"/>
                <w:sz w:val="24"/>
                <w:szCs w:val="24"/>
              </w:rPr>
              <w:t>0.70%</w:t>
            </w:r>
          </w:p>
        </w:tc>
        <w:tc>
          <w:tcPr>
            <w:tcW w:w="2798" w:type="dxa"/>
            <w:vAlign w:val="center"/>
          </w:tcPr>
          <w:p w:rsidR="00386808" w:rsidRPr="00CD6F30" w:rsidRDefault="00386808" w:rsidP="00CD6F30">
            <w:pPr>
              <w:bidi w:val="0"/>
              <w:spacing w:line="276" w:lineRule="auto"/>
              <w:jc w:val="center"/>
              <w:rPr>
                <w:rFonts w:ascii="Times New Roman" w:hAnsi="Times New Roman" w:cs="Times New Roman"/>
                <w:b w:val="0"/>
                <w:bCs w:val="0"/>
                <w:sz w:val="24"/>
                <w:szCs w:val="24"/>
              </w:rPr>
            </w:pPr>
            <w:r w:rsidRPr="00CD6F30">
              <w:rPr>
                <w:rFonts w:ascii="Times New Roman" w:eastAsiaTheme="minorHAnsi" w:hAnsi="Times New Roman" w:cs="Times New Roman"/>
                <w:b w:val="0"/>
                <w:bCs w:val="0"/>
                <w:sz w:val="24"/>
                <w:szCs w:val="24"/>
              </w:rPr>
              <w:t>6 to 12 months</w:t>
            </w:r>
          </w:p>
        </w:tc>
        <w:tc>
          <w:tcPr>
            <w:tcW w:w="2799" w:type="dxa"/>
            <w:vAlign w:val="center"/>
          </w:tcPr>
          <w:p w:rsidR="00386808" w:rsidRPr="00CD6F30" w:rsidRDefault="00386808" w:rsidP="00CD6F30">
            <w:pPr>
              <w:bidi w:val="0"/>
              <w:spacing w:line="276" w:lineRule="auto"/>
              <w:jc w:val="center"/>
              <w:rPr>
                <w:rFonts w:ascii="Times New Roman" w:hAnsi="Times New Roman" w:cs="Times New Roman"/>
                <w:b w:val="0"/>
                <w:bCs w:val="0"/>
                <w:sz w:val="24"/>
                <w:szCs w:val="24"/>
              </w:rPr>
            </w:pPr>
            <w:r w:rsidRPr="00CD6F30">
              <w:rPr>
                <w:rFonts w:ascii="Times New Roman" w:eastAsiaTheme="minorHAnsi" w:hAnsi="Times New Roman" w:cs="Times New Roman"/>
                <w:b w:val="0"/>
                <w:bCs w:val="0"/>
                <w:sz w:val="24"/>
                <w:szCs w:val="24"/>
              </w:rPr>
              <w:t>6 to 12 months</w:t>
            </w:r>
          </w:p>
        </w:tc>
      </w:tr>
      <w:tr w:rsidR="00386808" w:rsidRPr="00CD6F30" w:rsidTr="00CD6F30">
        <w:tc>
          <w:tcPr>
            <w:tcW w:w="2798" w:type="dxa"/>
            <w:vAlign w:val="center"/>
          </w:tcPr>
          <w:p w:rsidR="00386808" w:rsidRPr="00CD6F30" w:rsidRDefault="00386808" w:rsidP="00CD6F30">
            <w:pPr>
              <w:bidi w:val="0"/>
              <w:spacing w:after="0" w:line="276" w:lineRule="auto"/>
              <w:jc w:val="center"/>
              <w:rPr>
                <w:rFonts w:ascii="Times New Roman" w:hAnsi="Times New Roman" w:cs="Times New Roman"/>
                <w:b w:val="0"/>
                <w:bCs w:val="0"/>
                <w:sz w:val="24"/>
                <w:szCs w:val="24"/>
              </w:rPr>
            </w:pPr>
            <w:r w:rsidRPr="00CD6F30">
              <w:rPr>
                <w:rFonts w:ascii="Times New Roman" w:hAnsi="Times New Roman" w:cs="Times New Roman"/>
                <w:b w:val="0"/>
                <w:bCs w:val="0"/>
                <w:sz w:val="24"/>
                <w:szCs w:val="24"/>
              </w:rPr>
              <w:t>1.25%</w:t>
            </w:r>
          </w:p>
        </w:tc>
        <w:tc>
          <w:tcPr>
            <w:tcW w:w="2798" w:type="dxa"/>
            <w:vAlign w:val="center"/>
          </w:tcPr>
          <w:p w:rsidR="00386808" w:rsidRPr="00CD6F30" w:rsidRDefault="00386808" w:rsidP="00CD6F30">
            <w:pPr>
              <w:bidi w:val="0"/>
              <w:spacing w:line="276" w:lineRule="auto"/>
              <w:jc w:val="center"/>
              <w:rPr>
                <w:rFonts w:ascii="Times New Roman" w:eastAsiaTheme="minorHAnsi" w:hAnsi="Times New Roman" w:cs="Times New Roman"/>
                <w:b w:val="0"/>
                <w:bCs w:val="0"/>
                <w:sz w:val="24"/>
                <w:szCs w:val="24"/>
              </w:rPr>
            </w:pPr>
            <w:r w:rsidRPr="00CD6F30">
              <w:rPr>
                <w:rFonts w:ascii="Times New Roman" w:eastAsiaTheme="minorHAnsi" w:hAnsi="Times New Roman" w:cs="Times New Roman"/>
                <w:b w:val="0"/>
                <w:bCs w:val="0"/>
                <w:sz w:val="24"/>
                <w:szCs w:val="24"/>
              </w:rPr>
              <w:t>1.0 to 1.9 years</w:t>
            </w:r>
          </w:p>
        </w:tc>
        <w:tc>
          <w:tcPr>
            <w:tcW w:w="2799" w:type="dxa"/>
            <w:vAlign w:val="center"/>
          </w:tcPr>
          <w:p w:rsidR="00386808" w:rsidRPr="00CD6F30" w:rsidRDefault="00386808" w:rsidP="00CD6F30">
            <w:pPr>
              <w:bidi w:val="0"/>
              <w:spacing w:line="276" w:lineRule="auto"/>
              <w:jc w:val="center"/>
              <w:rPr>
                <w:rFonts w:ascii="Times New Roman" w:eastAsiaTheme="minorHAnsi" w:hAnsi="Times New Roman" w:cs="Times New Roman"/>
                <w:b w:val="0"/>
                <w:bCs w:val="0"/>
                <w:sz w:val="24"/>
                <w:szCs w:val="24"/>
              </w:rPr>
            </w:pPr>
            <w:r w:rsidRPr="00CD6F30">
              <w:rPr>
                <w:rFonts w:ascii="Times New Roman" w:eastAsiaTheme="minorHAnsi" w:hAnsi="Times New Roman" w:cs="Times New Roman"/>
                <w:b w:val="0"/>
                <w:bCs w:val="0"/>
                <w:sz w:val="24"/>
                <w:szCs w:val="24"/>
              </w:rPr>
              <w:t>1 to 2 years</w:t>
            </w:r>
          </w:p>
        </w:tc>
      </w:tr>
      <w:tr w:rsidR="00386808" w:rsidRPr="00CD6F30" w:rsidTr="00CD6F30">
        <w:tc>
          <w:tcPr>
            <w:tcW w:w="2798" w:type="dxa"/>
            <w:vAlign w:val="center"/>
          </w:tcPr>
          <w:p w:rsidR="00386808" w:rsidRPr="00CD6F30" w:rsidRDefault="00386808" w:rsidP="00CD6F30">
            <w:pPr>
              <w:bidi w:val="0"/>
              <w:spacing w:after="0" w:line="276" w:lineRule="auto"/>
              <w:jc w:val="center"/>
              <w:rPr>
                <w:rFonts w:ascii="Times New Roman" w:hAnsi="Times New Roman" w:cs="Times New Roman"/>
                <w:b w:val="0"/>
                <w:bCs w:val="0"/>
                <w:sz w:val="24"/>
                <w:szCs w:val="24"/>
              </w:rPr>
            </w:pPr>
            <w:r w:rsidRPr="00CD6F30">
              <w:rPr>
                <w:rFonts w:ascii="Times New Roman" w:hAnsi="Times New Roman" w:cs="Times New Roman"/>
                <w:b w:val="0"/>
                <w:bCs w:val="0"/>
                <w:sz w:val="24"/>
                <w:szCs w:val="24"/>
              </w:rPr>
              <w:t>1.75%</w:t>
            </w:r>
          </w:p>
        </w:tc>
        <w:tc>
          <w:tcPr>
            <w:tcW w:w="2798" w:type="dxa"/>
            <w:vAlign w:val="center"/>
          </w:tcPr>
          <w:p w:rsidR="00386808" w:rsidRPr="00CD6F30" w:rsidRDefault="00386808" w:rsidP="00CD6F30">
            <w:pPr>
              <w:bidi w:val="0"/>
              <w:spacing w:line="276" w:lineRule="auto"/>
              <w:jc w:val="center"/>
              <w:rPr>
                <w:rFonts w:ascii="Times New Roman" w:eastAsiaTheme="minorHAnsi" w:hAnsi="Times New Roman" w:cs="Times New Roman"/>
                <w:b w:val="0"/>
                <w:bCs w:val="0"/>
                <w:sz w:val="24"/>
                <w:szCs w:val="24"/>
              </w:rPr>
            </w:pPr>
            <w:r w:rsidRPr="00CD6F30">
              <w:rPr>
                <w:rFonts w:ascii="Times New Roman" w:eastAsiaTheme="minorHAnsi" w:hAnsi="Times New Roman" w:cs="Times New Roman"/>
                <w:b w:val="0"/>
                <w:bCs w:val="0"/>
                <w:sz w:val="24"/>
                <w:szCs w:val="24"/>
              </w:rPr>
              <w:t>1.9 to 2.8 years</w:t>
            </w:r>
          </w:p>
        </w:tc>
        <w:tc>
          <w:tcPr>
            <w:tcW w:w="2799" w:type="dxa"/>
            <w:vAlign w:val="center"/>
          </w:tcPr>
          <w:p w:rsidR="00386808" w:rsidRPr="00CD6F30" w:rsidRDefault="00386808" w:rsidP="00CD6F30">
            <w:pPr>
              <w:bidi w:val="0"/>
              <w:spacing w:line="276" w:lineRule="auto"/>
              <w:jc w:val="center"/>
              <w:rPr>
                <w:rFonts w:ascii="Times New Roman" w:eastAsiaTheme="minorHAnsi" w:hAnsi="Times New Roman" w:cs="Times New Roman"/>
                <w:b w:val="0"/>
                <w:bCs w:val="0"/>
                <w:sz w:val="24"/>
                <w:szCs w:val="24"/>
              </w:rPr>
            </w:pPr>
            <w:r w:rsidRPr="00CD6F30">
              <w:rPr>
                <w:rFonts w:ascii="Times New Roman" w:eastAsiaTheme="minorHAnsi" w:hAnsi="Times New Roman" w:cs="Times New Roman"/>
                <w:b w:val="0"/>
                <w:bCs w:val="0"/>
                <w:sz w:val="24"/>
                <w:szCs w:val="24"/>
              </w:rPr>
              <w:t>2 to 3 years</w:t>
            </w:r>
          </w:p>
        </w:tc>
      </w:tr>
      <w:tr w:rsidR="00386808" w:rsidRPr="00CD6F30" w:rsidTr="00CD6F30">
        <w:tc>
          <w:tcPr>
            <w:tcW w:w="2798" w:type="dxa"/>
            <w:vAlign w:val="center"/>
          </w:tcPr>
          <w:p w:rsidR="00386808" w:rsidRPr="00CD6F30" w:rsidRDefault="00386808" w:rsidP="00CD6F30">
            <w:pPr>
              <w:bidi w:val="0"/>
              <w:spacing w:after="0" w:line="276" w:lineRule="auto"/>
              <w:jc w:val="center"/>
              <w:rPr>
                <w:rFonts w:ascii="Times New Roman" w:hAnsi="Times New Roman" w:cs="Times New Roman"/>
                <w:b w:val="0"/>
                <w:bCs w:val="0"/>
                <w:sz w:val="24"/>
                <w:szCs w:val="24"/>
              </w:rPr>
            </w:pPr>
            <w:r w:rsidRPr="00CD6F30">
              <w:rPr>
                <w:rFonts w:ascii="Times New Roman" w:hAnsi="Times New Roman" w:cs="Times New Roman"/>
                <w:b w:val="0"/>
                <w:bCs w:val="0"/>
                <w:sz w:val="24"/>
                <w:szCs w:val="24"/>
              </w:rPr>
              <w:t>2.25%</w:t>
            </w:r>
          </w:p>
        </w:tc>
        <w:tc>
          <w:tcPr>
            <w:tcW w:w="2798" w:type="dxa"/>
            <w:vAlign w:val="center"/>
          </w:tcPr>
          <w:p w:rsidR="00386808" w:rsidRPr="00CD6F30" w:rsidRDefault="00386808" w:rsidP="00CD6F30">
            <w:pPr>
              <w:bidi w:val="0"/>
              <w:spacing w:line="276" w:lineRule="auto"/>
              <w:jc w:val="center"/>
              <w:rPr>
                <w:rFonts w:ascii="Times New Roman" w:eastAsiaTheme="minorHAnsi" w:hAnsi="Times New Roman" w:cs="Times New Roman"/>
                <w:b w:val="0"/>
                <w:bCs w:val="0"/>
                <w:sz w:val="24"/>
                <w:szCs w:val="24"/>
              </w:rPr>
            </w:pPr>
            <w:r w:rsidRPr="00CD6F30">
              <w:rPr>
                <w:rFonts w:ascii="Times New Roman" w:eastAsiaTheme="minorHAnsi" w:hAnsi="Times New Roman" w:cs="Times New Roman"/>
                <w:b w:val="0"/>
                <w:bCs w:val="0"/>
                <w:sz w:val="24"/>
                <w:szCs w:val="24"/>
              </w:rPr>
              <w:t>2.8 to 3.6 years</w:t>
            </w:r>
          </w:p>
        </w:tc>
        <w:tc>
          <w:tcPr>
            <w:tcW w:w="2799" w:type="dxa"/>
            <w:vAlign w:val="center"/>
          </w:tcPr>
          <w:p w:rsidR="00386808" w:rsidRPr="00CD6F30" w:rsidRDefault="00386808" w:rsidP="00CD6F30">
            <w:pPr>
              <w:bidi w:val="0"/>
              <w:spacing w:line="276" w:lineRule="auto"/>
              <w:jc w:val="center"/>
              <w:rPr>
                <w:rFonts w:ascii="Times New Roman" w:eastAsiaTheme="minorHAnsi" w:hAnsi="Times New Roman" w:cs="Times New Roman"/>
                <w:b w:val="0"/>
                <w:bCs w:val="0"/>
                <w:sz w:val="24"/>
                <w:szCs w:val="24"/>
              </w:rPr>
            </w:pPr>
            <w:r w:rsidRPr="00CD6F30">
              <w:rPr>
                <w:rFonts w:ascii="Times New Roman" w:eastAsiaTheme="minorHAnsi" w:hAnsi="Times New Roman" w:cs="Times New Roman"/>
                <w:b w:val="0"/>
                <w:bCs w:val="0"/>
                <w:sz w:val="24"/>
                <w:szCs w:val="24"/>
              </w:rPr>
              <w:t>3 to 4 years</w:t>
            </w:r>
          </w:p>
        </w:tc>
      </w:tr>
      <w:tr w:rsidR="00386808" w:rsidRPr="00CD6F30" w:rsidTr="00CD6F30">
        <w:tc>
          <w:tcPr>
            <w:tcW w:w="2798" w:type="dxa"/>
            <w:vAlign w:val="center"/>
          </w:tcPr>
          <w:p w:rsidR="00386808" w:rsidRPr="00CD6F30" w:rsidRDefault="00386808" w:rsidP="00CD6F30">
            <w:pPr>
              <w:bidi w:val="0"/>
              <w:spacing w:after="0" w:line="276" w:lineRule="auto"/>
              <w:jc w:val="center"/>
              <w:rPr>
                <w:rFonts w:ascii="Times New Roman" w:hAnsi="Times New Roman" w:cs="Times New Roman"/>
                <w:b w:val="0"/>
                <w:bCs w:val="0"/>
                <w:sz w:val="24"/>
                <w:szCs w:val="24"/>
              </w:rPr>
            </w:pPr>
            <w:r w:rsidRPr="00CD6F30">
              <w:rPr>
                <w:rFonts w:ascii="Times New Roman" w:hAnsi="Times New Roman" w:cs="Times New Roman"/>
                <w:b w:val="0"/>
                <w:bCs w:val="0"/>
                <w:sz w:val="24"/>
                <w:szCs w:val="24"/>
              </w:rPr>
              <w:t>2.75%</w:t>
            </w:r>
          </w:p>
        </w:tc>
        <w:tc>
          <w:tcPr>
            <w:tcW w:w="2798" w:type="dxa"/>
            <w:vAlign w:val="center"/>
          </w:tcPr>
          <w:p w:rsidR="00386808" w:rsidRPr="00CD6F30" w:rsidRDefault="00386808" w:rsidP="00CD6F30">
            <w:pPr>
              <w:bidi w:val="0"/>
              <w:spacing w:line="276" w:lineRule="auto"/>
              <w:jc w:val="center"/>
              <w:rPr>
                <w:rFonts w:ascii="Times New Roman" w:eastAsiaTheme="minorHAnsi" w:hAnsi="Times New Roman" w:cs="Times New Roman"/>
                <w:b w:val="0"/>
                <w:bCs w:val="0"/>
                <w:sz w:val="24"/>
                <w:szCs w:val="24"/>
              </w:rPr>
            </w:pPr>
            <w:r w:rsidRPr="00CD6F30">
              <w:rPr>
                <w:rFonts w:ascii="Times New Roman" w:eastAsiaTheme="minorHAnsi" w:hAnsi="Times New Roman" w:cs="Times New Roman"/>
                <w:b w:val="0"/>
                <w:bCs w:val="0"/>
                <w:sz w:val="24"/>
                <w:szCs w:val="24"/>
              </w:rPr>
              <w:t>3.6 to 4.3 years</w:t>
            </w:r>
          </w:p>
        </w:tc>
        <w:tc>
          <w:tcPr>
            <w:tcW w:w="2799" w:type="dxa"/>
            <w:vAlign w:val="center"/>
          </w:tcPr>
          <w:p w:rsidR="00386808" w:rsidRPr="00CD6F30" w:rsidRDefault="00386808" w:rsidP="00CD6F30">
            <w:pPr>
              <w:bidi w:val="0"/>
              <w:spacing w:line="276" w:lineRule="auto"/>
              <w:jc w:val="center"/>
              <w:rPr>
                <w:rFonts w:ascii="Times New Roman" w:eastAsiaTheme="minorHAnsi" w:hAnsi="Times New Roman" w:cs="Times New Roman"/>
                <w:b w:val="0"/>
                <w:bCs w:val="0"/>
                <w:sz w:val="24"/>
                <w:szCs w:val="24"/>
              </w:rPr>
            </w:pPr>
            <w:r w:rsidRPr="00CD6F30">
              <w:rPr>
                <w:rFonts w:ascii="Times New Roman" w:eastAsiaTheme="minorHAnsi" w:hAnsi="Times New Roman" w:cs="Times New Roman"/>
                <w:b w:val="0"/>
                <w:bCs w:val="0"/>
                <w:sz w:val="24"/>
                <w:szCs w:val="24"/>
              </w:rPr>
              <w:t>4 to 5 years</w:t>
            </w:r>
          </w:p>
        </w:tc>
      </w:tr>
      <w:tr w:rsidR="00386808" w:rsidRPr="00CD6F30" w:rsidTr="00CD6F30">
        <w:tc>
          <w:tcPr>
            <w:tcW w:w="2798" w:type="dxa"/>
            <w:vAlign w:val="center"/>
          </w:tcPr>
          <w:p w:rsidR="00386808" w:rsidRPr="00CD6F30" w:rsidRDefault="00386808" w:rsidP="00CD6F30">
            <w:pPr>
              <w:bidi w:val="0"/>
              <w:spacing w:after="0" w:line="276" w:lineRule="auto"/>
              <w:jc w:val="center"/>
              <w:rPr>
                <w:rFonts w:ascii="Times New Roman" w:hAnsi="Times New Roman" w:cs="Times New Roman"/>
                <w:b w:val="0"/>
                <w:bCs w:val="0"/>
                <w:sz w:val="24"/>
                <w:szCs w:val="24"/>
              </w:rPr>
            </w:pPr>
            <w:r w:rsidRPr="00CD6F30">
              <w:rPr>
                <w:rFonts w:ascii="Times New Roman" w:hAnsi="Times New Roman" w:cs="Times New Roman"/>
                <w:b w:val="0"/>
                <w:bCs w:val="0"/>
                <w:sz w:val="24"/>
                <w:szCs w:val="24"/>
              </w:rPr>
              <w:t>3.25%</w:t>
            </w:r>
          </w:p>
        </w:tc>
        <w:tc>
          <w:tcPr>
            <w:tcW w:w="2798" w:type="dxa"/>
            <w:vAlign w:val="center"/>
          </w:tcPr>
          <w:p w:rsidR="00386808" w:rsidRPr="00CD6F30" w:rsidRDefault="00386808" w:rsidP="00CD6F30">
            <w:pPr>
              <w:bidi w:val="0"/>
              <w:spacing w:line="276" w:lineRule="auto"/>
              <w:jc w:val="center"/>
              <w:rPr>
                <w:rFonts w:ascii="Times New Roman" w:eastAsiaTheme="minorHAnsi" w:hAnsi="Times New Roman" w:cs="Times New Roman"/>
                <w:b w:val="0"/>
                <w:bCs w:val="0"/>
                <w:sz w:val="24"/>
                <w:szCs w:val="24"/>
              </w:rPr>
            </w:pPr>
            <w:r w:rsidRPr="00CD6F30">
              <w:rPr>
                <w:rFonts w:ascii="Times New Roman" w:eastAsiaTheme="minorHAnsi" w:hAnsi="Times New Roman" w:cs="Times New Roman"/>
                <w:b w:val="0"/>
                <w:bCs w:val="0"/>
                <w:sz w:val="24"/>
                <w:szCs w:val="24"/>
              </w:rPr>
              <w:t>4.3 to 5.7 years</w:t>
            </w:r>
          </w:p>
        </w:tc>
        <w:tc>
          <w:tcPr>
            <w:tcW w:w="2799" w:type="dxa"/>
            <w:vAlign w:val="center"/>
          </w:tcPr>
          <w:p w:rsidR="00386808" w:rsidRPr="00CD6F30" w:rsidRDefault="00386808" w:rsidP="00CD6F30">
            <w:pPr>
              <w:bidi w:val="0"/>
              <w:spacing w:line="276" w:lineRule="auto"/>
              <w:jc w:val="center"/>
              <w:rPr>
                <w:rFonts w:ascii="Times New Roman" w:eastAsiaTheme="minorHAnsi" w:hAnsi="Times New Roman" w:cs="Times New Roman"/>
                <w:b w:val="0"/>
                <w:bCs w:val="0"/>
                <w:sz w:val="24"/>
                <w:szCs w:val="24"/>
              </w:rPr>
            </w:pPr>
            <w:r w:rsidRPr="00CD6F30">
              <w:rPr>
                <w:rFonts w:ascii="Times New Roman" w:eastAsiaTheme="minorHAnsi" w:hAnsi="Times New Roman" w:cs="Times New Roman"/>
                <w:b w:val="0"/>
                <w:bCs w:val="0"/>
                <w:sz w:val="24"/>
                <w:szCs w:val="24"/>
              </w:rPr>
              <w:t>5 to 7 years</w:t>
            </w:r>
          </w:p>
        </w:tc>
      </w:tr>
      <w:tr w:rsidR="00386808" w:rsidRPr="00CD6F30" w:rsidTr="00CD6F30">
        <w:tc>
          <w:tcPr>
            <w:tcW w:w="2798" w:type="dxa"/>
            <w:vAlign w:val="center"/>
          </w:tcPr>
          <w:p w:rsidR="00386808" w:rsidRPr="00CD6F30" w:rsidRDefault="00386808" w:rsidP="00CD6F30">
            <w:pPr>
              <w:bidi w:val="0"/>
              <w:spacing w:after="0" w:line="276" w:lineRule="auto"/>
              <w:jc w:val="center"/>
              <w:rPr>
                <w:rFonts w:ascii="Times New Roman" w:hAnsi="Times New Roman" w:cs="Times New Roman"/>
                <w:b w:val="0"/>
                <w:bCs w:val="0"/>
                <w:sz w:val="24"/>
                <w:szCs w:val="24"/>
              </w:rPr>
            </w:pPr>
            <w:r w:rsidRPr="00CD6F30">
              <w:rPr>
                <w:rFonts w:ascii="Times New Roman" w:hAnsi="Times New Roman" w:cs="Times New Roman"/>
                <w:b w:val="0"/>
                <w:bCs w:val="0"/>
                <w:sz w:val="24"/>
                <w:szCs w:val="24"/>
              </w:rPr>
              <w:t>3.75%</w:t>
            </w:r>
          </w:p>
        </w:tc>
        <w:tc>
          <w:tcPr>
            <w:tcW w:w="2798" w:type="dxa"/>
            <w:vAlign w:val="center"/>
          </w:tcPr>
          <w:p w:rsidR="00386808" w:rsidRPr="00CD6F30" w:rsidRDefault="00386808" w:rsidP="00CD6F30">
            <w:pPr>
              <w:bidi w:val="0"/>
              <w:spacing w:line="276" w:lineRule="auto"/>
              <w:jc w:val="center"/>
              <w:rPr>
                <w:rFonts w:ascii="Times New Roman" w:eastAsiaTheme="minorHAnsi" w:hAnsi="Times New Roman" w:cs="Times New Roman"/>
                <w:b w:val="0"/>
                <w:bCs w:val="0"/>
                <w:sz w:val="24"/>
                <w:szCs w:val="24"/>
              </w:rPr>
            </w:pPr>
            <w:r w:rsidRPr="00CD6F30">
              <w:rPr>
                <w:rFonts w:ascii="Times New Roman" w:eastAsiaTheme="minorHAnsi" w:hAnsi="Times New Roman" w:cs="Times New Roman"/>
                <w:b w:val="0"/>
                <w:bCs w:val="0"/>
                <w:sz w:val="24"/>
                <w:szCs w:val="24"/>
              </w:rPr>
              <w:t>5.7 to 7.3 years</w:t>
            </w:r>
          </w:p>
        </w:tc>
        <w:tc>
          <w:tcPr>
            <w:tcW w:w="2799" w:type="dxa"/>
            <w:vAlign w:val="center"/>
          </w:tcPr>
          <w:p w:rsidR="00386808" w:rsidRPr="00CD6F30" w:rsidRDefault="00386808" w:rsidP="00CD6F30">
            <w:pPr>
              <w:bidi w:val="0"/>
              <w:spacing w:line="276" w:lineRule="auto"/>
              <w:jc w:val="center"/>
              <w:rPr>
                <w:rFonts w:ascii="Times New Roman" w:eastAsiaTheme="minorHAnsi" w:hAnsi="Times New Roman" w:cs="Times New Roman"/>
                <w:b w:val="0"/>
                <w:bCs w:val="0"/>
                <w:sz w:val="24"/>
                <w:szCs w:val="24"/>
              </w:rPr>
            </w:pPr>
            <w:r w:rsidRPr="00CD6F30">
              <w:rPr>
                <w:rFonts w:ascii="Times New Roman" w:eastAsiaTheme="minorHAnsi" w:hAnsi="Times New Roman" w:cs="Times New Roman"/>
                <w:b w:val="0"/>
                <w:bCs w:val="0"/>
                <w:sz w:val="24"/>
                <w:szCs w:val="24"/>
              </w:rPr>
              <w:t>7 to 10 years</w:t>
            </w:r>
          </w:p>
        </w:tc>
      </w:tr>
      <w:tr w:rsidR="00386808" w:rsidRPr="00CD6F30" w:rsidTr="00CD6F30">
        <w:tc>
          <w:tcPr>
            <w:tcW w:w="2798" w:type="dxa"/>
            <w:vAlign w:val="center"/>
          </w:tcPr>
          <w:p w:rsidR="00386808" w:rsidRPr="00CD6F30" w:rsidRDefault="00386808" w:rsidP="00CD6F30">
            <w:pPr>
              <w:bidi w:val="0"/>
              <w:spacing w:after="0" w:line="276" w:lineRule="auto"/>
              <w:jc w:val="center"/>
              <w:rPr>
                <w:rFonts w:ascii="Times New Roman" w:hAnsi="Times New Roman" w:cs="Times New Roman"/>
                <w:b w:val="0"/>
                <w:bCs w:val="0"/>
                <w:sz w:val="24"/>
                <w:szCs w:val="24"/>
              </w:rPr>
            </w:pPr>
            <w:r w:rsidRPr="00CD6F30">
              <w:rPr>
                <w:rFonts w:ascii="Times New Roman" w:hAnsi="Times New Roman" w:cs="Times New Roman"/>
                <w:b w:val="0"/>
                <w:bCs w:val="0"/>
                <w:sz w:val="24"/>
                <w:szCs w:val="24"/>
              </w:rPr>
              <w:t>4.50%</w:t>
            </w:r>
          </w:p>
        </w:tc>
        <w:tc>
          <w:tcPr>
            <w:tcW w:w="2798" w:type="dxa"/>
            <w:vAlign w:val="center"/>
          </w:tcPr>
          <w:p w:rsidR="00386808" w:rsidRPr="00CD6F30" w:rsidRDefault="00386808" w:rsidP="00CD6F30">
            <w:pPr>
              <w:bidi w:val="0"/>
              <w:spacing w:line="276" w:lineRule="auto"/>
              <w:jc w:val="center"/>
              <w:rPr>
                <w:rFonts w:ascii="Times New Roman" w:eastAsiaTheme="minorHAnsi" w:hAnsi="Times New Roman" w:cs="Times New Roman"/>
                <w:b w:val="0"/>
                <w:bCs w:val="0"/>
                <w:sz w:val="24"/>
                <w:szCs w:val="24"/>
              </w:rPr>
            </w:pPr>
            <w:r w:rsidRPr="00CD6F30">
              <w:rPr>
                <w:rFonts w:ascii="Times New Roman" w:eastAsiaTheme="minorHAnsi" w:hAnsi="Times New Roman" w:cs="Times New Roman"/>
                <w:b w:val="0"/>
                <w:bCs w:val="0"/>
                <w:sz w:val="24"/>
                <w:szCs w:val="24"/>
              </w:rPr>
              <w:t>7.3 to 9.3 years</w:t>
            </w:r>
          </w:p>
        </w:tc>
        <w:tc>
          <w:tcPr>
            <w:tcW w:w="2799" w:type="dxa"/>
            <w:vAlign w:val="center"/>
          </w:tcPr>
          <w:p w:rsidR="00386808" w:rsidRPr="00CD6F30" w:rsidRDefault="00386808" w:rsidP="00CD6F30">
            <w:pPr>
              <w:bidi w:val="0"/>
              <w:spacing w:line="276" w:lineRule="auto"/>
              <w:jc w:val="center"/>
              <w:rPr>
                <w:rFonts w:ascii="Times New Roman" w:eastAsiaTheme="minorHAnsi" w:hAnsi="Times New Roman" w:cs="Times New Roman"/>
                <w:b w:val="0"/>
                <w:bCs w:val="0"/>
                <w:sz w:val="24"/>
                <w:szCs w:val="24"/>
              </w:rPr>
            </w:pPr>
            <w:r w:rsidRPr="00CD6F30">
              <w:rPr>
                <w:rFonts w:ascii="Times New Roman" w:eastAsiaTheme="minorHAnsi" w:hAnsi="Times New Roman" w:cs="Times New Roman"/>
                <w:b w:val="0"/>
                <w:bCs w:val="0"/>
                <w:sz w:val="24"/>
                <w:szCs w:val="24"/>
              </w:rPr>
              <w:t>10 to 15 years</w:t>
            </w:r>
          </w:p>
        </w:tc>
      </w:tr>
      <w:tr w:rsidR="00386808" w:rsidRPr="00CD6F30" w:rsidTr="00CD6F30">
        <w:tc>
          <w:tcPr>
            <w:tcW w:w="2798" w:type="dxa"/>
            <w:vAlign w:val="center"/>
          </w:tcPr>
          <w:p w:rsidR="00386808" w:rsidRPr="00CD6F30" w:rsidRDefault="00386808" w:rsidP="00CD6F30">
            <w:pPr>
              <w:bidi w:val="0"/>
              <w:spacing w:after="0" w:line="276" w:lineRule="auto"/>
              <w:jc w:val="center"/>
              <w:rPr>
                <w:rFonts w:ascii="Times New Roman" w:hAnsi="Times New Roman" w:cs="Times New Roman"/>
                <w:b w:val="0"/>
                <w:bCs w:val="0"/>
                <w:sz w:val="24"/>
                <w:szCs w:val="24"/>
              </w:rPr>
            </w:pPr>
            <w:r w:rsidRPr="00CD6F30">
              <w:rPr>
                <w:rFonts w:ascii="Times New Roman" w:hAnsi="Times New Roman" w:cs="Times New Roman"/>
                <w:b w:val="0"/>
                <w:bCs w:val="0"/>
                <w:sz w:val="24"/>
                <w:szCs w:val="24"/>
              </w:rPr>
              <w:t>5.25%</w:t>
            </w:r>
          </w:p>
        </w:tc>
        <w:tc>
          <w:tcPr>
            <w:tcW w:w="2798" w:type="dxa"/>
            <w:vAlign w:val="center"/>
          </w:tcPr>
          <w:p w:rsidR="00386808" w:rsidRPr="00CD6F30" w:rsidRDefault="00386808" w:rsidP="00CD6F30">
            <w:pPr>
              <w:bidi w:val="0"/>
              <w:spacing w:line="276" w:lineRule="auto"/>
              <w:jc w:val="center"/>
              <w:rPr>
                <w:rFonts w:ascii="Times New Roman" w:eastAsiaTheme="minorHAnsi" w:hAnsi="Times New Roman" w:cs="Times New Roman"/>
                <w:b w:val="0"/>
                <w:bCs w:val="0"/>
                <w:sz w:val="24"/>
                <w:szCs w:val="24"/>
              </w:rPr>
            </w:pPr>
            <w:r w:rsidRPr="00CD6F30">
              <w:rPr>
                <w:rFonts w:ascii="Times New Roman" w:eastAsiaTheme="minorHAnsi" w:hAnsi="Times New Roman" w:cs="Times New Roman"/>
                <w:b w:val="0"/>
                <w:bCs w:val="0"/>
                <w:sz w:val="24"/>
                <w:szCs w:val="24"/>
              </w:rPr>
              <w:t>9.3 to 10.6 years</w:t>
            </w:r>
          </w:p>
        </w:tc>
        <w:tc>
          <w:tcPr>
            <w:tcW w:w="2799" w:type="dxa"/>
            <w:vAlign w:val="center"/>
          </w:tcPr>
          <w:p w:rsidR="00386808" w:rsidRPr="00CD6F30" w:rsidRDefault="00386808" w:rsidP="00CD6F30">
            <w:pPr>
              <w:bidi w:val="0"/>
              <w:spacing w:line="276" w:lineRule="auto"/>
              <w:jc w:val="center"/>
              <w:rPr>
                <w:rFonts w:ascii="Times New Roman" w:eastAsiaTheme="minorHAnsi" w:hAnsi="Times New Roman" w:cs="Times New Roman"/>
                <w:b w:val="0"/>
                <w:bCs w:val="0"/>
                <w:sz w:val="24"/>
                <w:szCs w:val="24"/>
              </w:rPr>
            </w:pPr>
            <w:r w:rsidRPr="00CD6F30">
              <w:rPr>
                <w:rFonts w:ascii="Times New Roman" w:eastAsiaTheme="minorHAnsi" w:hAnsi="Times New Roman" w:cs="Times New Roman"/>
                <w:b w:val="0"/>
                <w:bCs w:val="0"/>
                <w:sz w:val="24"/>
                <w:szCs w:val="24"/>
              </w:rPr>
              <w:t>15 to 20 years</w:t>
            </w:r>
          </w:p>
        </w:tc>
      </w:tr>
      <w:tr w:rsidR="00386808" w:rsidRPr="00CD6F30" w:rsidTr="00CD6F30">
        <w:tc>
          <w:tcPr>
            <w:tcW w:w="2798" w:type="dxa"/>
            <w:vAlign w:val="center"/>
          </w:tcPr>
          <w:p w:rsidR="00386808" w:rsidRPr="00CD6F30" w:rsidRDefault="00386808" w:rsidP="00CD6F30">
            <w:pPr>
              <w:bidi w:val="0"/>
              <w:spacing w:after="0" w:line="276" w:lineRule="auto"/>
              <w:jc w:val="center"/>
              <w:rPr>
                <w:rFonts w:ascii="Times New Roman" w:hAnsi="Times New Roman" w:cs="Times New Roman"/>
                <w:b w:val="0"/>
                <w:bCs w:val="0"/>
                <w:sz w:val="24"/>
                <w:szCs w:val="24"/>
              </w:rPr>
            </w:pPr>
            <w:r w:rsidRPr="00CD6F30">
              <w:rPr>
                <w:rFonts w:ascii="Times New Roman" w:hAnsi="Times New Roman" w:cs="Times New Roman"/>
                <w:b w:val="0"/>
                <w:bCs w:val="0"/>
                <w:sz w:val="24"/>
                <w:szCs w:val="24"/>
              </w:rPr>
              <w:t>6.0%</w:t>
            </w:r>
          </w:p>
        </w:tc>
        <w:tc>
          <w:tcPr>
            <w:tcW w:w="2798" w:type="dxa"/>
            <w:vAlign w:val="center"/>
          </w:tcPr>
          <w:p w:rsidR="00386808" w:rsidRPr="00CD6F30" w:rsidRDefault="00386808" w:rsidP="00CD6F30">
            <w:pPr>
              <w:bidi w:val="0"/>
              <w:spacing w:line="276" w:lineRule="auto"/>
              <w:jc w:val="center"/>
              <w:rPr>
                <w:rFonts w:ascii="Times New Roman" w:eastAsiaTheme="minorHAnsi" w:hAnsi="Times New Roman" w:cs="Times New Roman"/>
                <w:b w:val="0"/>
                <w:bCs w:val="0"/>
                <w:sz w:val="24"/>
                <w:szCs w:val="24"/>
              </w:rPr>
            </w:pPr>
            <w:r w:rsidRPr="00CD6F30">
              <w:rPr>
                <w:rFonts w:ascii="Times New Roman" w:eastAsiaTheme="minorHAnsi" w:hAnsi="Times New Roman" w:cs="Times New Roman"/>
                <w:b w:val="0"/>
                <w:bCs w:val="0"/>
                <w:sz w:val="24"/>
                <w:szCs w:val="24"/>
              </w:rPr>
              <w:t>10.6 to 12 years</w:t>
            </w:r>
          </w:p>
        </w:tc>
        <w:tc>
          <w:tcPr>
            <w:tcW w:w="2799" w:type="dxa"/>
            <w:vAlign w:val="center"/>
          </w:tcPr>
          <w:p w:rsidR="00386808" w:rsidRPr="00CD6F30" w:rsidRDefault="00386808" w:rsidP="00CD6F30">
            <w:pPr>
              <w:bidi w:val="0"/>
              <w:spacing w:line="276" w:lineRule="auto"/>
              <w:jc w:val="center"/>
              <w:rPr>
                <w:rFonts w:ascii="Times New Roman" w:eastAsiaTheme="minorHAnsi" w:hAnsi="Times New Roman" w:cs="Times New Roman"/>
                <w:b w:val="0"/>
                <w:bCs w:val="0"/>
                <w:sz w:val="24"/>
                <w:szCs w:val="24"/>
              </w:rPr>
            </w:pPr>
            <w:r w:rsidRPr="00CD6F30">
              <w:rPr>
                <w:rFonts w:ascii="Times New Roman" w:eastAsiaTheme="minorHAnsi" w:hAnsi="Times New Roman" w:cs="Times New Roman"/>
                <w:b w:val="0"/>
                <w:bCs w:val="0"/>
                <w:sz w:val="24"/>
                <w:szCs w:val="24"/>
              </w:rPr>
              <w:t>over 20</w:t>
            </w:r>
            <w:r w:rsidR="00C756C8">
              <w:rPr>
                <w:rFonts w:ascii="Times New Roman" w:eastAsiaTheme="minorHAnsi" w:hAnsi="Times New Roman" w:cs="Times New Roman"/>
                <w:b w:val="0"/>
                <w:bCs w:val="0"/>
                <w:sz w:val="24"/>
                <w:szCs w:val="24"/>
              </w:rPr>
              <w:t xml:space="preserve"> </w:t>
            </w:r>
            <w:r w:rsidRPr="00CD6F30">
              <w:rPr>
                <w:rFonts w:ascii="Times New Roman" w:eastAsiaTheme="minorHAnsi" w:hAnsi="Times New Roman" w:cs="Times New Roman"/>
                <w:b w:val="0"/>
                <w:bCs w:val="0"/>
                <w:sz w:val="24"/>
                <w:szCs w:val="24"/>
              </w:rPr>
              <w:t>years</w:t>
            </w:r>
          </w:p>
        </w:tc>
      </w:tr>
      <w:tr w:rsidR="00386808" w:rsidRPr="00CD6F30" w:rsidTr="00CD6F30">
        <w:tc>
          <w:tcPr>
            <w:tcW w:w="2798" w:type="dxa"/>
            <w:vAlign w:val="center"/>
          </w:tcPr>
          <w:p w:rsidR="00386808" w:rsidRPr="00CD6F30" w:rsidRDefault="00386808" w:rsidP="00CD6F30">
            <w:pPr>
              <w:bidi w:val="0"/>
              <w:spacing w:after="0" w:line="276" w:lineRule="auto"/>
              <w:jc w:val="center"/>
              <w:rPr>
                <w:rFonts w:ascii="Times New Roman" w:hAnsi="Times New Roman" w:cs="Times New Roman"/>
                <w:b w:val="0"/>
                <w:bCs w:val="0"/>
                <w:sz w:val="24"/>
                <w:szCs w:val="24"/>
              </w:rPr>
            </w:pPr>
            <w:r w:rsidRPr="00CD6F30">
              <w:rPr>
                <w:rFonts w:ascii="Times New Roman" w:hAnsi="Times New Roman" w:cs="Times New Roman"/>
                <w:b w:val="0"/>
                <w:bCs w:val="0"/>
                <w:sz w:val="24"/>
                <w:szCs w:val="24"/>
              </w:rPr>
              <w:t>8.0%</w:t>
            </w:r>
          </w:p>
        </w:tc>
        <w:tc>
          <w:tcPr>
            <w:tcW w:w="2798" w:type="dxa"/>
            <w:vAlign w:val="center"/>
          </w:tcPr>
          <w:p w:rsidR="00386808" w:rsidRPr="00CD6F30" w:rsidRDefault="00386808" w:rsidP="00CD6F30">
            <w:pPr>
              <w:bidi w:val="0"/>
              <w:spacing w:line="276" w:lineRule="auto"/>
              <w:jc w:val="center"/>
              <w:rPr>
                <w:rFonts w:ascii="Times New Roman" w:eastAsiaTheme="minorHAnsi" w:hAnsi="Times New Roman" w:cs="Times New Roman"/>
                <w:b w:val="0"/>
                <w:bCs w:val="0"/>
                <w:sz w:val="24"/>
                <w:szCs w:val="24"/>
              </w:rPr>
            </w:pPr>
            <w:r w:rsidRPr="00CD6F30">
              <w:rPr>
                <w:rFonts w:ascii="Times New Roman" w:eastAsiaTheme="minorHAnsi" w:hAnsi="Times New Roman" w:cs="Times New Roman"/>
                <w:b w:val="0"/>
                <w:bCs w:val="0"/>
                <w:sz w:val="24"/>
                <w:szCs w:val="24"/>
              </w:rPr>
              <w:t>12 to 20 years</w:t>
            </w:r>
          </w:p>
        </w:tc>
        <w:tc>
          <w:tcPr>
            <w:tcW w:w="2799" w:type="dxa"/>
            <w:vMerge w:val="restart"/>
            <w:vAlign w:val="center"/>
          </w:tcPr>
          <w:p w:rsidR="00386808" w:rsidRPr="00CD6F30" w:rsidRDefault="00386808" w:rsidP="00CD6F30">
            <w:pPr>
              <w:bidi w:val="0"/>
              <w:spacing w:line="276" w:lineRule="auto"/>
              <w:jc w:val="center"/>
              <w:rPr>
                <w:rFonts w:ascii="Times New Roman" w:eastAsiaTheme="minorHAnsi" w:hAnsi="Times New Roman" w:cs="Times New Roman"/>
                <w:b w:val="0"/>
                <w:bCs w:val="0"/>
                <w:sz w:val="24"/>
                <w:szCs w:val="24"/>
              </w:rPr>
            </w:pPr>
          </w:p>
        </w:tc>
      </w:tr>
      <w:tr w:rsidR="00386808" w:rsidRPr="00CD6F30" w:rsidTr="00CD6F30">
        <w:tc>
          <w:tcPr>
            <w:tcW w:w="2798" w:type="dxa"/>
            <w:vAlign w:val="center"/>
          </w:tcPr>
          <w:p w:rsidR="00386808" w:rsidRPr="00CD6F30" w:rsidRDefault="00386808" w:rsidP="00CD6F30">
            <w:pPr>
              <w:bidi w:val="0"/>
              <w:spacing w:after="0" w:line="276" w:lineRule="auto"/>
              <w:jc w:val="center"/>
              <w:rPr>
                <w:rFonts w:ascii="Times New Roman" w:hAnsi="Times New Roman" w:cs="Times New Roman"/>
                <w:b w:val="0"/>
                <w:bCs w:val="0"/>
                <w:sz w:val="24"/>
                <w:szCs w:val="24"/>
              </w:rPr>
            </w:pPr>
            <w:r w:rsidRPr="00CD6F30">
              <w:rPr>
                <w:rFonts w:ascii="Times New Roman" w:hAnsi="Times New Roman" w:cs="Times New Roman"/>
                <w:b w:val="0"/>
                <w:bCs w:val="0"/>
                <w:sz w:val="24"/>
                <w:szCs w:val="24"/>
              </w:rPr>
              <w:t>12.5%</w:t>
            </w:r>
          </w:p>
        </w:tc>
        <w:tc>
          <w:tcPr>
            <w:tcW w:w="2798" w:type="dxa"/>
            <w:vAlign w:val="center"/>
          </w:tcPr>
          <w:p w:rsidR="00386808" w:rsidRPr="00CD6F30" w:rsidRDefault="00386808" w:rsidP="00CD6F30">
            <w:pPr>
              <w:bidi w:val="0"/>
              <w:spacing w:line="276" w:lineRule="auto"/>
              <w:jc w:val="center"/>
              <w:rPr>
                <w:rFonts w:ascii="Times New Roman" w:eastAsiaTheme="minorHAnsi" w:hAnsi="Times New Roman" w:cs="Times New Roman"/>
                <w:b w:val="0"/>
                <w:bCs w:val="0"/>
                <w:sz w:val="24"/>
                <w:szCs w:val="24"/>
              </w:rPr>
            </w:pPr>
            <w:r w:rsidRPr="00CD6F30">
              <w:rPr>
                <w:rFonts w:ascii="Times New Roman" w:eastAsiaTheme="minorHAnsi" w:hAnsi="Times New Roman" w:cs="Times New Roman"/>
                <w:b w:val="0"/>
                <w:bCs w:val="0"/>
                <w:sz w:val="24"/>
                <w:szCs w:val="24"/>
              </w:rPr>
              <w:t>over 20 years</w:t>
            </w:r>
          </w:p>
        </w:tc>
        <w:tc>
          <w:tcPr>
            <w:tcW w:w="2799" w:type="dxa"/>
            <w:vMerge/>
          </w:tcPr>
          <w:p w:rsidR="00386808" w:rsidRPr="00CD6F30" w:rsidRDefault="00386808" w:rsidP="00CD6F30">
            <w:pPr>
              <w:bidi w:val="0"/>
              <w:spacing w:line="276" w:lineRule="auto"/>
              <w:rPr>
                <w:rFonts w:ascii="Times New Roman" w:eastAsiaTheme="minorHAnsi" w:hAnsi="Times New Roman" w:cs="Times New Roman"/>
                <w:b w:val="0"/>
                <w:bCs w:val="0"/>
                <w:sz w:val="24"/>
                <w:szCs w:val="24"/>
              </w:rPr>
            </w:pPr>
          </w:p>
        </w:tc>
      </w:tr>
    </w:tbl>
    <w:p w:rsidR="00505A8B" w:rsidRPr="00DF4AC7" w:rsidRDefault="00505A8B" w:rsidP="00505A8B">
      <w:pPr>
        <w:pStyle w:val="Caption"/>
        <w:jc w:val="center"/>
        <w:rPr>
          <w:b/>
          <w:bCs/>
          <w:sz w:val="22"/>
          <w:szCs w:val="22"/>
          <w:rtl/>
          <w:lang w:bidi="ar-JO"/>
        </w:rPr>
        <w:sectPr w:rsidR="00505A8B" w:rsidRPr="00DF4AC7" w:rsidSect="00565969">
          <w:pgSz w:w="11906" w:h="16838"/>
          <w:pgMar w:top="1440" w:right="1800" w:bottom="1440" w:left="1701" w:header="708" w:footer="708" w:gutter="0"/>
          <w:cols w:space="708"/>
          <w:titlePg/>
          <w:bidi/>
          <w:rtlGutter/>
          <w:docGrid w:linePitch="360"/>
        </w:sectPr>
      </w:pPr>
    </w:p>
    <w:p w:rsidR="003E2F9E" w:rsidRPr="00F06631" w:rsidRDefault="001B2EEC" w:rsidP="00F06631">
      <w:pPr>
        <w:pStyle w:val="Heading1"/>
        <w:pBdr>
          <w:bottom w:val="single" w:sz="4" w:space="1" w:color="auto"/>
        </w:pBdr>
        <w:bidi w:val="0"/>
        <w:jc w:val="center"/>
        <w:rPr>
          <w:rFonts w:asciiTheme="majorBidi" w:hAnsiTheme="majorBidi" w:cstheme="majorBidi"/>
          <w:b/>
          <w:bCs/>
        </w:rPr>
      </w:pPr>
      <w:bookmarkStart w:id="87" w:name="_Toc65354426"/>
      <w:r w:rsidRPr="00563636">
        <w:rPr>
          <w:rFonts w:asciiTheme="majorBidi" w:hAnsiTheme="majorBidi" w:cstheme="majorBidi"/>
          <w:b/>
          <w:bCs/>
        </w:rPr>
        <w:lastRenderedPageBreak/>
        <w:t xml:space="preserve">Annex (17):  </w:t>
      </w:r>
      <w:r w:rsidR="003E2F9E" w:rsidRPr="00563636">
        <w:rPr>
          <w:rFonts w:asciiTheme="majorBidi" w:hAnsiTheme="majorBidi" w:cstheme="majorBidi"/>
          <w:b/>
          <w:bCs/>
        </w:rPr>
        <w:t xml:space="preserve">calculation of General risk for interest rate related </w:t>
      </w:r>
      <w:r w:rsidR="00563636" w:rsidRPr="00563636">
        <w:rPr>
          <w:rFonts w:asciiTheme="majorBidi" w:hAnsiTheme="majorBidi" w:cstheme="majorBidi"/>
          <w:b/>
          <w:bCs/>
        </w:rPr>
        <w:t xml:space="preserve">of </w:t>
      </w:r>
      <w:r w:rsidR="003E2F9E" w:rsidRPr="00563636">
        <w:rPr>
          <w:rFonts w:asciiTheme="majorBidi" w:hAnsiTheme="majorBidi" w:cstheme="majorBidi"/>
          <w:b/>
          <w:bCs/>
        </w:rPr>
        <w:t>debt instruments</w:t>
      </w:r>
      <w:bookmarkEnd w:id="87"/>
      <w:r w:rsidR="003E2F9E" w:rsidRPr="00F06631">
        <w:rPr>
          <w:rFonts w:asciiTheme="majorBidi" w:hAnsiTheme="majorBidi" w:cstheme="majorBidi"/>
          <w:b/>
          <w:bCs/>
        </w:rPr>
        <w:t xml:space="preserve"> </w:t>
      </w:r>
    </w:p>
    <w:p w:rsidR="001B2EEC" w:rsidRPr="001B2EEC" w:rsidRDefault="001B2EEC" w:rsidP="006E58E7">
      <w:pPr>
        <w:bidi w:val="0"/>
        <w:jc w:val="center"/>
        <w:rPr>
          <w:rFonts w:ascii="Times New Roman" w:hAnsi="Times New Roman" w:cs="Times New Roman"/>
          <w:b w:val="0"/>
          <w:bCs w:val="0"/>
          <w:color w:val="202124"/>
          <w:sz w:val="24"/>
          <w:szCs w:val="24"/>
          <w:lang w:val="en"/>
        </w:rPr>
      </w:pPr>
      <w:r w:rsidRPr="001B2EEC">
        <w:rPr>
          <w:rFonts w:ascii="Times New Roman" w:hAnsi="Times New Roman" w:cs="Times New Roman"/>
          <w:b w:val="0"/>
          <w:bCs w:val="0"/>
          <w:sz w:val="24"/>
          <w:szCs w:val="24"/>
        </w:rPr>
        <w:t xml:space="preserve">(17-A): </w:t>
      </w:r>
      <w:r w:rsidRPr="001B2EEC">
        <w:rPr>
          <w:rFonts w:ascii="Times New Roman" w:hAnsi="Times New Roman" w:cs="Times New Roman"/>
          <w:b w:val="0"/>
          <w:bCs w:val="0"/>
          <w:color w:val="202124"/>
          <w:sz w:val="24"/>
          <w:szCs w:val="24"/>
          <w:lang w:val="en"/>
        </w:rPr>
        <w:t xml:space="preserve"> Debt instruments with </w:t>
      </w:r>
      <w:r w:rsidR="006E58E7" w:rsidRPr="001B2EEC">
        <w:rPr>
          <w:rFonts w:ascii="Times New Roman" w:hAnsi="Times New Roman" w:cs="Times New Roman"/>
          <w:b w:val="0"/>
          <w:bCs w:val="0"/>
          <w:color w:val="202124"/>
          <w:sz w:val="24"/>
          <w:szCs w:val="24"/>
          <w:lang w:val="en"/>
        </w:rPr>
        <w:t>more than</w:t>
      </w:r>
      <w:r w:rsidR="006E58E7">
        <w:rPr>
          <w:rFonts w:ascii="Times New Roman" w:hAnsi="Times New Roman" w:cs="Times New Roman"/>
          <w:b w:val="0"/>
          <w:bCs w:val="0"/>
          <w:color w:val="202124"/>
          <w:sz w:val="24"/>
          <w:szCs w:val="24"/>
          <w:lang w:val="en"/>
        </w:rPr>
        <w:t xml:space="preserve"> 3% coupon </w:t>
      </w:r>
      <w:r w:rsidRPr="001B2EEC">
        <w:rPr>
          <w:rFonts w:ascii="Times New Roman" w:hAnsi="Times New Roman" w:cs="Times New Roman"/>
          <w:b w:val="0"/>
          <w:bCs w:val="0"/>
          <w:color w:val="202124"/>
          <w:sz w:val="24"/>
          <w:szCs w:val="24"/>
          <w:lang w:val="en"/>
        </w:rPr>
        <w:t xml:space="preserve">                                              </w:t>
      </w:r>
      <w:r w:rsidR="006E58E7">
        <w:rPr>
          <w:rFonts w:ascii="Times New Roman" w:hAnsi="Times New Roman" w:cs="Times New Roman"/>
          <w:b w:val="0"/>
          <w:bCs w:val="0"/>
          <w:color w:val="202124"/>
          <w:sz w:val="24"/>
          <w:szCs w:val="24"/>
          <w:lang w:val="en"/>
        </w:rPr>
        <w:t xml:space="preserve">                                                          </w:t>
      </w:r>
      <w:r w:rsidRPr="001B2EEC">
        <w:rPr>
          <w:rFonts w:ascii="Times New Roman" w:hAnsi="Times New Roman" w:cs="Times New Roman"/>
          <w:b w:val="0"/>
          <w:bCs w:val="0"/>
          <w:color w:val="202124"/>
          <w:sz w:val="24"/>
          <w:szCs w:val="24"/>
          <w:lang w:val="en"/>
        </w:rPr>
        <w:t xml:space="preserve">     </w:t>
      </w:r>
      <w:r w:rsidRPr="001B2EEC">
        <w:rPr>
          <w:rFonts w:ascii="Times New Roman" w:hAnsi="Times New Roman" w:cs="Times New Roman"/>
          <w:b w:val="0"/>
          <w:bCs w:val="0"/>
          <w:sz w:val="18"/>
          <w:szCs w:val="18"/>
        </w:rPr>
        <w:t>Thousands JD</w:t>
      </w:r>
    </w:p>
    <w:tbl>
      <w:tblPr>
        <w:tblStyle w:val="TableGrid1"/>
        <w:bidiVisual/>
        <w:tblW w:w="15012" w:type="dxa"/>
        <w:jc w:val="center"/>
        <w:tblLook w:val="04A0" w:firstRow="1" w:lastRow="0" w:firstColumn="1" w:lastColumn="0" w:noHBand="0" w:noVBand="1"/>
      </w:tblPr>
      <w:tblGrid>
        <w:gridCol w:w="669"/>
        <w:gridCol w:w="871"/>
        <w:gridCol w:w="774"/>
        <w:gridCol w:w="762"/>
        <w:gridCol w:w="774"/>
        <w:gridCol w:w="794"/>
        <w:gridCol w:w="774"/>
        <w:gridCol w:w="774"/>
        <w:gridCol w:w="774"/>
        <w:gridCol w:w="774"/>
        <w:gridCol w:w="683"/>
        <w:gridCol w:w="703"/>
        <w:gridCol w:w="663"/>
        <w:gridCol w:w="627"/>
        <w:gridCol w:w="4106"/>
        <w:gridCol w:w="490"/>
      </w:tblGrid>
      <w:tr w:rsidR="001B2EEC" w:rsidRPr="001B2EEC" w:rsidTr="001B2EEC">
        <w:trPr>
          <w:jc w:val="center"/>
        </w:trPr>
        <w:tc>
          <w:tcPr>
            <w:tcW w:w="669" w:type="dxa"/>
            <w:tcBorders>
              <w:top w:val="nil"/>
              <w:left w:val="nil"/>
              <w:bottom w:val="nil"/>
              <w:right w:val="single" w:sz="4" w:space="0" w:color="auto"/>
            </w:tcBorders>
          </w:tcPr>
          <w:p w:rsidR="001B2EEC" w:rsidRPr="001B2EEC" w:rsidRDefault="001B2EEC" w:rsidP="001B2EEC">
            <w:pPr>
              <w:bidi w:val="0"/>
              <w:spacing w:after="0"/>
              <w:jc w:val="left"/>
              <w:rPr>
                <w:sz w:val="18"/>
                <w:szCs w:val="18"/>
                <w:rtl/>
              </w:rPr>
            </w:pPr>
          </w:p>
        </w:tc>
        <w:tc>
          <w:tcPr>
            <w:tcW w:w="2407" w:type="dxa"/>
            <w:gridSpan w:val="3"/>
            <w:tcBorders>
              <w:left w:val="single" w:sz="4" w:space="0" w:color="auto"/>
            </w:tcBorders>
          </w:tcPr>
          <w:p w:rsidR="001B2EEC" w:rsidRPr="001B2EEC" w:rsidRDefault="001B2EEC" w:rsidP="006E58E7">
            <w:pPr>
              <w:bidi w:val="0"/>
              <w:spacing w:after="0"/>
              <w:jc w:val="center"/>
              <w:rPr>
                <w:sz w:val="18"/>
                <w:szCs w:val="18"/>
                <w:rtl/>
              </w:rPr>
            </w:pPr>
            <w:r w:rsidRPr="001B2EEC">
              <w:rPr>
                <w:sz w:val="18"/>
                <w:szCs w:val="18"/>
              </w:rPr>
              <w:t>Zone 3</w:t>
            </w:r>
          </w:p>
        </w:tc>
        <w:tc>
          <w:tcPr>
            <w:tcW w:w="4664" w:type="dxa"/>
            <w:gridSpan w:val="6"/>
          </w:tcPr>
          <w:p w:rsidR="001B2EEC" w:rsidRPr="001B2EEC" w:rsidRDefault="001B2EEC" w:rsidP="006E58E7">
            <w:pPr>
              <w:bidi w:val="0"/>
              <w:spacing w:after="0"/>
              <w:jc w:val="center"/>
              <w:rPr>
                <w:sz w:val="18"/>
                <w:szCs w:val="18"/>
                <w:rtl/>
              </w:rPr>
            </w:pPr>
            <w:r w:rsidRPr="001B2EEC">
              <w:rPr>
                <w:sz w:val="18"/>
                <w:szCs w:val="18"/>
              </w:rPr>
              <w:t>Zone 2</w:t>
            </w:r>
          </w:p>
        </w:tc>
        <w:tc>
          <w:tcPr>
            <w:tcW w:w="2676" w:type="dxa"/>
            <w:gridSpan w:val="4"/>
          </w:tcPr>
          <w:p w:rsidR="001B2EEC" w:rsidRPr="001B2EEC" w:rsidRDefault="001B2EEC" w:rsidP="006E58E7">
            <w:pPr>
              <w:bidi w:val="0"/>
              <w:spacing w:after="0"/>
              <w:jc w:val="center"/>
              <w:rPr>
                <w:sz w:val="18"/>
                <w:szCs w:val="18"/>
                <w:rtl/>
              </w:rPr>
            </w:pPr>
            <w:r w:rsidRPr="001B2EEC">
              <w:rPr>
                <w:sz w:val="18"/>
                <w:szCs w:val="18"/>
              </w:rPr>
              <w:t>Zone 1</w:t>
            </w:r>
          </w:p>
        </w:tc>
        <w:tc>
          <w:tcPr>
            <w:tcW w:w="4106" w:type="dxa"/>
          </w:tcPr>
          <w:p w:rsidR="001B2EEC" w:rsidRPr="001B2EEC" w:rsidRDefault="001B2EEC" w:rsidP="001B2EEC">
            <w:pPr>
              <w:bidi w:val="0"/>
              <w:spacing w:after="0"/>
              <w:jc w:val="left"/>
              <w:rPr>
                <w:sz w:val="18"/>
                <w:szCs w:val="18"/>
                <w:rtl/>
              </w:rPr>
            </w:pPr>
          </w:p>
        </w:tc>
        <w:tc>
          <w:tcPr>
            <w:tcW w:w="490" w:type="dxa"/>
          </w:tcPr>
          <w:p w:rsidR="001B2EEC" w:rsidRPr="001B2EEC" w:rsidRDefault="001B2EEC" w:rsidP="001B2EEC">
            <w:pPr>
              <w:bidi w:val="0"/>
              <w:spacing w:after="0"/>
              <w:jc w:val="left"/>
              <w:rPr>
                <w:sz w:val="18"/>
                <w:szCs w:val="18"/>
                <w:rtl/>
              </w:rPr>
            </w:pPr>
            <w:r w:rsidRPr="001B2EEC">
              <w:rPr>
                <w:sz w:val="18"/>
                <w:szCs w:val="18"/>
              </w:rPr>
              <w:t>No.</w:t>
            </w:r>
          </w:p>
        </w:tc>
      </w:tr>
      <w:tr w:rsidR="001B2EEC" w:rsidRPr="001B2EEC" w:rsidTr="001B2EEC">
        <w:trPr>
          <w:jc w:val="center"/>
        </w:trPr>
        <w:tc>
          <w:tcPr>
            <w:tcW w:w="669" w:type="dxa"/>
            <w:tcBorders>
              <w:top w:val="nil"/>
              <w:left w:val="nil"/>
              <w:bottom w:val="nil"/>
              <w:right w:val="single" w:sz="4" w:space="0" w:color="auto"/>
            </w:tcBorders>
          </w:tcPr>
          <w:p w:rsidR="001B2EEC" w:rsidRPr="001B2EEC" w:rsidRDefault="001B2EEC" w:rsidP="001B2EEC">
            <w:pPr>
              <w:bidi w:val="0"/>
              <w:spacing w:after="0"/>
              <w:jc w:val="left"/>
              <w:rPr>
                <w:sz w:val="18"/>
                <w:szCs w:val="18"/>
                <w:rtl/>
              </w:rPr>
            </w:pPr>
          </w:p>
        </w:tc>
        <w:tc>
          <w:tcPr>
            <w:tcW w:w="871" w:type="dxa"/>
            <w:tcBorders>
              <w:left w:val="single" w:sz="4" w:space="0" w:color="auto"/>
            </w:tcBorders>
          </w:tcPr>
          <w:p w:rsidR="001B2EEC" w:rsidRPr="001B2EEC" w:rsidRDefault="001B2EEC" w:rsidP="001B2EEC">
            <w:pPr>
              <w:bidi w:val="0"/>
              <w:spacing w:after="0"/>
              <w:jc w:val="left"/>
              <w:rPr>
                <w:sz w:val="18"/>
                <w:szCs w:val="18"/>
                <w:rtl/>
              </w:rPr>
            </w:pPr>
            <w:r w:rsidRPr="001B2EEC">
              <w:rPr>
                <w:sz w:val="18"/>
                <w:szCs w:val="18"/>
              </w:rPr>
              <w:t>Over 20</w:t>
            </w:r>
          </w:p>
        </w:tc>
        <w:tc>
          <w:tcPr>
            <w:tcW w:w="774" w:type="dxa"/>
          </w:tcPr>
          <w:p w:rsidR="001B2EEC" w:rsidRPr="001B2EEC" w:rsidRDefault="001B2EEC" w:rsidP="001B2EEC">
            <w:pPr>
              <w:bidi w:val="0"/>
              <w:spacing w:after="0"/>
              <w:jc w:val="left"/>
              <w:rPr>
                <w:sz w:val="18"/>
                <w:szCs w:val="18"/>
                <w:rtl/>
              </w:rPr>
            </w:pPr>
            <w:r w:rsidRPr="001B2EEC">
              <w:rPr>
                <w:sz w:val="18"/>
                <w:szCs w:val="18"/>
              </w:rPr>
              <w:t>15-20</w:t>
            </w:r>
          </w:p>
        </w:tc>
        <w:tc>
          <w:tcPr>
            <w:tcW w:w="762" w:type="dxa"/>
          </w:tcPr>
          <w:p w:rsidR="001B2EEC" w:rsidRPr="001B2EEC" w:rsidRDefault="001B2EEC" w:rsidP="006E58E7">
            <w:pPr>
              <w:bidi w:val="0"/>
              <w:spacing w:after="0"/>
              <w:jc w:val="center"/>
              <w:rPr>
                <w:sz w:val="18"/>
                <w:szCs w:val="18"/>
                <w:rtl/>
              </w:rPr>
            </w:pPr>
            <w:r w:rsidRPr="001B2EEC">
              <w:rPr>
                <w:sz w:val="18"/>
                <w:szCs w:val="18"/>
              </w:rPr>
              <w:t>10-15</w:t>
            </w:r>
          </w:p>
        </w:tc>
        <w:tc>
          <w:tcPr>
            <w:tcW w:w="774" w:type="dxa"/>
          </w:tcPr>
          <w:p w:rsidR="001B2EEC" w:rsidRPr="001B2EEC" w:rsidRDefault="001B2EEC" w:rsidP="006E58E7">
            <w:pPr>
              <w:bidi w:val="0"/>
              <w:spacing w:after="0"/>
              <w:jc w:val="center"/>
              <w:rPr>
                <w:sz w:val="18"/>
                <w:szCs w:val="18"/>
                <w:rtl/>
              </w:rPr>
            </w:pPr>
            <w:r w:rsidRPr="001B2EEC">
              <w:rPr>
                <w:sz w:val="18"/>
                <w:szCs w:val="18"/>
              </w:rPr>
              <w:t>7-10</w:t>
            </w:r>
          </w:p>
        </w:tc>
        <w:tc>
          <w:tcPr>
            <w:tcW w:w="794" w:type="dxa"/>
          </w:tcPr>
          <w:p w:rsidR="001B2EEC" w:rsidRPr="001B2EEC" w:rsidRDefault="001B2EEC" w:rsidP="006E58E7">
            <w:pPr>
              <w:bidi w:val="0"/>
              <w:spacing w:after="0"/>
              <w:jc w:val="center"/>
              <w:rPr>
                <w:sz w:val="18"/>
                <w:szCs w:val="18"/>
                <w:rtl/>
              </w:rPr>
            </w:pPr>
            <w:r w:rsidRPr="001B2EEC">
              <w:rPr>
                <w:sz w:val="18"/>
                <w:szCs w:val="18"/>
              </w:rPr>
              <w:t>5-7</w:t>
            </w:r>
          </w:p>
        </w:tc>
        <w:tc>
          <w:tcPr>
            <w:tcW w:w="774" w:type="dxa"/>
          </w:tcPr>
          <w:p w:rsidR="001B2EEC" w:rsidRPr="001B2EEC" w:rsidRDefault="001B2EEC" w:rsidP="006E58E7">
            <w:pPr>
              <w:bidi w:val="0"/>
              <w:spacing w:after="0"/>
              <w:jc w:val="center"/>
              <w:rPr>
                <w:sz w:val="18"/>
                <w:szCs w:val="18"/>
                <w:rtl/>
              </w:rPr>
            </w:pPr>
            <w:r w:rsidRPr="001B2EEC">
              <w:rPr>
                <w:sz w:val="18"/>
                <w:szCs w:val="18"/>
              </w:rPr>
              <w:t>4-5</w:t>
            </w:r>
          </w:p>
        </w:tc>
        <w:tc>
          <w:tcPr>
            <w:tcW w:w="774" w:type="dxa"/>
          </w:tcPr>
          <w:p w:rsidR="001B2EEC" w:rsidRPr="001B2EEC" w:rsidRDefault="001B2EEC" w:rsidP="006E58E7">
            <w:pPr>
              <w:bidi w:val="0"/>
              <w:spacing w:after="0"/>
              <w:jc w:val="center"/>
              <w:rPr>
                <w:sz w:val="18"/>
                <w:szCs w:val="18"/>
                <w:rtl/>
              </w:rPr>
            </w:pPr>
            <w:r w:rsidRPr="001B2EEC">
              <w:rPr>
                <w:sz w:val="18"/>
                <w:szCs w:val="18"/>
              </w:rPr>
              <w:t>3-4</w:t>
            </w:r>
          </w:p>
        </w:tc>
        <w:tc>
          <w:tcPr>
            <w:tcW w:w="774" w:type="dxa"/>
          </w:tcPr>
          <w:p w:rsidR="001B2EEC" w:rsidRPr="001B2EEC" w:rsidRDefault="001B2EEC" w:rsidP="006E58E7">
            <w:pPr>
              <w:bidi w:val="0"/>
              <w:spacing w:after="0"/>
              <w:jc w:val="center"/>
              <w:rPr>
                <w:sz w:val="18"/>
                <w:szCs w:val="18"/>
                <w:rtl/>
              </w:rPr>
            </w:pPr>
            <w:r w:rsidRPr="001B2EEC">
              <w:rPr>
                <w:sz w:val="18"/>
                <w:szCs w:val="18"/>
              </w:rPr>
              <w:t>2-3</w:t>
            </w:r>
          </w:p>
        </w:tc>
        <w:tc>
          <w:tcPr>
            <w:tcW w:w="774" w:type="dxa"/>
          </w:tcPr>
          <w:p w:rsidR="001B2EEC" w:rsidRPr="001B2EEC" w:rsidRDefault="001B2EEC" w:rsidP="006E58E7">
            <w:pPr>
              <w:bidi w:val="0"/>
              <w:spacing w:after="0"/>
              <w:jc w:val="center"/>
              <w:rPr>
                <w:sz w:val="18"/>
                <w:szCs w:val="18"/>
                <w:rtl/>
              </w:rPr>
            </w:pPr>
            <w:r w:rsidRPr="001B2EEC">
              <w:rPr>
                <w:sz w:val="18"/>
                <w:szCs w:val="18"/>
              </w:rPr>
              <w:t>1-3</w:t>
            </w:r>
          </w:p>
        </w:tc>
        <w:tc>
          <w:tcPr>
            <w:tcW w:w="683" w:type="dxa"/>
          </w:tcPr>
          <w:p w:rsidR="001B2EEC" w:rsidRPr="001B2EEC" w:rsidRDefault="001B2EEC" w:rsidP="006E58E7">
            <w:pPr>
              <w:bidi w:val="0"/>
              <w:spacing w:after="0"/>
              <w:jc w:val="center"/>
              <w:rPr>
                <w:sz w:val="18"/>
                <w:szCs w:val="18"/>
                <w:rtl/>
              </w:rPr>
            </w:pPr>
            <w:r w:rsidRPr="001B2EEC">
              <w:rPr>
                <w:sz w:val="18"/>
                <w:szCs w:val="18"/>
              </w:rPr>
              <w:t>6-12</w:t>
            </w:r>
          </w:p>
        </w:tc>
        <w:tc>
          <w:tcPr>
            <w:tcW w:w="703" w:type="dxa"/>
          </w:tcPr>
          <w:p w:rsidR="001B2EEC" w:rsidRPr="001B2EEC" w:rsidRDefault="001B2EEC" w:rsidP="006E58E7">
            <w:pPr>
              <w:bidi w:val="0"/>
              <w:spacing w:after="0"/>
              <w:jc w:val="center"/>
              <w:rPr>
                <w:sz w:val="18"/>
                <w:szCs w:val="18"/>
                <w:rtl/>
              </w:rPr>
            </w:pPr>
            <w:r w:rsidRPr="001B2EEC">
              <w:rPr>
                <w:sz w:val="18"/>
                <w:szCs w:val="18"/>
              </w:rPr>
              <w:t>3-6</w:t>
            </w:r>
          </w:p>
        </w:tc>
        <w:tc>
          <w:tcPr>
            <w:tcW w:w="663" w:type="dxa"/>
          </w:tcPr>
          <w:p w:rsidR="001B2EEC" w:rsidRPr="001B2EEC" w:rsidRDefault="001B2EEC" w:rsidP="006E58E7">
            <w:pPr>
              <w:bidi w:val="0"/>
              <w:spacing w:after="0"/>
              <w:jc w:val="center"/>
              <w:rPr>
                <w:sz w:val="18"/>
                <w:szCs w:val="18"/>
                <w:rtl/>
              </w:rPr>
            </w:pPr>
            <w:r w:rsidRPr="001B2EEC">
              <w:rPr>
                <w:sz w:val="18"/>
                <w:szCs w:val="18"/>
              </w:rPr>
              <w:t>1-3</w:t>
            </w:r>
          </w:p>
        </w:tc>
        <w:tc>
          <w:tcPr>
            <w:tcW w:w="627" w:type="dxa"/>
          </w:tcPr>
          <w:p w:rsidR="001B2EEC" w:rsidRPr="001B2EEC" w:rsidRDefault="001B2EEC" w:rsidP="006E58E7">
            <w:pPr>
              <w:bidi w:val="0"/>
              <w:spacing w:after="0"/>
              <w:jc w:val="center"/>
              <w:rPr>
                <w:sz w:val="18"/>
                <w:szCs w:val="18"/>
                <w:rtl/>
              </w:rPr>
            </w:pPr>
            <w:r w:rsidRPr="001B2EEC">
              <w:rPr>
                <w:sz w:val="18"/>
                <w:szCs w:val="18"/>
              </w:rPr>
              <w:t>0-1</w:t>
            </w:r>
          </w:p>
        </w:tc>
        <w:tc>
          <w:tcPr>
            <w:tcW w:w="4106" w:type="dxa"/>
          </w:tcPr>
          <w:p w:rsidR="001B2EEC" w:rsidRPr="001B2EEC" w:rsidRDefault="001B2EEC" w:rsidP="001B2EEC">
            <w:pPr>
              <w:bidi w:val="0"/>
              <w:spacing w:after="0"/>
              <w:jc w:val="left"/>
              <w:rPr>
                <w:rFonts w:ascii="Times New Roman" w:hAnsi="Times New Roman" w:cs="Times New Roman"/>
                <w:b w:val="0"/>
                <w:bCs w:val="0"/>
                <w:sz w:val="20"/>
                <w:szCs w:val="20"/>
                <w:rtl/>
              </w:rPr>
            </w:pPr>
            <w:r w:rsidRPr="001B2EEC">
              <w:rPr>
                <w:rFonts w:ascii="Times New Roman" w:hAnsi="Times New Roman" w:cs="Times New Roman"/>
                <w:b w:val="0"/>
                <w:bCs w:val="0"/>
                <w:sz w:val="20"/>
                <w:szCs w:val="20"/>
              </w:rPr>
              <w:t>Time-band</w:t>
            </w:r>
          </w:p>
        </w:tc>
        <w:tc>
          <w:tcPr>
            <w:tcW w:w="490" w:type="dxa"/>
          </w:tcPr>
          <w:p w:rsidR="001B2EEC" w:rsidRPr="001B2EEC" w:rsidRDefault="001B2EEC" w:rsidP="001B2EEC">
            <w:pPr>
              <w:bidi w:val="0"/>
              <w:spacing w:after="0"/>
              <w:jc w:val="left"/>
              <w:rPr>
                <w:sz w:val="18"/>
                <w:szCs w:val="18"/>
                <w:rtl/>
              </w:rPr>
            </w:pPr>
          </w:p>
        </w:tc>
      </w:tr>
      <w:tr w:rsidR="001B2EEC" w:rsidRPr="001B2EEC" w:rsidTr="001B2EEC">
        <w:trPr>
          <w:jc w:val="center"/>
        </w:trPr>
        <w:tc>
          <w:tcPr>
            <w:tcW w:w="669" w:type="dxa"/>
            <w:tcBorders>
              <w:top w:val="nil"/>
              <w:left w:val="nil"/>
              <w:bottom w:val="nil"/>
              <w:right w:val="single" w:sz="4" w:space="0" w:color="auto"/>
            </w:tcBorders>
          </w:tcPr>
          <w:p w:rsidR="001B2EEC" w:rsidRPr="001B2EEC" w:rsidRDefault="001B2EEC" w:rsidP="001B2EEC">
            <w:pPr>
              <w:bidi w:val="0"/>
              <w:spacing w:after="0"/>
              <w:jc w:val="left"/>
              <w:rPr>
                <w:sz w:val="18"/>
                <w:szCs w:val="18"/>
                <w:rtl/>
              </w:rPr>
            </w:pPr>
          </w:p>
        </w:tc>
        <w:tc>
          <w:tcPr>
            <w:tcW w:w="4749" w:type="dxa"/>
            <w:gridSpan w:val="6"/>
            <w:tcBorders>
              <w:left w:val="single" w:sz="4" w:space="0" w:color="auto"/>
            </w:tcBorders>
          </w:tcPr>
          <w:p w:rsidR="001B2EEC" w:rsidRPr="001B2EEC" w:rsidRDefault="001B2EEC" w:rsidP="006E58E7">
            <w:pPr>
              <w:bidi w:val="0"/>
              <w:spacing w:after="0"/>
              <w:jc w:val="center"/>
              <w:rPr>
                <w:sz w:val="18"/>
                <w:szCs w:val="18"/>
                <w:rtl/>
              </w:rPr>
            </w:pPr>
            <w:r w:rsidRPr="001B2EEC">
              <w:rPr>
                <w:sz w:val="18"/>
                <w:szCs w:val="18"/>
              </w:rPr>
              <w:t>Years</w:t>
            </w:r>
          </w:p>
        </w:tc>
        <w:tc>
          <w:tcPr>
            <w:tcW w:w="2322" w:type="dxa"/>
            <w:gridSpan w:val="3"/>
          </w:tcPr>
          <w:p w:rsidR="001B2EEC" w:rsidRPr="001B2EEC" w:rsidRDefault="001B2EEC" w:rsidP="006E58E7">
            <w:pPr>
              <w:bidi w:val="0"/>
              <w:spacing w:after="0"/>
              <w:jc w:val="center"/>
              <w:rPr>
                <w:sz w:val="18"/>
                <w:szCs w:val="18"/>
                <w:rtl/>
              </w:rPr>
            </w:pPr>
            <w:r w:rsidRPr="001B2EEC">
              <w:rPr>
                <w:sz w:val="18"/>
                <w:szCs w:val="18"/>
              </w:rPr>
              <w:t>Years</w:t>
            </w:r>
          </w:p>
        </w:tc>
        <w:tc>
          <w:tcPr>
            <w:tcW w:w="2676" w:type="dxa"/>
            <w:gridSpan w:val="4"/>
          </w:tcPr>
          <w:p w:rsidR="001B2EEC" w:rsidRPr="001B2EEC" w:rsidRDefault="001B2EEC" w:rsidP="006E58E7">
            <w:pPr>
              <w:bidi w:val="0"/>
              <w:spacing w:after="0"/>
              <w:jc w:val="center"/>
              <w:rPr>
                <w:sz w:val="18"/>
                <w:szCs w:val="18"/>
                <w:rtl/>
              </w:rPr>
            </w:pPr>
            <w:r w:rsidRPr="001B2EEC">
              <w:rPr>
                <w:sz w:val="18"/>
                <w:szCs w:val="18"/>
              </w:rPr>
              <w:t>Months</w:t>
            </w:r>
          </w:p>
        </w:tc>
        <w:tc>
          <w:tcPr>
            <w:tcW w:w="4106" w:type="dxa"/>
          </w:tcPr>
          <w:p w:rsidR="001B2EEC" w:rsidRPr="001B2EEC" w:rsidRDefault="001B2EEC" w:rsidP="001B2EEC">
            <w:pPr>
              <w:bidi w:val="0"/>
              <w:spacing w:after="0"/>
              <w:jc w:val="left"/>
              <w:rPr>
                <w:rFonts w:ascii="Times New Roman" w:hAnsi="Times New Roman" w:cs="Times New Roman"/>
                <w:b w:val="0"/>
                <w:bCs w:val="0"/>
                <w:sz w:val="20"/>
                <w:szCs w:val="20"/>
                <w:rtl/>
              </w:rPr>
            </w:pPr>
            <w:r w:rsidRPr="001B2EEC">
              <w:rPr>
                <w:rFonts w:ascii="Times New Roman" w:hAnsi="Times New Roman" w:cs="Times New Roman"/>
                <w:b w:val="0"/>
                <w:bCs w:val="0"/>
                <w:sz w:val="20"/>
                <w:szCs w:val="20"/>
              </w:rPr>
              <w:t>Open positions</w:t>
            </w:r>
          </w:p>
        </w:tc>
        <w:tc>
          <w:tcPr>
            <w:tcW w:w="490" w:type="dxa"/>
          </w:tcPr>
          <w:p w:rsidR="001B2EEC" w:rsidRPr="001B2EEC" w:rsidRDefault="001B2EEC" w:rsidP="001B2EEC">
            <w:pPr>
              <w:bidi w:val="0"/>
              <w:spacing w:after="0"/>
              <w:jc w:val="left"/>
              <w:rPr>
                <w:sz w:val="18"/>
                <w:szCs w:val="18"/>
                <w:rtl/>
              </w:rPr>
            </w:pPr>
          </w:p>
        </w:tc>
      </w:tr>
      <w:tr w:rsidR="001B2EEC" w:rsidRPr="001B2EEC" w:rsidTr="001B2EEC">
        <w:trPr>
          <w:trHeight w:val="313"/>
          <w:jc w:val="center"/>
        </w:trPr>
        <w:tc>
          <w:tcPr>
            <w:tcW w:w="669" w:type="dxa"/>
            <w:tcBorders>
              <w:top w:val="nil"/>
              <w:left w:val="nil"/>
              <w:bottom w:val="nil"/>
              <w:right w:val="single" w:sz="4" w:space="0" w:color="auto"/>
            </w:tcBorders>
          </w:tcPr>
          <w:p w:rsidR="001B2EEC" w:rsidRPr="001B2EEC" w:rsidRDefault="001B2EEC" w:rsidP="001B2EEC">
            <w:pPr>
              <w:bidi w:val="0"/>
              <w:spacing w:after="0"/>
              <w:jc w:val="left"/>
              <w:rPr>
                <w:sz w:val="18"/>
                <w:szCs w:val="18"/>
                <w:rtl/>
              </w:rPr>
            </w:pPr>
          </w:p>
        </w:tc>
        <w:tc>
          <w:tcPr>
            <w:tcW w:w="871" w:type="dxa"/>
            <w:tcBorders>
              <w:left w:val="single" w:sz="4" w:space="0" w:color="auto"/>
            </w:tcBorders>
          </w:tcPr>
          <w:p w:rsidR="001B2EEC" w:rsidRPr="001B2EEC" w:rsidRDefault="001B2EEC" w:rsidP="001B2EEC">
            <w:pPr>
              <w:bidi w:val="0"/>
              <w:spacing w:after="0"/>
              <w:jc w:val="left"/>
              <w:rPr>
                <w:sz w:val="18"/>
                <w:szCs w:val="18"/>
                <w:rtl/>
              </w:rPr>
            </w:pPr>
          </w:p>
        </w:tc>
        <w:tc>
          <w:tcPr>
            <w:tcW w:w="774" w:type="dxa"/>
          </w:tcPr>
          <w:p w:rsidR="001B2EEC" w:rsidRPr="001B2EEC" w:rsidRDefault="001B2EEC" w:rsidP="001B2EEC">
            <w:pPr>
              <w:bidi w:val="0"/>
              <w:spacing w:after="0"/>
              <w:jc w:val="left"/>
              <w:rPr>
                <w:sz w:val="18"/>
                <w:szCs w:val="18"/>
                <w:rtl/>
              </w:rPr>
            </w:pPr>
          </w:p>
        </w:tc>
        <w:tc>
          <w:tcPr>
            <w:tcW w:w="762" w:type="dxa"/>
          </w:tcPr>
          <w:p w:rsidR="001B2EEC" w:rsidRPr="001B2EEC" w:rsidRDefault="001B2EEC" w:rsidP="001B2EEC">
            <w:pPr>
              <w:bidi w:val="0"/>
              <w:spacing w:after="0"/>
              <w:jc w:val="left"/>
              <w:rPr>
                <w:sz w:val="18"/>
                <w:szCs w:val="18"/>
                <w:rtl/>
              </w:rPr>
            </w:pPr>
          </w:p>
        </w:tc>
        <w:tc>
          <w:tcPr>
            <w:tcW w:w="774" w:type="dxa"/>
          </w:tcPr>
          <w:p w:rsidR="001B2EEC" w:rsidRPr="001B2EEC" w:rsidRDefault="001B2EEC" w:rsidP="001B2EEC">
            <w:pPr>
              <w:bidi w:val="0"/>
              <w:spacing w:after="0"/>
              <w:jc w:val="left"/>
              <w:rPr>
                <w:sz w:val="18"/>
                <w:szCs w:val="18"/>
                <w:rtl/>
              </w:rPr>
            </w:pPr>
          </w:p>
        </w:tc>
        <w:tc>
          <w:tcPr>
            <w:tcW w:w="794" w:type="dxa"/>
          </w:tcPr>
          <w:p w:rsidR="001B2EEC" w:rsidRPr="001B2EEC" w:rsidRDefault="001B2EEC" w:rsidP="001B2EEC">
            <w:pPr>
              <w:bidi w:val="0"/>
              <w:spacing w:after="0"/>
              <w:jc w:val="left"/>
              <w:rPr>
                <w:sz w:val="18"/>
                <w:szCs w:val="18"/>
                <w:rtl/>
              </w:rPr>
            </w:pPr>
          </w:p>
        </w:tc>
        <w:tc>
          <w:tcPr>
            <w:tcW w:w="774" w:type="dxa"/>
          </w:tcPr>
          <w:p w:rsidR="001B2EEC" w:rsidRPr="001B2EEC" w:rsidRDefault="001B2EEC" w:rsidP="001B2EEC">
            <w:pPr>
              <w:bidi w:val="0"/>
              <w:spacing w:after="0"/>
              <w:jc w:val="left"/>
              <w:rPr>
                <w:sz w:val="18"/>
                <w:szCs w:val="18"/>
                <w:rtl/>
              </w:rPr>
            </w:pPr>
          </w:p>
        </w:tc>
        <w:tc>
          <w:tcPr>
            <w:tcW w:w="774" w:type="dxa"/>
          </w:tcPr>
          <w:p w:rsidR="001B2EEC" w:rsidRPr="001B2EEC" w:rsidRDefault="001B2EEC" w:rsidP="001B2EEC">
            <w:pPr>
              <w:bidi w:val="0"/>
              <w:spacing w:after="0"/>
              <w:jc w:val="left"/>
              <w:rPr>
                <w:sz w:val="18"/>
                <w:szCs w:val="18"/>
                <w:rtl/>
              </w:rPr>
            </w:pPr>
          </w:p>
        </w:tc>
        <w:tc>
          <w:tcPr>
            <w:tcW w:w="774" w:type="dxa"/>
          </w:tcPr>
          <w:p w:rsidR="001B2EEC" w:rsidRPr="001B2EEC" w:rsidRDefault="001B2EEC" w:rsidP="001B2EEC">
            <w:pPr>
              <w:bidi w:val="0"/>
              <w:spacing w:after="0"/>
              <w:jc w:val="left"/>
              <w:rPr>
                <w:sz w:val="18"/>
                <w:szCs w:val="18"/>
                <w:rtl/>
              </w:rPr>
            </w:pPr>
          </w:p>
        </w:tc>
        <w:tc>
          <w:tcPr>
            <w:tcW w:w="774" w:type="dxa"/>
          </w:tcPr>
          <w:p w:rsidR="001B2EEC" w:rsidRPr="001B2EEC" w:rsidRDefault="001B2EEC" w:rsidP="001B2EEC">
            <w:pPr>
              <w:bidi w:val="0"/>
              <w:spacing w:after="0"/>
              <w:jc w:val="left"/>
              <w:rPr>
                <w:sz w:val="18"/>
                <w:szCs w:val="18"/>
                <w:rtl/>
              </w:rPr>
            </w:pPr>
          </w:p>
        </w:tc>
        <w:tc>
          <w:tcPr>
            <w:tcW w:w="683" w:type="dxa"/>
          </w:tcPr>
          <w:p w:rsidR="001B2EEC" w:rsidRPr="001B2EEC" w:rsidRDefault="001B2EEC" w:rsidP="001B2EEC">
            <w:pPr>
              <w:bidi w:val="0"/>
              <w:spacing w:after="0"/>
              <w:jc w:val="left"/>
              <w:rPr>
                <w:sz w:val="18"/>
                <w:szCs w:val="18"/>
                <w:rtl/>
              </w:rPr>
            </w:pPr>
          </w:p>
        </w:tc>
        <w:tc>
          <w:tcPr>
            <w:tcW w:w="703" w:type="dxa"/>
          </w:tcPr>
          <w:p w:rsidR="001B2EEC" w:rsidRPr="001B2EEC" w:rsidRDefault="001B2EEC" w:rsidP="001B2EEC">
            <w:pPr>
              <w:bidi w:val="0"/>
              <w:spacing w:after="0"/>
              <w:jc w:val="left"/>
              <w:rPr>
                <w:sz w:val="18"/>
                <w:szCs w:val="18"/>
                <w:rtl/>
              </w:rPr>
            </w:pPr>
          </w:p>
        </w:tc>
        <w:tc>
          <w:tcPr>
            <w:tcW w:w="663" w:type="dxa"/>
          </w:tcPr>
          <w:p w:rsidR="001B2EEC" w:rsidRPr="001B2EEC" w:rsidRDefault="001B2EEC" w:rsidP="001B2EEC">
            <w:pPr>
              <w:bidi w:val="0"/>
              <w:spacing w:after="0"/>
              <w:jc w:val="left"/>
              <w:rPr>
                <w:sz w:val="18"/>
                <w:szCs w:val="18"/>
                <w:rtl/>
              </w:rPr>
            </w:pPr>
          </w:p>
        </w:tc>
        <w:tc>
          <w:tcPr>
            <w:tcW w:w="627" w:type="dxa"/>
          </w:tcPr>
          <w:p w:rsidR="001B2EEC" w:rsidRPr="001B2EEC" w:rsidRDefault="001B2EEC" w:rsidP="001B2EEC">
            <w:pPr>
              <w:bidi w:val="0"/>
              <w:spacing w:after="0"/>
              <w:jc w:val="left"/>
              <w:rPr>
                <w:sz w:val="18"/>
                <w:szCs w:val="18"/>
                <w:rtl/>
              </w:rPr>
            </w:pPr>
          </w:p>
        </w:tc>
        <w:tc>
          <w:tcPr>
            <w:tcW w:w="4106" w:type="dxa"/>
          </w:tcPr>
          <w:p w:rsidR="001B2EEC" w:rsidRPr="001B2EEC" w:rsidRDefault="001B2EEC" w:rsidP="001B2EEC">
            <w:pPr>
              <w:bidi w:val="0"/>
              <w:spacing w:after="0"/>
              <w:jc w:val="left"/>
              <w:rPr>
                <w:rFonts w:ascii="Times New Roman" w:hAnsi="Times New Roman" w:cs="Times New Roman"/>
                <w:b w:val="0"/>
                <w:bCs w:val="0"/>
                <w:sz w:val="20"/>
                <w:szCs w:val="20"/>
                <w:rtl/>
              </w:rPr>
            </w:pPr>
          </w:p>
        </w:tc>
        <w:tc>
          <w:tcPr>
            <w:tcW w:w="490" w:type="dxa"/>
          </w:tcPr>
          <w:p w:rsidR="001B2EEC" w:rsidRPr="001B2EEC" w:rsidRDefault="001B2EEC" w:rsidP="001B2EEC">
            <w:pPr>
              <w:bidi w:val="0"/>
              <w:spacing w:after="0"/>
              <w:jc w:val="left"/>
              <w:rPr>
                <w:sz w:val="18"/>
                <w:szCs w:val="18"/>
                <w:rtl/>
              </w:rPr>
            </w:pPr>
          </w:p>
        </w:tc>
      </w:tr>
      <w:tr w:rsidR="001B2EEC" w:rsidRPr="001B2EEC" w:rsidTr="001B2EEC">
        <w:trPr>
          <w:jc w:val="center"/>
        </w:trPr>
        <w:tc>
          <w:tcPr>
            <w:tcW w:w="669" w:type="dxa"/>
            <w:tcBorders>
              <w:top w:val="nil"/>
              <w:left w:val="nil"/>
              <w:bottom w:val="nil"/>
              <w:right w:val="single" w:sz="4" w:space="0" w:color="auto"/>
            </w:tcBorders>
          </w:tcPr>
          <w:p w:rsidR="001B2EEC" w:rsidRPr="001B2EEC" w:rsidRDefault="001B2EEC" w:rsidP="001B2EEC">
            <w:pPr>
              <w:bidi w:val="0"/>
              <w:spacing w:after="0"/>
              <w:jc w:val="left"/>
              <w:rPr>
                <w:sz w:val="18"/>
                <w:szCs w:val="18"/>
                <w:rtl/>
              </w:rPr>
            </w:pPr>
          </w:p>
        </w:tc>
        <w:tc>
          <w:tcPr>
            <w:tcW w:w="871" w:type="dxa"/>
            <w:tcBorders>
              <w:left w:val="single" w:sz="4" w:space="0" w:color="auto"/>
            </w:tcBorders>
          </w:tcPr>
          <w:p w:rsidR="001B2EEC" w:rsidRPr="001B2EEC" w:rsidRDefault="001B2EEC" w:rsidP="001B2EEC">
            <w:pPr>
              <w:bidi w:val="0"/>
              <w:spacing w:after="0"/>
              <w:jc w:val="left"/>
              <w:rPr>
                <w:sz w:val="18"/>
                <w:szCs w:val="18"/>
                <w:rtl/>
              </w:rPr>
            </w:pPr>
          </w:p>
        </w:tc>
        <w:tc>
          <w:tcPr>
            <w:tcW w:w="774" w:type="dxa"/>
          </w:tcPr>
          <w:p w:rsidR="001B2EEC" w:rsidRPr="001B2EEC" w:rsidRDefault="001B2EEC" w:rsidP="001B2EEC">
            <w:pPr>
              <w:bidi w:val="0"/>
              <w:spacing w:after="0"/>
              <w:jc w:val="left"/>
              <w:rPr>
                <w:sz w:val="18"/>
                <w:szCs w:val="18"/>
                <w:rtl/>
              </w:rPr>
            </w:pPr>
          </w:p>
        </w:tc>
        <w:tc>
          <w:tcPr>
            <w:tcW w:w="762" w:type="dxa"/>
          </w:tcPr>
          <w:p w:rsidR="001B2EEC" w:rsidRPr="001B2EEC" w:rsidRDefault="001B2EEC" w:rsidP="001B2EEC">
            <w:pPr>
              <w:bidi w:val="0"/>
              <w:spacing w:after="0"/>
              <w:jc w:val="left"/>
              <w:rPr>
                <w:sz w:val="18"/>
                <w:szCs w:val="18"/>
                <w:rtl/>
              </w:rPr>
            </w:pPr>
          </w:p>
        </w:tc>
        <w:tc>
          <w:tcPr>
            <w:tcW w:w="774" w:type="dxa"/>
          </w:tcPr>
          <w:p w:rsidR="001B2EEC" w:rsidRPr="001B2EEC" w:rsidRDefault="001B2EEC" w:rsidP="001B2EEC">
            <w:pPr>
              <w:bidi w:val="0"/>
              <w:spacing w:after="0"/>
              <w:jc w:val="left"/>
              <w:rPr>
                <w:sz w:val="18"/>
                <w:szCs w:val="18"/>
                <w:rtl/>
              </w:rPr>
            </w:pPr>
          </w:p>
        </w:tc>
        <w:tc>
          <w:tcPr>
            <w:tcW w:w="794" w:type="dxa"/>
          </w:tcPr>
          <w:p w:rsidR="001B2EEC" w:rsidRPr="001B2EEC" w:rsidRDefault="001B2EEC" w:rsidP="001B2EEC">
            <w:pPr>
              <w:bidi w:val="0"/>
              <w:spacing w:after="0"/>
              <w:jc w:val="left"/>
              <w:rPr>
                <w:sz w:val="18"/>
                <w:szCs w:val="18"/>
                <w:rtl/>
              </w:rPr>
            </w:pPr>
          </w:p>
        </w:tc>
        <w:tc>
          <w:tcPr>
            <w:tcW w:w="774" w:type="dxa"/>
          </w:tcPr>
          <w:p w:rsidR="001B2EEC" w:rsidRPr="001B2EEC" w:rsidRDefault="001B2EEC" w:rsidP="001B2EEC">
            <w:pPr>
              <w:bidi w:val="0"/>
              <w:spacing w:after="0"/>
              <w:jc w:val="left"/>
              <w:rPr>
                <w:sz w:val="18"/>
                <w:szCs w:val="18"/>
                <w:rtl/>
              </w:rPr>
            </w:pPr>
          </w:p>
        </w:tc>
        <w:tc>
          <w:tcPr>
            <w:tcW w:w="774" w:type="dxa"/>
          </w:tcPr>
          <w:p w:rsidR="001B2EEC" w:rsidRPr="001B2EEC" w:rsidRDefault="001B2EEC" w:rsidP="001B2EEC">
            <w:pPr>
              <w:bidi w:val="0"/>
              <w:spacing w:after="0"/>
              <w:jc w:val="left"/>
              <w:rPr>
                <w:sz w:val="18"/>
                <w:szCs w:val="18"/>
                <w:rtl/>
              </w:rPr>
            </w:pPr>
          </w:p>
        </w:tc>
        <w:tc>
          <w:tcPr>
            <w:tcW w:w="774" w:type="dxa"/>
          </w:tcPr>
          <w:p w:rsidR="001B2EEC" w:rsidRPr="001B2EEC" w:rsidRDefault="001B2EEC" w:rsidP="001B2EEC">
            <w:pPr>
              <w:bidi w:val="0"/>
              <w:spacing w:after="0"/>
              <w:jc w:val="left"/>
              <w:rPr>
                <w:sz w:val="18"/>
                <w:szCs w:val="18"/>
                <w:rtl/>
              </w:rPr>
            </w:pPr>
          </w:p>
        </w:tc>
        <w:tc>
          <w:tcPr>
            <w:tcW w:w="774" w:type="dxa"/>
          </w:tcPr>
          <w:p w:rsidR="001B2EEC" w:rsidRPr="001B2EEC" w:rsidRDefault="001B2EEC" w:rsidP="001B2EEC">
            <w:pPr>
              <w:bidi w:val="0"/>
              <w:spacing w:after="0"/>
              <w:jc w:val="left"/>
              <w:rPr>
                <w:sz w:val="18"/>
                <w:szCs w:val="18"/>
                <w:rtl/>
              </w:rPr>
            </w:pPr>
          </w:p>
        </w:tc>
        <w:tc>
          <w:tcPr>
            <w:tcW w:w="683" w:type="dxa"/>
          </w:tcPr>
          <w:p w:rsidR="001B2EEC" w:rsidRPr="001B2EEC" w:rsidRDefault="001B2EEC" w:rsidP="001B2EEC">
            <w:pPr>
              <w:bidi w:val="0"/>
              <w:spacing w:after="0"/>
              <w:jc w:val="left"/>
              <w:rPr>
                <w:sz w:val="18"/>
                <w:szCs w:val="18"/>
                <w:rtl/>
              </w:rPr>
            </w:pPr>
          </w:p>
        </w:tc>
        <w:tc>
          <w:tcPr>
            <w:tcW w:w="703" w:type="dxa"/>
          </w:tcPr>
          <w:p w:rsidR="001B2EEC" w:rsidRPr="001B2EEC" w:rsidRDefault="001B2EEC" w:rsidP="001B2EEC">
            <w:pPr>
              <w:bidi w:val="0"/>
              <w:spacing w:after="0"/>
              <w:jc w:val="left"/>
              <w:rPr>
                <w:sz w:val="18"/>
                <w:szCs w:val="18"/>
                <w:rtl/>
              </w:rPr>
            </w:pPr>
          </w:p>
        </w:tc>
        <w:tc>
          <w:tcPr>
            <w:tcW w:w="663" w:type="dxa"/>
          </w:tcPr>
          <w:p w:rsidR="001B2EEC" w:rsidRPr="001B2EEC" w:rsidRDefault="001B2EEC" w:rsidP="001B2EEC">
            <w:pPr>
              <w:bidi w:val="0"/>
              <w:spacing w:after="0"/>
              <w:jc w:val="left"/>
              <w:rPr>
                <w:sz w:val="18"/>
                <w:szCs w:val="18"/>
                <w:rtl/>
              </w:rPr>
            </w:pPr>
          </w:p>
        </w:tc>
        <w:tc>
          <w:tcPr>
            <w:tcW w:w="627" w:type="dxa"/>
          </w:tcPr>
          <w:p w:rsidR="001B2EEC" w:rsidRPr="001B2EEC" w:rsidRDefault="001B2EEC" w:rsidP="001B2EEC">
            <w:pPr>
              <w:bidi w:val="0"/>
              <w:spacing w:after="0"/>
              <w:jc w:val="left"/>
              <w:rPr>
                <w:sz w:val="18"/>
                <w:szCs w:val="18"/>
                <w:rtl/>
              </w:rPr>
            </w:pPr>
          </w:p>
        </w:tc>
        <w:tc>
          <w:tcPr>
            <w:tcW w:w="4106" w:type="dxa"/>
          </w:tcPr>
          <w:p w:rsidR="001B2EEC" w:rsidRPr="001B2EEC" w:rsidRDefault="001B2EEC" w:rsidP="001B2EEC">
            <w:pPr>
              <w:bidi w:val="0"/>
              <w:spacing w:after="0"/>
              <w:jc w:val="left"/>
              <w:rPr>
                <w:rFonts w:ascii="Times New Roman" w:hAnsi="Times New Roman" w:cs="Times New Roman"/>
                <w:b w:val="0"/>
                <w:bCs w:val="0"/>
                <w:sz w:val="20"/>
                <w:szCs w:val="20"/>
                <w:rtl/>
              </w:rPr>
            </w:pPr>
            <w:r w:rsidRPr="001B2EEC">
              <w:rPr>
                <w:rFonts w:ascii="Times New Roman" w:hAnsi="Times New Roman" w:cs="Times New Roman"/>
                <w:b w:val="0"/>
                <w:bCs w:val="0"/>
                <w:sz w:val="20"/>
                <w:szCs w:val="20"/>
              </w:rPr>
              <w:t>Total</w:t>
            </w:r>
          </w:p>
        </w:tc>
        <w:tc>
          <w:tcPr>
            <w:tcW w:w="490" w:type="dxa"/>
          </w:tcPr>
          <w:p w:rsidR="001B2EEC" w:rsidRPr="001B2EEC" w:rsidRDefault="001B2EEC" w:rsidP="001B2EEC">
            <w:pPr>
              <w:bidi w:val="0"/>
              <w:spacing w:after="0"/>
              <w:jc w:val="left"/>
              <w:rPr>
                <w:sz w:val="18"/>
                <w:szCs w:val="18"/>
                <w:rtl/>
              </w:rPr>
            </w:pPr>
          </w:p>
        </w:tc>
      </w:tr>
      <w:tr w:rsidR="001B2EEC" w:rsidRPr="001B2EEC" w:rsidTr="001B2EEC">
        <w:trPr>
          <w:jc w:val="center"/>
        </w:trPr>
        <w:tc>
          <w:tcPr>
            <w:tcW w:w="669" w:type="dxa"/>
            <w:tcBorders>
              <w:top w:val="nil"/>
              <w:left w:val="nil"/>
              <w:bottom w:val="nil"/>
              <w:right w:val="single" w:sz="4" w:space="0" w:color="auto"/>
            </w:tcBorders>
          </w:tcPr>
          <w:p w:rsidR="001B2EEC" w:rsidRPr="001B2EEC" w:rsidRDefault="001B2EEC" w:rsidP="001B2EEC">
            <w:pPr>
              <w:bidi w:val="0"/>
              <w:spacing w:after="0"/>
              <w:jc w:val="left"/>
              <w:rPr>
                <w:sz w:val="18"/>
                <w:szCs w:val="18"/>
                <w:rtl/>
              </w:rPr>
            </w:pPr>
          </w:p>
        </w:tc>
        <w:tc>
          <w:tcPr>
            <w:tcW w:w="871" w:type="dxa"/>
            <w:tcBorders>
              <w:left w:val="single" w:sz="4" w:space="0" w:color="auto"/>
            </w:tcBorders>
            <w:vAlign w:val="center"/>
          </w:tcPr>
          <w:p w:rsidR="001B2EEC" w:rsidRPr="001B2EEC" w:rsidRDefault="001B2EEC" w:rsidP="006E58E7">
            <w:pPr>
              <w:spacing w:after="0"/>
              <w:jc w:val="center"/>
              <w:rPr>
                <w:sz w:val="18"/>
                <w:szCs w:val="18"/>
              </w:rPr>
            </w:pPr>
            <w:r w:rsidRPr="001B2EEC">
              <w:rPr>
                <w:sz w:val="18"/>
                <w:szCs w:val="18"/>
              </w:rPr>
              <w:t>0</w:t>
            </w:r>
          </w:p>
        </w:tc>
        <w:tc>
          <w:tcPr>
            <w:tcW w:w="774" w:type="dxa"/>
            <w:vAlign w:val="center"/>
          </w:tcPr>
          <w:p w:rsidR="001B2EEC" w:rsidRPr="001B2EEC" w:rsidRDefault="001B2EEC" w:rsidP="006E58E7">
            <w:pPr>
              <w:spacing w:after="0"/>
              <w:jc w:val="center"/>
              <w:rPr>
                <w:sz w:val="18"/>
                <w:szCs w:val="18"/>
              </w:rPr>
            </w:pPr>
            <w:r w:rsidRPr="001B2EEC">
              <w:rPr>
                <w:sz w:val="18"/>
                <w:szCs w:val="18"/>
              </w:rPr>
              <w:t>0</w:t>
            </w:r>
          </w:p>
        </w:tc>
        <w:tc>
          <w:tcPr>
            <w:tcW w:w="762" w:type="dxa"/>
            <w:vAlign w:val="center"/>
          </w:tcPr>
          <w:p w:rsidR="001B2EEC" w:rsidRPr="001B2EEC" w:rsidRDefault="001B2EEC" w:rsidP="006E58E7">
            <w:pPr>
              <w:spacing w:after="0"/>
              <w:jc w:val="center"/>
              <w:rPr>
                <w:sz w:val="18"/>
                <w:szCs w:val="18"/>
              </w:rPr>
            </w:pPr>
            <w:r w:rsidRPr="001B2EEC">
              <w:rPr>
                <w:sz w:val="18"/>
                <w:szCs w:val="18"/>
              </w:rPr>
              <w:t>0</w:t>
            </w:r>
          </w:p>
        </w:tc>
        <w:tc>
          <w:tcPr>
            <w:tcW w:w="774" w:type="dxa"/>
            <w:vAlign w:val="center"/>
          </w:tcPr>
          <w:p w:rsidR="001B2EEC" w:rsidRPr="001B2EEC" w:rsidRDefault="001B2EEC" w:rsidP="006E58E7">
            <w:pPr>
              <w:spacing w:after="0"/>
              <w:jc w:val="center"/>
              <w:rPr>
                <w:sz w:val="18"/>
                <w:szCs w:val="18"/>
              </w:rPr>
            </w:pPr>
            <w:r w:rsidRPr="001B2EEC">
              <w:rPr>
                <w:sz w:val="18"/>
                <w:szCs w:val="18"/>
              </w:rPr>
              <w:t>0</w:t>
            </w:r>
          </w:p>
        </w:tc>
        <w:tc>
          <w:tcPr>
            <w:tcW w:w="794" w:type="dxa"/>
            <w:vAlign w:val="center"/>
          </w:tcPr>
          <w:p w:rsidR="001B2EEC" w:rsidRPr="001B2EEC" w:rsidRDefault="001B2EEC" w:rsidP="006E58E7">
            <w:pPr>
              <w:spacing w:after="0"/>
              <w:jc w:val="center"/>
              <w:rPr>
                <w:sz w:val="18"/>
                <w:szCs w:val="18"/>
              </w:rPr>
            </w:pPr>
            <w:r w:rsidRPr="001B2EEC">
              <w:rPr>
                <w:sz w:val="18"/>
                <w:szCs w:val="18"/>
              </w:rPr>
              <w:t>0</w:t>
            </w:r>
          </w:p>
        </w:tc>
        <w:tc>
          <w:tcPr>
            <w:tcW w:w="774" w:type="dxa"/>
            <w:vAlign w:val="center"/>
          </w:tcPr>
          <w:p w:rsidR="001B2EEC" w:rsidRPr="001B2EEC" w:rsidRDefault="001B2EEC" w:rsidP="006E58E7">
            <w:pPr>
              <w:spacing w:after="0"/>
              <w:jc w:val="center"/>
              <w:rPr>
                <w:sz w:val="18"/>
                <w:szCs w:val="18"/>
              </w:rPr>
            </w:pPr>
            <w:r w:rsidRPr="001B2EEC">
              <w:rPr>
                <w:sz w:val="18"/>
                <w:szCs w:val="18"/>
              </w:rPr>
              <w:t>0</w:t>
            </w:r>
          </w:p>
        </w:tc>
        <w:tc>
          <w:tcPr>
            <w:tcW w:w="774" w:type="dxa"/>
            <w:vAlign w:val="center"/>
          </w:tcPr>
          <w:p w:rsidR="001B2EEC" w:rsidRPr="001B2EEC" w:rsidRDefault="001B2EEC" w:rsidP="006E58E7">
            <w:pPr>
              <w:spacing w:after="0"/>
              <w:jc w:val="center"/>
              <w:rPr>
                <w:sz w:val="18"/>
                <w:szCs w:val="18"/>
              </w:rPr>
            </w:pPr>
            <w:r w:rsidRPr="001B2EEC">
              <w:rPr>
                <w:sz w:val="18"/>
                <w:szCs w:val="18"/>
              </w:rPr>
              <w:t>0</w:t>
            </w:r>
          </w:p>
        </w:tc>
        <w:tc>
          <w:tcPr>
            <w:tcW w:w="774" w:type="dxa"/>
            <w:vAlign w:val="center"/>
          </w:tcPr>
          <w:p w:rsidR="001B2EEC" w:rsidRPr="001B2EEC" w:rsidRDefault="001B2EEC" w:rsidP="006E58E7">
            <w:pPr>
              <w:spacing w:after="0"/>
              <w:jc w:val="center"/>
              <w:rPr>
                <w:sz w:val="18"/>
                <w:szCs w:val="18"/>
              </w:rPr>
            </w:pPr>
            <w:r w:rsidRPr="001B2EEC">
              <w:rPr>
                <w:sz w:val="18"/>
                <w:szCs w:val="18"/>
              </w:rPr>
              <w:t>0</w:t>
            </w:r>
          </w:p>
        </w:tc>
        <w:tc>
          <w:tcPr>
            <w:tcW w:w="774" w:type="dxa"/>
            <w:vAlign w:val="center"/>
          </w:tcPr>
          <w:p w:rsidR="001B2EEC" w:rsidRPr="001B2EEC" w:rsidRDefault="001B2EEC" w:rsidP="006E58E7">
            <w:pPr>
              <w:spacing w:after="0"/>
              <w:jc w:val="center"/>
              <w:rPr>
                <w:sz w:val="18"/>
                <w:szCs w:val="18"/>
              </w:rPr>
            </w:pPr>
            <w:r w:rsidRPr="001B2EEC">
              <w:rPr>
                <w:sz w:val="18"/>
                <w:szCs w:val="18"/>
              </w:rPr>
              <w:t>0</w:t>
            </w:r>
          </w:p>
        </w:tc>
        <w:tc>
          <w:tcPr>
            <w:tcW w:w="683" w:type="dxa"/>
            <w:vAlign w:val="center"/>
          </w:tcPr>
          <w:p w:rsidR="001B2EEC" w:rsidRPr="001B2EEC" w:rsidRDefault="001B2EEC" w:rsidP="006E58E7">
            <w:pPr>
              <w:spacing w:after="0"/>
              <w:jc w:val="center"/>
              <w:rPr>
                <w:sz w:val="18"/>
                <w:szCs w:val="18"/>
              </w:rPr>
            </w:pPr>
            <w:r w:rsidRPr="001B2EEC">
              <w:rPr>
                <w:sz w:val="18"/>
                <w:szCs w:val="18"/>
              </w:rPr>
              <w:t>0</w:t>
            </w:r>
          </w:p>
        </w:tc>
        <w:tc>
          <w:tcPr>
            <w:tcW w:w="703" w:type="dxa"/>
            <w:vAlign w:val="center"/>
          </w:tcPr>
          <w:p w:rsidR="001B2EEC" w:rsidRPr="001B2EEC" w:rsidRDefault="001B2EEC" w:rsidP="006E58E7">
            <w:pPr>
              <w:spacing w:after="0"/>
              <w:jc w:val="center"/>
              <w:rPr>
                <w:sz w:val="18"/>
                <w:szCs w:val="18"/>
              </w:rPr>
            </w:pPr>
            <w:r w:rsidRPr="001B2EEC">
              <w:rPr>
                <w:sz w:val="18"/>
                <w:szCs w:val="18"/>
              </w:rPr>
              <w:t>0</w:t>
            </w:r>
          </w:p>
        </w:tc>
        <w:tc>
          <w:tcPr>
            <w:tcW w:w="663" w:type="dxa"/>
            <w:vAlign w:val="center"/>
          </w:tcPr>
          <w:p w:rsidR="001B2EEC" w:rsidRPr="001B2EEC" w:rsidRDefault="001B2EEC" w:rsidP="006E58E7">
            <w:pPr>
              <w:spacing w:after="0"/>
              <w:jc w:val="center"/>
              <w:rPr>
                <w:sz w:val="18"/>
                <w:szCs w:val="18"/>
              </w:rPr>
            </w:pPr>
            <w:r w:rsidRPr="001B2EEC">
              <w:rPr>
                <w:sz w:val="18"/>
                <w:szCs w:val="18"/>
              </w:rPr>
              <w:t>0</w:t>
            </w:r>
          </w:p>
        </w:tc>
        <w:tc>
          <w:tcPr>
            <w:tcW w:w="627" w:type="dxa"/>
            <w:vAlign w:val="center"/>
          </w:tcPr>
          <w:p w:rsidR="001B2EEC" w:rsidRPr="001B2EEC" w:rsidRDefault="001B2EEC" w:rsidP="006E58E7">
            <w:pPr>
              <w:spacing w:after="0"/>
              <w:jc w:val="center"/>
              <w:rPr>
                <w:sz w:val="18"/>
                <w:szCs w:val="18"/>
              </w:rPr>
            </w:pPr>
            <w:r w:rsidRPr="001B2EEC">
              <w:rPr>
                <w:sz w:val="18"/>
                <w:szCs w:val="18"/>
              </w:rPr>
              <w:t>0</w:t>
            </w:r>
          </w:p>
        </w:tc>
        <w:tc>
          <w:tcPr>
            <w:tcW w:w="4106" w:type="dxa"/>
          </w:tcPr>
          <w:p w:rsidR="001B2EEC" w:rsidRPr="001B2EEC" w:rsidRDefault="001B2EEC" w:rsidP="001B2EEC">
            <w:pPr>
              <w:bidi w:val="0"/>
              <w:spacing w:after="0"/>
              <w:jc w:val="left"/>
              <w:rPr>
                <w:rFonts w:ascii="Times New Roman" w:hAnsi="Times New Roman" w:cs="Times New Roman"/>
                <w:b w:val="0"/>
                <w:bCs w:val="0"/>
                <w:sz w:val="20"/>
                <w:szCs w:val="20"/>
                <w:rtl/>
              </w:rPr>
            </w:pPr>
            <w:r w:rsidRPr="001B2EEC">
              <w:rPr>
                <w:rFonts w:ascii="Times New Roman" w:hAnsi="Times New Roman" w:cs="Times New Roman"/>
                <w:b w:val="0"/>
                <w:bCs w:val="0"/>
                <w:sz w:val="20"/>
                <w:szCs w:val="20"/>
              </w:rPr>
              <w:t>Total of long positions</w:t>
            </w:r>
          </w:p>
        </w:tc>
        <w:tc>
          <w:tcPr>
            <w:tcW w:w="490" w:type="dxa"/>
          </w:tcPr>
          <w:p w:rsidR="001B2EEC" w:rsidRPr="001B2EEC" w:rsidRDefault="001B2EEC" w:rsidP="001B2EEC">
            <w:pPr>
              <w:bidi w:val="0"/>
              <w:spacing w:after="0"/>
              <w:jc w:val="left"/>
              <w:rPr>
                <w:sz w:val="18"/>
                <w:szCs w:val="18"/>
                <w:rtl/>
              </w:rPr>
            </w:pPr>
          </w:p>
        </w:tc>
      </w:tr>
      <w:tr w:rsidR="001B2EEC" w:rsidRPr="001B2EEC" w:rsidTr="001B2EEC">
        <w:trPr>
          <w:jc w:val="center"/>
        </w:trPr>
        <w:tc>
          <w:tcPr>
            <w:tcW w:w="669" w:type="dxa"/>
            <w:tcBorders>
              <w:top w:val="nil"/>
              <w:left w:val="nil"/>
              <w:bottom w:val="nil"/>
              <w:right w:val="single" w:sz="4" w:space="0" w:color="auto"/>
            </w:tcBorders>
          </w:tcPr>
          <w:p w:rsidR="001B2EEC" w:rsidRPr="001B2EEC" w:rsidRDefault="001B2EEC" w:rsidP="001B2EEC">
            <w:pPr>
              <w:bidi w:val="0"/>
              <w:spacing w:after="0"/>
              <w:jc w:val="left"/>
              <w:rPr>
                <w:sz w:val="18"/>
                <w:szCs w:val="18"/>
                <w:rtl/>
              </w:rPr>
            </w:pPr>
          </w:p>
        </w:tc>
        <w:tc>
          <w:tcPr>
            <w:tcW w:w="871" w:type="dxa"/>
            <w:tcBorders>
              <w:left w:val="single" w:sz="4" w:space="0" w:color="auto"/>
            </w:tcBorders>
            <w:vAlign w:val="center"/>
          </w:tcPr>
          <w:p w:rsidR="001B2EEC" w:rsidRPr="001B2EEC" w:rsidRDefault="001B2EEC" w:rsidP="006E58E7">
            <w:pPr>
              <w:spacing w:after="0"/>
              <w:jc w:val="center"/>
              <w:rPr>
                <w:sz w:val="18"/>
                <w:szCs w:val="18"/>
              </w:rPr>
            </w:pPr>
            <w:r w:rsidRPr="001B2EEC">
              <w:rPr>
                <w:sz w:val="18"/>
                <w:szCs w:val="18"/>
              </w:rPr>
              <w:t>0</w:t>
            </w:r>
          </w:p>
        </w:tc>
        <w:tc>
          <w:tcPr>
            <w:tcW w:w="774" w:type="dxa"/>
            <w:vAlign w:val="center"/>
          </w:tcPr>
          <w:p w:rsidR="001B2EEC" w:rsidRPr="001B2EEC" w:rsidRDefault="001B2EEC" w:rsidP="006E58E7">
            <w:pPr>
              <w:spacing w:after="0"/>
              <w:jc w:val="center"/>
              <w:rPr>
                <w:sz w:val="18"/>
                <w:szCs w:val="18"/>
              </w:rPr>
            </w:pPr>
            <w:r w:rsidRPr="001B2EEC">
              <w:rPr>
                <w:sz w:val="18"/>
                <w:szCs w:val="18"/>
              </w:rPr>
              <w:t>0</w:t>
            </w:r>
          </w:p>
        </w:tc>
        <w:tc>
          <w:tcPr>
            <w:tcW w:w="762" w:type="dxa"/>
            <w:vAlign w:val="center"/>
          </w:tcPr>
          <w:p w:rsidR="001B2EEC" w:rsidRPr="001B2EEC" w:rsidRDefault="001B2EEC" w:rsidP="006E58E7">
            <w:pPr>
              <w:spacing w:after="0"/>
              <w:jc w:val="center"/>
              <w:rPr>
                <w:sz w:val="18"/>
                <w:szCs w:val="18"/>
              </w:rPr>
            </w:pPr>
            <w:r w:rsidRPr="001B2EEC">
              <w:rPr>
                <w:sz w:val="18"/>
                <w:szCs w:val="18"/>
              </w:rPr>
              <w:t>0</w:t>
            </w:r>
          </w:p>
        </w:tc>
        <w:tc>
          <w:tcPr>
            <w:tcW w:w="774" w:type="dxa"/>
            <w:vAlign w:val="center"/>
          </w:tcPr>
          <w:p w:rsidR="001B2EEC" w:rsidRPr="001B2EEC" w:rsidRDefault="001B2EEC" w:rsidP="006E58E7">
            <w:pPr>
              <w:spacing w:after="0"/>
              <w:jc w:val="center"/>
              <w:rPr>
                <w:sz w:val="18"/>
                <w:szCs w:val="18"/>
              </w:rPr>
            </w:pPr>
            <w:r w:rsidRPr="001B2EEC">
              <w:rPr>
                <w:sz w:val="18"/>
                <w:szCs w:val="18"/>
              </w:rPr>
              <w:t>0</w:t>
            </w:r>
          </w:p>
        </w:tc>
        <w:tc>
          <w:tcPr>
            <w:tcW w:w="794" w:type="dxa"/>
            <w:vAlign w:val="center"/>
          </w:tcPr>
          <w:p w:rsidR="001B2EEC" w:rsidRPr="001B2EEC" w:rsidRDefault="001B2EEC" w:rsidP="006E58E7">
            <w:pPr>
              <w:spacing w:after="0"/>
              <w:jc w:val="center"/>
              <w:rPr>
                <w:sz w:val="18"/>
                <w:szCs w:val="18"/>
              </w:rPr>
            </w:pPr>
            <w:r w:rsidRPr="001B2EEC">
              <w:rPr>
                <w:sz w:val="18"/>
                <w:szCs w:val="18"/>
              </w:rPr>
              <w:t>0</w:t>
            </w:r>
          </w:p>
        </w:tc>
        <w:tc>
          <w:tcPr>
            <w:tcW w:w="774" w:type="dxa"/>
            <w:vAlign w:val="center"/>
          </w:tcPr>
          <w:p w:rsidR="001B2EEC" w:rsidRPr="001B2EEC" w:rsidRDefault="001B2EEC" w:rsidP="006E58E7">
            <w:pPr>
              <w:spacing w:after="0"/>
              <w:jc w:val="center"/>
              <w:rPr>
                <w:sz w:val="18"/>
                <w:szCs w:val="18"/>
              </w:rPr>
            </w:pPr>
            <w:r w:rsidRPr="001B2EEC">
              <w:rPr>
                <w:sz w:val="18"/>
                <w:szCs w:val="18"/>
              </w:rPr>
              <w:t>0</w:t>
            </w:r>
          </w:p>
        </w:tc>
        <w:tc>
          <w:tcPr>
            <w:tcW w:w="774" w:type="dxa"/>
            <w:vAlign w:val="center"/>
          </w:tcPr>
          <w:p w:rsidR="001B2EEC" w:rsidRPr="001B2EEC" w:rsidRDefault="001B2EEC" w:rsidP="006E58E7">
            <w:pPr>
              <w:spacing w:after="0"/>
              <w:jc w:val="center"/>
              <w:rPr>
                <w:sz w:val="18"/>
                <w:szCs w:val="18"/>
              </w:rPr>
            </w:pPr>
            <w:r w:rsidRPr="001B2EEC">
              <w:rPr>
                <w:sz w:val="18"/>
                <w:szCs w:val="18"/>
              </w:rPr>
              <w:t>0</w:t>
            </w:r>
          </w:p>
        </w:tc>
        <w:tc>
          <w:tcPr>
            <w:tcW w:w="774" w:type="dxa"/>
            <w:vAlign w:val="center"/>
          </w:tcPr>
          <w:p w:rsidR="001B2EEC" w:rsidRPr="001B2EEC" w:rsidRDefault="001B2EEC" w:rsidP="006E58E7">
            <w:pPr>
              <w:spacing w:after="0"/>
              <w:jc w:val="center"/>
              <w:rPr>
                <w:sz w:val="18"/>
                <w:szCs w:val="18"/>
              </w:rPr>
            </w:pPr>
            <w:r w:rsidRPr="001B2EEC">
              <w:rPr>
                <w:sz w:val="18"/>
                <w:szCs w:val="18"/>
              </w:rPr>
              <w:t>0</w:t>
            </w:r>
          </w:p>
        </w:tc>
        <w:tc>
          <w:tcPr>
            <w:tcW w:w="774" w:type="dxa"/>
            <w:vAlign w:val="center"/>
          </w:tcPr>
          <w:p w:rsidR="001B2EEC" w:rsidRPr="001B2EEC" w:rsidRDefault="001B2EEC" w:rsidP="006E58E7">
            <w:pPr>
              <w:spacing w:after="0"/>
              <w:jc w:val="center"/>
              <w:rPr>
                <w:sz w:val="18"/>
                <w:szCs w:val="18"/>
              </w:rPr>
            </w:pPr>
            <w:r w:rsidRPr="001B2EEC">
              <w:rPr>
                <w:sz w:val="18"/>
                <w:szCs w:val="18"/>
              </w:rPr>
              <w:t>0</w:t>
            </w:r>
          </w:p>
        </w:tc>
        <w:tc>
          <w:tcPr>
            <w:tcW w:w="683" w:type="dxa"/>
            <w:vAlign w:val="center"/>
          </w:tcPr>
          <w:p w:rsidR="001B2EEC" w:rsidRPr="001B2EEC" w:rsidRDefault="001B2EEC" w:rsidP="006E58E7">
            <w:pPr>
              <w:spacing w:after="0"/>
              <w:jc w:val="center"/>
              <w:rPr>
                <w:sz w:val="18"/>
                <w:szCs w:val="18"/>
              </w:rPr>
            </w:pPr>
            <w:r w:rsidRPr="001B2EEC">
              <w:rPr>
                <w:sz w:val="18"/>
                <w:szCs w:val="18"/>
              </w:rPr>
              <w:t>0</w:t>
            </w:r>
          </w:p>
        </w:tc>
        <w:tc>
          <w:tcPr>
            <w:tcW w:w="703" w:type="dxa"/>
            <w:vAlign w:val="center"/>
          </w:tcPr>
          <w:p w:rsidR="001B2EEC" w:rsidRPr="001B2EEC" w:rsidRDefault="001B2EEC" w:rsidP="006E58E7">
            <w:pPr>
              <w:spacing w:after="0"/>
              <w:jc w:val="center"/>
              <w:rPr>
                <w:sz w:val="18"/>
                <w:szCs w:val="18"/>
              </w:rPr>
            </w:pPr>
            <w:r w:rsidRPr="001B2EEC">
              <w:rPr>
                <w:sz w:val="18"/>
                <w:szCs w:val="18"/>
              </w:rPr>
              <w:t>0</w:t>
            </w:r>
          </w:p>
        </w:tc>
        <w:tc>
          <w:tcPr>
            <w:tcW w:w="663" w:type="dxa"/>
            <w:vAlign w:val="center"/>
          </w:tcPr>
          <w:p w:rsidR="001B2EEC" w:rsidRPr="001B2EEC" w:rsidRDefault="001B2EEC" w:rsidP="006E58E7">
            <w:pPr>
              <w:spacing w:after="0"/>
              <w:jc w:val="center"/>
              <w:rPr>
                <w:sz w:val="18"/>
                <w:szCs w:val="18"/>
              </w:rPr>
            </w:pPr>
            <w:r w:rsidRPr="001B2EEC">
              <w:rPr>
                <w:sz w:val="18"/>
                <w:szCs w:val="18"/>
              </w:rPr>
              <w:t>0</w:t>
            </w:r>
          </w:p>
        </w:tc>
        <w:tc>
          <w:tcPr>
            <w:tcW w:w="627" w:type="dxa"/>
            <w:vAlign w:val="center"/>
          </w:tcPr>
          <w:p w:rsidR="001B2EEC" w:rsidRPr="001B2EEC" w:rsidRDefault="001B2EEC" w:rsidP="006E58E7">
            <w:pPr>
              <w:spacing w:after="0"/>
              <w:jc w:val="center"/>
              <w:rPr>
                <w:sz w:val="18"/>
                <w:szCs w:val="18"/>
              </w:rPr>
            </w:pPr>
            <w:r w:rsidRPr="001B2EEC">
              <w:rPr>
                <w:sz w:val="18"/>
                <w:szCs w:val="18"/>
              </w:rPr>
              <w:t>0</w:t>
            </w:r>
          </w:p>
        </w:tc>
        <w:tc>
          <w:tcPr>
            <w:tcW w:w="4106" w:type="dxa"/>
          </w:tcPr>
          <w:p w:rsidR="001B2EEC" w:rsidRPr="001B2EEC" w:rsidRDefault="001B2EEC" w:rsidP="001B2EEC">
            <w:pPr>
              <w:bidi w:val="0"/>
              <w:spacing w:after="0"/>
              <w:jc w:val="left"/>
              <w:rPr>
                <w:rFonts w:ascii="Times New Roman" w:hAnsi="Times New Roman" w:cs="Times New Roman"/>
                <w:b w:val="0"/>
                <w:bCs w:val="0"/>
                <w:sz w:val="20"/>
                <w:szCs w:val="20"/>
                <w:rtl/>
              </w:rPr>
            </w:pPr>
            <w:r w:rsidRPr="001B2EEC">
              <w:rPr>
                <w:rFonts w:ascii="Times New Roman" w:hAnsi="Times New Roman" w:cs="Times New Roman"/>
                <w:b w:val="0"/>
                <w:bCs w:val="0"/>
                <w:sz w:val="20"/>
                <w:szCs w:val="20"/>
              </w:rPr>
              <w:t>Total of short positions</w:t>
            </w:r>
          </w:p>
        </w:tc>
        <w:tc>
          <w:tcPr>
            <w:tcW w:w="490" w:type="dxa"/>
          </w:tcPr>
          <w:p w:rsidR="001B2EEC" w:rsidRPr="001B2EEC" w:rsidRDefault="001B2EEC" w:rsidP="001B2EEC">
            <w:pPr>
              <w:bidi w:val="0"/>
              <w:spacing w:after="0"/>
              <w:jc w:val="left"/>
              <w:rPr>
                <w:sz w:val="18"/>
                <w:szCs w:val="18"/>
                <w:rtl/>
              </w:rPr>
            </w:pPr>
          </w:p>
        </w:tc>
      </w:tr>
      <w:tr w:rsidR="001B2EEC" w:rsidRPr="001B2EEC" w:rsidTr="001B2EEC">
        <w:trPr>
          <w:jc w:val="center"/>
        </w:trPr>
        <w:tc>
          <w:tcPr>
            <w:tcW w:w="669" w:type="dxa"/>
            <w:tcBorders>
              <w:top w:val="nil"/>
              <w:left w:val="nil"/>
              <w:bottom w:val="nil"/>
              <w:right w:val="single" w:sz="4" w:space="0" w:color="auto"/>
            </w:tcBorders>
          </w:tcPr>
          <w:p w:rsidR="001B2EEC" w:rsidRPr="001B2EEC" w:rsidRDefault="001B2EEC" w:rsidP="001B2EEC">
            <w:pPr>
              <w:bidi w:val="0"/>
              <w:spacing w:after="0"/>
              <w:jc w:val="left"/>
              <w:rPr>
                <w:sz w:val="18"/>
                <w:szCs w:val="18"/>
                <w:rtl/>
              </w:rPr>
            </w:pPr>
          </w:p>
        </w:tc>
        <w:tc>
          <w:tcPr>
            <w:tcW w:w="871" w:type="dxa"/>
            <w:tcBorders>
              <w:left w:val="single" w:sz="4" w:space="0" w:color="auto"/>
            </w:tcBorders>
            <w:vAlign w:val="center"/>
          </w:tcPr>
          <w:p w:rsidR="001B2EEC" w:rsidRPr="001B2EEC" w:rsidRDefault="001B2EEC" w:rsidP="006E58E7">
            <w:pPr>
              <w:spacing w:after="0"/>
              <w:jc w:val="center"/>
              <w:rPr>
                <w:sz w:val="18"/>
                <w:szCs w:val="18"/>
              </w:rPr>
            </w:pPr>
            <w:r w:rsidRPr="001B2EEC">
              <w:rPr>
                <w:sz w:val="18"/>
                <w:szCs w:val="18"/>
              </w:rPr>
              <w:t>0</w:t>
            </w:r>
          </w:p>
        </w:tc>
        <w:tc>
          <w:tcPr>
            <w:tcW w:w="774" w:type="dxa"/>
            <w:vAlign w:val="center"/>
          </w:tcPr>
          <w:p w:rsidR="001B2EEC" w:rsidRPr="001B2EEC" w:rsidRDefault="001B2EEC" w:rsidP="006E58E7">
            <w:pPr>
              <w:spacing w:after="0"/>
              <w:jc w:val="center"/>
              <w:rPr>
                <w:sz w:val="18"/>
                <w:szCs w:val="18"/>
              </w:rPr>
            </w:pPr>
            <w:r w:rsidRPr="001B2EEC">
              <w:rPr>
                <w:sz w:val="18"/>
                <w:szCs w:val="18"/>
              </w:rPr>
              <w:t>0</w:t>
            </w:r>
          </w:p>
        </w:tc>
        <w:tc>
          <w:tcPr>
            <w:tcW w:w="762" w:type="dxa"/>
            <w:vAlign w:val="center"/>
          </w:tcPr>
          <w:p w:rsidR="001B2EEC" w:rsidRPr="001B2EEC" w:rsidRDefault="001B2EEC" w:rsidP="006E58E7">
            <w:pPr>
              <w:spacing w:after="0"/>
              <w:jc w:val="center"/>
              <w:rPr>
                <w:sz w:val="18"/>
                <w:szCs w:val="18"/>
              </w:rPr>
            </w:pPr>
            <w:r w:rsidRPr="001B2EEC">
              <w:rPr>
                <w:sz w:val="18"/>
                <w:szCs w:val="18"/>
              </w:rPr>
              <w:t>0</w:t>
            </w:r>
          </w:p>
        </w:tc>
        <w:tc>
          <w:tcPr>
            <w:tcW w:w="774" w:type="dxa"/>
            <w:vAlign w:val="center"/>
          </w:tcPr>
          <w:p w:rsidR="001B2EEC" w:rsidRPr="001B2EEC" w:rsidRDefault="001B2EEC" w:rsidP="006E58E7">
            <w:pPr>
              <w:spacing w:after="0"/>
              <w:jc w:val="center"/>
              <w:rPr>
                <w:sz w:val="18"/>
                <w:szCs w:val="18"/>
              </w:rPr>
            </w:pPr>
            <w:r w:rsidRPr="001B2EEC">
              <w:rPr>
                <w:sz w:val="18"/>
                <w:szCs w:val="18"/>
              </w:rPr>
              <w:t>0</w:t>
            </w:r>
          </w:p>
        </w:tc>
        <w:tc>
          <w:tcPr>
            <w:tcW w:w="794" w:type="dxa"/>
            <w:vAlign w:val="center"/>
          </w:tcPr>
          <w:p w:rsidR="001B2EEC" w:rsidRPr="001B2EEC" w:rsidRDefault="001B2EEC" w:rsidP="006E58E7">
            <w:pPr>
              <w:spacing w:after="0"/>
              <w:jc w:val="center"/>
              <w:rPr>
                <w:sz w:val="18"/>
                <w:szCs w:val="18"/>
              </w:rPr>
            </w:pPr>
            <w:r w:rsidRPr="001B2EEC">
              <w:rPr>
                <w:sz w:val="18"/>
                <w:szCs w:val="18"/>
              </w:rPr>
              <w:t>0</w:t>
            </w:r>
          </w:p>
        </w:tc>
        <w:tc>
          <w:tcPr>
            <w:tcW w:w="774" w:type="dxa"/>
            <w:vAlign w:val="center"/>
          </w:tcPr>
          <w:p w:rsidR="001B2EEC" w:rsidRPr="001B2EEC" w:rsidRDefault="001B2EEC" w:rsidP="006E58E7">
            <w:pPr>
              <w:spacing w:after="0"/>
              <w:jc w:val="center"/>
              <w:rPr>
                <w:sz w:val="18"/>
                <w:szCs w:val="18"/>
              </w:rPr>
            </w:pPr>
            <w:r w:rsidRPr="001B2EEC">
              <w:rPr>
                <w:sz w:val="18"/>
                <w:szCs w:val="18"/>
              </w:rPr>
              <w:t>0</w:t>
            </w:r>
          </w:p>
        </w:tc>
        <w:tc>
          <w:tcPr>
            <w:tcW w:w="774" w:type="dxa"/>
            <w:vAlign w:val="center"/>
          </w:tcPr>
          <w:p w:rsidR="001B2EEC" w:rsidRPr="001B2EEC" w:rsidRDefault="001B2EEC" w:rsidP="006E58E7">
            <w:pPr>
              <w:spacing w:after="0"/>
              <w:jc w:val="center"/>
              <w:rPr>
                <w:sz w:val="18"/>
                <w:szCs w:val="18"/>
              </w:rPr>
            </w:pPr>
            <w:r w:rsidRPr="001B2EEC">
              <w:rPr>
                <w:sz w:val="18"/>
                <w:szCs w:val="18"/>
              </w:rPr>
              <w:t>0</w:t>
            </w:r>
          </w:p>
        </w:tc>
        <w:tc>
          <w:tcPr>
            <w:tcW w:w="774" w:type="dxa"/>
            <w:vAlign w:val="center"/>
          </w:tcPr>
          <w:p w:rsidR="001B2EEC" w:rsidRPr="001B2EEC" w:rsidRDefault="001B2EEC" w:rsidP="006E58E7">
            <w:pPr>
              <w:spacing w:after="0"/>
              <w:jc w:val="center"/>
              <w:rPr>
                <w:sz w:val="18"/>
                <w:szCs w:val="18"/>
              </w:rPr>
            </w:pPr>
            <w:r w:rsidRPr="001B2EEC">
              <w:rPr>
                <w:sz w:val="18"/>
                <w:szCs w:val="18"/>
              </w:rPr>
              <w:t>0</w:t>
            </w:r>
          </w:p>
        </w:tc>
        <w:tc>
          <w:tcPr>
            <w:tcW w:w="774" w:type="dxa"/>
            <w:vAlign w:val="center"/>
          </w:tcPr>
          <w:p w:rsidR="001B2EEC" w:rsidRPr="001B2EEC" w:rsidRDefault="001B2EEC" w:rsidP="006E58E7">
            <w:pPr>
              <w:spacing w:after="0"/>
              <w:jc w:val="center"/>
              <w:rPr>
                <w:sz w:val="18"/>
                <w:szCs w:val="18"/>
              </w:rPr>
            </w:pPr>
            <w:r w:rsidRPr="001B2EEC">
              <w:rPr>
                <w:sz w:val="18"/>
                <w:szCs w:val="18"/>
              </w:rPr>
              <w:t>0</w:t>
            </w:r>
          </w:p>
        </w:tc>
        <w:tc>
          <w:tcPr>
            <w:tcW w:w="683" w:type="dxa"/>
            <w:vAlign w:val="center"/>
          </w:tcPr>
          <w:p w:rsidR="001B2EEC" w:rsidRPr="001B2EEC" w:rsidRDefault="001B2EEC" w:rsidP="006E58E7">
            <w:pPr>
              <w:spacing w:after="0"/>
              <w:jc w:val="center"/>
              <w:rPr>
                <w:sz w:val="18"/>
                <w:szCs w:val="18"/>
              </w:rPr>
            </w:pPr>
            <w:r w:rsidRPr="001B2EEC">
              <w:rPr>
                <w:sz w:val="18"/>
                <w:szCs w:val="18"/>
              </w:rPr>
              <w:t>0</w:t>
            </w:r>
          </w:p>
        </w:tc>
        <w:tc>
          <w:tcPr>
            <w:tcW w:w="703" w:type="dxa"/>
            <w:vAlign w:val="center"/>
          </w:tcPr>
          <w:p w:rsidR="001B2EEC" w:rsidRPr="001B2EEC" w:rsidRDefault="001B2EEC" w:rsidP="006E58E7">
            <w:pPr>
              <w:spacing w:after="0"/>
              <w:jc w:val="center"/>
              <w:rPr>
                <w:sz w:val="18"/>
                <w:szCs w:val="18"/>
              </w:rPr>
            </w:pPr>
            <w:r w:rsidRPr="001B2EEC">
              <w:rPr>
                <w:sz w:val="18"/>
                <w:szCs w:val="18"/>
              </w:rPr>
              <w:t>0</w:t>
            </w:r>
          </w:p>
        </w:tc>
        <w:tc>
          <w:tcPr>
            <w:tcW w:w="663" w:type="dxa"/>
            <w:vAlign w:val="center"/>
          </w:tcPr>
          <w:p w:rsidR="001B2EEC" w:rsidRPr="001B2EEC" w:rsidRDefault="001B2EEC" w:rsidP="006E58E7">
            <w:pPr>
              <w:spacing w:after="0"/>
              <w:jc w:val="center"/>
              <w:rPr>
                <w:sz w:val="18"/>
                <w:szCs w:val="18"/>
              </w:rPr>
            </w:pPr>
            <w:r w:rsidRPr="001B2EEC">
              <w:rPr>
                <w:sz w:val="18"/>
                <w:szCs w:val="18"/>
              </w:rPr>
              <w:t>0</w:t>
            </w:r>
          </w:p>
        </w:tc>
        <w:tc>
          <w:tcPr>
            <w:tcW w:w="627" w:type="dxa"/>
            <w:vAlign w:val="center"/>
          </w:tcPr>
          <w:p w:rsidR="001B2EEC" w:rsidRPr="001B2EEC" w:rsidRDefault="001B2EEC" w:rsidP="006E58E7">
            <w:pPr>
              <w:spacing w:after="0"/>
              <w:jc w:val="center"/>
              <w:rPr>
                <w:sz w:val="18"/>
                <w:szCs w:val="18"/>
              </w:rPr>
            </w:pPr>
            <w:r w:rsidRPr="001B2EEC">
              <w:rPr>
                <w:sz w:val="18"/>
                <w:szCs w:val="18"/>
              </w:rPr>
              <w:t>0</w:t>
            </w:r>
          </w:p>
        </w:tc>
        <w:tc>
          <w:tcPr>
            <w:tcW w:w="4106" w:type="dxa"/>
          </w:tcPr>
          <w:p w:rsidR="001B2EEC" w:rsidRPr="001B2EEC" w:rsidRDefault="001B2EEC" w:rsidP="001B2EEC">
            <w:pPr>
              <w:bidi w:val="0"/>
              <w:spacing w:after="0"/>
              <w:jc w:val="left"/>
              <w:rPr>
                <w:rFonts w:ascii="Times New Roman" w:hAnsi="Times New Roman" w:cs="Times New Roman"/>
                <w:b w:val="0"/>
                <w:bCs w:val="0"/>
                <w:sz w:val="20"/>
                <w:szCs w:val="20"/>
              </w:rPr>
            </w:pPr>
            <w:r w:rsidRPr="001B2EEC">
              <w:rPr>
                <w:rFonts w:ascii="Times New Roman" w:hAnsi="Times New Roman" w:cs="Times New Roman"/>
                <w:b w:val="0"/>
                <w:bCs w:val="0"/>
                <w:sz w:val="20"/>
                <w:szCs w:val="20"/>
              </w:rPr>
              <w:t xml:space="preserve">Weight </w:t>
            </w:r>
          </w:p>
        </w:tc>
        <w:tc>
          <w:tcPr>
            <w:tcW w:w="490" w:type="dxa"/>
          </w:tcPr>
          <w:p w:rsidR="001B2EEC" w:rsidRPr="001B2EEC" w:rsidRDefault="001B2EEC" w:rsidP="001B2EEC">
            <w:pPr>
              <w:bidi w:val="0"/>
              <w:spacing w:after="0"/>
              <w:jc w:val="left"/>
              <w:rPr>
                <w:sz w:val="18"/>
                <w:szCs w:val="18"/>
                <w:rtl/>
              </w:rPr>
            </w:pPr>
          </w:p>
        </w:tc>
      </w:tr>
      <w:tr w:rsidR="001B2EEC" w:rsidRPr="001B2EEC" w:rsidTr="001B2EEC">
        <w:trPr>
          <w:jc w:val="center"/>
        </w:trPr>
        <w:tc>
          <w:tcPr>
            <w:tcW w:w="669" w:type="dxa"/>
            <w:tcBorders>
              <w:top w:val="nil"/>
              <w:left w:val="nil"/>
              <w:bottom w:val="nil"/>
              <w:right w:val="single" w:sz="4" w:space="0" w:color="auto"/>
            </w:tcBorders>
          </w:tcPr>
          <w:p w:rsidR="001B2EEC" w:rsidRPr="001B2EEC" w:rsidRDefault="001B2EEC" w:rsidP="001B2EEC">
            <w:pPr>
              <w:bidi w:val="0"/>
              <w:spacing w:after="0"/>
              <w:jc w:val="left"/>
              <w:rPr>
                <w:sz w:val="18"/>
                <w:szCs w:val="18"/>
                <w:rtl/>
              </w:rPr>
            </w:pPr>
          </w:p>
        </w:tc>
        <w:tc>
          <w:tcPr>
            <w:tcW w:w="871" w:type="dxa"/>
            <w:tcBorders>
              <w:left w:val="single" w:sz="4" w:space="0" w:color="auto"/>
            </w:tcBorders>
            <w:vAlign w:val="center"/>
          </w:tcPr>
          <w:p w:rsidR="001B2EEC" w:rsidRPr="001B2EEC" w:rsidRDefault="001B2EEC" w:rsidP="006E58E7">
            <w:pPr>
              <w:bidi w:val="0"/>
              <w:spacing w:after="0"/>
              <w:jc w:val="center"/>
              <w:rPr>
                <w:sz w:val="18"/>
                <w:szCs w:val="18"/>
                <w:rtl/>
              </w:rPr>
            </w:pPr>
            <w:r w:rsidRPr="001B2EEC">
              <w:rPr>
                <w:sz w:val="18"/>
                <w:szCs w:val="18"/>
              </w:rPr>
              <w:t>6%</w:t>
            </w:r>
          </w:p>
        </w:tc>
        <w:tc>
          <w:tcPr>
            <w:tcW w:w="774" w:type="dxa"/>
            <w:vAlign w:val="center"/>
          </w:tcPr>
          <w:p w:rsidR="001B2EEC" w:rsidRPr="001B2EEC" w:rsidRDefault="001B2EEC" w:rsidP="006E58E7">
            <w:pPr>
              <w:bidi w:val="0"/>
              <w:spacing w:after="0"/>
              <w:jc w:val="center"/>
              <w:rPr>
                <w:sz w:val="18"/>
                <w:szCs w:val="18"/>
                <w:rtl/>
              </w:rPr>
            </w:pPr>
            <w:r w:rsidRPr="001B2EEC">
              <w:rPr>
                <w:sz w:val="18"/>
                <w:szCs w:val="18"/>
              </w:rPr>
              <w:t>5.25%</w:t>
            </w:r>
          </w:p>
        </w:tc>
        <w:tc>
          <w:tcPr>
            <w:tcW w:w="762" w:type="dxa"/>
            <w:vAlign w:val="center"/>
          </w:tcPr>
          <w:p w:rsidR="001B2EEC" w:rsidRPr="001B2EEC" w:rsidRDefault="001B2EEC" w:rsidP="006E58E7">
            <w:pPr>
              <w:bidi w:val="0"/>
              <w:spacing w:after="0"/>
              <w:jc w:val="center"/>
              <w:rPr>
                <w:sz w:val="18"/>
                <w:szCs w:val="18"/>
                <w:rtl/>
              </w:rPr>
            </w:pPr>
            <w:r w:rsidRPr="001B2EEC">
              <w:rPr>
                <w:sz w:val="18"/>
                <w:szCs w:val="18"/>
              </w:rPr>
              <w:t>4.5%</w:t>
            </w:r>
          </w:p>
        </w:tc>
        <w:tc>
          <w:tcPr>
            <w:tcW w:w="774" w:type="dxa"/>
            <w:vAlign w:val="center"/>
          </w:tcPr>
          <w:p w:rsidR="001B2EEC" w:rsidRPr="001B2EEC" w:rsidRDefault="001B2EEC" w:rsidP="006E58E7">
            <w:pPr>
              <w:bidi w:val="0"/>
              <w:spacing w:after="0"/>
              <w:jc w:val="center"/>
              <w:rPr>
                <w:sz w:val="18"/>
                <w:szCs w:val="18"/>
                <w:rtl/>
              </w:rPr>
            </w:pPr>
            <w:r w:rsidRPr="001B2EEC">
              <w:rPr>
                <w:sz w:val="18"/>
                <w:szCs w:val="18"/>
              </w:rPr>
              <w:t>3.75%</w:t>
            </w:r>
          </w:p>
        </w:tc>
        <w:tc>
          <w:tcPr>
            <w:tcW w:w="794" w:type="dxa"/>
            <w:vAlign w:val="center"/>
          </w:tcPr>
          <w:p w:rsidR="001B2EEC" w:rsidRPr="001B2EEC" w:rsidRDefault="001B2EEC" w:rsidP="006E58E7">
            <w:pPr>
              <w:bidi w:val="0"/>
              <w:spacing w:after="0"/>
              <w:jc w:val="center"/>
              <w:rPr>
                <w:sz w:val="18"/>
                <w:szCs w:val="18"/>
                <w:rtl/>
              </w:rPr>
            </w:pPr>
            <w:r w:rsidRPr="001B2EEC">
              <w:rPr>
                <w:sz w:val="18"/>
                <w:szCs w:val="18"/>
              </w:rPr>
              <w:t>3.25%</w:t>
            </w:r>
          </w:p>
        </w:tc>
        <w:tc>
          <w:tcPr>
            <w:tcW w:w="774" w:type="dxa"/>
            <w:vAlign w:val="center"/>
          </w:tcPr>
          <w:p w:rsidR="001B2EEC" w:rsidRPr="001B2EEC" w:rsidRDefault="001B2EEC" w:rsidP="006E58E7">
            <w:pPr>
              <w:bidi w:val="0"/>
              <w:spacing w:after="0"/>
              <w:jc w:val="center"/>
              <w:rPr>
                <w:sz w:val="18"/>
                <w:szCs w:val="18"/>
                <w:rtl/>
              </w:rPr>
            </w:pPr>
            <w:r w:rsidRPr="001B2EEC">
              <w:rPr>
                <w:sz w:val="18"/>
                <w:szCs w:val="18"/>
              </w:rPr>
              <w:t>2.75%</w:t>
            </w:r>
          </w:p>
        </w:tc>
        <w:tc>
          <w:tcPr>
            <w:tcW w:w="774" w:type="dxa"/>
            <w:vAlign w:val="center"/>
          </w:tcPr>
          <w:p w:rsidR="001B2EEC" w:rsidRPr="001B2EEC" w:rsidRDefault="001B2EEC" w:rsidP="006E58E7">
            <w:pPr>
              <w:bidi w:val="0"/>
              <w:spacing w:after="0"/>
              <w:jc w:val="center"/>
              <w:rPr>
                <w:sz w:val="18"/>
                <w:szCs w:val="18"/>
                <w:rtl/>
              </w:rPr>
            </w:pPr>
            <w:r w:rsidRPr="001B2EEC">
              <w:rPr>
                <w:sz w:val="18"/>
                <w:szCs w:val="18"/>
              </w:rPr>
              <w:t>2.25%</w:t>
            </w:r>
          </w:p>
        </w:tc>
        <w:tc>
          <w:tcPr>
            <w:tcW w:w="774" w:type="dxa"/>
            <w:vAlign w:val="center"/>
          </w:tcPr>
          <w:p w:rsidR="001B2EEC" w:rsidRPr="001B2EEC" w:rsidRDefault="001B2EEC" w:rsidP="006E58E7">
            <w:pPr>
              <w:bidi w:val="0"/>
              <w:spacing w:after="0"/>
              <w:jc w:val="center"/>
              <w:rPr>
                <w:sz w:val="18"/>
                <w:szCs w:val="18"/>
                <w:rtl/>
              </w:rPr>
            </w:pPr>
            <w:r w:rsidRPr="001B2EEC">
              <w:rPr>
                <w:sz w:val="18"/>
                <w:szCs w:val="18"/>
              </w:rPr>
              <w:t>1.75%</w:t>
            </w:r>
          </w:p>
        </w:tc>
        <w:tc>
          <w:tcPr>
            <w:tcW w:w="774" w:type="dxa"/>
            <w:vAlign w:val="center"/>
          </w:tcPr>
          <w:p w:rsidR="001B2EEC" w:rsidRPr="001B2EEC" w:rsidRDefault="001B2EEC" w:rsidP="006E58E7">
            <w:pPr>
              <w:bidi w:val="0"/>
              <w:spacing w:after="0"/>
              <w:jc w:val="center"/>
              <w:rPr>
                <w:sz w:val="18"/>
                <w:szCs w:val="18"/>
                <w:rtl/>
              </w:rPr>
            </w:pPr>
            <w:r w:rsidRPr="001B2EEC">
              <w:rPr>
                <w:sz w:val="18"/>
                <w:szCs w:val="18"/>
              </w:rPr>
              <w:t>1.25%</w:t>
            </w:r>
          </w:p>
        </w:tc>
        <w:tc>
          <w:tcPr>
            <w:tcW w:w="683" w:type="dxa"/>
            <w:vAlign w:val="center"/>
          </w:tcPr>
          <w:p w:rsidR="001B2EEC" w:rsidRPr="001B2EEC" w:rsidRDefault="001B2EEC" w:rsidP="006E58E7">
            <w:pPr>
              <w:bidi w:val="0"/>
              <w:spacing w:after="0"/>
              <w:jc w:val="center"/>
              <w:rPr>
                <w:sz w:val="18"/>
                <w:szCs w:val="18"/>
                <w:rtl/>
              </w:rPr>
            </w:pPr>
            <w:r w:rsidRPr="001B2EEC">
              <w:rPr>
                <w:sz w:val="18"/>
                <w:szCs w:val="18"/>
              </w:rPr>
              <w:t>0.7%</w:t>
            </w:r>
          </w:p>
        </w:tc>
        <w:tc>
          <w:tcPr>
            <w:tcW w:w="703" w:type="dxa"/>
            <w:vAlign w:val="center"/>
          </w:tcPr>
          <w:p w:rsidR="001B2EEC" w:rsidRPr="001B2EEC" w:rsidRDefault="001B2EEC" w:rsidP="006E58E7">
            <w:pPr>
              <w:bidi w:val="0"/>
              <w:spacing w:after="0"/>
              <w:jc w:val="center"/>
              <w:rPr>
                <w:sz w:val="18"/>
                <w:szCs w:val="18"/>
                <w:rtl/>
              </w:rPr>
            </w:pPr>
            <w:r w:rsidRPr="001B2EEC">
              <w:rPr>
                <w:sz w:val="18"/>
                <w:szCs w:val="18"/>
              </w:rPr>
              <w:t>0.4%</w:t>
            </w:r>
          </w:p>
        </w:tc>
        <w:tc>
          <w:tcPr>
            <w:tcW w:w="663" w:type="dxa"/>
            <w:vAlign w:val="center"/>
          </w:tcPr>
          <w:p w:rsidR="001B2EEC" w:rsidRPr="001B2EEC" w:rsidRDefault="001B2EEC" w:rsidP="006E58E7">
            <w:pPr>
              <w:bidi w:val="0"/>
              <w:spacing w:after="0"/>
              <w:jc w:val="center"/>
              <w:rPr>
                <w:sz w:val="18"/>
                <w:szCs w:val="18"/>
                <w:rtl/>
              </w:rPr>
            </w:pPr>
            <w:r w:rsidRPr="001B2EEC">
              <w:rPr>
                <w:sz w:val="18"/>
                <w:szCs w:val="18"/>
              </w:rPr>
              <w:t>0.2%</w:t>
            </w:r>
          </w:p>
        </w:tc>
        <w:tc>
          <w:tcPr>
            <w:tcW w:w="627" w:type="dxa"/>
            <w:vAlign w:val="center"/>
          </w:tcPr>
          <w:p w:rsidR="001B2EEC" w:rsidRPr="001B2EEC" w:rsidRDefault="001B2EEC" w:rsidP="006E58E7">
            <w:pPr>
              <w:bidi w:val="0"/>
              <w:spacing w:after="0"/>
              <w:jc w:val="center"/>
              <w:rPr>
                <w:sz w:val="18"/>
                <w:szCs w:val="18"/>
                <w:rtl/>
              </w:rPr>
            </w:pPr>
            <w:r w:rsidRPr="001B2EEC">
              <w:rPr>
                <w:sz w:val="18"/>
                <w:szCs w:val="18"/>
              </w:rPr>
              <w:t>0</w:t>
            </w:r>
          </w:p>
        </w:tc>
        <w:tc>
          <w:tcPr>
            <w:tcW w:w="4106" w:type="dxa"/>
          </w:tcPr>
          <w:p w:rsidR="001B2EEC" w:rsidRPr="001B2EEC" w:rsidRDefault="001B2EEC" w:rsidP="001B2EEC">
            <w:pPr>
              <w:bidi w:val="0"/>
              <w:spacing w:after="0"/>
              <w:jc w:val="left"/>
              <w:rPr>
                <w:rFonts w:ascii="Times New Roman" w:hAnsi="Times New Roman" w:cs="Times New Roman"/>
                <w:b w:val="0"/>
                <w:bCs w:val="0"/>
                <w:sz w:val="20"/>
                <w:szCs w:val="20"/>
              </w:rPr>
            </w:pPr>
            <w:r w:rsidRPr="001B2EEC">
              <w:rPr>
                <w:rFonts w:ascii="Times New Roman" w:hAnsi="Times New Roman" w:cs="Times New Roman"/>
                <w:b w:val="0"/>
                <w:bCs w:val="0"/>
                <w:sz w:val="20"/>
                <w:szCs w:val="20"/>
              </w:rPr>
              <w:t>long positions*Weight (A)</w:t>
            </w:r>
          </w:p>
        </w:tc>
        <w:tc>
          <w:tcPr>
            <w:tcW w:w="490" w:type="dxa"/>
          </w:tcPr>
          <w:p w:rsidR="001B2EEC" w:rsidRPr="001B2EEC" w:rsidRDefault="001B2EEC" w:rsidP="001B2EEC">
            <w:pPr>
              <w:bidi w:val="0"/>
              <w:spacing w:after="0"/>
              <w:jc w:val="left"/>
              <w:rPr>
                <w:sz w:val="18"/>
                <w:szCs w:val="18"/>
                <w:rtl/>
              </w:rPr>
            </w:pPr>
          </w:p>
        </w:tc>
      </w:tr>
      <w:tr w:rsidR="001B2EEC" w:rsidRPr="001B2EEC" w:rsidTr="001B2EEC">
        <w:trPr>
          <w:jc w:val="center"/>
        </w:trPr>
        <w:tc>
          <w:tcPr>
            <w:tcW w:w="669" w:type="dxa"/>
            <w:tcBorders>
              <w:top w:val="nil"/>
              <w:left w:val="nil"/>
              <w:bottom w:val="nil"/>
              <w:right w:val="single" w:sz="4" w:space="0" w:color="auto"/>
            </w:tcBorders>
          </w:tcPr>
          <w:p w:rsidR="001B2EEC" w:rsidRPr="001B2EEC" w:rsidRDefault="001B2EEC" w:rsidP="001B2EEC">
            <w:pPr>
              <w:bidi w:val="0"/>
              <w:spacing w:after="0"/>
              <w:jc w:val="left"/>
              <w:rPr>
                <w:sz w:val="18"/>
                <w:szCs w:val="18"/>
                <w:rtl/>
              </w:rPr>
            </w:pPr>
          </w:p>
        </w:tc>
        <w:tc>
          <w:tcPr>
            <w:tcW w:w="871" w:type="dxa"/>
            <w:tcBorders>
              <w:left w:val="single" w:sz="4" w:space="0" w:color="auto"/>
            </w:tcBorders>
            <w:vAlign w:val="center"/>
          </w:tcPr>
          <w:p w:rsidR="001B2EEC" w:rsidRPr="001B2EEC" w:rsidRDefault="001B2EEC" w:rsidP="006E58E7">
            <w:pPr>
              <w:spacing w:after="0"/>
              <w:jc w:val="center"/>
              <w:rPr>
                <w:sz w:val="18"/>
                <w:szCs w:val="18"/>
              </w:rPr>
            </w:pPr>
            <w:r w:rsidRPr="001B2EEC">
              <w:rPr>
                <w:sz w:val="18"/>
                <w:szCs w:val="18"/>
              </w:rPr>
              <w:t>0</w:t>
            </w:r>
          </w:p>
        </w:tc>
        <w:tc>
          <w:tcPr>
            <w:tcW w:w="774" w:type="dxa"/>
            <w:vAlign w:val="center"/>
          </w:tcPr>
          <w:p w:rsidR="001B2EEC" w:rsidRPr="001B2EEC" w:rsidRDefault="001B2EEC" w:rsidP="006E58E7">
            <w:pPr>
              <w:spacing w:after="0"/>
              <w:jc w:val="center"/>
              <w:rPr>
                <w:sz w:val="18"/>
                <w:szCs w:val="18"/>
              </w:rPr>
            </w:pPr>
            <w:r w:rsidRPr="001B2EEC">
              <w:rPr>
                <w:sz w:val="18"/>
                <w:szCs w:val="18"/>
              </w:rPr>
              <w:t>0</w:t>
            </w:r>
          </w:p>
        </w:tc>
        <w:tc>
          <w:tcPr>
            <w:tcW w:w="762" w:type="dxa"/>
            <w:vAlign w:val="center"/>
          </w:tcPr>
          <w:p w:rsidR="001B2EEC" w:rsidRPr="001B2EEC" w:rsidRDefault="001B2EEC" w:rsidP="006E58E7">
            <w:pPr>
              <w:spacing w:after="0"/>
              <w:jc w:val="center"/>
              <w:rPr>
                <w:sz w:val="18"/>
                <w:szCs w:val="18"/>
              </w:rPr>
            </w:pPr>
            <w:r w:rsidRPr="001B2EEC">
              <w:rPr>
                <w:sz w:val="18"/>
                <w:szCs w:val="18"/>
              </w:rPr>
              <w:t>0</w:t>
            </w:r>
          </w:p>
        </w:tc>
        <w:tc>
          <w:tcPr>
            <w:tcW w:w="774" w:type="dxa"/>
            <w:vAlign w:val="center"/>
          </w:tcPr>
          <w:p w:rsidR="001B2EEC" w:rsidRPr="001B2EEC" w:rsidRDefault="001B2EEC" w:rsidP="006E58E7">
            <w:pPr>
              <w:spacing w:after="0"/>
              <w:jc w:val="center"/>
              <w:rPr>
                <w:sz w:val="18"/>
                <w:szCs w:val="18"/>
              </w:rPr>
            </w:pPr>
            <w:r w:rsidRPr="001B2EEC">
              <w:rPr>
                <w:sz w:val="18"/>
                <w:szCs w:val="18"/>
              </w:rPr>
              <w:t>0</w:t>
            </w:r>
          </w:p>
        </w:tc>
        <w:tc>
          <w:tcPr>
            <w:tcW w:w="794" w:type="dxa"/>
            <w:vAlign w:val="center"/>
          </w:tcPr>
          <w:p w:rsidR="001B2EEC" w:rsidRPr="001B2EEC" w:rsidRDefault="001B2EEC" w:rsidP="006E58E7">
            <w:pPr>
              <w:spacing w:after="0"/>
              <w:jc w:val="center"/>
              <w:rPr>
                <w:sz w:val="18"/>
                <w:szCs w:val="18"/>
              </w:rPr>
            </w:pPr>
            <w:r w:rsidRPr="001B2EEC">
              <w:rPr>
                <w:sz w:val="18"/>
                <w:szCs w:val="18"/>
              </w:rPr>
              <w:t>0</w:t>
            </w:r>
          </w:p>
        </w:tc>
        <w:tc>
          <w:tcPr>
            <w:tcW w:w="774" w:type="dxa"/>
            <w:vAlign w:val="center"/>
          </w:tcPr>
          <w:p w:rsidR="001B2EEC" w:rsidRPr="001B2EEC" w:rsidRDefault="001B2EEC" w:rsidP="006E58E7">
            <w:pPr>
              <w:spacing w:after="0"/>
              <w:jc w:val="center"/>
              <w:rPr>
                <w:sz w:val="18"/>
                <w:szCs w:val="18"/>
              </w:rPr>
            </w:pPr>
            <w:r w:rsidRPr="001B2EEC">
              <w:rPr>
                <w:sz w:val="18"/>
                <w:szCs w:val="18"/>
              </w:rPr>
              <w:t>0</w:t>
            </w:r>
          </w:p>
        </w:tc>
        <w:tc>
          <w:tcPr>
            <w:tcW w:w="774" w:type="dxa"/>
            <w:vAlign w:val="center"/>
          </w:tcPr>
          <w:p w:rsidR="001B2EEC" w:rsidRPr="001B2EEC" w:rsidRDefault="001B2EEC" w:rsidP="006E58E7">
            <w:pPr>
              <w:spacing w:after="0"/>
              <w:jc w:val="center"/>
              <w:rPr>
                <w:sz w:val="18"/>
                <w:szCs w:val="18"/>
              </w:rPr>
            </w:pPr>
            <w:r w:rsidRPr="001B2EEC">
              <w:rPr>
                <w:sz w:val="18"/>
                <w:szCs w:val="18"/>
              </w:rPr>
              <w:t>0</w:t>
            </w:r>
          </w:p>
        </w:tc>
        <w:tc>
          <w:tcPr>
            <w:tcW w:w="774" w:type="dxa"/>
            <w:vAlign w:val="center"/>
          </w:tcPr>
          <w:p w:rsidR="001B2EEC" w:rsidRPr="001B2EEC" w:rsidRDefault="001B2EEC" w:rsidP="006E58E7">
            <w:pPr>
              <w:spacing w:after="0"/>
              <w:jc w:val="center"/>
              <w:rPr>
                <w:sz w:val="18"/>
                <w:szCs w:val="18"/>
              </w:rPr>
            </w:pPr>
            <w:r w:rsidRPr="001B2EEC">
              <w:rPr>
                <w:sz w:val="18"/>
                <w:szCs w:val="18"/>
              </w:rPr>
              <w:t>0</w:t>
            </w:r>
          </w:p>
        </w:tc>
        <w:tc>
          <w:tcPr>
            <w:tcW w:w="774" w:type="dxa"/>
            <w:vAlign w:val="center"/>
          </w:tcPr>
          <w:p w:rsidR="001B2EEC" w:rsidRPr="001B2EEC" w:rsidRDefault="001B2EEC" w:rsidP="006E58E7">
            <w:pPr>
              <w:spacing w:after="0"/>
              <w:jc w:val="center"/>
              <w:rPr>
                <w:sz w:val="18"/>
                <w:szCs w:val="18"/>
              </w:rPr>
            </w:pPr>
            <w:r w:rsidRPr="001B2EEC">
              <w:rPr>
                <w:sz w:val="18"/>
                <w:szCs w:val="18"/>
              </w:rPr>
              <w:t>0</w:t>
            </w:r>
          </w:p>
        </w:tc>
        <w:tc>
          <w:tcPr>
            <w:tcW w:w="683" w:type="dxa"/>
            <w:vAlign w:val="center"/>
          </w:tcPr>
          <w:p w:rsidR="001B2EEC" w:rsidRPr="001B2EEC" w:rsidRDefault="001B2EEC" w:rsidP="006E58E7">
            <w:pPr>
              <w:spacing w:after="0"/>
              <w:jc w:val="center"/>
              <w:rPr>
                <w:sz w:val="18"/>
                <w:szCs w:val="18"/>
              </w:rPr>
            </w:pPr>
            <w:r w:rsidRPr="001B2EEC">
              <w:rPr>
                <w:sz w:val="18"/>
                <w:szCs w:val="18"/>
              </w:rPr>
              <w:t>0</w:t>
            </w:r>
          </w:p>
        </w:tc>
        <w:tc>
          <w:tcPr>
            <w:tcW w:w="703" w:type="dxa"/>
            <w:vAlign w:val="center"/>
          </w:tcPr>
          <w:p w:rsidR="001B2EEC" w:rsidRPr="001B2EEC" w:rsidRDefault="001B2EEC" w:rsidP="006E58E7">
            <w:pPr>
              <w:spacing w:after="0"/>
              <w:jc w:val="center"/>
              <w:rPr>
                <w:sz w:val="18"/>
                <w:szCs w:val="18"/>
              </w:rPr>
            </w:pPr>
            <w:r w:rsidRPr="001B2EEC">
              <w:rPr>
                <w:sz w:val="18"/>
                <w:szCs w:val="18"/>
              </w:rPr>
              <w:t>0</w:t>
            </w:r>
          </w:p>
        </w:tc>
        <w:tc>
          <w:tcPr>
            <w:tcW w:w="663" w:type="dxa"/>
            <w:vAlign w:val="center"/>
          </w:tcPr>
          <w:p w:rsidR="001B2EEC" w:rsidRPr="001B2EEC" w:rsidRDefault="001B2EEC" w:rsidP="006E58E7">
            <w:pPr>
              <w:spacing w:after="0"/>
              <w:jc w:val="center"/>
              <w:rPr>
                <w:sz w:val="18"/>
                <w:szCs w:val="18"/>
              </w:rPr>
            </w:pPr>
            <w:r w:rsidRPr="001B2EEC">
              <w:rPr>
                <w:sz w:val="18"/>
                <w:szCs w:val="18"/>
              </w:rPr>
              <w:t>0</w:t>
            </w:r>
          </w:p>
        </w:tc>
        <w:tc>
          <w:tcPr>
            <w:tcW w:w="627" w:type="dxa"/>
            <w:vAlign w:val="center"/>
          </w:tcPr>
          <w:p w:rsidR="001B2EEC" w:rsidRPr="001B2EEC" w:rsidRDefault="001B2EEC" w:rsidP="006E58E7">
            <w:pPr>
              <w:spacing w:after="0"/>
              <w:jc w:val="center"/>
              <w:rPr>
                <w:sz w:val="18"/>
                <w:szCs w:val="18"/>
              </w:rPr>
            </w:pPr>
            <w:r w:rsidRPr="001B2EEC">
              <w:rPr>
                <w:sz w:val="18"/>
                <w:szCs w:val="18"/>
              </w:rPr>
              <w:t>0</w:t>
            </w:r>
          </w:p>
        </w:tc>
        <w:tc>
          <w:tcPr>
            <w:tcW w:w="4106" w:type="dxa"/>
          </w:tcPr>
          <w:p w:rsidR="001B2EEC" w:rsidRPr="001B2EEC" w:rsidRDefault="001B2EEC" w:rsidP="001B2EEC">
            <w:pPr>
              <w:bidi w:val="0"/>
              <w:spacing w:after="0"/>
              <w:jc w:val="left"/>
              <w:rPr>
                <w:rFonts w:ascii="Times New Roman" w:hAnsi="Times New Roman" w:cs="Times New Roman"/>
                <w:b w:val="0"/>
                <w:bCs w:val="0"/>
                <w:sz w:val="20"/>
                <w:szCs w:val="20"/>
              </w:rPr>
            </w:pPr>
            <w:r w:rsidRPr="001B2EEC">
              <w:rPr>
                <w:rFonts w:ascii="Times New Roman" w:hAnsi="Times New Roman" w:cs="Times New Roman"/>
                <w:b w:val="0"/>
                <w:bCs w:val="0"/>
                <w:sz w:val="20"/>
                <w:szCs w:val="20"/>
              </w:rPr>
              <w:t>Short positions*Weight (B)</w:t>
            </w:r>
          </w:p>
        </w:tc>
        <w:tc>
          <w:tcPr>
            <w:tcW w:w="490" w:type="dxa"/>
          </w:tcPr>
          <w:p w:rsidR="001B2EEC" w:rsidRPr="001B2EEC" w:rsidRDefault="001B2EEC" w:rsidP="001B2EEC">
            <w:pPr>
              <w:bidi w:val="0"/>
              <w:spacing w:after="0"/>
              <w:jc w:val="left"/>
              <w:rPr>
                <w:sz w:val="18"/>
                <w:szCs w:val="18"/>
                <w:rtl/>
              </w:rPr>
            </w:pPr>
          </w:p>
        </w:tc>
      </w:tr>
      <w:tr w:rsidR="001B2EEC" w:rsidRPr="001B2EEC" w:rsidTr="001B2EEC">
        <w:trPr>
          <w:jc w:val="center"/>
        </w:trPr>
        <w:tc>
          <w:tcPr>
            <w:tcW w:w="669" w:type="dxa"/>
            <w:tcBorders>
              <w:top w:val="nil"/>
              <w:left w:val="nil"/>
              <w:bottom w:val="single" w:sz="4" w:space="0" w:color="auto"/>
              <w:right w:val="single" w:sz="4" w:space="0" w:color="auto"/>
            </w:tcBorders>
          </w:tcPr>
          <w:p w:rsidR="001B2EEC" w:rsidRPr="001B2EEC" w:rsidRDefault="001B2EEC" w:rsidP="001B2EEC">
            <w:pPr>
              <w:bidi w:val="0"/>
              <w:spacing w:after="0"/>
              <w:jc w:val="left"/>
              <w:rPr>
                <w:sz w:val="18"/>
                <w:szCs w:val="18"/>
                <w:rtl/>
              </w:rPr>
            </w:pPr>
          </w:p>
        </w:tc>
        <w:tc>
          <w:tcPr>
            <w:tcW w:w="871" w:type="dxa"/>
            <w:tcBorders>
              <w:left w:val="single" w:sz="4" w:space="0" w:color="auto"/>
            </w:tcBorders>
            <w:vAlign w:val="center"/>
          </w:tcPr>
          <w:p w:rsidR="001B2EEC" w:rsidRPr="001B2EEC" w:rsidRDefault="001B2EEC" w:rsidP="006E58E7">
            <w:pPr>
              <w:spacing w:after="0"/>
              <w:jc w:val="center"/>
              <w:rPr>
                <w:sz w:val="18"/>
                <w:szCs w:val="18"/>
              </w:rPr>
            </w:pPr>
            <w:r w:rsidRPr="001B2EEC">
              <w:rPr>
                <w:sz w:val="18"/>
                <w:szCs w:val="18"/>
              </w:rPr>
              <w:t>0</w:t>
            </w:r>
          </w:p>
        </w:tc>
        <w:tc>
          <w:tcPr>
            <w:tcW w:w="774" w:type="dxa"/>
            <w:vAlign w:val="center"/>
          </w:tcPr>
          <w:p w:rsidR="001B2EEC" w:rsidRPr="001B2EEC" w:rsidRDefault="001B2EEC" w:rsidP="006E58E7">
            <w:pPr>
              <w:spacing w:after="0"/>
              <w:jc w:val="center"/>
              <w:rPr>
                <w:sz w:val="18"/>
                <w:szCs w:val="18"/>
              </w:rPr>
            </w:pPr>
            <w:r w:rsidRPr="001B2EEC">
              <w:rPr>
                <w:sz w:val="18"/>
                <w:szCs w:val="18"/>
              </w:rPr>
              <w:t>0</w:t>
            </w:r>
          </w:p>
        </w:tc>
        <w:tc>
          <w:tcPr>
            <w:tcW w:w="762" w:type="dxa"/>
            <w:vAlign w:val="center"/>
          </w:tcPr>
          <w:p w:rsidR="001B2EEC" w:rsidRPr="001B2EEC" w:rsidRDefault="001B2EEC" w:rsidP="006E58E7">
            <w:pPr>
              <w:spacing w:after="0"/>
              <w:jc w:val="center"/>
              <w:rPr>
                <w:sz w:val="18"/>
                <w:szCs w:val="18"/>
              </w:rPr>
            </w:pPr>
            <w:r w:rsidRPr="001B2EEC">
              <w:rPr>
                <w:sz w:val="18"/>
                <w:szCs w:val="18"/>
              </w:rPr>
              <w:t>0</w:t>
            </w:r>
          </w:p>
        </w:tc>
        <w:tc>
          <w:tcPr>
            <w:tcW w:w="774" w:type="dxa"/>
            <w:vAlign w:val="center"/>
          </w:tcPr>
          <w:p w:rsidR="001B2EEC" w:rsidRPr="001B2EEC" w:rsidRDefault="001B2EEC" w:rsidP="006E58E7">
            <w:pPr>
              <w:spacing w:after="0"/>
              <w:jc w:val="center"/>
              <w:rPr>
                <w:sz w:val="18"/>
                <w:szCs w:val="18"/>
              </w:rPr>
            </w:pPr>
            <w:r w:rsidRPr="001B2EEC">
              <w:rPr>
                <w:sz w:val="18"/>
                <w:szCs w:val="18"/>
              </w:rPr>
              <w:t>0</w:t>
            </w:r>
          </w:p>
        </w:tc>
        <w:tc>
          <w:tcPr>
            <w:tcW w:w="794" w:type="dxa"/>
            <w:vAlign w:val="center"/>
          </w:tcPr>
          <w:p w:rsidR="001B2EEC" w:rsidRPr="001B2EEC" w:rsidRDefault="001B2EEC" w:rsidP="006E58E7">
            <w:pPr>
              <w:spacing w:after="0"/>
              <w:jc w:val="center"/>
              <w:rPr>
                <w:sz w:val="18"/>
                <w:szCs w:val="18"/>
              </w:rPr>
            </w:pPr>
            <w:r w:rsidRPr="001B2EEC">
              <w:rPr>
                <w:sz w:val="18"/>
                <w:szCs w:val="18"/>
              </w:rPr>
              <w:t>0</w:t>
            </w:r>
          </w:p>
        </w:tc>
        <w:tc>
          <w:tcPr>
            <w:tcW w:w="774" w:type="dxa"/>
            <w:vAlign w:val="center"/>
          </w:tcPr>
          <w:p w:rsidR="001B2EEC" w:rsidRPr="001B2EEC" w:rsidRDefault="001B2EEC" w:rsidP="006E58E7">
            <w:pPr>
              <w:spacing w:after="0"/>
              <w:jc w:val="center"/>
              <w:rPr>
                <w:sz w:val="18"/>
                <w:szCs w:val="18"/>
              </w:rPr>
            </w:pPr>
            <w:r w:rsidRPr="001B2EEC">
              <w:rPr>
                <w:sz w:val="18"/>
                <w:szCs w:val="18"/>
              </w:rPr>
              <w:t>0</w:t>
            </w:r>
          </w:p>
        </w:tc>
        <w:tc>
          <w:tcPr>
            <w:tcW w:w="774" w:type="dxa"/>
            <w:vAlign w:val="center"/>
          </w:tcPr>
          <w:p w:rsidR="001B2EEC" w:rsidRPr="001B2EEC" w:rsidRDefault="001B2EEC" w:rsidP="006E58E7">
            <w:pPr>
              <w:spacing w:after="0"/>
              <w:jc w:val="center"/>
              <w:rPr>
                <w:sz w:val="18"/>
                <w:szCs w:val="18"/>
              </w:rPr>
            </w:pPr>
            <w:r w:rsidRPr="001B2EEC">
              <w:rPr>
                <w:sz w:val="18"/>
                <w:szCs w:val="18"/>
              </w:rPr>
              <w:t>0</w:t>
            </w:r>
          </w:p>
        </w:tc>
        <w:tc>
          <w:tcPr>
            <w:tcW w:w="774" w:type="dxa"/>
            <w:vAlign w:val="center"/>
          </w:tcPr>
          <w:p w:rsidR="001B2EEC" w:rsidRPr="001B2EEC" w:rsidRDefault="001B2EEC" w:rsidP="006E58E7">
            <w:pPr>
              <w:spacing w:after="0"/>
              <w:jc w:val="center"/>
              <w:rPr>
                <w:sz w:val="18"/>
                <w:szCs w:val="18"/>
              </w:rPr>
            </w:pPr>
            <w:r w:rsidRPr="001B2EEC">
              <w:rPr>
                <w:sz w:val="18"/>
                <w:szCs w:val="18"/>
              </w:rPr>
              <w:t>0</w:t>
            </w:r>
          </w:p>
        </w:tc>
        <w:tc>
          <w:tcPr>
            <w:tcW w:w="774" w:type="dxa"/>
            <w:vAlign w:val="center"/>
          </w:tcPr>
          <w:p w:rsidR="001B2EEC" w:rsidRPr="001B2EEC" w:rsidRDefault="001B2EEC" w:rsidP="006E58E7">
            <w:pPr>
              <w:spacing w:after="0"/>
              <w:jc w:val="center"/>
              <w:rPr>
                <w:sz w:val="18"/>
                <w:szCs w:val="18"/>
              </w:rPr>
            </w:pPr>
            <w:r w:rsidRPr="001B2EEC">
              <w:rPr>
                <w:sz w:val="18"/>
                <w:szCs w:val="18"/>
              </w:rPr>
              <w:t>0</w:t>
            </w:r>
          </w:p>
        </w:tc>
        <w:tc>
          <w:tcPr>
            <w:tcW w:w="683" w:type="dxa"/>
            <w:vAlign w:val="center"/>
          </w:tcPr>
          <w:p w:rsidR="001B2EEC" w:rsidRPr="001B2EEC" w:rsidRDefault="001B2EEC" w:rsidP="006E58E7">
            <w:pPr>
              <w:spacing w:after="0"/>
              <w:jc w:val="center"/>
              <w:rPr>
                <w:sz w:val="18"/>
                <w:szCs w:val="18"/>
              </w:rPr>
            </w:pPr>
            <w:r w:rsidRPr="001B2EEC">
              <w:rPr>
                <w:sz w:val="18"/>
                <w:szCs w:val="18"/>
              </w:rPr>
              <w:t>0</w:t>
            </w:r>
          </w:p>
        </w:tc>
        <w:tc>
          <w:tcPr>
            <w:tcW w:w="703" w:type="dxa"/>
            <w:vAlign w:val="center"/>
          </w:tcPr>
          <w:p w:rsidR="001B2EEC" w:rsidRPr="001B2EEC" w:rsidRDefault="001B2EEC" w:rsidP="006E58E7">
            <w:pPr>
              <w:spacing w:after="0"/>
              <w:jc w:val="center"/>
              <w:rPr>
                <w:sz w:val="18"/>
                <w:szCs w:val="18"/>
              </w:rPr>
            </w:pPr>
            <w:r w:rsidRPr="001B2EEC">
              <w:rPr>
                <w:sz w:val="18"/>
                <w:szCs w:val="18"/>
              </w:rPr>
              <w:t>0</w:t>
            </w:r>
          </w:p>
        </w:tc>
        <w:tc>
          <w:tcPr>
            <w:tcW w:w="663" w:type="dxa"/>
            <w:vAlign w:val="center"/>
          </w:tcPr>
          <w:p w:rsidR="001B2EEC" w:rsidRPr="001B2EEC" w:rsidRDefault="001B2EEC" w:rsidP="006E58E7">
            <w:pPr>
              <w:spacing w:after="0"/>
              <w:jc w:val="center"/>
              <w:rPr>
                <w:sz w:val="18"/>
                <w:szCs w:val="18"/>
              </w:rPr>
            </w:pPr>
            <w:r w:rsidRPr="001B2EEC">
              <w:rPr>
                <w:sz w:val="18"/>
                <w:szCs w:val="18"/>
              </w:rPr>
              <w:t>0</w:t>
            </w:r>
          </w:p>
        </w:tc>
        <w:tc>
          <w:tcPr>
            <w:tcW w:w="627" w:type="dxa"/>
            <w:vAlign w:val="center"/>
          </w:tcPr>
          <w:p w:rsidR="001B2EEC" w:rsidRPr="001B2EEC" w:rsidRDefault="001B2EEC" w:rsidP="006E58E7">
            <w:pPr>
              <w:spacing w:after="0"/>
              <w:jc w:val="center"/>
              <w:rPr>
                <w:sz w:val="18"/>
                <w:szCs w:val="18"/>
              </w:rPr>
            </w:pPr>
            <w:r w:rsidRPr="001B2EEC">
              <w:rPr>
                <w:sz w:val="18"/>
                <w:szCs w:val="18"/>
              </w:rPr>
              <w:t>0</w:t>
            </w:r>
          </w:p>
        </w:tc>
        <w:tc>
          <w:tcPr>
            <w:tcW w:w="4106" w:type="dxa"/>
          </w:tcPr>
          <w:p w:rsidR="001B2EEC" w:rsidRPr="001B2EEC" w:rsidRDefault="001B2EEC" w:rsidP="001B2EEC">
            <w:pPr>
              <w:numPr>
                <w:ilvl w:val="0"/>
                <w:numId w:val="28"/>
              </w:numPr>
              <w:bidi w:val="0"/>
              <w:spacing w:after="0"/>
              <w:contextualSpacing/>
              <w:jc w:val="left"/>
              <w:rPr>
                <w:rFonts w:ascii="Times New Roman" w:hAnsi="Times New Roman" w:cs="Times New Roman"/>
                <w:b w:val="0"/>
                <w:bCs w:val="0"/>
                <w:sz w:val="20"/>
                <w:szCs w:val="20"/>
              </w:rPr>
            </w:pPr>
            <w:r w:rsidRPr="001B2EEC">
              <w:rPr>
                <w:rFonts w:ascii="Times New Roman" w:hAnsi="Times New Roman" w:cs="Times New Roman"/>
                <w:b w:val="0"/>
                <w:bCs w:val="0"/>
                <w:sz w:val="20"/>
                <w:szCs w:val="20"/>
              </w:rPr>
              <w:t>+ (B)</w:t>
            </w:r>
          </w:p>
        </w:tc>
        <w:tc>
          <w:tcPr>
            <w:tcW w:w="490" w:type="dxa"/>
          </w:tcPr>
          <w:p w:rsidR="001B2EEC" w:rsidRPr="001B2EEC" w:rsidRDefault="001B2EEC" w:rsidP="001B2EEC">
            <w:pPr>
              <w:bidi w:val="0"/>
              <w:spacing w:after="0"/>
              <w:jc w:val="left"/>
              <w:rPr>
                <w:sz w:val="18"/>
                <w:szCs w:val="18"/>
                <w:rtl/>
              </w:rPr>
            </w:pPr>
            <w:r w:rsidRPr="001B2EEC">
              <w:rPr>
                <w:sz w:val="18"/>
                <w:szCs w:val="18"/>
              </w:rPr>
              <w:t>1</w:t>
            </w:r>
          </w:p>
        </w:tc>
      </w:tr>
      <w:tr w:rsidR="001B2EEC" w:rsidRPr="001B2EEC" w:rsidTr="001B2EEC">
        <w:trPr>
          <w:jc w:val="center"/>
        </w:trPr>
        <w:tc>
          <w:tcPr>
            <w:tcW w:w="669" w:type="dxa"/>
            <w:tcBorders>
              <w:top w:val="single" w:sz="4" w:space="0" w:color="auto"/>
              <w:left w:val="single" w:sz="4" w:space="0" w:color="auto"/>
              <w:bottom w:val="single" w:sz="4" w:space="0" w:color="auto"/>
            </w:tcBorders>
            <w:shd w:val="clear" w:color="auto" w:fill="FFF2CC" w:themeFill="accent4" w:themeFillTint="33"/>
            <w:vAlign w:val="center"/>
          </w:tcPr>
          <w:p w:rsidR="001B2EEC" w:rsidRPr="001B2EEC" w:rsidRDefault="001B2EEC" w:rsidP="001B2EEC">
            <w:pPr>
              <w:bidi w:val="0"/>
              <w:spacing w:after="0"/>
              <w:jc w:val="left"/>
              <w:rPr>
                <w:sz w:val="18"/>
                <w:szCs w:val="18"/>
                <w:rtl/>
              </w:rPr>
            </w:pPr>
            <w:r w:rsidRPr="001B2EEC">
              <w:rPr>
                <w:sz w:val="18"/>
                <w:szCs w:val="18"/>
              </w:rPr>
              <w:t>0.00</w:t>
            </w:r>
          </w:p>
        </w:tc>
        <w:tc>
          <w:tcPr>
            <w:tcW w:w="871" w:type="dxa"/>
            <w:tcBorders>
              <w:bottom w:val="double" w:sz="4" w:space="0" w:color="auto"/>
            </w:tcBorders>
            <w:vAlign w:val="center"/>
          </w:tcPr>
          <w:p w:rsidR="001B2EEC" w:rsidRPr="001B2EEC" w:rsidRDefault="001B2EEC" w:rsidP="006E58E7">
            <w:pPr>
              <w:spacing w:after="0"/>
              <w:jc w:val="center"/>
              <w:rPr>
                <w:sz w:val="18"/>
                <w:szCs w:val="18"/>
              </w:rPr>
            </w:pPr>
            <w:r w:rsidRPr="001B2EEC">
              <w:rPr>
                <w:sz w:val="18"/>
                <w:szCs w:val="18"/>
              </w:rPr>
              <w:t>0</w:t>
            </w:r>
          </w:p>
        </w:tc>
        <w:tc>
          <w:tcPr>
            <w:tcW w:w="774" w:type="dxa"/>
            <w:tcBorders>
              <w:bottom w:val="double" w:sz="4" w:space="0" w:color="auto"/>
            </w:tcBorders>
            <w:vAlign w:val="center"/>
          </w:tcPr>
          <w:p w:rsidR="001B2EEC" w:rsidRPr="001B2EEC" w:rsidRDefault="001B2EEC" w:rsidP="006E58E7">
            <w:pPr>
              <w:spacing w:after="0"/>
              <w:jc w:val="center"/>
              <w:rPr>
                <w:sz w:val="18"/>
                <w:szCs w:val="18"/>
              </w:rPr>
            </w:pPr>
            <w:r w:rsidRPr="001B2EEC">
              <w:rPr>
                <w:sz w:val="18"/>
                <w:szCs w:val="18"/>
              </w:rPr>
              <w:t>0</w:t>
            </w:r>
          </w:p>
        </w:tc>
        <w:tc>
          <w:tcPr>
            <w:tcW w:w="762" w:type="dxa"/>
            <w:tcBorders>
              <w:bottom w:val="double" w:sz="4" w:space="0" w:color="auto"/>
            </w:tcBorders>
            <w:vAlign w:val="center"/>
          </w:tcPr>
          <w:p w:rsidR="001B2EEC" w:rsidRPr="001B2EEC" w:rsidRDefault="001B2EEC" w:rsidP="006E58E7">
            <w:pPr>
              <w:spacing w:after="0"/>
              <w:jc w:val="center"/>
              <w:rPr>
                <w:sz w:val="18"/>
                <w:szCs w:val="18"/>
              </w:rPr>
            </w:pPr>
            <w:r w:rsidRPr="001B2EEC">
              <w:rPr>
                <w:sz w:val="18"/>
                <w:szCs w:val="18"/>
              </w:rPr>
              <w:t>0</w:t>
            </w:r>
          </w:p>
        </w:tc>
        <w:tc>
          <w:tcPr>
            <w:tcW w:w="774" w:type="dxa"/>
            <w:tcBorders>
              <w:bottom w:val="double" w:sz="4" w:space="0" w:color="auto"/>
            </w:tcBorders>
            <w:vAlign w:val="center"/>
          </w:tcPr>
          <w:p w:rsidR="001B2EEC" w:rsidRPr="001B2EEC" w:rsidRDefault="001B2EEC" w:rsidP="006E58E7">
            <w:pPr>
              <w:spacing w:after="0"/>
              <w:jc w:val="center"/>
              <w:rPr>
                <w:sz w:val="18"/>
                <w:szCs w:val="18"/>
              </w:rPr>
            </w:pPr>
            <w:r w:rsidRPr="001B2EEC">
              <w:rPr>
                <w:sz w:val="18"/>
                <w:szCs w:val="18"/>
              </w:rPr>
              <w:t>0</w:t>
            </w:r>
          </w:p>
        </w:tc>
        <w:tc>
          <w:tcPr>
            <w:tcW w:w="794" w:type="dxa"/>
            <w:tcBorders>
              <w:bottom w:val="double" w:sz="4" w:space="0" w:color="auto"/>
            </w:tcBorders>
            <w:vAlign w:val="center"/>
          </w:tcPr>
          <w:p w:rsidR="001B2EEC" w:rsidRPr="001B2EEC" w:rsidRDefault="001B2EEC" w:rsidP="006E58E7">
            <w:pPr>
              <w:spacing w:after="0"/>
              <w:jc w:val="center"/>
              <w:rPr>
                <w:sz w:val="18"/>
                <w:szCs w:val="18"/>
              </w:rPr>
            </w:pPr>
            <w:r w:rsidRPr="001B2EEC">
              <w:rPr>
                <w:sz w:val="18"/>
                <w:szCs w:val="18"/>
              </w:rPr>
              <w:t>0</w:t>
            </w:r>
          </w:p>
        </w:tc>
        <w:tc>
          <w:tcPr>
            <w:tcW w:w="774" w:type="dxa"/>
            <w:tcBorders>
              <w:bottom w:val="double" w:sz="4" w:space="0" w:color="auto"/>
            </w:tcBorders>
            <w:vAlign w:val="center"/>
          </w:tcPr>
          <w:p w:rsidR="001B2EEC" w:rsidRPr="001B2EEC" w:rsidRDefault="001B2EEC" w:rsidP="006E58E7">
            <w:pPr>
              <w:spacing w:after="0"/>
              <w:jc w:val="center"/>
              <w:rPr>
                <w:sz w:val="18"/>
                <w:szCs w:val="18"/>
              </w:rPr>
            </w:pPr>
            <w:r w:rsidRPr="001B2EEC">
              <w:rPr>
                <w:sz w:val="18"/>
                <w:szCs w:val="18"/>
              </w:rPr>
              <w:t>0</w:t>
            </w:r>
          </w:p>
        </w:tc>
        <w:tc>
          <w:tcPr>
            <w:tcW w:w="774" w:type="dxa"/>
            <w:tcBorders>
              <w:bottom w:val="double" w:sz="4" w:space="0" w:color="auto"/>
            </w:tcBorders>
            <w:vAlign w:val="center"/>
          </w:tcPr>
          <w:p w:rsidR="001B2EEC" w:rsidRPr="001B2EEC" w:rsidRDefault="001B2EEC" w:rsidP="006E58E7">
            <w:pPr>
              <w:spacing w:after="0"/>
              <w:jc w:val="center"/>
              <w:rPr>
                <w:sz w:val="18"/>
                <w:szCs w:val="18"/>
              </w:rPr>
            </w:pPr>
            <w:r w:rsidRPr="001B2EEC">
              <w:rPr>
                <w:sz w:val="18"/>
                <w:szCs w:val="18"/>
              </w:rPr>
              <w:t>0</w:t>
            </w:r>
          </w:p>
        </w:tc>
        <w:tc>
          <w:tcPr>
            <w:tcW w:w="774" w:type="dxa"/>
            <w:tcBorders>
              <w:bottom w:val="double" w:sz="4" w:space="0" w:color="auto"/>
            </w:tcBorders>
            <w:vAlign w:val="center"/>
          </w:tcPr>
          <w:p w:rsidR="001B2EEC" w:rsidRPr="001B2EEC" w:rsidRDefault="001B2EEC" w:rsidP="006E58E7">
            <w:pPr>
              <w:spacing w:after="0"/>
              <w:jc w:val="center"/>
              <w:rPr>
                <w:sz w:val="18"/>
                <w:szCs w:val="18"/>
              </w:rPr>
            </w:pPr>
            <w:r w:rsidRPr="001B2EEC">
              <w:rPr>
                <w:sz w:val="18"/>
                <w:szCs w:val="18"/>
              </w:rPr>
              <w:t>0</w:t>
            </w:r>
          </w:p>
        </w:tc>
        <w:tc>
          <w:tcPr>
            <w:tcW w:w="774" w:type="dxa"/>
            <w:tcBorders>
              <w:bottom w:val="double" w:sz="4" w:space="0" w:color="auto"/>
            </w:tcBorders>
            <w:vAlign w:val="center"/>
          </w:tcPr>
          <w:p w:rsidR="001B2EEC" w:rsidRPr="001B2EEC" w:rsidRDefault="001B2EEC" w:rsidP="006E58E7">
            <w:pPr>
              <w:spacing w:after="0"/>
              <w:jc w:val="center"/>
              <w:rPr>
                <w:sz w:val="18"/>
                <w:szCs w:val="18"/>
              </w:rPr>
            </w:pPr>
            <w:r w:rsidRPr="001B2EEC">
              <w:rPr>
                <w:sz w:val="18"/>
                <w:szCs w:val="18"/>
              </w:rPr>
              <w:t>0</w:t>
            </w:r>
          </w:p>
        </w:tc>
        <w:tc>
          <w:tcPr>
            <w:tcW w:w="683" w:type="dxa"/>
            <w:tcBorders>
              <w:bottom w:val="double" w:sz="4" w:space="0" w:color="auto"/>
            </w:tcBorders>
            <w:vAlign w:val="center"/>
          </w:tcPr>
          <w:p w:rsidR="001B2EEC" w:rsidRPr="001B2EEC" w:rsidRDefault="001B2EEC" w:rsidP="006E58E7">
            <w:pPr>
              <w:spacing w:after="0"/>
              <w:jc w:val="center"/>
              <w:rPr>
                <w:sz w:val="18"/>
                <w:szCs w:val="18"/>
              </w:rPr>
            </w:pPr>
            <w:r w:rsidRPr="001B2EEC">
              <w:rPr>
                <w:sz w:val="18"/>
                <w:szCs w:val="18"/>
              </w:rPr>
              <w:t>0</w:t>
            </w:r>
          </w:p>
        </w:tc>
        <w:tc>
          <w:tcPr>
            <w:tcW w:w="703" w:type="dxa"/>
            <w:tcBorders>
              <w:bottom w:val="double" w:sz="4" w:space="0" w:color="auto"/>
            </w:tcBorders>
            <w:vAlign w:val="center"/>
          </w:tcPr>
          <w:p w:rsidR="001B2EEC" w:rsidRPr="001B2EEC" w:rsidRDefault="001B2EEC" w:rsidP="006E58E7">
            <w:pPr>
              <w:spacing w:after="0"/>
              <w:jc w:val="center"/>
              <w:rPr>
                <w:sz w:val="18"/>
                <w:szCs w:val="18"/>
              </w:rPr>
            </w:pPr>
            <w:r w:rsidRPr="001B2EEC">
              <w:rPr>
                <w:sz w:val="18"/>
                <w:szCs w:val="18"/>
              </w:rPr>
              <w:t>0</w:t>
            </w:r>
          </w:p>
        </w:tc>
        <w:tc>
          <w:tcPr>
            <w:tcW w:w="663" w:type="dxa"/>
            <w:tcBorders>
              <w:bottom w:val="double" w:sz="4" w:space="0" w:color="auto"/>
            </w:tcBorders>
            <w:vAlign w:val="center"/>
          </w:tcPr>
          <w:p w:rsidR="001B2EEC" w:rsidRPr="001B2EEC" w:rsidRDefault="001B2EEC" w:rsidP="006E58E7">
            <w:pPr>
              <w:spacing w:after="0"/>
              <w:jc w:val="center"/>
              <w:rPr>
                <w:sz w:val="18"/>
                <w:szCs w:val="18"/>
              </w:rPr>
            </w:pPr>
            <w:r w:rsidRPr="001B2EEC">
              <w:rPr>
                <w:sz w:val="18"/>
                <w:szCs w:val="18"/>
              </w:rPr>
              <w:t>0</w:t>
            </w:r>
          </w:p>
        </w:tc>
        <w:tc>
          <w:tcPr>
            <w:tcW w:w="627" w:type="dxa"/>
            <w:tcBorders>
              <w:bottom w:val="double" w:sz="4" w:space="0" w:color="auto"/>
            </w:tcBorders>
            <w:vAlign w:val="center"/>
          </w:tcPr>
          <w:p w:rsidR="001B2EEC" w:rsidRPr="001B2EEC" w:rsidRDefault="001B2EEC" w:rsidP="006E58E7">
            <w:pPr>
              <w:spacing w:after="0"/>
              <w:jc w:val="center"/>
              <w:rPr>
                <w:sz w:val="18"/>
                <w:szCs w:val="18"/>
              </w:rPr>
            </w:pPr>
            <w:r w:rsidRPr="001B2EEC">
              <w:rPr>
                <w:sz w:val="18"/>
                <w:szCs w:val="18"/>
              </w:rPr>
              <w:t>0</w:t>
            </w:r>
          </w:p>
        </w:tc>
        <w:tc>
          <w:tcPr>
            <w:tcW w:w="4106" w:type="dxa"/>
          </w:tcPr>
          <w:p w:rsidR="001B2EEC" w:rsidRPr="001B2EEC" w:rsidRDefault="001B2EEC" w:rsidP="001B2EEC">
            <w:pPr>
              <w:bidi w:val="0"/>
              <w:spacing w:after="0"/>
              <w:ind w:left="720"/>
              <w:contextualSpacing/>
              <w:jc w:val="left"/>
              <w:rPr>
                <w:rFonts w:ascii="Times New Roman" w:hAnsi="Times New Roman" w:cs="Times New Roman"/>
                <w:b w:val="0"/>
                <w:bCs w:val="0"/>
                <w:sz w:val="20"/>
                <w:szCs w:val="20"/>
              </w:rPr>
            </w:pPr>
          </w:p>
        </w:tc>
        <w:tc>
          <w:tcPr>
            <w:tcW w:w="490" w:type="dxa"/>
          </w:tcPr>
          <w:p w:rsidR="001B2EEC" w:rsidRPr="001B2EEC" w:rsidRDefault="001B2EEC" w:rsidP="001B2EEC">
            <w:pPr>
              <w:bidi w:val="0"/>
              <w:spacing w:after="0"/>
              <w:jc w:val="left"/>
              <w:rPr>
                <w:sz w:val="18"/>
                <w:szCs w:val="18"/>
                <w:rtl/>
              </w:rPr>
            </w:pPr>
            <w:r w:rsidRPr="001B2EEC">
              <w:rPr>
                <w:sz w:val="18"/>
                <w:szCs w:val="18"/>
              </w:rPr>
              <w:t>2</w:t>
            </w:r>
          </w:p>
        </w:tc>
      </w:tr>
      <w:tr w:rsidR="001B2EEC" w:rsidRPr="001B2EEC" w:rsidTr="001B2EEC">
        <w:trPr>
          <w:jc w:val="center"/>
        </w:trPr>
        <w:tc>
          <w:tcPr>
            <w:tcW w:w="669" w:type="dxa"/>
            <w:tcBorders>
              <w:top w:val="single" w:sz="4" w:space="0" w:color="auto"/>
              <w:left w:val="single" w:sz="4" w:space="0" w:color="auto"/>
            </w:tcBorders>
            <w:shd w:val="clear" w:color="auto" w:fill="FFF2CC" w:themeFill="accent4" w:themeFillTint="33"/>
            <w:vAlign w:val="center"/>
          </w:tcPr>
          <w:p w:rsidR="001B2EEC" w:rsidRPr="001B2EEC" w:rsidRDefault="001B2EEC" w:rsidP="001B2EEC">
            <w:pPr>
              <w:bidi w:val="0"/>
              <w:spacing w:after="0"/>
              <w:jc w:val="left"/>
              <w:rPr>
                <w:sz w:val="18"/>
                <w:szCs w:val="18"/>
                <w:rtl/>
              </w:rPr>
            </w:pPr>
          </w:p>
        </w:tc>
        <w:tc>
          <w:tcPr>
            <w:tcW w:w="871" w:type="dxa"/>
            <w:tcBorders>
              <w:top w:val="double" w:sz="4" w:space="0" w:color="auto"/>
              <w:bottom w:val="single" w:sz="4" w:space="0" w:color="auto"/>
            </w:tcBorders>
            <w:vAlign w:val="center"/>
          </w:tcPr>
          <w:p w:rsidR="001B2EEC" w:rsidRPr="001B2EEC" w:rsidRDefault="001B2EEC" w:rsidP="006E58E7">
            <w:pPr>
              <w:jc w:val="center"/>
            </w:pPr>
          </w:p>
        </w:tc>
        <w:tc>
          <w:tcPr>
            <w:tcW w:w="774" w:type="dxa"/>
            <w:tcBorders>
              <w:top w:val="double" w:sz="4" w:space="0" w:color="auto"/>
              <w:bottom w:val="single" w:sz="4" w:space="0" w:color="auto"/>
            </w:tcBorders>
            <w:vAlign w:val="center"/>
          </w:tcPr>
          <w:p w:rsidR="001B2EEC" w:rsidRPr="001B2EEC" w:rsidRDefault="001B2EEC" w:rsidP="006E58E7">
            <w:pPr>
              <w:jc w:val="center"/>
              <w:rPr>
                <w:color w:val="FF0000"/>
              </w:rPr>
            </w:pPr>
            <w:r w:rsidRPr="001B2EEC">
              <w:rPr>
                <w:color w:val="FF0000"/>
                <w:sz w:val="18"/>
                <w:szCs w:val="18"/>
              </w:rPr>
              <w:t>0</w:t>
            </w:r>
          </w:p>
        </w:tc>
        <w:tc>
          <w:tcPr>
            <w:tcW w:w="762" w:type="dxa"/>
            <w:tcBorders>
              <w:top w:val="double" w:sz="4" w:space="0" w:color="auto"/>
              <w:bottom w:val="single" w:sz="4" w:space="0" w:color="auto"/>
            </w:tcBorders>
            <w:vAlign w:val="center"/>
          </w:tcPr>
          <w:p w:rsidR="001B2EEC" w:rsidRPr="001B2EEC" w:rsidRDefault="001B2EEC" w:rsidP="006E58E7">
            <w:pPr>
              <w:jc w:val="center"/>
              <w:rPr>
                <w:color w:val="FF0000"/>
              </w:rPr>
            </w:pPr>
            <w:r w:rsidRPr="001B2EEC">
              <w:rPr>
                <w:color w:val="FF0000"/>
                <w:sz w:val="18"/>
                <w:szCs w:val="18"/>
              </w:rPr>
              <w:t>0</w:t>
            </w:r>
          </w:p>
        </w:tc>
        <w:tc>
          <w:tcPr>
            <w:tcW w:w="774" w:type="dxa"/>
            <w:tcBorders>
              <w:top w:val="double" w:sz="4" w:space="0" w:color="auto"/>
              <w:bottom w:val="single" w:sz="4" w:space="0" w:color="auto"/>
            </w:tcBorders>
            <w:shd w:val="clear" w:color="auto" w:fill="FFFF00"/>
            <w:vAlign w:val="center"/>
          </w:tcPr>
          <w:p w:rsidR="001B2EEC" w:rsidRPr="001B2EEC" w:rsidRDefault="001B2EEC" w:rsidP="006E58E7">
            <w:pPr>
              <w:jc w:val="center"/>
            </w:pPr>
            <w:r w:rsidRPr="001B2EEC">
              <w:rPr>
                <w:sz w:val="18"/>
                <w:szCs w:val="18"/>
              </w:rPr>
              <w:t>0</w:t>
            </w:r>
          </w:p>
        </w:tc>
        <w:tc>
          <w:tcPr>
            <w:tcW w:w="794" w:type="dxa"/>
            <w:tcBorders>
              <w:top w:val="double" w:sz="4" w:space="0" w:color="auto"/>
              <w:bottom w:val="single" w:sz="4" w:space="0" w:color="auto"/>
            </w:tcBorders>
            <w:vAlign w:val="center"/>
          </w:tcPr>
          <w:p w:rsidR="001B2EEC" w:rsidRPr="001B2EEC" w:rsidRDefault="001B2EEC" w:rsidP="006E58E7">
            <w:pPr>
              <w:jc w:val="center"/>
            </w:pPr>
            <w:r w:rsidRPr="001B2EEC">
              <w:rPr>
                <w:sz w:val="18"/>
                <w:szCs w:val="18"/>
              </w:rPr>
              <w:t>0</w:t>
            </w:r>
          </w:p>
        </w:tc>
        <w:tc>
          <w:tcPr>
            <w:tcW w:w="774" w:type="dxa"/>
            <w:tcBorders>
              <w:top w:val="double" w:sz="4" w:space="0" w:color="auto"/>
              <w:bottom w:val="single" w:sz="4" w:space="0" w:color="auto"/>
            </w:tcBorders>
            <w:vAlign w:val="center"/>
          </w:tcPr>
          <w:p w:rsidR="001B2EEC" w:rsidRPr="001B2EEC" w:rsidRDefault="001B2EEC" w:rsidP="006E58E7">
            <w:pPr>
              <w:jc w:val="center"/>
            </w:pPr>
            <w:r w:rsidRPr="001B2EEC">
              <w:rPr>
                <w:sz w:val="18"/>
                <w:szCs w:val="18"/>
              </w:rPr>
              <w:t>0</w:t>
            </w:r>
          </w:p>
        </w:tc>
        <w:tc>
          <w:tcPr>
            <w:tcW w:w="774" w:type="dxa"/>
            <w:tcBorders>
              <w:top w:val="double" w:sz="4" w:space="0" w:color="auto"/>
              <w:bottom w:val="single" w:sz="4" w:space="0" w:color="auto"/>
            </w:tcBorders>
            <w:shd w:val="clear" w:color="auto" w:fill="FFFF00"/>
            <w:vAlign w:val="center"/>
          </w:tcPr>
          <w:p w:rsidR="001B2EEC" w:rsidRPr="001B2EEC" w:rsidRDefault="001B2EEC" w:rsidP="006E58E7">
            <w:pPr>
              <w:jc w:val="center"/>
            </w:pPr>
            <w:r w:rsidRPr="001B2EEC">
              <w:rPr>
                <w:sz w:val="18"/>
                <w:szCs w:val="18"/>
              </w:rPr>
              <w:t>0</w:t>
            </w:r>
          </w:p>
        </w:tc>
        <w:tc>
          <w:tcPr>
            <w:tcW w:w="774" w:type="dxa"/>
            <w:tcBorders>
              <w:top w:val="double" w:sz="4" w:space="0" w:color="auto"/>
              <w:bottom w:val="single" w:sz="4" w:space="0" w:color="auto"/>
            </w:tcBorders>
            <w:vAlign w:val="center"/>
          </w:tcPr>
          <w:p w:rsidR="001B2EEC" w:rsidRPr="001B2EEC" w:rsidRDefault="001B2EEC" w:rsidP="006E58E7">
            <w:pPr>
              <w:jc w:val="center"/>
            </w:pPr>
            <w:r w:rsidRPr="001B2EEC">
              <w:rPr>
                <w:sz w:val="18"/>
                <w:szCs w:val="18"/>
              </w:rPr>
              <w:t>0</w:t>
            </w:r>
          </w:p>
        </w:tc>
        <w:tc>
          <w:tcPr>
            <w:tcW w:w="774" w:type="dxa"/>
            <w:tcBorders>
              <w:top w:val="double" w:sz="4" w:space="0" w:color="auto"/>
              <w:bottom w:val="single" w:sz="4" w:space="0" w:color="auto"/>
            </w:tcBorders>
            <w:vAlign w:val="center"/>
          </w:tcPr>
          <w:p w:rsidR="001B2EEC" w:rsidRPr="001B2EEC" w:rsidRDefault="001B2EEC" w:rsidP="006E58E7">
            <w:pPr>
              <w:jc w:val="center"/>
            </w:pPr>
            <w:r w:rsidRPr="001B2EEC">
              <w:rPr>
                <w:sz w:val="18"/>
                <w:szCs w:val="18"/>
              </w:rPr>
              <w:t>0</w:t>
            </w:r>
          </w:p>
        </w:tc>
        <w:tc>
          <w:tcPr>
            <w:tcW w:w="683" w:type="dxa"/>
            <w:tcBorders>
              <w:top w:val="double" w:sz="4" w:space="0" w:color="auto"/>
              <w:bottom w:val="single" w:sz="4" w:space="0" w:color="auto"/>
            </w:tcBorders>
            <w:vAlign w:val="center"/>
          </w:tcPr>
          <w:p w:rsidR="001B2EEC" w:rsidRPr="001B2EEC" w:rsidRDefault="001B2EEC" w:rsidP="006E58E7">
            <w:pPr>
              <w:jc w:val="center"/>
              <w:rPr>
                <w:color w:val="FF0000"/>
              </w:rPr>
            </w:pPr>
            <w:r w:rsidRPr="001B2EEC">
              <w:rPr>
                <w:color w:val="FF0000"/>
                <w:sz w:val="18"/>
                <w:szCs w:val="18"/>
              </w:rPr>
              <w:t>0</w:t>
            </w:r>
          </w:p>
        </w:tc>
        <w:tc>
          <w:tcPr>
            <w:tcW w:w="703" w:type="dxa"/>
            <w:tcBorders>
              <w:top w:val="double" w:sz="4" w:space="0" w:color="auto"/>
              <w:bottom w:val="single" w:sz="4" w:space="0" w:color="auto"/>
            </w:tcBorders>
            <w:shd w:val="clear" w:color="auto" w:fill="FFFF00"/>
            <w:vAlign w:val="center"/>
          </w:tcPr>
          <w:p w:rsidR="001B2EEC" w:rsidRPr="001B2EEC" w:rsidRDefault="001B2EEC" w:rsidP="006E58E7">
            <w:pPr>
              <w:jc w:val="center"/>
            </w:pPr>
            <w:r w:rsidRPr="001B2EEC">
              <w:rPr>
                <w:sz w:val="18"/>
                <w:szCs w:val="18"/>
              </w:rPr>
              <w:t>0</w:t>
            </w:r>
          </w:p>
        </w:tc>
        <w:tc>
          <w:tcPr>
            <w:tcW w:w="663" w:type="dxa"/>
            <w:tcBorders>
              <w:top w:val="double" w:sz="4" w:space="0" w:color="auto"/>
              <w:bottom w:val="single" w:sz="4" w:space="0" w:color="auto"/>
            </w:tcBorders>
            <w:vAlign w:val="center"/>
          </w:tcPr>
          <w:p w:rsidR="001B2EEC" w:rsidRPr="001B2EEC" w:rsidRDefault="001B2EEC" w:rsidP="006E58E7">
            <w:pPr>
              <w:jc w:val="center"/>
            </w:pPr>
            <w:r w:rsidRPr="001B2EEC">
              <w:rPr>
                <w:sz w:val="18"/>
                <w:szCs w:val="18"/>
              </w:rPr>
              <w:t>0</w:t>
            </w:r>
          </w:p>
        </w:tc>
        <w:tc>
          <w:tcPr>
            <w:tcW w:w="627" w:type="dxa"/>
            <w:tcBorders>
              <w:top w:val="double" w:sz="4" w:space="0" w:color="auto"/>
              <w:bottom w:val="single" w:sz="4" w:space="0" w:color="auto"/>
            </w:tcBorders>
            <w:vAlign w:val="center"/>
          </w:tcPr>
          <w:p w:rsidR="001B2EEC" w:rsidRPr="001B2EEC" w:rsidRDefault="001B2EEC" w:rsidP="006E58E7">
            <w:pPr>
              <w:bidi w:val="0"/>
              <w:spacing w:after="0"/>
              <w:jc w:val="center"/>
              <w:rPr>
                <w:sz w:val="18"/>
                <w:szCs w:val="18"/>
                <w:rtl/>
              </w:rPr>
            </w:pPr>
            <w:r w:rsidRPr="001B2EEC">
              <w:rPr>
                <w:sz w:val="18"/>
                <w:szCs w:val="18"/>
              </w:rPr>
              <w:t>0</w:t>
            </w:r>
          </w:p>
        </w:tc>
        <w:tc>
          <w:tcPr>
            <w:tcW w:w="4106" w:type="dxa"/>
          </w:tcPr>
          <w:p w:rsidR="001B2EEC" w:rsidRPr="001B2EEC" w:rsidRDefault="001B2EEC" w:rsidP="001B2EEC">
            <w:pPr>
              <w:bidi w:val="0"/>
              <w:spacing w:after="0"/>
              <w:contextualSpacing/>
              <w:jc w:val="left"/>
              <w:rPr>
                <w:rFonts w:ascii="Times New Roman" w:hAnsi="Times New Roman" w:cs="Times New Roman"/>
                <w:b w:val="0"/>
                <w:bCs w:val="0"/>
                <w:sz w:val="20"/>
                <w:szCs w:val="20"/>
              </w:rPr>
            </w:pPr>
            <w:r w:rsidRPr="001B2EEC">
              <w:rPr>
                <w:rFonts w:ascii="Times New Roman" w:hAnsi="Times New Roman" w:cs="Times New Roman"/>
                <w:b w:val="0"/>
                <w:bCs w:val="0"/>
                <w:sz w:val="20"/>
                <w:szCs w:val="20"/>
              </w:rPr>
              <w:t>Vertical disallowances (</w:t>
            </w:r>
            <w:r w:rsidRPr="001B2EEC">
              <w:rPr>
                <w:rFonts w:ascii="Times New Roman" w:eastAsiaTheme="minorHAnsi" w:hAnsi="Times New Roman" w:cs="Times New Roman"/>
                <w:b w:val="0"/>
                <w:bCs w:val="0"/>
                <w:sz w:val="20"/>
                <w:szCs w:val="20"/>
              </w:rPr>
              <w:t>matched position</w:t>
            </w:r>
            <w:r w:rsidRPr="001B2EEC">
              <w:rPr>
                <w:rFonts w:ascii="Times New Roman" w:hAnsi="Times New Roman" w:cs="Times New Roman"/>
                <w:b w:val="0"/>
                <w:bCs w:val="0"/>
                <w:sz w:val="20"/>
                <w:szCs w:val="20"/>
              </w:rPr>
              <w:t xml:space="preserve"> within time-band *10%)</w:t>
            </w:r>
          </w:p>
        </w:tc>
        <w:tc>
          <w:tcPr>
            <w:tcW w:w="490" w:type="dxa"/>
          </w:tcPr>
          <w:p w:rsidR="001B2EEC" w:rsidRPr="001B2EEC" w:rsidRDefault="001B2EEC" w:rsidP="001B2EEC">
            <w:pPr>
              <w:bidi w:val="0"/>
              <w:spacing w:after="0"/>
              <w:jc w:val="left"/>
              <w:rPr>
                <w:sz w:val="18"/>
                <w:szCs w:val="18"/>
                <w:rtl/>
              </w:rPr>
            </w:pPr>
            <w:r w:rsidRPr="001B2EEC">
              <w:rPr>
                <w:sz w:val="18"/>
                <w:szCs w:val="18"/>
              </w:rPr>
              <w:t>3</w:t>
            </w:r>
          </w:p>
        </w:tc>
      </w:tr>
      <w:tr w:rsidR="001B2EEC" w:rsidRPr="001B2EEC" w:rsidTr="001B2EEC">
        <w:trPr>
          <w:jc w:val="center"/>
        </w:trPr>
        <w:tc>
          <w:tcPr>
            <w:tcW w:w="669" w:type="dxa"/>
            <w:tcBorders>
              <w:left w:val="single" w:sz="4" w:space="0" w:color="auto"/>
              <w:right w:val="single" w:sz="4" w:space="0" w:color="auto"/>
            </w:tcBorders>
            <w:shd w:val="clear" w:color="auto" w:fill="FFF2CC" w:themeFill="accent4" w:themeFillTint="33"/>
            <w:vAlign w:val="center"/>
          </w:tcPr>
          <w:p w:rsidR="001B2EEC" w:rsidRPr="001B2EEC" w:rsidRDefault="001B2EEC" w:rsidP="001B2EEC">
            <w:pPr>
              <w:bidi w:val="0"/>
              <w:spacing w:after="0"/>
              <w:jc w:val="left"/>
              <w:rPr>
                <w:sz w:val="18"/>
                <w:szCs w:val="18"/>
                <w:rtl/>
              </w:rPr>
            </w:pPr>
            <w:r w:rsidRPr="001B2EEC">
              <w:rPr>
                <w:sz w:val="18"/>
                <w:szCs w:val="18"/>
              </w:rPr>
              <w:t>0.00</w:t>
            </w:r>
          </w:p>
        </w:tc>
        <w:tc>
          <w:tcPr>
            <w:tcW w:w="871" w:type="dxa"/>
            <w:tcBorders>
              <w:left w:val="single" w:sz="4" w:space="0" w:color="auto"/>
              <w:right w:val="dashSmallGap" w:sz="4" w:space="0" w:color="auto"/>
            </w:tcBorders>
            <w:vAlign w:val="center"/>
          </w:tcPr>
          <w:p w:rsidR="001B2EEC" w:rsidRPr="001B2EEC" w:rsidRDefault="001B2EEC" w:rsidP="006E58E7">
            <w:pPr>
              <w:jc w:val="center"/>
            </w:pPr>
            <w:r w:rsidRPr="001B2EEC">
              <w:rPr>
                <w:sz w:val="18"/>
                <w:szCs w:val="18"/>
              </w:rPr>
              <w:t>0</w:t>
            </w:r>
          </w:p>
        </w:tc>
        <w:tc>
          <w:tcPr>
            <w:tcW w:w="774" w:type="dxa"/>
            <w:tcBorders>
              <w:left w:val="dashSmallGap" w:sz="4" w:space="0" w:color="auto"/>
              <w:right w:val="dashSmallGap" w:sz="4" w:space="0" w:color="auto"/>
            </w:tcBorders>
            <w:vAlign w:val="center"/>
          </w:tcPr>
          <w:p w:rsidR="001B2EEC" w:rsidRPr="001B2EEC" w:rsidRDefault="001B2EEC" w:rsidP="006E58E7">
            <w:pPr>
              <w:jc w:val="center"/>
            </w:pPr>
            <w:r w:rsidRPr="001B2EEC">
              <w:rPr>
                <w:sz w:val="18"/>
                <w:szCs w:val="18"/>
              </w:rPr>
              <w:t>0</w:t>
            </w:r>
          </w:p>
        </w:tc>
        <w:tc>
          <w:tcPr>
            <w:tcW w:w="762" w:type="dxa"/>
            <w:tcBorders>
              <w:left w:val="dashSmallGap" w:sz="4" w:space="0" w:color="auto"/>
              <w:right w:val="dashSmallGap" w:sz="4" w:space="0" w:color="auto"/>
            </w:tcBorders>
            <w:vAlign w:val="center"/>
          </w:tcPr>
          <w:p w:rsidR="001B2EEC" w:rsidRPr="001B2EEC" w:rsidRDefault="001B2EEC" w:rsidP="006E58E7">
            <w:pPr>
              <w:jc w:val="center"/>
            </w:pPr>
            <w:r w:rsidRPr="001B2EEC">
              <w:rPr>
                <w:sz w:val="18"/>
                <w:szCs w:val="18"/>
              </w:rPr>
              <w:t>0</w:t>
            </w:r>
          </w:p>
        </w:tc>
        <w:tc>
          <w:tcPr>
            <w:tcW w:w="774" w:type="dxa"/>
            <w:tcBorders>
              <w:left w:val="dashSmallGap" w:sz="4" w:space="0" w:color="auto"/>
              <w:right w:val="dashSmallGap" w:sz="4" w:space="0" w:color="auto"/>
            </w:tcBorders>
            <w:vAlign w:val="center"/>
          </w:tcPr>
          <w:p w:rsidR="001B2EEC" w:rsidRPr="001B2EEC" w:rsidRDefault="001B2EEC" w:rsidP="006E58E7">
            <w:pPr>
              <w:jc w:val="center"/>
            </w:pPr>
            <w:r w:rsidRPr="001B2EEC">
              <w:rPr>
                <w:sz w:val="18"/>
                <w:szCs w:val="18"/>
              </w:rPr>
              <w:t>0</w:t>
            </w:r>
          </w:p>
        </w:tc>
        <w:tc>
          <w:tcPr>
            <w:tcW w:w="794" w:type="dxa"/>
            <w:tcBorders>
              <w:left w:val="dashSmallGap" w:sz="4" w:space="0" w:color="auto"/>
              <w:right w:val="dashSmallGap" w:sz="4" w:space="0" w:color="auto"/>
            </w:tcBorders>
            <w:vAlign w:val="center"/>
          </w:tcPr>
          <w:p w:rsidR="001B2EEC" w:rsidRPr="001B2EEC" w:rsidRDefault="001B2EEC" w:rsidP="006E58E7">
            <w:pPr>
              <w:jc w:val="center"/>
            </w:pPr>
            <w:r w:rsidRPr="001B2EEC">
              <w:rPr>
                <w:sz w:val="18"/>
                <w:szCs w:val="18"/>
              </w:rPr>
              <w:t>0</w:t>
            </w:r>
          </w:p>
        </w:tc>
        <w:tc>
          <w:tcPr>
            <w:tcW w:w="774" w:type="dxa"/>
            <w:tcBorders>
              <w:left w:val="dashSmallGap" w:sz="4" w:space="0" w:color="auto"/>
              <w:right w:val="dashSmallGap" w:sz="4" w:space="0" w:color="auto"/>
            </w:tcBorders>
            <w:vAlign w:val="center"/>
          </w:tcPr>
          <w:p w:rsidR="001B2EEC" w:rsidRPr="001B2EEC" w:rsidRDefault="001B2EEC" w:rsidP="006E58E7">
            <w:pPr>
              <w:jc w:val="center"/>
            </w:pPr>
            <w:r w:rsidRPr="001B2EEC">
              <w:rPr>
                <w:sz w:val="18"/>
                <w:szCs w:val="18"/>
              </w:rPr>
              <w:t>0</w:t>
            </w:r>
          </w:p>
        </w:tc>
        <w:tc>
          <w:tcPr>
            <w:tcW w:w="774" w:type="dxa"/>
            <w:tcBorders>
              <w:left w:val="dashSmallGap" w:sz="4" w:space="0" w:color="auto"/>
              <w:right w:val="dashSmallGap" w:sz="4" w:space="0" w:color="auto"/>
            </w:tcBorders>
            <w:vAlign w:val="center"/>
          </w:tcPr>
          <w:p w:rsidR="001B2EEC" w:rsidRPr="001B2EEC" w:rsidRDefault="001B2EEC" w:rsidP="006E58E7">
            <w:pPr>
              <w:jc w:val="center"/>
            </w:pPr>
            <w:r w:rsidRPr="001B2EEC">
              <w:rPr>
                <w:sz w:val="18"/>
                <w:szCs w:val="18"/>
              </w:rPr>
              <w:t>0</w:t>
            </w:r>
          </w:p>
        </w:tc>
        <w:tc>
          <w:tcPr>
            <w:tcW w:w="774" w:type="dxa"/>
            <w:tcBorders>
              <w:left w:val="dashSmallGap" w:sz="4" w:space="0" w:color="auto"/>
              <w:right w:val="dashSmallGap" w:sz="4" w:space="0" w:color="auto"/>
            </w:tcBorders>
            <w:vAlign w:val="center"/>
          </w:tcPr>
          <w:p w:rsidR="001B2EEC" w:rsidRPr="001B2EEC" w:rsidRDefault="001B2EEC" w:rsidP="006E58E7">
            <w:pPr>
              <w:jc w:val="center"/>
            </w:pPr>
            <w:r w:rsidRPr="001B2EEC">
              <w:rPr>
                <w:sz w:val="18"/>
                <w:szCs w:val="18"/>
              </w:rPr>
              <w:t>0</w:t>
            </w:r>
          </w:p>
        </w:tc>
        <w:tc>
          <w:tcPr>
            <w:tcW w:w="774" w:type="dxa"/>
            <w:tcBorders>
              <w:left w:val="dashSmallGap" w:sz="4" w:space="0" w:color="auto"/>
              <w:right w:val="dashSmallGap" w:sz="4" w:space="0" w:color="auto"/>
            </w:tcBorders>
            <w:vAlign w:val="center"/>
          </w:tcPr>
          <w:p w:rsidR="001B2EEC" w:rsidRPr="001B2EEC" w:rsidRDefault="001B2EEC" w:rsidP="006E58E7">
            <w:pPr>
              <w:jc w:val="center"/>
            </w:pPr>
            <w:r w:rsidRPr="001B2EEC">
              <w:rPr>
                <w:sz w:val="18"/>
                <w:szCs w:val="18"/>
              </w:rPr>
              <w:t>0</w:t>
            </w:r>
          </w:p>
        </w:tc>
        <w:tc>
          <w:tcPr>
            <w:tcW w:w="683" w:type="dxa"/>
            <w:tcBorders>
              <w:left w:val="dashSmallGap" w:sz="4" w:space="0" w:color="auto"/>
              <w:right w:val="dashSmallGap" w:sz="4" w:space="0" w:color="auto"/>
            </w:tcBorders>
            <w:vAlign w:val="center"/>
          </w:tcPr>
          <w:p w:rsidR="001B2EEC" w:rsidRPr="001B2EEC" w:rsidRDefault="001B2EEC" w:rsidP="006E58E7">
            <w:pPr>
              <w:jc w:val="center"/>
            </w:pPr>
            <w:r w:rsidRPr="001B2EEC">
              <w:rPr>
                <w:sz w:val="18"/>
                <w:szCs w:val="18"/>
              </w:rPr>
              <w:t>0</w:t>
            </w:r>
          </w:p>
        </w:tc>
        <w:tc>
          <w:tcPr>
            <w:tcW w:w="703" w:type="dxa"/>
            <w:tcBorders>
              <w:left w:val="dashSmallGap" w:sz="4" w:space="0" w:color="auto"/>
              <w:right w:val="dashSmallGap" w:sz="4" w:space="0" w:color="auto"/>
            </w:tcBorders>
            <w:vAlign w:val="center"/>
          </w:tcPr>
          <w:p w:rsidR="001B2EEC" w:rsidRPr="001B2EEC" w:rsidRDefault="001B2EEC" w:rsidP="006E58E7">
            <w:pPr>
              <w:jc w:val="center"/>
            </w:pPr>
            <w:r w:rsidRPr="001B2EEC">
              <w:rPr>
                <w:sz w:val="18"/>
                <w:szCs w:val="18"/>
              </w:rPr>
              <w:t>0</w:t>
            </w:r>
          </w:p>
        </w:tc>
        <w:tc>
          <w:tcPr>
            <w:tcW w:w="663" w:type="dxa"/>
            <w:tcBorders>
              <w:left w:val="dashSmallGap" w:sz="4" w:space="0" w:color="auto"/>
              <w:right w:val="dashSmallGap" w:sz="4" w:space="0" w:color="auto"/>
            </w:tcBorders>
            <w:vAlign w:val="center"/>
          </w:tcPr>
          <w:p w:rsidR="001B2EEC" w:rsidRPr="001B2EEC" w:rsidRDefault="001B2EEC" w:rsidP="006E58E7">
            <w:pPr>
              <w:jc w:val="center"/>
            </w:pPr>
            <w:r w:rsidRPr="001B2EEC">
              <w:rPr>
                <w:sz w:val="18"/>
                <w:szCs w:val="18"/>
              </w:rPr>
              <w:t>0</w:t>
            </w:r>
          </w:p>
        </w:tc>
        <w:tc>
          <w:tcPr>
            <w:tcW w:w="627" w:type="dxa"/>
            <w:tcBorders>
              <w:left w:val="dashSmallGap" w:sz="4" w:space="0" w:color="auto"/>
            </w:tcBorders>
            <w:vAlign w:val="center"/>
          </w:tcPr>
          <w:p w:rsidR="001B2EEC" w:rsidRPr="001B2EEC" w:rsidRDefault="001B2EEC" w:rsidP="006E58E7">
            <w:pPr>
              <w:bidi w:val="0"/>
              <w:spacing w:after="0"/>
              <w:jc w:val="center"/>
              <w:rPr>
                <w:sz w:val="18"/>
                <w:szCs w:val="18"/>
                <w:rtl/>
              </w:rPr>
            </w:pPr>
            <w:r w:rsidRPr="001B2EEC">
              <w:rPr>
                <w:sz w:val="18"/>
                <w:szCs w:val="18"/>
              </w:rPr>
              <w:t>0</w:t>
            </w:r>
          </w:p>
        </w:tc>
        <w:tc>
          <w:tcPr>
            <w:tcW w:w="4106" w:type="dxa"/>
          </w:tcPr>
          <w:p w:rsidR="001B2EEC" w:rsidRPr="001B2EEC" w:rsidRDefault="001B2EEC" w:rsidP="001B2EEC">
            <w:pPr>
              <w:bidi w:val="0"/>
              <w:spacing w:after="0"/>
              <w:contextualSpacing/>
              <w:jc w:val="left"/>
              <w:rPr>
                <w:rFonts w:ascii="Times New Roman" w:hAnsi="Times New Roman" w:cs="Times New Roman"/>
                <w:b w:val="0"/>
                <w:bCs w:val="0"/>
                <w:sz w:val="20"/>
                <w:szCs w:val="20"/>
              </w:rPr>
            </w:pPr>
            <w:r w:rsidRPr="001B2EEC">
              <w:rPr>
                <w:rFonts w:ascii="Times New Roman" w:hAnsi="Times New Roman" w:cs="Times New Roman"/>
                <w:b w:val="0"/>
                <w:bCs w:val="0"/>
                <w:sz w:val="20"/>
                <w:szCs w:val="20"/>
              </w:rPr>
              <w:t xml:space="preserve">horizontal disallowances: </w:t>
            </w:r>
            <w:r w:rsidRPr="001B2EEC">
              <w:rPr>
                <w:rFonts w:ascii="Times New Roman" w:eastAsiaTheme="minorHAnsi" w:hAnsi="Times New Roman" w:cs="Times New Roman"/>
                <w:b w:val="0"/>
                <w:bCs w:val="0"/>
                <w:sz w:val="20"/>
                <w:szCs w:val="20"/>
              </w:rPr>
              <w:t>matched position</w:t>
            </w:r>
            <w:r w:rsidRPr="001B2EEC">
              <w:rPr>
                <w:rFonts w:ascii="Times New Roman" w:hAnsi="Times New Roman" w:cs="Times New Roman"/>
                <w:b w:val="0"/>
                <w:bCs w:val="0"/>
                <w:sz w:val="20"/>
                <w:szCs w:val="20"/>
              </w:rPr>
              <w:t xml:space="preserve"> within the zones * (40%,30%,30%)</w:t>
            </w:r>
          </w:p>
        </w:tc>
        <w:tc>
          <w:tcPr>
            <w:tcW w:w="490" w:type="dxa"/>
          </w:tcPr>
          <w:p w:rsidR="001B2EEC" w:rsidRPr="001B2EEC" w:rsidRDefault="001B2EEC" w:rsidP="001B2EEC">
            <w:pPr>
              <w:bidi w:val="0"/>
              <w:spacing w:after="0"/>
              <w:jc w:val="left"/>
              <w:rPr>
                <w:sz w:val="18"/>
                <w:szCs w:val="18"/>
                <w:rtl/>
              </w:rPr>
            </w:pPr>
            <w:r w:rsidRPr="001B2EEC">
              <w:rPr>
                <w:sz w:val="18"/>
                <w:szCs w:val="18"/>
              </w:rPr>
              <w:t>4</w:t>
            </w:r>
          </w:p>
        </w:tc>
      </w:tr>
      <w:tr w:rsidR="001B2EEC" w:rsidRPr="001B2EEC" w:rsidTr="001B2EEC">
        <w:trPr>
          <w:jc w:val="center"/>
        </w:trPr>
        <w:tc>
          <w:tcPr>
            <w:tcW w:w="669" w:type="dxa"/>
            <w:tcBorders>
              <w:left w:val="single" w:sz="4" w:space="0" w:color="auto"/>
            </w:tcBorders>
            <w:shd w:val="clear" w:color="auto" w:fill="FFF2CC" w:themeFill="accent4" w:themeFillTint="33"/>
            <w:vAlign w:val="center"/>
          </w:tcPr>
          <w:p w:rsidR="001B2EEC" w:rsidRPr="001B2EEC" w:rsidRDefault="001B2EEC" w:rsidP="001B2EEC">
            <w:pPr>
              <w:bidi w:val="0"/>
              <w:spacing w:after="0"/>
              <w:jc w:val="left"/>
              <w:rPr>
                <w:sz w:val="18"/>
                <w:szCs w:val="18"/>
                <w:rtl/>
              </w:rPr>
            </w:pPr>
            <w:r w:rsidRPr="001B2EEC">
              <w:rPr>
                <w:sz w:val="18"/>
                <w:szCs w:val="18"/>
              </w:rPr>
              <w:t>0.00</w:t>
            </w:r>
          </w:p>
        </w:tc>
        <w:tc>
          <w:tcPr>
            <w:tcW w:w="3975" w:type="dxa"/>
            <w:gridSpan w:val="5"/>
            <w:tcBorders>
              <w:bottom w:val="double" w:sz="4" w:space="0" w:color="auto"/>
              <w:right w:val="dashSmallGap" w:sz="4" w:space="0" w:color="auto"/>
            </w:tcBorders>
            <w:shd w:val="clear" w:color="auto" w:fill="D0CECE" w:themeFill="background2" w:themeFillShade="E6"/>
            <w:vAlign w:val="center"/>
          </w:tcPr>
          <w:p w:rsidR="001B2EEC" w:rsidRPr="001B2EEC" w:rsidRDefault="001B2EEC" w:rsidP="001B2EEC">
            <w:pPr>
              <w:bidi w:val="0"/>
              <w:spacing w:after="0"/>
              <w:rPr>
                <w:sz w:val="18"/>
                <w:szCs w:val="18"/>
                <w:rtl/>
              </w:rPr>
            </w:pPr>
          </w:p>
        </w:tc>
        <w:tc>
          <w:tcPr>
            <w:tcW w:w="774" w:type="dxa"/>
            <w:tcBorders>
              <w:left w:val="dashSmallGap" w:sz="4" w:space="0" w:color="auto"/>
              <w:bottom w:val="double" w:sz="4" w:space="0" w:color="auto"/>
              <w:right w:val="double" w:sz="4" w:space="0" w:color="auto"/>
            </w:tcBorders>
            <w:shd w:val="clear" w:color="auto" w:fill="D0CECE" w:themeFill="background2" w:themeFillShade="E6"/>
            <w:vAlign w:val="center"/>
          </w:tcPr>
          <w:p w:rsidR="001B2EEC" w:rsidRPr="001B2EEC" w:rsidRDefault="001B2EEC" w:rsidP="006E58E7">
            <w:pPr>
              <w:bidi w:val="0"/>
              <w:spacing w:after="0"/>
              <w:jc w:val="center"/>
              <w:rPr>
                <w:sz w:val="18"/>
                <w:szCs w:val="18"/>
                <w:rtl/>
              </w:rPr>
            </w:pPr>
            <w:r w:rsidRPr="001B2EEC">
              <w:rPr>
                <w:sz w:val="18"/>
                <w:szCs w:val="18"/>
              </w:rPr>
              <w:t>0</w:t>
            </w:r>
          </w:p>
        </w:tc>
        <w:tc>
          <w:tcPr>
            <w:tcW w:w="1548" w:type="dxa"/>
            <w:gridSpan w:val="2"/>
            <w:tcBorders>
              <w:left w:val="double" w:sz="4" w:space="0" w:color="auto"/>
              <w:bottom w:val="double" w:sz="4" w:space="0" w:color="auto"/>
              <w:right w:val="dashSmallGap" w:sz="4" w:space="0" w:color="auto"/>
            </w:tcBorders>
            <w:shd w:val="clear" w:color="auto" w:fill="D0CECE" w:themeFill="background2" w:themeFillShade="E6"/>
            <w:vAlign w:val="center"/>
          </w:tcPr>
          <w:p w:rsidR="001B2EEC" w:rsidRPr="001B2EEC" w:rsidRDefault="001B2EEC" w:rsidP="006E58E7">
            <w:pPr>
              <w:bidi w:val="0"/>
              <w:spacing w:after="0"/>
              <w:jc w:val="center"/>
              <w:rPr>
                <w:sz w:val="18"/>
                <w:szCs w:val="18"/>
                <w:rtl/>
              </w:rPr>
            </w:pPr>
          </w:p>
        </w:tc>
        <w:tc>
          <w:tcPr>
            <w:tcW w:w="774" w:type="dxa"/>
            <w:tcBorders>
              <w:left w:val="dashSmallGap" w:sz="4" w:space="0" w:color="auto"/>
              <w:bottom w:val="double" w:sz="4" w:space="0" w:color="auto"/>
              <w:right w:val="double" w:sz="4" w:space="0" w:color="auto"/>
            </w:tcBorders>
            <w:shd w:val="clear" w:color="auto" w:fill="D0CECE" w:themeFill="background2" w:themeFillShade="E6"/>
            <w:vAlign w:val="center"/>
          </w:tcPr>
          <w:p w:rsidR="001B2EEC" w:rsidRPr="001B2EEC" w:rsidRDefault="001B2EEC" w:rsidP="006E58E7">
            <w:pPr>
              <w:bidi w:val="0"/>
              <w:spacing w:after="0"/>
              <w:jc w:val="center"/>
              <w:rPr>
                <w:sz w:val="18"/>
                <w:szCs w:val="18"/>
                <w:rtl/>
              </w:rPr>
            </w:pPr>
            <w:r w:rsidRPr="001B2EEC">
              <w:rPr>
                <w:sz w:val="18"/>
                <w:szCs w:val="18"/>
              </w:rPr>
              <w:t>0</w:t>
            </w:r>
          </w:p>
        </w:tc>
        <w:tc>
          <w:tcPr>
            <w:tcW w:w="2049" w:type="dxa"/>
            <w:gridSpan w:val="3"/>
            <w:tcBorders>
              <w:left w:val="double" w:sz="4" w:space="0" w:color="auto"/>
              <w:bottom w:val="double" w:sz="4" w:space="0" w:color="auto"/>
              <w:right w:val="dashSmallGap" w:sz="4" w:space="0" w:color="auto"/>
            </w:tcBorders>
            <w:shd w:val="clear" w:color="auto" w:fill="D0CECE" w:themeFill="background2" w:themeFillShade="E6"/>
            <w:vAlign w:val="center"/>
          </w:tcPr>
          <w:p w:rsidR="001B2EEC" w:rsidRPr="001B2EEC" w:rsidRDefault="001B2EEC" w:rsidP="006E58E7">
            <w:pPr>
              <w:bidi w:val="0"/>
              <w:spacing w:after="0"/>
              <w:jc w:val="center"/>
              <w:rPr>
                <w:sz w:val="18"/>
                <w:szCs w:val="18"/>
                <w:rtl/>
              </w:rPr>
            </w:pPr>
          </w:p>
        </w:tc>
        <w:tc>
          <w:tcPr>
            <w:tcW w:w="627" w:type="dxa"/>
            <w:tcBorders>
              <w:left w:val="dashSmallGap" w:sz="4" w:space="0" w:color="auto"/>
              <w:bottom w:val="double" w:sz="4" w:space="0" w:color="auto"/>
            </w:tcBorders>
            <w:shd w:val="clear" w:color="auto" w:fill="D0CECE" w:themeFill="background2" w:themeFillShade="E6"/>
            <w:vAlign w:val="center"/>
          </w:tcPr>
          <w:p w:rsidR="001B2EEC" w:rsidRPr="001B2EEC" w:rsidRDefault="001B2EEC" w:rsidP="006E58E7">
            <w:pPr>
              <w:bidi w:val="0"/>
              <w:spacing w:after="0"/>
              <w:jc w:val="center"/>
              <w:rPr>
                <w:sz w:val="18"/>
                <w:szCs w:val="18"/>
                <w:rtl/>
              </w:rPr>
            </w:pPr>
            <w:r w:rsidRPr="001B2EEC">
              <w:rPr>
                <w:sz w:val="18"/>
                <w:szCs w:val="18"/>
              </w:rPr>
              <w:t>0</w:t>
            </w:r>
          </w:p>
        </w:tc>
        <w:tc>
          <w:tcPr>
            <w:tcW w:w="4106" w:type="dxa"/>
          </w:tcPr>
          <w:p w:rsidR="001B2EEC" w:rsidRPr="001B2EEC" w:rsidRDefault="001B2EEC" w:rsidP="001B2EEC">
            <w:pPr>
              <w:bidi w:val="0"/>
              <w:spacing w:after="0"/>
              <w:contextualSpacing/>
              <w:jc w:val="left"/>
              <w:rPr>
                <w:rFonts w:ascii="Times New Roman" w:hAnsi="Times New Roman" w:cs="Times New Roman"/>
                <w:b w:val="0"/>
                <w:bCs w:val="0"/>
                <w:sz w:val="20"/>
                <w:szCs w:val="20"/>
              </w:rPr>
            </w:pPr>
            <w:r w:rsidRPr="001B2EEC">
              <w:rPr>
                <w:rFonts w:ascii="Times New Roman" w:hAnsi="Times New Roman" w:cs="Times New Roman"/>
                <w:b w:val="0"/>
                <w:bCs w:val="0"/>
                <w:sz w:val="20"/>
                <w:szCs w:val="20"/>
              </w:rPr>
              <w:t xml:space="preserve">horizontal disallowances: </w:t>
            </w:r>
            <w:r w:rsidRPr="001B2EEC">
              <w:rPr>
                <w:rFonts w:ascii="Times New Roman" w:eastAsiaTheme="minorHAnsi" w:hAnsi="Times New Roman" w:cs="Times New Roman"/>
                <w:b w:val="0"/>
                <w:bCs w:val="0"/>
                <w:sz w:val="20"/>
                <w:szCs w:val="20"/>
              </w:rPr>
              <w:t>matched position</w:t>
            </w:r>
            <w:r w:rsidRPr="001B2EEC">
              <w:rPr>
                <w:rFonts w:ascii="Times New Roman" w:hAnsi="Times New Roman" w:cs="Times New Roman"/>
                <w:b w:val="0"/>
                <w:bCs w:val="0"/>
                <w:sz w:val="20"/>
                <w:szCs w:val="20"/>
              </w:rPr>
              <w:t xml:space="preserve"> between adjacent zones*40%</w:t>
            </w:r>
          </w:p>
        </w:tc>
        <w:tc>
          <w:tcPr>
            <w:tcW w:w="490" w:type="dxa"/>
          </w:tcPr>
          <w:p w:rsidR="001B2EEC" w:rsidRPr="001B2EEC" w:rsidRDefault="001B2EEC" w:rsidP="001B2EEC">
            <w:pPr>
              <w:bidi w:val="0"/>
              <w:spacing w:after="0"/>
              <w:jc w:val="left"/>
              <w:rPr>
                <w:sz w:val="18"/>
                <w:szCs w:val="18"/>
                <w:rtl/>
              </w:rPr>
            </w:pPr>
            <w:r w:rsidRPr="001B2EEC">
              <w:rPr>
                <w:sz w:val="18"/>
                <w:szCs w:val="18"/>
              </w:rPr>
              <w:t>5</w:t>
            </w:r>
          </w:p>
        </w:tc>
      </w:tr>
      <w:tr w:rsidR="001B2EEC" w:rsidRPr="001B2EEC" w:rsidTr="001B2EEC">
        <w:trPr>
          <w:jc w:val="center"/>
        </w:trPr>
        <w:tc>
          <w:tcPr>
            <w:tcW w:w="669" w:type="dxa"/>
            <w:tcBorders>
              <w:left w:val="single" w:sz="4" w:space="0" w:color="auto"/>
            </w:tcBorders>
            <w:shd w:val="clear" w:color="auto" w:fill="FFF2CC" w:themeFill="accent4" w:themeFillTint="33"/>
            <w:vAlign w:val="center"/>
          </w:tcPr>
          <w:p w:rsidR="001B2EEC" w:rsidRPr="001B2EEC" w:rsidRDefault="001B2EEC" w:rsidP="001B2EEC">
            <w:pPr>
              <w:bidi w:val="0"/>
              <w:spacing w:after="0"/>
              <w:jc w:val="left"/>
              <w:rPr>
                <w:sz w:val="18"/>
                <w:szCs w:val="18"/>
                <w:rtl/>
              </w:rPr>
            </w:pPr>
            <w:r w:rsidRPr="001B2EEC">
              <w:rPr>
                <w:sz w:val="18"/>
                <w:szCs w:val="18"/>
              </w:rPr>
              <w:t>0.00</w:t>
            </w:r>
          </w:p>
        </w:tc>
        <w:tc>
          <w:tcPr>
            <w:tcW w:w="4749" w:type="dxa"/>
            <w:gridSpan w:val="6"/>
            <w:tcBorders>
              <w:top w:val="double" w:sz="4" w:space="0" w:color="auto"/>
            </w:tcBorders>
            <w:shd w:val="clear" w:color="auto" w:fill="FFC000"/>
            <w:vAlign w:val="center"/>
          </w:tcPr>
          <w:p w:rsidR="001B2EEC" w:rsidRPr="001B2EEC" w:rsidRDefault="001B2EEC" w:rsidP="006E58E7">
            <w:pPr>
              <w:bidi w:val="0"/>
              <w:spacing w:after="0"/>
              <w:jc w:val="center"/>
              <w:rPr>
                <w:sz w:val="18"/>
                <w:szCs w:val="18"/>
                <w:rtl/>
              </w:rPr>
            </w:pPr>
          </w:p>
        </w:tc>
        <w:tc>
          <w:tcPr>
            <w:tcW w:w="774" w:type="dxa"/>
            <w:tcBorders>
              <w:top w:val="double" w:sz="4" w:space="0" w:color="auto"/>
            </w:tcBorders>
            <w:shd w:val="clear" w:color="auto" w:fill="FFC000"/>
            <w:vAlign w:val="center"/>
          </w:tcPr>
          <w:p w:rsidR="001B2EEC" w:rsidRPr="001B2EEC" w:rsidRDefault="001B2EEC" w:rsidP="006E58E7">
            <w:pPr>
              <w:bidi w:val="0"/>
              <w:spacing w:after="0"/>
              <w:jc w:val="center"/>
              <w:rPr>
                <w:sz w:val="18"/>
                <w:szCs w:val="18"/>
                <w:rtl/>
              </w:rPr>
            </w:pPr>
            <w:r w:rsidRPr="001B2EEC">
              <w:rPr>
                <w:sz w:val="18"/>
                <w:szCs w:val="18"/>
              </w:rPr>
              <w:t>0</w:t>
            </w:r>
          </w:p>
        </w:tc>
        <w:tc>
          <w:tcPr>
            <w:tcW w:w="3597" w:type="dxa"/>
            <w:gridSpan w:val="5"/>
            <w:tcBorders>
              <w:top w:val="double" w:sz="4" w:space="0" w:color="auto"/>
            </w:tcBorders>
            <w:shd w:val="clear" w:color="auto" w:fill="FFC000"/>
            <w:vAlign w:val="center"/>
          </w:tcPr>
          <w:p w:rsidR="001B2EEC" w:rsidRPr="001B2EEC" w:rsidRDefault="001B2EEC" w:rsidP="006E58E7">
            <w:pPr>
              <w:bidi w:val="0"/>
              <w:spacing w:after="0"/>
              <w:jc w:val="center"/>
              <w:rPr>
                <w:sz w:val="18"/>
                <w:szCs w:val="18"/>
                <w:rtl/>
              </w:rPr>
            </w:pPr>
          </w:p>
        </w:tc>
        <w:tc>
          <w:tcPr>
            <w:tcW w:w="627" w:type="dxa"/>
            <w:tcBorders>
              <w:top w:val="double" w:sz="4" w:space="0" w:color="auto"/>
            </w:tcBorders>
            <w:shd w:val="clear" w:color="auto" w:fill="FFC000"/>
            <w:vAlign w:val="center"/>
          </w:tcPr>
          <w:p w:rsidR="001B2EEC" w:rsidRPr="001B2EEC" w:rsidRDefault="001B2EEC" w:rsidP="006E58E7">
            <w:pPr>
              <w:bidi w:val="0"/>
              <w:spacing w:after="0"/>
              <w:jc w:val="center"/>
              <w:rPr>
                <w:sz w:val="18"/>
                <w:szCs w:val="18"/>
                <w:rtl/>
              </w:rPr>
            </w:pPr>
            <w:r w:rsidRPr="001B2EEC">
              <w:rPr>
                <w:sz w:val="18"/>
                <w:szCs w:val="18"/>
              </w:rPr>
              <w:t>0</w:t>
            </w:r>
          </w:p>
        </w:tc>
        <w:tc>
          <w:tcPr>
            <w:tcW w:w="4106" w:type="dxa"/>
            <w:tcBorders>
              <w:top w:val="double" w:sz="4" w:space="0" w:color="auto"/>
            </w:tcBorders>
          </w:tcPr>
          <w:p w:rsidR="001B2EEC" w:rsidRPr="001B2EEC" w:rsidRDefault="001B2EEC" w:rsidP="001B2EEC">
            <w:pPr>
              <w:bidi w:val="0"/>
              <w:spacing w:after="0"/>
              <w:ind w:left="-1" w:firstLine="1"/>
              <w:contextualSpacing/>
              <w:jc w:val="left"/>
              <w:rPr>
                <w:rFonts w:ascii="Times New Roman" w:hAnsi="Times New Roman" w:cs="Times New Roman"/>
                <w:b w:val="0"/>
                <w:bCs w:val="0"/>
                <w:sz w:val="20"/>
                <w:szCs w:val="20"/>
              </w:rPr>
            </w:pPr>
            <w:r w:rsidRPr="001B2EEC">
              <w:rPr>
                <w:rFonts w:ascii="Times New Roman" w:hAnsi="Times New Roman" w:cs="Times New Roman"/>
                <w:b w:val="0"/>
                <w:bCs w:val="0"/>
                <w:sz w:val="20"/>
                <w:szCs w:val="20"/>
              </w:rPr>
              <w:t xml:space="preserve">horizontal disallowances: </w:t>
            </w:r>
            <w:r w:rsidRPr="001B2EEC">
              <w:rPr>
                <w:rFonts w:ascii="Times New Roman" w:eastAsiaTheme="minorHAnsi" w:hAnsi="Times New Roman" w:cs="Times New Roman"/>
                <w:b w:val="0"/>
                <w:bCs w:val="0"/>
                <w:sz w:val="20"/>
                <w:szCs w:val="20"/>
              </w:rPr>
              <w:t>matched position</w:t>
            </w:r>
            <w:r w:rsidRPr="001B2EEC">
              <w:rPr>
                <w:rFonts w:ascii="Times New Roman" w:hAnsi="Times New Roman" w:cs="Times New Roman"/>
                <w:b w:val="0"/>
                <w:bCs w:val="0"/>
                <w:sz w:val="20"/>
                <w:szCs w:val="20"/>
              </w:rPr>
              <w:t xml:space="preserve"> between zones 1and3 * 100%</w:t>
            </w:r>
          </w:p>
        </w:tc>
        <w:tc>
          <w:tcPr>
            <w:tcW w:w="490" w:type="dxa"/>
          </w:tcPr>
          <w:p w:rsidR="001B2EEC" w:rsidRPr="001B2EEC" w:rsidRDefault="001B2EEC" w:rsidP="001B2EEC">
            <w:pPr>
              <w:bidi w:val="0"/>
              <w:spacing w:after="0"/>
              <w:jc w:val="left"/>
              <w:rPr>
                <w:sz w:val="18"/>
                <w:szCs w:val="18"/>
                <w:rtl/>
              </w:rPr>
            </w:pPr>
            <w:r w:rsidRPr="001B2EEC">
              <w:rPr>
                <w:sz w:val="18"/>
                <w:szCs w:val="18"/>
              </w:rPr>
              <w:t>6</w:t>
            </w:r>
          </w:p>
        </w:tc>
      </w:tr>
      <w:tr w:rsidR="001B2EEC" w:rsidRPr="001B2EEC" w:rsidTr="001B2EEC">
        <w:trPr>
          <w:jc w:val="center"/>
        </w:trPr>
        <w:tc>
          <w:tcPr>
            <w:tcW w:w="669" w:type="dxa"/>
            <w:tcBorders>
              <w:left w:val="single" w:sz="4" w:space="0" w:color="auto"/>
            </w:tcBorders>
            <w:shd w:val="clear" w:color="auto" w:fill="FFF2CC" w:themeFill="accent4" w:themeFillTint="33"/>
            <w:vAlign w:val="center"/>
          </w:tcPr>
          <w:p w:rsidR="001B2EEC" w:rsidRPr="001B2EEC" w:rsidRDefault="001B2EEC" w:rsidP="001B2EEC">
            <w:pPr>
              <w:bidi w:val="0"/>
              <w:spacing w:after="0"/>
              <w:jc w:val="left"/>
              <w:rPr>
                <w:sz w:val="18"/>
                <w:szCs w:val="18"/>
                <w:rtl/>
              </w:rPr>
            </w:pPr>
            <w:r w:rsidRPr="001B2EEC">
              <w:rPr>
                <w:sz w:val="18"/>
                <w:szCs w:val="18"/>
              </w:rPr>
              <w:t>0.00</w:t>
            </w:r>
          </w:p>
        </w:tc>
        <w:tc>
          <w:tcPr>
            <w:tcW w:w="9747" w:type="dxa"/>
            <w:gridSpan w:val="13"/>
            <w:shd w:val="clear" w:color="auto" w:fill="92D050"/>
            <w:vAlign w:val="center"/>
          </w:tcPr>
          <w:p w:rsidR="001B2EEC" w:rsidRPr="001B2EEC" w:rsidRDefault="001B2EEC" w:rsidP="001B2EEC">
            <w:pPr>
              <w:bidi w:val="0"/>
              <w:spacing w:after="0"/>
              <w:rPr>
                <w:sz w:val="18"/>
                <w:szCs w:val="18"/>
                <w:rtl/>
              </w:rPr>
            </w:pPr>
            <w:r w:rsidRPr="001B2EEC">
              <w:rPr>
                <w:sz w:val="18"/>
                <w:szCs w:val="18"/>
              </w:rPr>
              <w:t>0</w:t>
            </w:r>
          </w:p>
        </w:tc>
        <w:tc>
          <w:tcPr>
            <w:tcW w:w="4106" w:type="dxa"/>
          </w:tcPr>
          <w:p w:rsidR="001B2EEC" w:rsidRPr="001B2EEC" w:rsidRDefault="001B2EEC" w:rsidP="001B2EEC">
            <w:pPr>
              <w:bidi w:val="0"/>
              <w:spacing w:after="0"/>
              <w:contextualSpacing/>
              <w:jc w:val="left"/>
              <w:rPr>
                <w:rFonts w:ascii="Times New Roman" w:hAnsi="Times New Roman" w:cs="Times New Roman"/>
                <w:b w:val="0"/>
                <w:bCs w:val="0"/>
                <w:sz w:val="20"/>
                <w:szCs w:val="20"/>
              </w:rPr>
            </w:pPr>
            <w:r w:rsidRPr="001B2EEC">
              <w:rPr>
                <w:rFonts w:ascii="Times New Roman" w:hAnsi="Times New Roman" w:cs="Times New Roman"/>
                <w:b w:val="0"/>
                <w:bCs w:val="0"/>
                <w:color w:val="202124"/>
                <w:sz w:val="20"/>
                <w:szCs w:val="20"/>
                <w:lang w:val="en"/>
              </w:rPr>
              <w:t xml:space="preserve">The capital required for general risk of debt instruments subject to interest rate risk equal: </w:t>
            </w:r>
          </w:p>
        </w:tc>
        <w:tc>
          <w:tcPr>
            <w:tcW w:w="490" w:type="dxa"/>
          </w:tcPr>
          <w:p w:rsidR="001B2EEC" w:rsidRPr="001B2EEC" w:rsidRDefault="001B2EEC" w:rsidP="001B2EEC">
            <w:pPr>
              <w:bidi w:val="0"/>
              <w:spacing w:after="0"/>
              <w:jc w:val="left"/>
              <w:rPr>
                <w:sz w:val="18"/>
                <w:szCs w:val="18"/>
                <w:rtl/>
              </w:rPr>
            </w:pPr>
            <w:r w:rsidRPr="001B2EEC">
              <w:rPr>
                <w:sz w:val="18"/>
                <w:szCs w:val="18"/>
              </w:rPr>
              <w:t>7</w:t>
            </w:r>
          </w:p>
        </w:tc>
      </w:tr>
      <w:tr w:rsidR="001B2EEC" w:rsidRPr="001B2EEC" w:rsidTr="001B2EEC">
        <w:trPr>
          <w:jc w:val="center"/>
        </w:trPr>
        <w:tc>
          <w:tcPr>
            <w:tcW w:w="669" w:type="dxa"/>
            <w:tcBorders>
              <w:left w:val="single" w:sz="4" w:space="0" w:color="auto"/>
            </w:tcBorders>
            <w:shd w:val="clear" w:color="auto" w:fill="FFF2CC" w:themeFill="accent4" w:themeFillTint="33"/>
            <w:vAlign w:val="center"/>
          </w:tcPr>
          <w:p w:rsidR="001B2EEC" w:rsidRPr="001B2EEC" w:rsidRDefault="001B2EEC" w:rsidP="001B2EEC">
            <w:pPr>
              <w:bidi w:val="0"/>
              <w:spacing w:after="0"/>
              <w:jc w:val="left"/>
              <w:rPr>
                <w:sz w:val="18"/>
                <w:szCs w:val="18"/>
                <w:rtl/>
              </w:rPr>
            </w:pPr>
          </w:p>
        </w:tc>
        <w:tc>
          <w:tcPr>
            <w:tcW w:w="2407" w:type="dxa"/>
            <w:gridSpan w:val="3"/>
            <w:shd w:val="clear" w:color="auto" w:fill="FFC000"/>
            <w:vAlign w:val="center"/>
          </w:tcPr>
          <w:p w:rsidR="001B2EEC" w:rsidRPr="001B2EEC" w:rsidRDefault="001B2EEC" w:rsidP="001B2EEC">
            <w:pPr>
              <w:bidi w:val="0"/>
              <w:spacing w:after="0"/>
              <w:jc w:val="left"/>
              <w:rPr>
                <w:sz w:val="18"/>
                <w:szCs w:val="18"/>
                <w:rtl/>
              </w:rPr>
            </w:pPr>
          </w:p>
        </w:tc>
        <w:tc>
          <w:tcPr>
            <w:tcW w:w="774" w:type="dxa"/>
            <w:vAlign w:val="center"/>
          </w:tcPr>
          <w:p w:rsidR="001B2EEC" w:rsidRPr="001B2EEC" w:rsidRDefault="001B2EEC" w:rsidP="001B2EEC">
            <w:pPr>
              <w:bidi w:val="0"/>
              <w:spacing w:after="0"/>
              <w:jc w:val="left"/>
              <w:rPr>
                <w:sz w:val="18"/>
                <w:szCs w:val="18"/>
                <w:rtl/>
              </w:rPr>
            </w:pPr>
          </w:p>
        </w:tc>
        <w:tc>
          <w:tcPr>
            <w:tcW w:w="794" w:type="dxa"/>
            <w:shd w:val="clear" w:color="auto" w:fill="FFF2CC" w:themeFill="accent4" w:themeFillTint="33"/>
            <w:vAlign w:val="center"/>
          </w:tcPr>
          <w:p w:rsidR="001B2EEC" w:rsidRPr="001B2EEC" w:rsidRDefault="001B2EEC" w:rsidP="001B2EEC">
            <w:pPr>
              <w:bidi w:val="0"/>
              <w:spacing w:after="0"/>
              <w:rPr>
                <w:sz w:val="18"/>
                <w:szCs w:val="18"/>
                <w:rtl/>
              </w:rPr>
            </w:pPr>
            <w:r w:rsidRPr="001B2EEC">
              <w:rPr>
                <w:sz w:val="18"/>
                <w:szCs w:val="18"/>
              </w:rPr>
              <w:t>0.00</w:t>
            </w:r>
          </w:p>
        </w:tc>
        <w:tc>
          <w:tcPr>
            <w:tcW w:w="5772" w:type="dxa"/>
            <w:gridSpan w:val="8"/>
            <w:vAlign w:val="center"/>
          </w:tcPr>
          <w:p w:rsidR="001B2EEC" w:rsidRPr="001B2EEC" w:rsidRDefault="001B2EEC" w:rsidP="001B2EEC">
            <w:pPr>
              <w:bidi w:val="0"/>
              <w:spacing w:after="0"/>
              <w:jc w:val="left"/>
              <w:rPr>
                <w:sz w:val="18"/>
                <w:szCs w:val="18"/>
                <w:rtl/>
              </w:rPr>
            </w:pPr>
          </w:p>
        </w:tc>
        <w:tc>
          <w:tcPr>
            <w:tcW w:w="4106" w:type="dxa"/>
          </w:tcPr>
          <w:p w:rsidR="001B2EEC" w:rsidRPr="001B2EEC" w:rsidRDefault="001B2EEC" w:rsidP="001B2EEC">
            <w:pPr>
              <w:bidi w:val="0"/>
              <w:spacing w:after="0"/>
              <w:contextualSpacing/>
              <w:jc w:val="left"/>
              <w:rPr>
                <w:rFonts w:ascii="Times New Roman" w:hAnsi="Times New Roman" w:cs="Times New Roman"/>
                <w:b w:val="0"/>
                <w:bCs w:val="0"/>
                <w:sz w:val="20"/>
                <w:szCs w:val="20"/>
                <w:lang w:bidi="ar-JO"/>
              </w:rPr>
            </w:pPr>
            <w:r w:rsidRPr="001B2EEC">
              <w:rPr>
                <w:rFonts w:ascii="Times New Roman" w:hAnsi="Times New Roman" w:cs="Times New Roman"/>
                <w:b w:val="0"/>
                <w:bCs w:val="0"/>
                <w:color w:val="202124"/>
                <w:sz w:val="20"/>
                <w:szCs w:val="20"/>
                <w:lang w:val="en"/>
              </w:rPr>
              <w:t>The market general risk for interest rate = the required capital * 12.5</w:t>
            </w:r>
          </w:p>
        </w:tc>
        <w:tc>
          <w:tcPr>
            <w:tcW w:w="490" w:type="dxa"/>
          </w:tcPr>
          <w:p w:rsidR="001B2EEC" w:rsidRPr="001B2EEC" w:rsidRDefault="001B2EEC" w:rsidP="001B2EEC">
            <w:pPr>
              <w:bidi w:val="0"/>
              <w:spacing w:after="0"/>
              <w:jc w:val="left"/>
              <w:rPr>
                <w:sz w:val="18"/>
                <w:szCs w:val="18"/>
                <w:rtl/>
              </w:rPr>
            </w:pPr>
            <w:r w:rsidRPr="001B2EEC">
              <w:rPr>
                <w:sz w:val="18"/>
                <w:szCs w:val="18"/>
              </w:rPr>
              <w:t>8</w:t>
            </w:r>
          </w:p>
        </w:tc>
      </w:tr>
      <w:tr w:rsidR="001B2EEC" w:rsidRPr="001B2EEC" w:rsidTr="001B2EEC">
        <w:trPr>
          <w:jc w:val="center"/>
        </w:trPr>
        <w:tc>
          <w:tcPr>
            <w:tcW w:w="669" w:type="dxa"/>
            <w:tcBorders>
              <w:left w:val="single" w:sz="4" w:space="0" w:color="auto"/>
            </w:tcBorders>
            <w:shd w:val="clear" w:color="auto" w:fill="FFF2CC" w:themeFill="accent4" w:themeFillTint="33"/>
            <w:vAlign w:val="center"/>
          </w:tcPr>
          <w:p w:rsidR="001B2EEC" w:rsidRPr="001B2EEC" w:rsidRDefault="001B2EEC" w:rsidP="001B2EEC">
            <w:pPr>
              <w:bidi w:val="0"/>
              <w:spacing w:after="0"/>
              <w:jc w:val="left"/>
              <w:rPr>
                <w:sz w:val="18"/>
                <w:szCs w:val="18"/>
                <w:rtl/>
              </w:rPr>
            </w:pPr>
          </w:p>
        </w:tc>
        <w:tc>
          <w:tcPr>
            <w:tcW w:w="871" w:type="dxa"/>
            <w:shd w:val="clear" w:color="auto" w:fill="92D050"/>
            <w:vAlign w:val="center"/>
          </w:tcPr>
          <w:p w:rsidR="001B2EEC" w:rsidRPr="001B2EEC" w:rsidRDefault="001B2EEC" w:rsidP="001B2EEC">
            <w:pPr>
              <w:bidi w:val="0"/>
              <w:spacing w:after="0"/>
              <w:jc w:val="left"/>
              <w:rPr>
                <w:sz w:val="18"/>
                <w:szCs w:val="18"/>
                <w:rtl/>
              </w:rPr>
            </w:pPr>
          </w:p>
        </w:tc>
        <w:tc>
          <w:tcPr>
            <w:tcW w:w="774" w:type="dxa"/>
            <w:vAlign w:val="center"/>
          </w:tcPr>
          <w:p w:rsidR="001B2EEC" w:rsidRPr="001B2EEC" w:rsidRDefault="001B2EEC" w:rsidP="001B2EEC">
            <w:pPr>
              <w:bidi w:val="0"/>
              <w:spacing w:after="0"/>
              <w:jc w:val="left"/>
              <w:rPr>
                <w:sz w:val="18"/>
                <w:szCs w:val="18"/>
                <w:rtl/>
              </w:rPr>
            </w:pPr>
          </w:p>
        </w:tc>
        <w:tc>
          <w:tcPr>
            <w:tcW w:w="762" w:type="dxa"/>
            <w:shd w:val="clear" w:color="auto" w:fill="FFF2CC" w:themeFill="accent4" w:themeFillTint="33"/>
            <w:vAlign w:val="center"/>
          </w:tcPr>
          <w:p w:rsidR="001B2EEC" w:rsidRPr="001B2EEC" w:rsidRDefault="001B2EEC" w:rsidP="001B2EEC">
            <w:pPr>
              <w:bidi w:val="0"/>
              <w:spacing w:after="0"/>
              <w:jc w:val="left"/>
              <w:rPr>
                <w:sz w:val="18"/>
                <w:szCs w:val="18"/>
                <w:rtl/>
              </w:rPr>
            </w:pPr>
            <w:r w:rsidRPr="001B2EEC">
              <w:rPr>
                <w:sz w:val="18"/>
                <w:szCs w:val="18"/>
              </w:rPr>
              <w:t>0.00</w:t>
            </w:r>
          </w:p>
        </w:tc>
        <w:tc>
          <w:tcPr>
            <w:tcW w:w="774" w:type="dxa"/>
            <w:vAlign w:val="center"/>
          </w:tcPr>
          <w:p w:rsidR="001B2EEC" w:rsidRPr="001B2EEC" w:rsidRDefault="001B2EEC" w:rsidP="001B2EEC">
            <w:pPr>
              <w:bidi w:val="0"/>
              <w:spacing w:after="0"/>
              <w:jc w:val="left"/>
              <w:rPr>
                <w:sz w:val="18"/>
                <w:szCs w:val="18"/>
                <w:rtl/>
              </w:rPr>
            </w:pPr>
          </w:p>
        </w:tc>
        <w:tc>
          <w:tcPr>
            <w:tcW w:w="794" w:type="dxa"/>
            <w:vAlign w:val="center"/>
          </w:tcPr>
          <w:p w:rsidR="001B2EEC" w:rsidRPr="001B2EEC" w:rsidRDefault="001B2EEC" w:rsidP="001B2EEC">
            <w:pPr>
              <w:bidi w:val="0"/>
              <w:spacing w:after="0"/>
              <w:rPr>
                <w:sz w:val="18"/>
                <w:szCs w:val="18"/>
                <w:rtl/>
              </w:rPr>
            </w:pPr>
          </w:p>
        </w:tc>
        <w:tc>
          <w:tcPr>
            <w:tcW w:w="774" w:type="dxa"/>
            <w:vAlign w:val="center"/>
          </w:tcPr>
          <w:p w:rsidR="001B2EEC" w:rsidRPr="001B2EEC" w:rsidRDefault="001B2EEC" w:rsidP="001B2EEC">
            <w:pPr>
              <w:bidi w:val="0"/>
              <w:spacing w:after="0"/>
              <w:jc w:val="left"/>
              <w:rPr>
                <w:sz w:val="18"/>
                <w:szCs w:val="18"/>
                <w:rtl/>
              </w:rPr>
            </w:pPr>
          </w:p>
        </w:tc>
        <w:tc>
          <w:tcPr>
            <w:tcW w:w="774" w:type="dxa"/>
            <w:vAlign w:val="center"/>
          </w:tcPr>
          <w:p w:rsidR="001B2EEC" w:rsidRPr="001B2EEC" w:rsidRDefault="001B2EEC" w:rsidP="001B2EEC">
            <w:pPr>
              <w:bidi w:val="0"/>
              <w:spacing w:after="0"/>
              <w:jc w:val="left"/>
              <w:rPr>
                <w:sz w:val="18"/>
                <w:szCs w:val="18"/>
                <w:rtl/>
              </w:rPr>
            </w:pPr>
          </w:p>
        </w:tc>
        <w:tc>
          <w:tcPr>
            <w:tcW w:w="774" w:type="dxa"/>
            <w:vAlign w:val="center"/>
          </w:tcPr>
          <w:p w:rsidR="001B2EEC" w:rsidRPr="001B2EEC" w:rsidRDefault="001B2EEC" w:rsidP="001B2EEC">
            <w:pPr>
              <w:bidi w:val="0"/>
              <w:spacing w:after="0"/>
              <w:jc w:val="left"/>
              <w:rPr>
                <w:sz w:val="18"/>
                <w:szCs w:val="18"/>
                <w:rtl/>
              </w:rPr>
            </w:pPr>
          </w:p>
        </w:tc>
        <w:tc>
          <w:tcPr>
            <w:tcW w:w="774" w:type="dxa"/>
            <w:vAlign w:val="center"/>
          </w:tcPr>
          <w:p w:rsidR="001B2EEC" w:rsidRPr="001B2EEC" w:rsidRDefault="001B2EEC" w:rsidP="001B2EEC">
            <w:pPr>
              <w:bidi w:val="0"/>
              <w:spacing w:after="0"/>
              <w:jc w:val="left"/>
              <w:rPr>
                <w:sz w:val="18"/>
                <w:szCs w:val="18"/>
                <w:rtl/>
              </w:rPr>
            </w:pPr>
          </w:p>
        </w:tc>
        <w:tc>
          <w:tcPr>
            <w:tcW w:w="683" w:type="dxa"/>
            <w:vAlign w:val="center"/>
          </w:tcPr>
          <w:p w:rsidR="001B2EEC" w:rsidRPr="001B2EEC" w:rsidRDefault="001B2EEC" w:rsidP="001B2EEC">
            <w:pPr>
              <w:bidi w:val="0"/>
              <w:spacing w:after="0"/>
              <w:jc w:val="left"/>
              <w:rPr>
                <w:sz w:val="18"/>
                <w:szCs w:val="18"/>
                <w:rtl/>
              </w:rPr>
            </w:pPr>
          </w:p>
        </w:tc>
        <w:tc>
          <w:tcPr>
            <w:tcW w:w="703" w:type="dxa"/>
            <w:vAlign w:val="center"/>
          </w:tcPr>
          <w:p w:rsidR="001B2EEC" w:rsidRPr="001B2EEC" w:rsidRDefault="001B2EEC" w:rsidP="001B2EEC">
            <w:pPr>
              <w:bidi w:val="0"/>
              <w:spacing w:after="0"/>
              <w:jc w:val="left"/>
              <w:rPr>
                <w:sz w:val="18"/>
                <w:szCs w:val="18"/>
                <w:rtl/>
              </w:rPr>
            </w:pPr>
          </w:p>
        </w:tc>
        <w:tc>
          <w:tcPr>
            <w:tcW w:w="663" w:type="dxa"/>
            <w:vAlign w:val="center"/>
          </w:tcPr>
          <w:p w:rsidR="001B2EEC" w:rsidRPr="001B2EEC" w:rsidRDefault="001B2EEC" w:rsidP="001B2EEC">
            <w:pPr>
              <w:bidi w:val="0"/>
              <w:spacing w:after="0"/>
              <w:jc w:val="left"/>
              <w:rPr>
                <w:sz w:val="18"/>
                <w:szCs w:val="18"/>
                <w:rtl/>
              </w:rPr>
            </w:pPr>
          </w:p>
        </w:tc>
        <w:tc>
          <w:tcPr>
            <w:tcW w:w="627" w:type="dxa"/>
            <w:vAlign w:val="center"/>
          </w:tcPr>
          <w:p w:rsidR="001B2EEC" w:rsidRPr="001B2EEC" w:rsidRDefault="001B2EEC" w:rsidP="001B2EEC">
            <w:pPr>
              <w:bidi w:val="0"/>
              <w:spacing w:after="0"/>
              <w:jc w:val="left"/>
              <w:rPr>
                <w:sz w:val="18"/>
                <w:szCs w:val="18"/>
                <w:rtl/>
              </w:rPr>
            </w:pPr>
          </w:p>
        </w:tc>
        <w:tc>
          <w:tcPr>
            <w:tcW w:w="4106" w:type="dxa"/>
          </w:tcPr>
          <w:p w:rsidR="001B2EEC" w:rsidRPr="001B2EEC" w:rsidRDefault="001B2EEC" w:rsidP="001B2EEC">
            <w:pPr>
              <w:bidi w:val="0"/>
              <w:spacing w:after="0"/>
              <w:ind w:left="720"/>
              <w:contextualSpacing/>
              <w:jc w:val="left"/>
              <w:rPr>
                <w:rFonts w:ascii="Times New Roman" w:hAnsi="Times New Roman" w:cs="Times New Roman"/>
                <w:b w:val="0"/>
                <w:bCs w:val="0"/>
                <w:sz w:val="20"/>
                <w:szCs w:val="20"/>
              </w:rPr>
            </w:pPr>
          </w:p>
        </w:tc>
        <w:tc>
          <w:tcPr>
            <w:tcW w:w="490" w:type="dxa"/>
          </w:tcPr>
          <w:p w:rsidR="001B2EEC" w:rsidRPr="001B2EEC" w:rsidRDefault="001B2EEC" w:rsidP="001B2EEC">
            <w:pPr>
              <w:bidi w:val="0"/>
              <w:spacing w:after="0"/>
              <w:jc w:val="left"/>
              <w:rPr>
                <w:sz w:val="18"/>
                <w:szCs w:val="18"/>
                <w:rtl/>
              </w:rPr>
            </w:pPr>
          </w:p>
        </w:tc>
      </w:tr>
    </w:tbl>
    <w:p w:rsidR="00505A8B" w:rsidRDefault="00505A8B" w:rsidP="00505A8B">
      <w:pPr>
        <w:rPr>
          <w:rtl/>
          <w:lang w:bidi="ar-JO"/>
        </w:rPr>
        <w:sectPr w:rsidR="00505A8B" w:rsidSect="00565969">
          <w:pgSz w:w="16838" w:h="11906" w:orient="landscape"/>
          <w:pgMar w:top="1701" w:right="1440" w:bottom="1797" w:left="1440" w:header="709" w:footer="709" w:gutter="0"/>
          <w:cols w:space="708"/>
          <w:titlePg/>
          <w:bidi/>
          <w:rtlGutter/>
          <w:docGrid w:linePitch="360"/>
        </w:sectPr>
      </w:pPr>
    </w:p>
    <w:p w:rsidR="00AA0256" w:rsidRDefault="00AA0256" w:rsidP="00AA0256">
      <w:pPr>
        <w:bidi w:val="0"/>
        <w:jc w:val="right"/>
        <w:rPr>
          <w:color w:val="202124"/>
          <w:sz w:val="24"/>
          <w:szCs w:val="24"/>
          <w:lang w:val="en"/>
        </w:rPr>
      </w:pPr>
      <w:r w:rsidRPr="00416246">
        <w:rPr>
          <w:rFonts w:asciiTheme="majorBidi" w:hAnsiTheme="majorBidi" w:cstheme="majorBidi"/>
          <w:sz w:val="24"/>
          <w:szCs w:val="24"/>
        </w:rPr>
        <w:lastRenderedPageBreak/>
        <w:t>(17-</w:t>
      </w:r>
      <w:r>
        <w:rPr>
          <w:rFonts w:asciiTheme="majorBidi" w:hAnsiTheme="majorBidi" w:cstheme="majorBidi"/>
          <w:sz w:val="24"/>
          <w:szCs w:val="24"/>
        </w:rPr>
        <w:t>B</w:t>
      </w:r>
      <w:r w:rsidRPr="00416246">
        <w:rPr>
          <w:rFonts w:asciiTheme="majorBidi" w:hAnsiTheme="majorBidi" w:cstheme="majorBidi"/>
          <w:sz w:val="24"/>
          <w:szCs w:val="24"/>
        </w:rPr>
        <w:t xml:space="preserve">): </w:t>
      </w:r>
      <w:r w:rsidRPr="00416246">
        <w:rPr>
          <w:color w:val="202124"/>
          <w:sz w:val="24"/>
          <w:szCs w:val="24"/>
          <w:lang w:val="en"/>
        </w:rPr>
        <w:t xml:space="preserve"> </w:t>
      </w:r>
      <w:r w:rsidRPr="00563636">
        <w:rPr>
          <w:color w:val="202124"/>
          <w:sz w:val="24"/>
          <w:szCs w:val="24"/>
          <w:lang w:val="en"/>
        </w:rPr>
        <w:t>Debt instruments with less than (3%) coupon</w:t>
      </w:r>
      <w:r>
        <w:rPr>
          <w:color w:val="202124"/>
          <w:sz w:val="24"/>
          <w:szCs w:val="24"/>
          <w:lang w:val="en"/>
        </w:rPr>
        <w:t xml:space="preserve">                                                  </w:t>
      </w:r>
      <w:r w:rsidRPr="00592233">
        <w:rPr>
          <w:rFonts w:asciiTheme="majorBidi" w:hAnsiTheme="majorBidi" w:cstheme="majorBidi"/>
          <w:sz w:val="20"/>
          <w:szCs w:val="20"/>
        </w:rPr>
        <w:t>Thousands JD</w:t>
      </w:r>
      <w:r w:rsidRPr="00592233">
        <w:rPr>
          <w:color w:val="202124"/>
          <w:sz w:val="20"/>
          <w:szCs w:val="20"/>
          <w:lang w:val="en"/>
        </w:rPr>
        <w:t xml:space="preserve">       </w:t>
      </w:r>
    </w:p>
    <w:tbl>
      <w:tblPr>
        <w:tblStyle w:val="TableGrid2"/>
        <w:bidiVisual/>
        <w:tblW w:w="15298" w:type="dxa"/>
        <w:tblInd w:w="-676" w:type="dxa"/>
        <w:tblLook w:val="04A0" w:firstRow="1" w:lastRow="0" w:firstColumn="1" w:lastColumn="0" w:noHBand="0" w:noVBand="1"/>
      </w:tblPr>
      <w:tblGrid>
        <w:gridCol w:w="650"/>
        <w:gridCol w:w="872"/>
        <w:gridCol w:w="761"/>
        <w:gridCol w:w="767"/>
        <w:gridCol w:w="774"/>
        <w:gridCol w:w="759"/>
        <w:gridCol w:w="777"/>
        <w:gridCol w:w="793"/>
        <w:gridCol w:w="721"/>
        <w:gridCol w:w="809"/>
        <w:gridCol w:w="38"/>
        <w:gridCol w:w="774"/>
        <w:gridCol w:w="777"/>
        <w:gridCol w:w="682"/>
        <w:gridCol w:w="701"/>
        <w:gridCol w:w="662"/>
        <w:gridCol w:w="619"/>
        <w:gridCol w:w="2872"/>
        <w:gridCol w:w="490"/>
      </w:tblGrid>
      <w:tr w:rsidR="00AA0256" w:rsidRPr="0062047C" w:rsidTr="00AA0256">
        <w:tc>
          <w:tcPr>
            <w:tcW w:w="650" w:type="dxa"/>
            <w:tcBorders>
              <w:top w:val="nil"/>
              <w:left w:val="nil"/>
              <w:bottom w:val="nil"/>
              <w:right w:val="single" w:sz="4" w:space="0" w:color="auto"/>
            </w:tcBorders>
          </w:tcPr>
          <w:p w:rsidR="00AA0256" w:rsidRPr="0062047C" w:rsidRDefault="00AA0256" w:rsidP="003E2F9E">
            <w:pPr>
              <w:bidi w:val="0"/>
              <w:spacing w:after="0"/>
              <w:jc w:val="center"/>
              <w:rPr>
                <w:sz w:val="18"/>
                <w:szCs w:val="18"/>
                <w:rtl/>
              </w:rPr>
            </w:pPr>
          </w:p>
        </w:tc>
        <w:tc>
          <w:tcPr>
            <w:tcW w:w="6224" w:type="dxa"/>
            <w:gridSpan w:val="8"/>
            <w:tcBorders>
              <w:left w:val="single" w:sz="4" w:space="0" w:color="auto"/>
            </w:tcBorders>
          </w:tcPr>
          <w:p w:rsidR="00AA0256" w:rsidRPr="0062047C" w:rsidRDefault="00AA0256" w:rsidP="003E2F9E">
            <w:pPr>
              <w:bidi w:val="0"/>
              <w:spacing w:after="0"/>
              <w:jc w:val="center"/>
              <w:rPr>
                <w:sz w:val="18"/>
                <w:szCs w:val="18"/>
                <w:rtl/>
              </w:rPr>
            </w:pPr>
            <w:r w:rsidRPr="0062047C">
              <w:rPr>
                <w:sz w:val="18"/>
                <w:szCs w:val="18"/>
              </w:rPr>
              <w:t>Zone 3</w:t>
            </w:r>
          </w:p>
        </w:tc>
        <w:tc>
          <w:tcPr>
            <w:tcW w:w="2398" w:type="dxa"/>
            <w:gridSpan w:val="4"/>
          </w:tcPr>
          <w:p w:rsidR="00AA0256" w:rsidRPr="0062047C" w:rsidRDefault="00AA0256" w:rsidP="003E2F9E">
            <w:pPr>
              <w:bidi w:val="0"/>
              <w:spacing w:after="0"/>
              <w:jc w:val="center"/>
              <w:rPr>
                <w:sz w:val="18"/>
                <w:szCs w:val="18"/>
                <w:rtl/>
              </w:rPr>
            </w:pPr>
            <w:r w:rsidRPr="0062047C">
              <w:rPr>
                <w:sz w:val="18"/>
                <w:szCs w:val="18"/>
              </w:rPr>
              <w:t>Zone</w:t>
            </w:r>
            <w:r>
              <w:rPr>
                <w:sz w:val="18"/>
                <w:szCs w:val="18"/>
              </w:rPr>
              <w:t xml:space="preserve"> 2</w:t>
            </w:r>
          </w:p>
        </w:tc>
        <w:tc>
          <w:tcPr>
            <w:tcW w:w="2664" w:type="dxa"/>
            <w:gridSpan w:val="4"/>
          </w:tcPr>
          <w:p w:rsidR="00AA0256" w:rsidRPr="0062047C" w:rsidRDefault="00AA0256" w:rsidP="003E2F9E">
            <w:pPr>
              <w:bidi w:val="0"/>
              <w:spacing w:after="0"/>
              <w:jc w:val="center"/>
              <w:rPr>
                <w:sz w:val="18"/>
                <w:szCs w:val="18"/>
                <w:rtl/>
              </w:rPr>
            </w:pPr>
            <w:r w:rsidRPr="0062047C">
              <w:rPr>
                <w:sz w:val="18"/>
                <w:szCs w:val="18"/>
              </w:rPr>
              <w:t>Zone 1</w:t>
            </w:r>
          </w:p>
        </w:tc>
        <w:tc>
          <w:tcPr>
            <w:tcW w:w="2872" w:type="dxa"/>
          </w:tcPr>
          <w:p w:rsidR="00AA0256" w:rsidRPr="0062047C" w:rsidRDefault="00AA0256" w:rsidP="003E2F9E">
            <w:pPr>
              <w:bidi w:val="0"/>
              <w:spacing w:after="0"/>
              <w:jc w:val="center"/>
              <w:rPr>
                <w:sz w:val="18"/>
                <w:szCs w:val="18"/>
                <w:rtl/>
              </w:rPr>
            </w:pPr>
          </w:p>
        </w:tc>
        <w:tc>
          <w:tcPr>
            <w:tcW w:w="490" w:type="dxa"/>
          </w:tcPr>
          <w:p w:rsidR="00AA0256" w:rsidRPr="0062047C" w:rsidRDefault="00AA0256" w:rsidP="003E2F9E">
            <w:pPr>
              <w:bidi w:val="0"/>
              <w:spacing w:after="0"/>
              <w:jc w:val="center"/>
              <w:rPr>
                <w:sz w:val="18"/>
                <w:szCs w:val="18"/>
                <w:rtl/>
              </w:rPr>
            </w:pPr>
            <w:r w:rsidRPr="0062047C">
              <w:rPr>
                <w:sz w:val="18"/>
                <w:szCs w:val="18"/>
              </w:rPr>
              <w:t>No.</w:t>
            </w:r>
          </w:p>
        </w:tc>
      </w:tr>
      <w:tr w:rsidR="00AA0256" w:rsidRPr="0062047C" w:rsidTr="00AA0256">
        <w:tc>
          <w:tcPr>
            <w:tcW w:w="650" w:type="dxa"/>
            <w:tcBorders>
              <w:top w:val="nil"/>
              <w:left w:val="nil"/>
              <w:bottom w:val="nil"/>
              <w:right w:val="single" w:sz="4" w:space="0" w:color="auto"/>
            </w:tcBorders>
          </w:tcPr>
          <w:p w:rsidR="00AA0256" w:rsidRPr="0062047C" w:rsidRDefault="00AA0256" w:rsidP="003E2F9E">
            <w:pPr>
              <w:bidi w:val="0"/>
              <w:spacing w:after="0"/>
              <w:jc w:val="center"/>
              <w:rPr>
                <w:b w:val="0"/>
                <w:bCs w:val="0"/>
                <w:sz w:val="18"/>
                <w:szCs w:val="18"/>
                <w:rtl/>
              </w:rPr>
            </w:pPr>
          </w:p>
        </w:tc>
        <w:tc>
          <w:tcPr>
            <w:tcW w:w="872" w:type="dxa"/>
            <w:tcBorders>
              <w:left w:val="single" w:sz="4" w:space="0" w:color="auto"/>
            </w:tcBorders>
          </w:tcPr>
          <w:p w:rsidR="00AA0256" w:rsidRPr="0062047C" w:rsidRDefault="00AA0256" w:rsidP="003E2F9E">
            <w:pPr>
              <w:bidi w:val="0"/>
              <w:spacing w:after="0"/>
              <w:jc w:val="center"/>
              <w:rPr>
                <w:b w:val="0"/>
                <w:bCs w:val="0"/>
                <w:sz w:val="18"/>
                <w:szCs w:val="18"/>
                <w:rtl/>
              </w:rPr>
            </w:pPr>
            <w:r w:rsidRPr="0062047C">
              <w:rPr>
                <w:b w:val="0"/>
                <w:bCs w:val="0"/>
                <w:sz w:val="18"/>
                <w:szCs w:val="18"/>
              </w:rPr>
              <w:t>Over 20</w:t>
            </w:r>
          </w:p>
        </w:tc>
        <w:tc>
          <w:tcPr>
            <w:tcW w:w="761" w:type="dxa"/>
          </w:tcPr>
          <w:p w:rsidR="00AA0256" w:rsidRDefault="00AA0256" w:rsidP="003E2F9E">
            <w:pPr>
              <w:bidi w:val="0"/>
              <w:spacing w:after="0"/>
              <w:jc w:val="center"/>
              <w:rPr>
                <w:b w:val="0"/>
                <w:bCs w:val="0"/>
                <w:sz w:val="18"/>
                <w:szCs w:val="18"/>
              </w:rPr>
            </w:pPr>
            <w:r>
              <w:rPr>
                <w:b w:val="0"/>
                <w:bCs w:val="0"/>
                <w:sz w:val="18"/>
                <w:szCs w:val="18"/>
              </w:rPr>
              <w:t>12-20</w:t>
            </w:r>
          </w:p>
        </w:tc>
        <w:tc>
          <w:tcPr>
            <w:tcW w:w="767" w:type="dxa"/>
          </w:tcPr>
          <w:p w:rsidR="00AA0256" w:rsidRPr="00984D75" w:rsidRDefault="00AA0256" w:rsidP="003E2F9E">
            <w:pPr>
              <w:bidi w:val="0"/>
              <w:spacing w:after="0"/>
              <w:jc w:val="center"/>
              <w:rPr>
                <w:b w:val="0"/>
                <w:bCs w:val="0"/>
                <w:sz w:val="16"/>
                <w:szCs w:val="16"/>
              </w:rPr>
            </w:pPr>
            <w:r w:rsidRPr="00984D75">
              <w:rPr>
                <w:b w:val="0"/>
                <w:bCs w:val="0"/>
                <w:sz w:val="16"/>
                <w:szCs w:val="16"/>
              </w:rPr>
              <w:t>10.6-12</w:t>
            </w:r>
          </w:p>
        </w:tc>
        <w:tc>
          <w:tcPr>
            <w:tcW w:w="774" w:type="dxa"/>
          </w:tcPr>
          <w:p w:rsidR="00AA0256" w:rsidRPr="00984D75" w:rsidRDefault="00AA0256" w:rsidP="003E2F9E">
            <w:pPr>
              <w:bidi w:val="0"/>
              <w:spacing w:after="0"/>
              <w:jc w:val="center"/>
              <w:rPr>
                <w:b w:val="0"/>
                <w:bCs w:val="0"/>
                <w:sz w:val="14"/>
                <w:szCs w:val="14"/>
                <w:rtl/>
              </w:rPr>
            </w:pPr>
            <w:r w:rsidRPr="00984D75">
              <w:rPr>
                <w:b w:val="0"/>
                <w:bCs w:val="0"/>
                <w:sz w:val="14"/>
                <w:szCs w:val="14"/>
              </w:rPr>
              <w:t>9.3-10.6</w:t>
            </w:r>
          </w:p>
        </w:tc>
        <w:tc>
          <w:tcPr>
            <w:tcW w:w="759" w:type="dxa"/>
          </w:tcPr>
          <w:p w:rsidR="00AA0256" w:rsidRPr="00984D75" w:rsidRDefault="00AA0256" w:rsidP="003E2F9E">
            <w:pPr>
              <w:bidi w:val="0"/>
              <w:spacing w:after="0"/>
              <w:jc w:val="center"/>
              <w:rPr>
                <w:b w:val="0"/>
                <w:bCs w:val="0"/>
                <w:sz w:val="16"/>
                <w:szCs w:val="16"/>
                <w:rtl/>
              </w:rPr>
            </w:pPr>
            <w:r w:rsidRPr="00984D75">
              <w:rPr>
                <w:b w:val="0"/>
                <w:bCs w:val="0"/>
                <w:sz w:val="16"/>
                <w:szCs w:val="16"/>
              </w:rPr>
              <w:t>7.3-9.3</w:t>
            </w:r>
          </w:p>
        </w:tc>
        <w:tc>
          <w:tcPr>
            <w:tcW w:w="777" w:type="dxa"/>
          </w:tcPr>
          <w:p w:rsidR="00AA0256" w:rsidRPr="00984D75" w:rsidRDefault="00AA0256" w:rsidP="003E2F9E">
            <w:pPr>
              <w:bidi w:val="0"/>
              <w:spacing w:after="0"/>
              <w:jc w:val="center"/>
              <w:rPr>
                <w:b w:val="0"/>
                <w:bCs w:val="0"/>
                <w:sz w:val="16"/>
                <w:szCs w:val="16"/>
                <w:rtl/>
              </w:rPr>
            </w:pPr>
            <w:r>
              <w:rPr>
                <w:b w:val="0"/>
                <w:bCs w:val="0"/>
                <w:sz w:val="16"/>
                <w:szCs w:val="16"/>
              </w:rPr>
              <w:t>5.7-7.3</w:t>
            </w:r>
          </w:p>
        </w:tc>
        <w:tc>
          <w:tcPr>
            <w:tcW w:w="793" w:type="dxa"/>
          </w:tcPr>
          <w:p w:rsidR="00AA0256" w:rsidRPr="00984D75" w:rsidRDefault="00AA0256" w:rsidP="003E2F9E">
            <w:pPr>
              <w:bidi w:val="0"/>
              <w:spacing w:after="0"/>
              <w:jc w:val="center"/>
              <w:rPr>
                <w:b w:val="0"/>
                <w:bCs w:val="0"/>
                <w:sz w:val="16"/>
                <w:szCs w:val="16"/>
                <w:rtl/>
              </w:rPr>
            </w:pPr>
            <w:r>
              <w:rPr>
                <w:b w:val="0"/>
                <w:bCs w:val="0"/>
                <w:sz w:val="16"/>
                <w:szCs w:val="16"/>
              </w:rPr>
              <w:t>4.3-5.7</w:t>
            </w:r>
          </w:p>
        </w:tc>
        <w:tc>
          <w:tcPr>
            <w:tcW w:w="721" w:type="dxa"/>
          </w:tcPr>
          <w:p w:rsidR="00AA0256" w:rsidRPr="00984D75" w:rsidRDefault="00AA0256" w:rsidP="003E2F9E">
            <w:pPr>
              <w:bidi w:val="0"/>
              <w:spacing w:after="0"/>
              <w:jc w:val="center"/>
              <w:rPr>
                <w:b w:val="0"/>
                <w:bCs w:val="0"/>
                <w:sz w:val="14"/>
                <w:szCs w:val="14"/>
                <w:rtl/>
              </w:rPr>
            </w:pPr>
            <w:r w:rsidRPr="00984D75">
              <w:rPr>
                <w:b w:val="0"/>
                <w:bCs w:val="0"/>
                <w:sz w:val="14"/>
                <w:szCs w:val="14"/>
              </w:rPr>
              <w:t>3.6-4.3</w:t>
            </w:r>
          </w:p>
        </w:tc>
        <w:tc>
          <w:tcPr>
            <w:tcW w:w="847" w:type="dxa"/>
            <w:gridSpan w:val="2"/>
          </w:tcPr>
          <w:p w:rsidR="00AA0256" w:rsidRPr="00984D75" w:rsidRDefault="00AA0256" w:rsidP="003E2F9E">
            <w:pPr>
              <w:bidi w:val="0"/>
              <w:spacing w:after="0"/>
              <w:jc w:val="center"/>
              <w:rPr>
                <w:b w:val="0"/>
                <w:bCs w:val="0"/>
                <w:sz w:val="16"/>
                <w:szCs w:val="16"/>
                <w:rtl/>
              </w:rPr>
            </w:pPr>
            <w:r>
              <w:rPr>
                <w:b w:val="0"/>
                <w:bCs w:val="0"/>
                <w:sz w:val="16"/>
                <w:szCs w:val="16"/>
              </w:rPr>
              <w:t>2.8-3.6</w:t>
            </w:r>
          </w:p>
        </w:tc>
        <w:tc>
          <w:tcPr>
            <w:tcW w:w="774" w:type="dxa"/>
          </w:tcPr>
          <w:p w:rsidR="00AA0256" w:rsidRPr="00984D75" w:rsidRDefault="00AA0256" w:rsidP="003E2F9E">
            <w:pPr>
              <w:bidi w:val="0"/>
              <w:spacing w:after="0"/>
              <w:jc w:val="center"/>
              <w:rPr>
                <w:b w:val="0"/>
                <w:bCs w:val="0"/>
                <w:sz w:val="16"/>
                <w:szCs w:val="16"/>
                <w:rtl/>
              </w:rPr>
            </w:pPr>
            <w:r w:rsidRPr="00984D75">
              <w:rPr>
                <w:b w:val="0"/>
                <w:bCs w:val="0"/>
                <w:sz w:val="16"/>
                <w:szCs w:val="16"/>
              </w:rPr>
              <w:t>1.9-2.8</w:t>
            </w:r>
          </w:p>
        </w:tc>
        <w:tc>
          <w:tcPr>
            <w:tcW w:w="777" w:type="dxa"/>
          </w:tcPr>
          <w:p w:rsidR="00AA0256" w:rsidRPr="00984D75" w:rsidRDefault="00AA0256" w:rsidP="003E2F9E">
            <w:pPr>
              <w:bidi w:val="0"/>
              <w:spacing w:after="0"/>
              <w:jc w:val="center"/>
              <w:rPr>
                <w:b w:val="0"/>
                <w:bCs w:val="0"/>
                <w:sz w:val="16"/>
                <w:szCs w:val="16"/>
                <w:rtl/>
              </w:rPr>
            </w:pPr>
            <w:r w:rsidRPr="00984D75">
              <w:rPr>
                <w:b w:val="0"/>
                <w:bCs w:val="0"/>
                <w:sz w:val="16"/>
                <w:szCs w:val="16"/>
              </w:rPr>
              <w:t>1-1.9</w:t>
            </w:r>
          </w:p>
        </w:tc>
        <w:tc>
          <w:tcPr>
            <w:tcW w:w="682" w:type="dxa"/>
          </w:tcPr>
          <w:p w:rsidR="00AA0256" w:rsidRPr="00984D75" w:rsidRDefault="00AA0256" w:rsidP="003E2F9E">
            <w:pPr>
              <w:bidi w:val="0"/>
              <w:spacing w:after="0"/>
              <w:jc w:val="center"/>
              <w:rPr>
                <w:b w:val="0"/>
                <w:bCs w:val="0"/>
                <w:sz w:val="16"/>
                <w:szCs w:val="16"/>
                <w:rtl/>
              </w:rPr>
            </w:pPr>
            <w:r w:rsidRPr="00984D75">
              <w:rPr>
                <w:b w:val="0"/>
                <w:bCs w:val="0"/>
                <w:sz w:val="16"/>
                <w:szCs w:val="16"/>
              </w:rPr>
              <w:t>6-12</w:t>
            </w:r>
          </w:p>
        </w:tc>
        <w:tc>
          <w:tcPr>
            <w:tcW w:w="701" w:type="dxa"/>
          </w:tcPr>
          <w:p w:rsidR="00AA0256" w:rsidRPr="00984D75" w:rsidRDefault="00AA0256" w:rsidP="003E2F9E">
            <w:pPr>
              <w:bidi w:val="0"/>
              <w:spacing w:after="0"/>
              <w:jc w:val="center"/>
              <w:rPr>
                <w:b w:val="0"/>
                <w:bCs w:val="0"/>
                <w:sz w:val="16"/>
                <w:szCs w:val="16"/>
                <w:rtl/>
              </w:rPr>
            </w:pPr>
            <w:r w:rsidRPr="00984D75">
              <w:rPr>
                <w:b w:val="0"/>
                <w:bCs w:val="0"/>
                <w:sz w:val="16"/>
                <w:szCs w:val="16"/>
              </w:rPr>
              <w:t>3-6</w:t>
            </w:r>
          </w:p>
        </w:tc>
        <w:tc>
          <w:tcPr>
            <w:tcW w:w="662" w:type="dxa"/>
          </w:tcPr>
          <w:p w:rsidR="00AA0256" w:rsidRPr="00984D75" w:rsidRDefault="00AA0256" w:rsidP="003E2F9E">
            <w:pPr>
              <w:bidi w:val="0"/>
              <w:spacing w:after="0"/>
              <w:rPr>
                <w:b w:val="0"/>
                <w:bCs w:val="0"/>
                <w:sz w:val="16"/>
                <w:szCs w:val="16"/>
                <w:rtl/>
              </w:rPr>
            </w:pPr>
            <w:r w:rsidRPr="00984D75">
              <w:rPr>
                <w:b w:val="0"/>
                <w:bCs w:val="0"/>
                <w:sz w:val="16"/>
                <w:szCs w:val="16"/>
              </w:rPr>
              <w:t>1-3</w:t>
            </w:r>
          </w:p>
        </w:tc>
        <w:tc>
          <w:tcPr>
            <w:tcW w:w="619" w:type="dxa"/>
          </w:tcPr>
          <w:p w:rsidR="00AA0256" w:rsidRPr="00984D75" w:rsidRDefault="00AA0256" w:rsidP="003E2F9E">
            <w:pPr>
              <w:bidi w:val="0"/>
              <w:spacing w:after="0"/>
              <w:jc w:val="center"/>
              <w:rPr>
                <w:b w:val="0"/>
                <w:bCs w:val="0"/>
                <w:sz w:val="16"/>
                <w:szCs w:val="16"/>
                <w:rtl/>
              </w:rPr>
            </w:pPr>
            <w:r w:rsidRPr="00984D75">
              <w:rPr>
                <w:b w:val="0"/>
                <w:bCs w:val="0"/>
                <w:sz w:val="16"/>
                <w:szCs w:val="16"/>
              </w:rPr>
              <w:t>0-1</w:t>
            </w:r>
          </w:p>
        </w:tc>
        <w:tc>
          <w:tcPr>
            <w:tcW w:w="2872" w:type="dxa"/>
          </w:tcPr>
          <w:p w:rsidR="00AA0256" w:rsidRPr="0062047C" w:rsidRDefault="00AA0256" w:rsidP="003E2F9E">
            <w:pPr>
              <w:bidi w:val="0"/>
              <w:spacing w:after="0"/>
              <w:jc w:val="center"/>
              <w:rPr>
                <w:b w:val="0"/>
                <w:bCs w:val="0"/>
                <w:sz w:val="18"/>
                <w:szCs w:val="18"/>
                <w:rtl/>
              </w:rPr>
            </w:pPr>
            <w:r w:rsidRPr="0062047C">
              <w:rPr>
                <w:b w:val="0"/>
                <w:bCs w:val="0"/>
                <w:sz w:val="18"/>
                <w:szCs w:val="18"/>
              </w:rPr>
              <w:t>Time-band</w:t>
            </w:r>
          </w:p>
        </w:tc>
        <w:tc>
          <w:tcPr>
            <w:tcW w:w="490" w:type="dxa"/>
          </w:tcPr>
          <w:p w:rsidR="00AA0256" w:rsidRPr="0062047C" w:rsidRDefault="00AA0256" w:rsidP="003E2F9E">
            <w:pPr>
              <w:bidi w:val="0"/>
              <w:spacing w:after="0"/>
              <w:jc w:val="center"/>
              <w:rPr>
                <w:b w:val="0"/>
                <w:bCs w:val="0"/>
                <w:sz w:val="18"/>
                <w:szCs w:val="18"/>
                <w:rtl/>
              </w:rPr>
            </w:pPr>
          </w:p>
        </w:tc>
      </w:tr>
      <w:tr w:rsidR="00AA0256" w:rsidRPr="0062047C" w:rsidTr="00AA0256">
        <w:tc>
          <w:tcPr>
            <w:tcW w:w="650" w:type="dxa"/>
            <w:tcBorders>
              <w:top w:val="nil"/>
              <w:left w:val="nil"/>
              <w:bottom w:val="nil"/>
              <w:right w:val="single" w:sz="4" w:space="0" w:color="auto"/>
            </w:tcBorders>
          </w:tcPr>
          <w:p w:rsidR="00AA0256" w:rsidRPr="0062047C" w:rsidRDefault="00AA0256" w:rsidP="003E2F9E">
            <w:pPr>
              <w:bidi w:val="0"/>
              <w:spacing w:after="0"/>
              <w:jc w:val="center"/>
              <w:rPr>
                <w:sz w:val="18"/>
                <w:szCs w:val="18"/>
                <w:rtl/>
              </w:rPr>
            </w:pPr>
          </w:p>
        </w:tc>
        <w:tc>
          <w:tcPr>
            <w:tcW w:w="6224" w:type="dxa"/>
            <w:gridSpan w:val="8"/>
            <w:tcBorders>
              <w:left w:val="single" w:sz="4" w:space="0" w:color="auto"/>
            </w:tcBorders>
          </w:tcPr>
          <w:p w:rsidR="00AA0256" w:rsidRPr="0062047C" w:rsidRDefault="00AA0256" w:rsidP="003E2F9E">
            <w:pPr>
              <w:bidi w:val="0"/>
              <w:spacing w:after="0"/>
              <w:jc w:val="center"/>
              <w:rPr>
                <w:sz w:val="18"/>
                <w:szCs w:val="18"/>
                <w:rtl/>
              </w:rPr>
            </w:pPr>
            <w:r w:rsidRPr="0062047C">
              <w:rPr>
                <w:sz w:val="18"/>
                <w:szCs w:val="18"/>
              </w:rPr>
              <w:t>Years</w:t>
            </w:r>
          </w:p>
        </w:tc>
        <w:tc>
          <w:tcPr>
            <w:tcW w:w="2398" w:type="dxa"/>
            <w:gridSpan w:val="4"/>
          </w:tcPr>
          <w:p w:rsidR="00AA0256" w:rsidRPr="0062047C" w:rsidRDefault="00AA0256" w:rsidP="003E2F9E">
            <w:pPr>
              <w:bidi w:val="0"/>
              <w:spacing w:after="0"/>
              <w:jc w:val="center"/>
              <w:rPr>
                <w:sz w:val="18"/>
                <w:szCs w:val="18"/>
                <w:rtl/>
              </w:rPr>
            </w:pPr>
            <w:r w:rsidRPr="0062047C">
              <w:rPr>
                <w:sz w:val="18"/>
                <w:szCs w:val="18"/>
              </w:rPr>
              <w:t>Years</w:t>
            </w:r>
          </w:p>
        </w:tc>
        <w:tc>
          <w:tcPr>
            <w:tcW w:w="2664" w:type="dxa"/>
            <w:gridSpan w:val="4"/>
          </w:tcPr>
          <w:p w:rsidR="00AA0256" w:rsidRPr="0062047C" w:rsidRDefault="00AA0256" w:rsidP="003E2F9E">
            <w:pPr>
              <w:bidi w:val="0"/>
              <w:spacing w:after="0"/>
              <w:jc w:val="center"/>
              <w:rPr>
                <w:sz w:val="18"/>
                <w:szCs w:val="18"/>
                <w:rtl/>
              </w:rPr>
            </w:pPr>
            <w:r w:rsidRPr="0062047C">
              <w:rPr>
                <w:sz w:val="18"/>
                <w:szCs w:val="18"/>
              </w:rPr>
              <w:t>Months</w:t>
            </w:r>
          </w:p>
        </w:tc>
        <w:tc>
          <w:tcPr>
            <w:tcW w:w="2872" w:type="dxa"/>
          </w:tcPr>
          <w:p w:rsidR="00AA0256" w:rsidRPr="0062047C" w:rsidRDefault="00AA0256" w:rsidP="003E2F9E">
            <w:pPr>
              <w:bidi w:val="0"/>
              <w:spacing w:after="0"/>
              <w:jc w:val="center"/>
              <w:rPr>
                <w:sz w:val="18"/>
                <w:szCs w:val="18"/>
                <w:rtl/>
              </w:rPr>
            </w:pPr>
            <w:r w:rsidRPr="0062047C">
              <w:rPr>
                <w:sz w:val="18"/>
                <w:szCs w:val="18"/>
              </w:rPr>
              <w:t>Open positions</w:t>
            </w:r>
          </w:p>
        </w:tc>
        <w:tc>
          <w:tcPr>
            <w:tcW w:w="490" w:type="dxa"/>
          </w:tcPr>
          <w:p w:rsidR="00AA0256" w:rsidRPr="0062047C" w:rsidRDefault="00AA0256" w:rsidP="003E2F9E">
            <w:pPr>
              <w:bidi w:val="0"/>
              <w:spacing w:after="0"/>
              <w:jc w:val="center"/>
              <w:rPr>
                <w:sz w:val="18"/>
                <w:szCs w:val="18"/>
                <w:rtl/>
              </w:rPr>
            </w:pPr>
          </w:p>
        </w:tc>
      </w:tr>
      <w:tr w:rsidR="00AA0256" w:rsidRPr="0062047C" w:rsidTr="00AA0256">
        <w:trPr>
          <w:trHeight w:val="313"/>
        </w:trPr>
        <w:tc>
          <w:tcPr>
            <w:tcW w:w="650" w:type="dxa"/>
            <w:tcBorders>
              <w:top w:val="nil"/>
              <w:left w:val="nil"/>
              <w:bottom w:val="nil"/>
              <w:right w:val="single" w:sz="4" w:space="0" w:color="auto"/>
            </w:tcBorders>
          </w:tcPr>
          <w:p w:rsidR="00AA0256" w:rsidRPr="0062047C" w:rsidRDefault="00AA0256" w:rsidP="003E2F9E">
            <w:pPr>
              <w:bidi w:val="0"/>
              <w:spacing w:after="0"/>
              <w:jc w:val="center"/>
              <w:rPr>
                <w:b w:val="0"/>
                <w:bCs w:val="0"/>
                <w:sz w:val="18"/>
                <w:szCs w:val="18"/>
                <w:rtl/>
              </w:rPr>
            </w:pPr>
          </w:p>
        </w:tc>
        <w:tc>
          <w:tcPr>
            <w:tcW w:w="872" w:type="dxa"/>
            <w:tcBorders>
              <w:left w:val="single" w:sz="4" w:space="0" w:color="auto"/>
            </w:tcBorders>
          </w:tcPr>
          <w:p w:rsidR="00AA0256" w:rsidRPr="0062047C" w:rsidRDefault="00AA0256" w:rsidP="003E2F9E">
            <w:pPr>
              <w:bidi w:val="0"/>
              <w:spacing w:after="0"/>
              <w:jc w:val="center"/>
              <w:rPr>
                <w:b w:val="0"/>
                <w:bCs w:val="0"/>
                <w:sz w:val="18"/>
                <w:szCs w:val="18"/>
                <w:rtl/>
              </w:rPr>
            </w:pPr>
          </w:p>
        </w:tc>
        <w:tc>
          <w:tcPr>
            <w:tcW w:w="761" w:type="dxa"/>
          </w:tcPr>
          <w:p w:rsidR="00AA0256" w:rsidRPr="0062047C" w:rsidRDefault="00AA0256" w:rsidP="003E2F9E">
            <w:pPr>
              <w:bidi w:val="0"/>
              <w:spacing w:after="0"/>
              <w:jc w:val="center"/>
              <w:rPr>
                <w:b w:val="0"/>
                <w:bCs w:val="0"/>
                <w:sz w:val="18"/>
                <w:szCs w:val="18"/>
                <w:rtl/>
              </w:rPr>
            </w:pPr>
          </w:p>
        </w:tc>
        <w:tc>
          <w:tcPr>
            <w:tcW w:w="767" w:type="dxa"/>
          </w:tcPr>
          <w:p w:rsidR="00AA0256" w:rsidRPr="0062047C" w:rsidRDefault="00AA0256" w:rsidP="003E2F9E">
            <w:pPr>
              <w:bidi w:val="0"/>
              <w:spacing w:after="0"/>
              <w:jc w:val="center"/>
              <w:rPr>
                <w:b w:val="0"/>
                <w:bCs w:val="0"/>
                <w:sz w:val="18"/>
                <w:szCs w:val="18"/>
                <w:rtl/>
              </w:rPr>
            </w:pPr>
          </w:p>
        </w:tc>
        <w:tc>
          <w:tcPr>
            <w:tcW w:w="774" w:type="dxa"/>
          </w:tcPr>
          <w:p w:rsidR="00AA0256" w:rsidRPr="0062047C" w:rsidRDefault="00AA0256" w:rsidP="003E2F9E">
            <w:pPr>
              <w:bidi w:val="0"/>
              <w:spacing w:after="0"/>
              <w:jc w:val="center"/>
              <w:rPr>
                <w:b w:val="0"/>
                <w:bCs w:val="0"/>
                <w:sz w:val="18"/>
                <w:szCs w:val="18"/>
                <w:rtl/>
              </w:rPr>
            </w:pPr>
          </w:p>
        </w:tc>
        <w:tc>
          <w:tcPr>
            <w:tcW w:w="759" w:type="dxa"/>
          </w:tcPr>
          <w:p w:rsidR="00AA0256" w:rsidRPr="0062047C" w:rsidRDefault="00AA0256" w:rsidP="003E2F9E">
            <w:pPr>
              <w:bidi w:val="0"/>
              <w:spacing w:after="0"/>
              <w:jc w:val="center"/>
              <w:rPr>
                <w:b w:val="0"/>
                <w:bCs w:val="0"/>
                <w:sz w:val="18"/>
                <w:szCs w:val="18"/>
                <w:rtl/>
              </w:rPr>
            </w:pPr>
          </w:p>
        </w:tc>
        <w:tc>
          <w:tcPr>
            <w:tcW w:w="777" w:type="dxa"/>
          </w:tcPr>
          <w:p w:rsidR="00AA0256" w:rsidRPr="0062047C" w:rsidRDefault="00AA0256" w:rsidP="003E2F9E">
            <w:pPr>
              <w:bidi w:val="0"/>
              <w:spacing w:after="0"/>
              <w:jc w:val="center"/>
              <w:rPr>
                <w:b w:val="0"/>
                <w:bCs w:val="0"/>
                <w:sz w:val="18"/>
                <w:szCs w:val="18"/>
                <w:rtl/>
              </w:rPr>
            </w:pPr>
          </w:p>
        </w:tc>
        <w:tc>
          <w:tcPr>
            <w:tcW w:w="793" w:type="dxa"/>
          </w:tcPr>
          <w:p w:rsidR="00AA0256" w:rsidRPr="0062047C" w:rsidRDefault="00AA0256" w:rsidP="003E2F9E">
            <w:pPr>
              <w:bidi w:val="0"/>
              <w:spacing w:after="0"/>
              <w:jc w:val="center"/>
              <w:rPr>
                <w:b w:val="0"/>
                <w:bCs w:val="0"/>
                <w:sz w:val="18"/>
                <w:szCs w:val="18"/>
                <w:rtl/>
              </w:rPr>
            </w:pPr>
          </w:p>
        </w:tc>
        <w:tc>
          <w:tcPr>
            <w:tcW w:w="721" w:type="dxa"/>
          </w:tcPr>
          <w:p w:rsidR="00AA0256" w:rsidRPr="0062047C" w:rsidRDefault="00AA0256" w:rsidP="003E2F9E">
            <w:pPr>
              <w:bidi w:val="0"/>
              <w:spacing w:after="0"/>
              <w:jc w:val="center"/>
              <w:rPr>
                <w:b w:val="0"/>
                <w:bCs w:val="0"/>
                <w:sz w:val="18"/>
                <w:szCs w:val="18"/>
                <w:rtl/>
              </w:rPr>
            </w:pPr>
          </w:p>
        </w:tc>
        <w:tc>
          <w:tcPr>
            <w:tcW w:w="847" w:type="dxa"/>
            <w:gridSpan w:val="2"/>
          </w:tcPr>
          <w:p w:rsidR="00AA0256" w:rsidRPr="0062047C" w:rsidRDefault="00AA0256" w:rsidP="003E2F9E">
            <w:pPr>
              <w:bidi w:val="0"/>
              <w:spacing w:after="0"/>
              <w:jc w:val="center"/>
              <w:rPr>
                <w:b w:val="0"/>
                <w:bCs w:val="0"/>
                <w:sz w:val="18"/>
                <w:szCs w:val="18"/>
                <w:rtl/>
              </w:rPr>
            </w:pPr>
          </w:p>
        </w:tc>
        <w:tc>
          <w:tcPr>
            <w:tcW w:w="774" w:type="dxa"/>
          </w:tcPr>
          <w:p w:rsidR="00AA0256" w:rsidRPr="0062047C" w:rsidRDefault="00AA0256" w:rsidP="003E2F9E">
            <w:pPr>
              <w:bidi w:val="0"/>
              <w:spacing w:after="0"/>
              <w:jc w:val="center"/>
              <w:rPr>
                <w:b w:val="0"/>
                <w:bCs w:val="0"/>
                <w:sz w:val="18"/>
                <w:szCs w:val="18"/>
                <w:rtl/>
              </w:rPr>
            </w:pPr>
          </w:p>
        </w:tc>
        <w:tc>
          <w:tcPr>
            <w:tcW w:w="777" w:type="dxa"/>
          </w:tcPr>
          <w:p w:rsidR="00AA0256" w:rsidRPr="0062047C" w:rsidRDefault="00AA0256" w:rsidP="003E2F9E">
            <w:pPr>
              <w:bidi w:val="0"/>
              <w:spacing w:after="0"/>
              <w:jc w:val="center"/>
              <w:rPr>
                <w:b w:val="0"/>
                <w:bCs w:val="0"/>
                <w:sz w:val="18"/>
                <w:szCs w:val="18"/>
                <w:rtl/>
              </w:rPr>
            </w:pPr>
          </w:p>
        </w:tc>
        <w:tc>
          <w:tcPr>
            <w:tcW w:w="682" w:type="dxa"/>
          </w:tcPr>
          <w:p w:rsidR="00AA0256" w:rsidRPr="0062047C" w:rsidRDefault="00AA0256" w:rsidP="003E2F9E">
            <w:pPr>
              <w:bidi w:val="0"/>
              <w:spacing w:after="0"/>
              <w:jc w:val="center"/>
              <w:rPr>
                <w:b w:val="0"/>
                <w:bCs w:val="0"/>
                <w:sz w:val="18"/>
                <w:szCs w:val="18"/>
                <w:rtl/>
              </w:rPr>
            </w:pPr>
          </w:p>
        </w:tc>
        <w:tc>
          <w:tcPr>
            <w:tcW w:w="701" w:type="dxa"/>
          </w:tcPr>
          <w:p w:rsidR="00AA0256" w:rsidRPr="0062047C" w:rsidRDefault="00AA0256" w:rsidP="003E2F9E">
            <w:pPr>
              <w:bidi w:val="0"/>
              <w:spacing w:after="0"/>
              <w:jc w:val="center"/>
              <w:rPr>
                <w:b w:val="0"/>
                <w:bCs w:val="0"/>
                <w:sz w:val="18"/>
                <w:szCs w:val="18"/>
                <w:rtl/>
              </w:rPr>
            </w:pPr>
          </w:p>
        </w:tc>
        <w:tc>
          <w:tcPr>
            <w:tcW w:w="662" w:type="dxa"/>
          </w:tcPr>
          <w:p w:rsidR="00AA0256" w:rsidRPr="0062047C" w:rsidRDefault="00AA0256" w:rsidP="003E2F9E">
            <w:pPr>
              <w:bidi w:val="0"/>
              <w:spacing w:after="0"/>
              <w:jc w:val="center"/>
              <w:rPr>
                <w:b w:val="0"/>
                <w:bCs w:val="0"/>
                <w:sz w:val="18"/>
                <w:szCs w:val="18"/>
                <w:rtl/>
              </w:rPr>
            </w:pPr>
          </w:p>
        </w:tc>
        <w:tc>
          <w:tcPr>
            <w:tcW w:w="619" w:type="dxa"/>
          </w:tcPr>
          <w:p w:rsidR="00AA0256" w:rsidRPr="0062047C" w:rsidRDefault="00AA0256" w:rsidP="003E2F9E">
            <w:pPr>
              <w:bidi w:val="0"/>
              <w:spacing w:after="0"/>
              <w:jc w:val="center"/>
              <w:rPr>
                <w:b w:val="0"/>
                <w:bCs w:val="0"/>
                <w:sz w:val="18"/>
                <w:szCs w:val="18"/>
                <w:rtl/>
              </w:rPr>
            </w:pPr>
          </w:p>
        </w:tc>
        <w:tc>
          <w:tcPr>
            <w:tcW w:w="2872" w:type="dxa"/>
          </w:tcPr>
          <w:p w:rsidR="00AA0256" w:rsidRPr="0062047C" w:rsidRDefault="00AA0256" w:rsidP="003E2F9E">
            <w:pPr>
              <w:bidi w:val="0"/>
              <w:spacing w:after="0"/>
              <w:jc w:val="center"/>
              <w:rPr>
                <w:b w:val="0"/>
                <w:bCs w:val="0"/>
                <w:sz w:val="18"/>
                <w:szCs w:val="18"/>
                <w:rtl/>
              </w:rPr>
            </w:pPr>
          </w:p>
        </w:tc>
        <w:tc>
          <w:tcPr>
            <w:tcW w:w="490" w:type="dxa"/>
          </w:tcPr>
          <w:p w:rsidR="00AA0256" w:rsidRPr="0062047C" w:rsidRDefault="00AA0256" w:rsidP="003E2F9E">
            <w:pPr>
              <w:bidi w:val="0"/>
              <w:spacing w:after="0"/>
              <w:jc w:val="center"/>
              <w:rPr>
                <w:b w:val="0"/>
                <w:bCs w:val="0"/>
                <w:sz w:val="18"/>
                <w:szCs w:val="18"/>
                <w:rtl/>
              </w:rPr>
            </w:pPr>
          </w:p>
        </w:tc>
      </w:tr>
      <w:tr w:rsidR="00AA0256" w:rsidRPr="0062047C" w:rsidTr="00AA0256">
        <w:tc>
          <w:tcPr>
            <w:tcW w:w="650" w:type="dxa"/>
            <w:tcBorders>
              <w:top w:val="nil"/>
              <w:left w:val="nil"/>
              <w:bottom w:val="nil"/>
              <w:right w:val="single" w:sz="4" w:space="0" w:color="auto"/>
            </w:tcBorders>
          </w:tcPr>
          <w:p w:rsidR="00AA0256" w:rsidRPr="0062047C" w:rsidRDefault="00AA0256" w:rsidP="003E2F9E">
            <w:pPr>
              <w:bidi w:val="0"/>
              <w:spacing w:after="0"/>
              <w:jc w:val="center"/>
              <w:rPr>
                <w:b w:val="0"/>
                <w:bCs w:val="0"/>
                <w:sz w:val="18"/>
                <w:szCs w:val="18"/>
                <w:rtl/>
              </w:rPr>
            </w:pPr>
          </w:p>
        </w:tc>
        <w:tc>
          <w:tcPr>
            <w:tcW w:w="872" w:type="dxa"/>
            <w:tcBorders>
              <w:left w:val="single" w:sz="4" w:space="0" w:color="auto"/>
            </w:tcBorders>
          </w:tcPr>
          <w:p w:rsidR="00AA0256" w:rsidRPr="0062047C" w:rsidRDefault="00AA0256" w:rsidP="003E2F9E">
            <w:pPr>
              <w:bidi w:val="0"/>
              <w:spacing w:after="0"/>
              <w:jc w:val="center"/>
              <w:rPr>
                <w:b w:val="0"/>
                <w:bCs w:val="0"/>
                <w:sz w:val="18"/>
                <w:szCs w:val="18"/>
                <w:rtl/>
              </w:rPr>
            </w:pPr>
          </w:p>
        </w:tc>
        <w:tc>
          <w:tcPr>
            <w:tcW w:w="761" w:type="dxa"/>
          </w:tcPr>
          <w:p w:rsidR="00AA0256" w:rsidRPr="0062047C" w:rsidRDefault="00AA0256" w:rsidP="003E2F9E">
            <w:pPr>
              <w:bidi w:val="0"/>
              <w:spacing w:after="0"/>
              <w:jc w:val="center"/>
              <w:rPr>
                <w:b w:val="0"/>
                <w:bCs w:val="0"/>
                <w:sz w:val="18"/>
                <w:szCs w:val="18"/>
                <w:rtl/>
              </w:rPr>
            </w:pPr>
          </w:p>
        </w:tc>
        <w:tc>
          <w:tcPr>
            <w:tcW w:w="767" w:type="dxa"/>
          </w:tcPr>
          <w:p w:rsidR="00AA0256" w:rsidRPr="0062047C" w:rsidRDefault="00AA0256" w:rsidP="003E2F9E">
            <w:pPr>
              <w:bidi w:val="0"/>
              <w:spacing w:after="0"/>
              <w:jc w:val="center"/>
              <w:rPr>
                <w:b w:val="0"/>
                <w:bCs w:val="0"/>
                <w:sz w:val="18"/>
                <w:szCs w:val="18"/>
                <w:rtl/>
              </w:rPr>
            </w:pPr>
          </w:p>
        </w:tc>
        <w:tc>
          <w:tcPr>
            <w:tcW w:w="774" w:type="dxa"/>
          </w:tcPr>
          <w:p w:rsidR="00AA0256" w:rsidRPr="0062047C" w:rsidRDefault="00AA0256" w:rsidP="003E2F9E">
            <w:pPr>
              <w:bidi w:val="0"/>
              <w:spacing w:after="0"/>
              <w:jc w:val="center"/>
              <w:rPr>
                <w:b w:val="0"/>
                <w:bCs w:val="0"/>
                <w:sz w:val="18"/>
                <w:szCs w:val="18"/>
                <w:rtl/>
              </w:rPr>
            </w:pPr>
          </w:p>
        </w:tc>
        <w:tc>
          <w:tcPr>
            <w:tcW w:w="759" w:type="dxa"/>
          </w:tcPr>
          <w:p w:rsidR="00AA0256" w:rsidRPr="0062047C" w:rsidRDefault="00AA0256" w:rsidP="003E2F9E">
            <w:pPr>
              <w:bidi w:val="0"/>
              <w:spacing w:after="0"/>
              <w:jc w:val="center"/>
              <w:rPr>
                <w:b w:val="0"/>
                <w:bCs w:val="0"/>
                <w:sz w:val="18"/>
                <w:szCs w:val="18"/>
                <w:rtl/>
              </w:rPr>
            </w:pPr>
          </w:p>
        </w:tc>
        <w:tc>
          <w:tcPr>
            <w:tcW w:w="777" w:type="dxa"/>
          </w:tcPr>
          <w:p w:rsidR="00AA0256" w:rsidRPr="0062047C" w:rsidRDefault="00AA0256" w:rsidP="003E2F9E">
            <w:pPr>
              <w:bidi w:val="0"/>
              <w:spacing w:after="0"/>
              <w:jc w:val="center"/>
              <w:rPr>
                <w:b w:val="0"/>
                <w:bCs w:val="0"/>
                <w:sz w:val="18"/>
                <w:szCs w:val="18"/>
                <w:rtl/>
              </w:rPr>
            </w:pPr>
          </w:p>
        </w:tc>
        <w:tc>
          <w:tcPr>
            <w:tcW w:w="793" w:type="dxa"/>
          </w:tcPr>
          <w:p w:rsidR="00AA0256" w:rsidRPr="0062047C" w:rsidRDefault="00AA0256" w:rsidP="003E2F9E">
            <w:pPr>
              <w:bidi w:val="0"/>
              <w:spacing w:after="0"/>
              <w:jc w:val="center"/>
              <w:rPr>
                <w:b w:val="0"/>
                <w:bCs w:val="0"/>
                <w:sz w:val="18"/>
                <w:szCs w:val="18"/>
                <w:rtl/>
              </w:rPr>
            </w:pPr>
          </w:p>
        </w:tc>
        <w:tc>
          <w:tcPr>
            <w:tcW w:w="721" w:type="dxa"/>
          </w:tcPr>
          <w:p w:rsidR="00AA0256" w:rsidRPr="0062047C" w:rsidRDefault="00AA0256" w:rsidP="003E2F9E">
            <w:pPr>
              <w:bidi w:val="0"/>
              <w:spacing w:after="0"/>
              <w:jc w:val="center"/>
              <w:rPr>
                <w:b w:val="0"/>
                <w:bCs w:val="0"/>
                <w:sz w:val="18"/>
                <w:szCs w:val="18"/>
                <w:rtl/>
              </w:rPr>
            </w:pPr>
          </w:p>
        </w:tc>
        <w:tc>
          <w:tcPr>
            <w:tcW w:w="847" w:type="dxa"/>
            <w:gridSpan w:val="2"/>
          </w:tcPr>
          <w:p w:rsidR="00AA0256" w:rsidRPr="0062047C" w:rsidRDefault="00AA0256" w:rsidP="003E2F9E">
            <w:pPr>
              <w:bidi w:val="0"/>
              <w:spacing w:after="0"/>
              <w:jc w:val="center"/>
              <w:rPr>
                <w:b w:val="0"/>
                <w:bCs w:val="0"/>
                <w:sz w:val="18"/>
                <w:szCs w:val="18"/>
                <w:rtl/>
              </w:rPr>
            </w:pPr>
          </w:p>
        </w:tc>
        <w:tc>
          <w:tcPr>
            <w:tcW w:w="774" w:type="dxa"/>
          </w:tcPr>
          <w:p w:rsidR="00AA0256" w:rsidRPr="0062047C" w:rsidRDefault="00AA0256" w:rsidP="003E2F9E">
            <w:pPr>
              <w:bidi w:val="0"/>
              <w:spacing w:after="0"/>
              <w:jc w:val="center"/>
              <w:rPr>
                <w:b w:val="0"/>
                <w:bCs w:val="0"/>
                <w:sz w:val="18"/>
                <w:szCs w:val="18"/>
                <w:rtl/>
              </w:rPr>
            </w:pPr>
          </w:p>
        </w:tc>
        <w:tc>
          <w:tcPr>
            <w:tcW w:w="777" w:type="dxa"/>
          </w:tcPr>
          <w:p w:rsidR="00AA0256" w:rsidRPr="0062047C" w:rsidRDefault="00AA0256" w:rsidP="003E2F9E">
            <w:pPr>
              <w:bidi w:val="0"/>
              <w:spacing w:after="0"/>
              <w:jc w:val="center"/>
              <w:rPr>
                <w:b w:val="0"/>
                <w:bCs w:val="0"/>
                <w:sz w:val="18"/>
                <w:szCs w:val="18"/>
                <w:rtl/>
              </w:rPr>
            </w:pPr>
          </w:p>
        </w:tc>
        <w:tc>
          <w:tcPr>
            <w:tcW w:w="682" w:type="dxa"/>
          </w:tcPr>
          <w:p w:rsidR="00AA0256" w:rsidRPr="0062047C" w:rsidRDefault="00AA0256" w:rsidP="003E2F9E">
            <w:pPr>
              <w:bidi w:val="0"/>
              <w:spacing w:after="0"/>
              <w:jc w:val="center"/>
              <w:rPr>
                <w:b w:val="0"/>
                <w:bCs w:val="0"/>
                <w:sz w:val="18"/>
                <w:szCs w:val="18"/>
                <w:rtl/>
              </w:rPr>
            </w:pPr>
          </w:p>
        </w:tc>
        <w:tc>
          <w:tcPr>
            <w:tcW w:w="701" w:type="dxa"/>
          </w:tcPr>
          <w:p w:rsidR="00AA0256" w:rsidRPr="0062047C" w:rsidRDefault="00AA0256" w:rsidP="003E2F9E">
            <w:pPr>
              <w:bidi w:val="0"/>
              <w:spacing w:after="0"/>
              <w:jc w:val="center"/>
              <w:rPr>
                <w:b w:val="0"/>
                <w:bCs w:val="0"/>
                <w:sz w:val="18"/>
                <w:szCs w:val="18"/>
                <w:rtl/>
              </w:rPr>
            </w:pPr>
          </w:p>
        </w:tc>
        <w:tc>
          <w:tcPr>
            <w:tcW w:w="662" w:type="dxa"/>
          </w:tcPr>
          <w:p w:rsidR="00AA0256" w:rsidRPr="0062047C" w:rsidRDefault="00AA0256" w:rsidP="003E2F9E">
            <w:pPr>
              <w:bidi w:val="0"/>
              <w:spacing w:after="0"/>
              <w:jc w:val="center"/>
              <w:rPr>
                <w:b w:val="0"/>
                <w:bCs w:val="0"/>
                <w:sz w:val="18"/>
                <w:szCs w:val="18"/>
                <w:rtl/>
              </w:rPr>
            </w:pPr>
          </w:p>
        </w:tc>
        <w:tc>
          <w:tcPr>
            <w:tcW w:w="619" w:type="dxa"/>
          </w:tcPr>
          <w:p w:rsidR="00AA0256" w:rsidRPr="0062047C" w:rsidRDefault="00AA0256" w:rsidP="003E2F9E">
            <w:pPr>
              <w:bidi w:val="0"/>
              <w:spacing w:after="0"/>
              <w:jc w:val="center"/>
              <w:rPr>
                <w:b w:val="0"/>
                <w:bCs w:val="0"/>
                <w:sz w:val="18"/>
                <w:szCs w:val="18"/>
                <w:rtl/>
              </w:rPr>
            </w:pPr>
          </w:p>
        </w:tc>
        <w:tc>
          <w:tcPr>
            <w:tcW w:w="2872" w:type="dxa"/>
          </w:tcPr>
          <w:p w:rsidR="00AA0256" w:rsidRPr="0062047C" w:rsidRDefault="00AA0256" w:rsidP="003E2F9E">
            <w:pPr>
              <w:bidi w:val="0"/>
              <w:spacing w:after="0"/>
              <w:jc w:val="center"/>
              <w:rPr>
                <w:b w:val="0"/>
                <w:bCs w:val="0"/>
                <w:sz w:val="18"/>
                <w:szCs w:val="18"/>
                <w:rtl/>
              </w:rPr>
            </w:pPr>
            <w:r w:rsidRPr="0062047C">
              <w:rPr>
                <w:b w:val="0"/>
                <w:bCs w:val="0"/>
                <w:sz w:val="18"/>
                <w:szCs w:val="18"/>
              </w:rPr>
              <w:t>Total</w:t>
            </w:r>
          </w:p>
        </w:tc>
        <w:tc>
          <w:tcPr>
            <w:tcW w:w="490" w:type="dxa"/>
          </w:tcPr>
          <w:p w:rsidR="00AA0256" w:rsidRPr="0062047C" w:rsidRDefault="00AA0256" w:rsidP="003E2F9E">
            <w:pPr>
              <w:bidi w:val="0"/>
              <w:spacing w:after="0"/>
              <w:jc w:val="center"/>
              <w:rPr>
                <w:b w:val="0"/>
                <w:bCs w:val="0"/>
                <w:sz w:val="18"/>
                <w:szCs w:val="18"/>
                <w:rtl/>
              </w:rPr>
            </w:pPr>
          </w:p>
        </w:tc>
      </w:tr>
      <w:tr w:rsidR="00AA0256" w:rsidRPr="0062047C" w:rsidTr="00AA0256">
        <w:tc>
          <w:tcPr>
            <w:tcW w:w="650" w:type="dxa"/>
            <w:tcBorders>
              <w:top w:val="nil"/>
              <w:left w:val="nil"/>
              <w:bottom w:val="nil"/>
              <w:right w:val="single" w:sz="4" w:space="0" w:color="auto"/>
            </w:tcBorders>
          </w:tcPr>
          <w:p w:rsidR="00AA0256" w:rsidRPr="0062047C" w:rsidRDefault="00AA0256" w:rsidP="003E2F9E">
            <w:pPr>
              <w:bidi w:val="0"/>
              <w:spacing w:after="0"/>
              <w:jc w:val="center"/>
              <w:rPr>
                <w:b w:val="0"/>
                <w:bCs w:val="0"/>
                <w:sz w:val="18"/>
                <w:szCs w:val="18"/>
                <w:rtl/>
              </w:rPr>
            </w:pPr>
          </w:p>
        </w:tc>
        <w:tc>
          <w:tcPr>
            <w:tcW w:w="872" w:type="dxa"/>
            <w:tcBorders>
              <w:left w:val="single" w:sz="4" w:space="0" w:color="auto"/>
            </w:tcBorders>
            <w:vAlign w:val="center"/>
          </w:tcPr>
          <w:p w:rsidR="00AA0256" w:rsidRPr="0062047C" w:rsidRDefault="00AA0256" w:rsidP="003E2F9E">
            <w:pPr>
              <w:spacing w:after="0"/>
              <w:jc w:val="center"/>
              <w:rPr>
                <w:sz w:val="18"/>
                <w:szCs w:val="18"/>
              </w:rPr>
            </w:pPr>
            <w:r w:rsidRPr="0062047C">
              <w:rPr>
                <w:b w:val="0"/>
                <w:bCs w:val="0"/>
                <w:sz w:val="18"/>
                <w:szCs w:val="18"/>
              </w:rPr>
              <w:t>0</w:t>
            </w:r>
          </w:p>
        </w:tc>
        <w:tc>
          <w:tcPr>
            <w:tcW w:w="761" w:type="dxa"/>
          </w:tcPr>
          <w:p w:rsidR="00AA0256" w:rsidRDefault="00AA0256" w:rsidP="003E2F9E">
            <w:r w:rsidRPr="001137D1">
              <w:rPr>
                <w:b w:val="0"/>
                <w:bCs w:val="0"/>
                <w:sz w:val="18"/>
                <w:szCs w:val="18"/>
              </w:rPr>
              <w:t>0</w:t>
            </w:r>
          </w:p>
        </w:tc>
        <w:tc>
          <w:tcPr>
            <w:tcW w:w="767" w:type="dxa"/>
          </w:tcPr>
          <w:p w:rsidR="00AA0256" w:rsidRDefault="00AA0256" w:rsidP="003E2F9E">
            <w:r w:rsidRPr="001137D1">
              <w:rPr>
                <w:b w:val="0"/>
                <w:bCs w:val="0"/>
                <w:sz w:val="18"/>
                <w:szCs w:val="18"/>
              </w:rPr>
              <w:t>0</w:t>
            </w:r>
          </w:p>
        </w:tc>
        <w:tc>
          <w:tcPr>
            <w:tcW w:w="774" w:type="dxa"/>
            <w:vAlign w:val="center"/>
          </w:tcPr>
          <w:p w:rsidR="00AA0256" w:rsidRPr="0062047C" w:rsidRDefault="00AA0256" w:rsidP="003E2F9E">
            <w:pPr>
              <w:spacing w:after="0"/>
              <w:jc w:val="center"/>
              <w:rPr>
                <w:sz w:val="18"/>
                <w:szCs w:val="18"/>
              </w:rPr>
            </w:pPr>
            <w:r w:rsidRPr="0062047C">
              <w:rPr>
                <w:b w:val="0"/>
                <w:bCs w:val="0"/>
                <w:sz w:val="18"/>
                <w:szCs w:val="18"/>
              </w:rPr>
              <w:t>0</w:t>
            </w:r>
          </w:p>
        </w:tc>
        <w:tc>
          <w:tcPr>
            <w:tcW w:w="759" w:type="dxa"/>
            <w:vAlign w:val="center"/>
          </w:tcPr>
          <w:p w:rsidR="00AA0256" w:rsidRPr="0062047C" w:rsidRDefault="00AA0256" w:rsidP="003E2F9E">
            <w:pPr>
              <w:spacing w:after="0"/>
              <w:jc w:val="center"/>
              <w:rPr>
                <w:sz w:val="18"/>
                <w:szCs w:val="18"/>
              </w:rPr>
            </w:pPr>
            <w:r w:rsidRPr="0062047C">
              <w:rPr>
                <w:b w:val="0"/>
                <w:bCs w:val="0"/>
                <w:sz w:val="18"/>
                <w:szCs w:val="18"/>
              </w:rPr>
              <w:t>0</w:t>
            </w:r>
          </w:p>
        </w:tc>
        <w:tc>
          <w:tcPr>
            <w:tcW w:w="777" w:type="dxa"/>
            <w:vAlign w:val="center"/>
          </w:tcPr>
          <w:p w:rsidR="00AA0256" w:rsidRPr="0062047C" w:rsidRDefault="00AA0256" w:rsidP="003E2F9E">
            <w:pPr>
              <w:spacing w:after="0"/>
              <w:jc w:val="center"/>
              <w:rPr>
                <w:sz w:val="18"/>
                <w:szCs w:val="18"/>
              </w:rPr>
            </w:pPr>
            <w:r w:rsidRPr="0062047C">
              <w:rPr>
                <w:b w:val="0"/>
                <w:bCs w:val="0"/>
                <w:sz w:val="18"/>
                <w:szCs w:val="18"/>
              </w:rPr>
              <w:t>0</w:t>
            </w:r>
          </w:p>
        </w:tc>
        <w:tc>
          <w:tcPr>
            <w:tcW w:w="793" w:type="dxa"/>
            <w:vAlign w:val="center"/>
          </w:tcPr>
          <w:p w:rsidR="00AA0256" w:rsidRPr="0062047C" w:rsidRDefault="00AA0256" w:rsidP="003E2F9E">
            <w:pPr>
              <w:spacing w:after="0"/>
              <w:jc w:val="center"/>
              <w:rPr>
                <w:sz w:val="18"/>
                <w:szCs w:val="18"/>
              </w:rPr>
            </w:pPr>
            <w:r w:rsidRPr="0062047C">
              <w:rPr>
                <w:b w:val="0"/>
                <w:bCs w:val="0"/>
                <w:sz w:val="18"/>
                <w:szCs w:val="18"/>
              </w:rPr>
              <w:t>0</w:t>
            </w:r>
          </w:p>
        </w:tc>
        <w:tc>
          <w:tcPr>
            <w:tcW w:w="721" w:type="dxa"/>
            <w:vAlign w:val="center"/>
          </w:tcPr>
          <w:p w:rsidR="00AA0256" w:rsidRPr="0062047C" w:rsidRDefault="00AA0256" w:rsidP="003E2F9E">
            <w:pPr>
              <w:spacing w:after="0"/>
              <w:jc w:val="center"/>
              <w:rPr>
                <w:sz w:val="18"/>
                <w:szCs w:val="18"/>
              </w:rPr>
            </w:pPr>
            <w:r w:rsidRPr="0062047C">
              <w:rPr>
                <w:b w:val="0"/>
                <w:bCs w:val="0"/>
                <w:sz w:val="18"/>
                <w:szCs w:val="18"/>
              </w:rPr>
              <w:t>0</w:t>
            </w:r>
          </w:p>
        </w:tc>
        <w:tc>
          <w:tcPr>
            <w:tcW w:w="847" w:type="dxa"/>
            <w:gridSpan w:val="2"/>
            <w:vAlign w:val="center"/>
          </w:tcPr>
          <w:p w:rsidR="00AA0256" w:rsidRPr="0062047C" w:rsidRDefault="00AA0256" w:rsidP="003E2F9E">
            <w:pPr>
              <w:spacing w:after="0"/>
              <w:jc w:val="center"/>
              <w:rPr>
                <w:sz w:val="18"/>
                <w:szCs w:val="18"/>
              </w:rPr>
            </w:pPr>
            <w:r w:rsidRPr="0062047C">
              <w:rPr>
                <w:b w:val="0"/>
                <w:bCs w:val="0"/>
                <w:sz w:val="18"/>
                <w:szCs w:val="18"/>
              </w:rPr>
              <w:t>0</w:t>
            </w:r>
          </w:p>
        </w:tc>
        <w:tc>
          <w:tcPr>
            <w:tcW w:w="774" w:type="dxa"/>
            <w:vAlign w:val="center"/>
          </w:tcPr>
          <w:p w:rsidR="00AA0256" w:rsidRPr="0062047C" w:rsidRDefault="00AA0256" w:rsidP="003E2F9E">
            <w:pPr>
              <w:spacing w:after="0"/>
              <w:jc w:val="center"/>
              <w:rPr>
                <w:sz w:val="18"/>
                <w:szCs w:val="18"/>
              </w:rPr>
            </w:pPr>
            <w:r w:rsidRPr="0062047C">
              <w:rPr>
                <w:b w:val="0"/>
                <w:bCs w:val="0"/>
                <w:sz w:val="18"/>
                <w:szCs w:val="18"/>
              </w:rPr>
              <w:t>0</w:t>
            </w:r>
          </w:p>
        </w:tc>
        <w:tc>
          <w:tcPr>
            <w:tcW w:w="777" w:type="dxa"/>
            <w:vAlign w:val="center"/>
          </w:tcPr>
          <w:p w:rsidR="00AA0256" w:rsidRPr="0062047C" w:rsidRDefault="00AA0256" w:rsidP="003E2F9E">
            <w:pPr>
              <w:spacing w:after="0"/>
              <w:jc w:val="center"/>
              <w:rPr>
                <w:sz w:val="18"/>
                <w:szCs w:val="18"/>
              </w:rPr>
            </w:pPr>
            <w:r w:rsidRPr="0062047C">
              <w:rPr>
                <w:b w:val="0"/>
                <w:bCs w:val="0"/>
                <w:sz w:val="18"/>
                <w:szCs w:val="18"/>
              </w:rPr>
              <w:t>0</w:t>
            </w:r>
          </w:p>
        </w:tc>
        <w:tc>
          <w:tcPr>
            <w:tcW w:w="682" w:type="dxa"/>
            <w:vAlign w:val="center"/>
          </w:tcPr>
          <w:p w:rsidR="00AA0256" w:rsidRPr="0062047C" w:rsidRDefault="00AA0256" w:rsidP="003E2F9E">
            <w:pPr>
              <w:spacing w:after="0"/>
              <w:jc w:val="center"/>
              <w:rPr>
                <w:sz w:val="18"/>
                <w:szCs w:val="18"/>
              </w:rPr>
            </w:pPr>
            <w:r w:rsidRPr="0062047C">
              <w:rPr>
                <w:b w:val="0"/>
                <w:bCs w:val="0"/>
                <w:sz w:val="18"/>
                <w:szCs w:val="18"/>
              </w:rPr>
              <w:t>0</w:t>
            </w:r>
          </w:p>
        </w:tc>
        <w:tc>
          <w:tcPr>
            <w:tcW w:w="701" w:type="dxa"/>
            <w:vAlign w:val="center"/>
          </w:tcPr>
          <w:p w:rsidR="00AA0256" w:rsidRPr="0062047C" w:rsidRDefault="00AA0256" w:rsidP="003E2F9E">
            <w:pPr>
              <w:spacing w:after="0"/>
              <w:jc w:val="center"/>
              <w:rPr>
                <w:sz w:val="18"/>
                <w:szCs w:val="18"/>
              </w:rPr>
            </w:pPr>
            <w:r w:rsidRPr="0062047C">
              <w:rPr>
                <w:b w:val="0"/>
                <w:bCs w:val="0"/>
                <w:sz w:val="18"/>
                <w:szCs w:val="18"/>
              </w:rPr>
              <w:t>0</w:t>
            </w:r>
          </w:p>
        </w:tc>
        <w:tc>
          <w:tcPr>
            <w:tcW w:w="662" w:type="dxa"/>
            <w:vAlign w:val="center"/>
          </w:tcPr>
          <w:p w:rsidR="00AA0256" w:rsidRPr="0062047C" w:rsidRDefault="00AA0256" w:rsidP="003E2F9E">
            <w:pPr>
              <w:spacing w:after="0"/>
              <w:jc w:val="center"/>
              <w:rPr>
                <w:sz w:val="18"/>
                <w:szCs w:val="18"/>
              </w:rPr>
            </w:pPr>
            <w:r w:rsidRPr="0062047C">
              <w:rPr>
                <w:b w:val="0"/>
                <w:bCs w:val="0"/>
                <w:sz w:val="18"/>
                <w:szCs w:val="18"/>
              </w:rPr>
              <w:t>0</w:t>
            </w:r>
          </w:p>
        </w:tc>
        <w:tc>
          <w:tcPr>
            <w:tcW w:w="619" w:type="dxa"/>
            <w:vAlign w:val="center"/>
          </w:tcPr>
          <w:p w:rsidR="00AA0256" w:rsidRPr="0062047C" w:rsidRDefault="00AA0256" w:rsidP="003E2F9E">
            <w:pPr>
              <w:spacing w:after="0"/>
              <w:jc w:val="center"/>
              <w:rPr>
                <w:sz w:val="18"/>
                <w:szCs w:val="18"/>
              </w:rPr>
            </w:pPr>
            <w:r w:rsidRPr="0062047C">
              <w:rPr>
                <w:b w:val="0"/>
                <w:bCs w:val="0"/>
                <w:sz w:val="18"/>
                <w:szCs w:val="18"/>
              </w:rPr>
              <w:t>0</w:t>
            </w:r>
          </w:p>
        </w:tc>
        <w:tc>
          <w:tcPr>
            <w:tcW w:w="2872" w:type="dxa"/>
          </w:tcPr>
          <w:p w:rsidR="00AA0256" w:rsidRPr="0062047C" w:rsidRDefault="00AA0256" w:rsidP="003E2F9E">
            <w:pPr>
              <w:bidi w:val="0"/>
              <w:spacing w:after="0"/>
              <w:jc w:val="center"/>
              <w:rPr>
                <w:b w:val="0"/>
                <w:bCs w:val="0"/>
                <w:sz w:val="18"/>
                <w:szCs w:val="18"/>
                <w:rtl/>
              </w:rPr>
            </w:pPr>
            <w:r w:rsidRPr="0062047C">
              <w:rPr>
                <w:b w:val="0"/>
                <w:bCs w:val="0"/>
                <w:sz w:val="18"/>
                <w:szCs w:val="18"/>
              </w:rPr>
              <w:t>Total of long positions</w:t>
            </w:r>
          </w:p>
        </w:tc>
        <w:tc>
          <w:tcPr>
            <w:tcW w:w="490" w:type="dxa"/>
          </w:tcPr>
          <w:p w:rsidR="00AA0256" w:rsidRPr="0062047C" w:rsidRDefault="00AA0256" w:rsidP="003E2F9E">
            <w:pPr>
              <w:bidi w:val="0"/>
              <w:spacing w:after="0"/>
              <w:jc w:val="center"/>
              <w:rPr>
                <w:b w:val="0"/>
                <w:bCs w:val="0"/>
                <w:sz w:val="18"/>
                <w:szCs w:val="18"/>
                <w:rtl/>
              </w:rPr>
            </w:pPr>
          </w:p>
        </w:tc>
      </w:tr>
      <w:tr w:rsidR="00AA0256" w:rsidRPr="0062047C" w:rsidTr="00AA0256">
        <w:tc>
          <w:tcPr>
            <w:tcW w:w="650" w:type="dxa"/>
            <w:tcBorders>
              <w:top w:val="nil"/>
              <w:left w:val="nil"/>
              <w:bottom w:val="nil"/>
              <w:right w:val="single" w:sz="4" w:space="0" w:color="auto"/>
            </w:tcBorders>
          </w:tcPr>
          <w:p w:rsidR="00AA0256" w:rsidRPr="0062047C" w:rsidRDefault="00AA0256" w:rsidP="003E2F9E">
            <w:pPr>
              <w:bidi w:val="0"/>
              <w:spacing w:after="0"/>
              <w:rPr>
                <w:b w:val="0"/>
                <w:bCs w:val="0"/>
                <w:sz w:val="18"/>
                <w:szCs w:val="18"/>
                <w:rtl/>
              </w:rPr>
            </w:pPr>
          </w:p>
        </w:tc>
        <w:tc>
          <w:tcPr>
            <w:tcW w:w="872" w:type="dxa"/>
            <w:tcBorders>
              <w:left w:val="single" w:sz="4" w:space="0" w:color="auto"/>
            </w:tcBorders>
            <w:vAlign w:val="center"/>
          </w:tcPr>
          <w:p w:rsidR="00AA0256" w:rsidRPr="0062047C" w:rsidRDefault="00AA0256" w:rsidP="003E2F9E">
            <w:pPr>
              <w:spacing w:after="0"/>
              <w:jc w:val="center"/>
              <w:rPr>
                <w:sz w:val="18"/>
                <w:szCs w:val="18"/>
              </w:rPr>
            </w:pPr>
            <w:r w:rsidRPr="0062047C">
              <w:rPr>
                <w:sz w:val="18"/>
                <w:szCs w:val="18"/>
              </w:rPr>
              <w:t>0</w:t>
            </w:r>
          </w:p>
        </w:tc>
        <w:tc>
          <w:tcPr>
            <w:tcW w:w="761" w:type="dxa"/>
          </w:tcPr>
          <w:p w:rsidR="00AA0256" w:rsidRDefault="00AA0256" w:rsidP="003E2F9E">
            <w:r w:rsidRPr="001137D1">
              <w:rPr>
                <w:b w:val="0"/>
                <w:bCs w:val="0"/>
                <w:sz w:val="18"/>
                <w:szCs w:val="18"/>
              </w:rPr>
              <w:t>0</w:t>
            </w:r>
          </w:p>
        </w:tc>
        <w:tc>
          <w:tcPr>
            <w:tcW w:w="767" w:type="dxa"/>
          </w:tcPr>
          <w:p w:rsidR="00AA0256" w:rsidRDefault="00AA0256" w:rsidP="003E2F9E">
            <w:r w:rsidRPr="001137D1">
              <w:rPr>
                <w:b w:val="0"/>
                <w:bCs w:val="0"/>
                <w:sz w:val="18"/>
                <w:szCs w:val="18"/>
              </w:rPr>
              <w:t>0</w:t>
            </w:r>
          </w:p>
        </w:tc>
        <w:tc>
          <w:tcPr>
            <w:tcW w:w="774" w:type="dxa"/>
            <w:vAlign w:val="center"/>
          </w:tcPr>
          <w:p w:rsidR="00AA0256" w:rsidRPr="0062047C" w:rsidRDefault="00AA0256" w:rsidP="003E2F9E">
            <w:pPr>
              <w:spacing w:after="0"/>
              <w:jc w:val="center"/>
              <w:rPr>
                <w:sz w:val="18"/>
                <w:szCs w:val="18"/>
              </w:rPr>
            </w:pPr>
            <w:r w:rsidRPr="0062047C">
              <w:rPr>
                <w:sz w:val="18"/>
                <w:szCs w:val="18"/>
              </w:rPr>
              <w:t>0</w:t>
            </w:r>
          </w:p>
        </w:tc>
        <w:tc>
          <w:tcPr>
            <w:tcW w:w="759" w:type="dxa"/>
            <w:vAlign w:val="center"/>
          </w:tcPr>
          <w:p w:rsidR="00AA0256" w:rsidRPr="0062047C" w:rsidRDefault="00AA0256" w:rsidP="003E2F9E">
            <w:pPr>
              <w:spacing w:after="0"/>
              <w:jc w:val="center"/>
              <w:rPr>
                <w:sz w:val="18"/>
                <w:szCs w:val="18"/>
              </w:rPr>
            </w:pPr>
            <w:r w:rsidRPr="0062047C">
              <w:rPr>
                <w:sz w:val="18"/>
                <w:szCs w:val="18"/>
              </w:rPr>
              <w:t>0</w:t>
            </w:r>
          </w:p>
        </w:tc>
        <w:tc>
          <w:tcPr>
            <w:tcW w:w="777" w:type="dxa"/>
            <w:vAlign w:val="center"/>
          </w:tcPr>
          <w:p w:rsidR="00AA0256" w:rsidRPr="0062047C" w:rsidRDefault="00AA0256" w:rsidP="003E2F9E">
            <w:pPr>
              <w:spacing w:after="0"/>
              <w:jc w:val="center"/>
              <w:rPr>
                <w:sz w:val="18"/>
                <w:szCs w:val="18"/>
              </w:rPr>
            </w:pPr>
            <w:r w:rsidRPr="0062047C">
              <w:rPr>
                <w:sz w:val="18"/>
                <w:szCs w:val="18"/>
              </w:rPr>
              <w:t>0</w:t>
            </w:r>
          </w:p>
        </w:tc>
        <w:tc>
          <w:tcPr>
            <w:tcW w:w="793" w:type="dxa"/>
            <w:vAlign w:val="center"/>
          </w:tcPr>
          <w:p w:rsidR="00AA0256" w:rsidRPr="0062047C" w:rsidRDefault="00AA0256" w:rsidP="003E2F9E">
            <w:pPr>
              <w:spacing w:after="0"/>
              <w:jc w:val="center"/>
              <w:rPr>
                <w:sz w:val="18"/>
                <w:szCs w:val="18"/>
              </w:rPr>
            </w:pPr>
            <w:r w:rsidRPr="0062047C">
              <w:rPr>
                <w:sz w:val="18"/>
                <w:szCs w:val="18"/>
              </w:rPr>
              <w:t>0</w:t>
            </w:r>
          </w:p>
        </w:tc>
        <w:tc>
          <w:tcPr>
            <w:tcW w:w="721" w:type="dxa"/>
            <w:vAlign w:val="center"/>
          </w:tcPr>
          <w:p w:rsidR="00AA0256" w:rsidRPr="0062047C" w:rsidRDefault="00AA0256" w:rsidP="003E2F9E">
            <w:pPr>
              <w:spacing w:after="0"/>
              <w:jc w:val="center"/>
              <w:rPr>
                <w:sz w:val="18"/>
                <w:szCs w:val="18"/>
              </w:rPr>
            </w:pPr>
            <w:r w:rsidRPr="0062047C">
              <w:rPr>
                <w:sz w:val="18"/>
                <w:szCs w:val="18"/>
              </w:rPr>
              <w:t>0</w:t>
            </w:r>
          </w:p>
        </w:tc>
        <w:tc>
          <w:tcPr>
            <w:tcW w:w="847" w:type="dxa"/>
            <w:gridSpan w:val="2"/>
            <w:vAlign w:val="center"/>
          </w:tcPr>
          <w:p w:rsidR="00AA0256" w:rsidRPr="0062047C" w:rsidRDefault="00AA0256" w:rsidP="003E2F9E">
            <w:pPr>
              <w:spacing w:after="0"/>
              <w:jc w:val="center"/>
              <w:rPr>
                <w:sz w:val="18"/>
                <w:szCs w:val="18"/>
              </w:rPr>
            </w:pPr>
            <w:r w:rsidRPr="0062047C">
              <w:rPr>
                <w:sz w:val="18"/>
                <w:szCs w:val="18"/>
              </w:rPr>
              <w:t>0</w:t>
            </w:r>
          </w:p>
        </w:tc>
        <w:tc>
          <w:tcPr>
            <w:tcW w:w="774" w:type="dxa"/>
            <w:vAlign w:val="center"/>
          </w:tcPr>
          <w:p w:rsidR="00AA0256" w:rsidRPr="0062047C" w:rsidRDefault="00AA0256" w:rsidP="003E2F9E">
            <w:pPr>
              <w:spacing w:after="0"/>
              <w:jc w:val="center"/>
              <w:rPr>
                <w:sz w:val="18"/>
                <w:szCs w:val="18"/>
              </w:rPr>
            </w:pPr>
            <w:r w:rsidRPr="0062047C">
              <w:rPr>
                <w:sz w:val="18"/>
                <w:szCs w:val="18"/>
              </w:rPr>
              <w:t>0</w:t>
            </w:r>
          </w:p>
        </w:tc>
        <w:tc>
          <w:tcPr>
            <w:tcW w:w="777" w:type="dxa"/>
            <w:vAlign w:val="center"/>
          </w:tcPr>
          <w:p w:rsidR="00AA0256" w:rsidRPr="0062047C" w:rsidRDefault="00AA0256" w:rsidP="003E2F9E">
            <w:pPr>
              <w:spacing w:after="0"/>
              <w:jc w:val="center"/>
              <w:rPr>
                <w:sz w:val="18"/>
                <w:szCs w:val="18"/>
              </w:rPr>
            </w:pPr>
            <w:r w:rsidRPr="0062047C">
              <w:rPr>
                <w:sz w:val="18"/>
                <w:szCs w:val="18"/>
              </w:rPr>
              <w:t>0</w:t>
            </w:r>
          </w:p>
        </w:tc>
        <w:tc>
          <w:tcPr>
            <w:tcW w:w="682" w:type="dxa"/>
            <w:vAlign w:val="center"/>
          </w:tcPr>
          <w:p w:rsidR="00AA0256" w:rsidRPr="0062047C" w:rsidRDefault="00AA0256" w:rsidP="003E2F9E">
            <w:pPr>
              <w:spacing w:after="0"/>
              <w:jc w:val="center"/>
              <w:rPr>
                <w:sz w:val="18"/>
                <w:szCs w:val="18"/>
              </w:rPr>
            </w:pPr>
            <w:r w:rsidRPr="0062047C">
              <w:rPr>
                <w:sz w:val="18"/>
                <w:szCs w:val="18"/>
              </w:rPr>
              <w:t>0</w:t>
            </w:r>
          </w:p>
        </w:tc>
        <w:tc>
          <w:tcPr>
            <w:tcW w:w="701" w:type="dxa"/>
            <w:vAlign w:val="center"/>
          </w:tcPr>
          <w:p w:rsidR="00AA0256" w:rsidRPr="0062047C" w:rsidRDefault="00AA0256" w:rsidP="003E2F9E">
            <w:pPr>
              <w:spacing w:after="0"/>
              <w:jc w:val="center"/>
              <w:rPr>
                <w:sz w:val="18"/>
                <w:szCs w:val="18"/>
              </w:rPr>
            </w:pPr>
            <w:r w:rsidRPr="0062047C">
              <w:rPr>
                <w:sz w:val="18"/>
                <w:szCs w:val="18"/>
              </w:rPr>
              <w:t>0</w:t>
            </w:r>
          </w:p>
        </w:tc>
        <w:tc>
          <w:tcPr>
            <w:tcW w:w="662" w:type="dxa"/>
            <w:vAlign w:val="center"/>
          </w:tcPr>
          <w:p w:rsidR="00AA0256" w:rsidRPr="0062047C" w:rsidRDefault="00AA0256" w:rsidP="003E2F9E">
            <w:pPr>
              <w:spacing w:after="0"/>
              <w:jc w:val="center"/>
              <w:rPr>
                <w:sz w:val="18"/>
                <w:szCs w:val="18"/>
              </w:rPr>
            </w:pPr>
            <w:r w:rsidRPr="0062047C">
              <w:rPr>
                <w:sz w:val="18"/>
                <w:szCs w:val="18"/>
              </w:rPr>
              <w:t>0</w:t>
            </w:r>
          </w:p>
        </w:tc>
        <w:tc>
          <w:tcPr>
            <w:tcW w:w="619" w:type="dxa"/>
            <w:vAlign w:val="center"/>
          </w:tcPr>
          <w:p w:rsidR="00AA0256" w:rsidRPr="0062047C" w:rsidRDefault="00AA0256" w:rsidP="003E2F9E">
            <w:pPr>
              <w:spacing w:after="0"/>
              <w:jc w:val="center"/>
              <w:rPr>
                <w:sz w:val="18"/>
                <w:szCs w:val="18"/>
              </w:rPr>
            </w:pPr>
            <w:r w:rsidRPr="0062047C">
              <w:rPr>
                <w:sz w:val="18"/>
                <w:szCs w:val="18"/>
              </w:rPr>
              <w:t>0</w:t>
            </w:r>
          </w:p>
        </w:tc>
        <w:tc>
          <w:tcPr>
            <w:tcW w:w="2872" w:type="dxa"/>
          </w:tcPr>
          <w:p w:rsidR="00AA0256" w:rsidRPr="0062047C" w:rsidRDefault="00AA0256" w:rsidP="003E2F9E">
            <w:pPr>
              <w:bidi w:val="0"/>
              <w:spacing w:after="0"/>
              <w:jc w:val="center"/>
              <w:rPr>
                <w:b w:val="0"/>
                <w:bCs w:val="0"/>
                <w:sz w:val="18"/>
                <w:szCs w:val="18"/>
                <w:rtl/>
              </w:rPr>
            </w:pPr>
            <w:r w:rsidRPr="0062047C">
              <w:rPr>
                <w:b w:val="0"/>
                <w:bCs w:val="0"/>
                <w:sz w:val="18"/>
                <w:szCs w:val="18"/>
              </w:rPr>
              <w:t>Total of short positions</w:t>
            </w:r>
          </w:p>
        </w:tc>
        <w:tc>
          <w:tcPr>
            <w:tcW w:w="490" w:type="dxa"/>
          </w:tcPr>
          <w:p w:rsidR="00AA0256" w:rsidRPr="0062047C" w:rsidRDefault="00AA0256" w:rsidP="003E2F9E">
            <w:pPr>
              <w:bidi w:val="0"/>
              <w:spacing w:after="0"/>
              <w:jc w:val="center"/>
              <w:rPr>
                <w:b w:val="0"/>
                <w:bCs w:val="0"/>
                <w:sz w:val="18"/>
                <w:szCs w:val="18"/>
                <w:rtl/>
              </w:rPr>
            </w:pPr>
          </w:p>
        </w:tc>
      </w:tr>
      <w:tr w:rsidR="00AA0256" w:rsidRPr="0062047C" w:rsidTr="00AA0256">
        <w:tc>
          <w:tcPr>
            <w:tcW w:w="650" w:type="dxa"/>
            <w:tcBorders>
              <w:top w:val="nil"/>
              <w:left w:val="nil"/>
              <w:bottom w:val="nil"/>
              <w:right w:val="single" w:sz="4" w:space="0" w:color="auto"/>
            </w:tcBorders>
          </w:tcPr>
          <w:p w:rsidR="00AA0256" w:rsidRPr="0062047C" w:rsidRDefault="00AA0256" w:rsidP="003E2F9E">
            <w:pPr>
              <w:bidi w:val="0"/>
              <w:spacing w:after="0"/>
              <w:rPr>
                <w:b w:val="0"/>
                <w:bCs w:val="0"/>
                <w:sz w:val="18"/>
                <w:szCs w:val="18"/>
                <w:rtl/>
              </w:rPr>
            </w:pPr>
          </w:p>
        </w:tc>
        <w:tc>
          <w:tcPr>
            <w:tcW w:w="872" w:type="dxa"/>
            <w:tcBorders>
              <w:left w:val="single" w:sz="4" w:space="0" w:color="auto"/>
            </w:tcBorders>
            <w:vAlign w:val="center"/>
          </w:tcPr>
          <w:p w:rsidR="00AA0256" w:rsidRPr="0062047C" w:rsidRDefault="00AA0256" w:rsidP="003E2F9E">
            <w:pPr>
              <w:spacing w:after="0"/>
              <w:jc w:val="center"/>
              <w:rPr>
                <w:sz w:val="18"/>
                <w:szCs w:val="18"/>
              </w:rPr>
            </w:pPr>
            <w:r w:rsidRPr="0062047C">
              <w:rPr>
                <w:b w:val="0"/>
                <w:bCs w:val="0"/>
                <w:sz w:val="18"/>
                <w:szCs w:val="18"/>
              </w:rPr>
              <w:t>0</w:t>
            </w:r>
          </w:p>
        </w:tc>
        <w:tc>
          <w:tcPr>
            <w:tcW w:w="761" w:type="dxa"/>
          </w:tcPr>
          <w:p w:rsidR="00AA0256" w:rsidRDefault="00AA0256" w:rsidP="003E2F9E">
            <w:r w:rsidRPr="001137D1">
              <w:rPr>
                <w:b w:val="0"/>
                <w:bCs w:val="0"/>
                <w:sz w:val="18"/>
                <w:szCs w:val="18"/>
              </w:rPr>
              <w:t>0</w:t>
            </w:r>
          </w:p>
        </w:tc>
        <w:tc>
          <w:tcPr>
            <w:tcW w:w="767" w:type="dxa"/>
          </w:tcPr>
          <w:p w:rsidR="00AA0256" w:rsidRDefault="00AA0256" w:rsidP="003E2F9E">
            <w:r w:rsidRPr="001137D1">
              <w:rPr>
                <w:b w:val="0"/>
                <w:bCs w:val="0"/>
                <w:sz w:val="18"/>
                <w:szCs w:val="18"/>
              </w:rPr>
              <w:t>0</w:t>
            </w:r>
          </w:p>
        </w:tc>
        <w:tc>
          <w:tcPr>
            <w:tcW w:w="774" w:type="dxa"/>
            <w:vAlign w:val="center"/>
          </w:tcPr>
          <w:p w:rsidR="00AA0256" w:rsidRPr="0062047C" w:rsidRDefault="00AA0256" w:rsidP="003E2F9E">
            <w:pPr>
              <w:spacing w:after="0"/>
              <w:jc w:val="center"/>
              <w:rPr>
                <w:sz w:val="18"/>
                <w:szCs w:val="18"/>
              </w:rPr>
            </w:pPr>
            <w:r w:rsidRPr="0062047C">
              <w:rPr>
                <w:b w:val="0"/>
                <w:bCs w:val="0"/>
                <w:sz w:val="18"/>
                <w:szCs w:val="18"/>
              </w:rPr>
              <w:t>0</w:t>
            </w:r>
          </w:p>
        </w:tc>
        <w:tc>
          <w:tcPr>
            <w:tcW w:w="759" w:type="dxa"/>
            <w:vAlign w:val="center"/>
          </w:tcPr>
          <w:p w:rsidR="00AA0256" w:rsidRPr="0062047C" w:rsidRDefault="00AA0256" w:rsidP="003E2F9E">
            <w:pPr>
              <w:spacing w:after="0"/>
              <w:jc w:val="center"/>
              <w:rPr>
                <w:sz w:val="18"/>
                <w:szCs w:val="18"/>
              </w:rPr>
            </w:pPr>
            <w:r w:rsidRPr="0062047C">
              <w:rPr>
                <w:b w:val="0"/>
                <w:bCs w:val="0"/>
                <w:sz w:val="18"/>
                <w:szCs w:val="18"/>
              </w:rPr>
              <w:t>0</w:t>
            </w:r>
          </w:p>
        </w:tc>
        <w:tc>
          <w:tcPr>
            <w:tcW w:w="777" w:type="dxa"/>
            <w:vAlign w:val="center"/>
          </w:tcPr>
          <w:p w:rsidR="00AA0256" w:rsidRPr="0062047C" w:rsidRDefault="00AA0256" w:rsidP="003E2F9E">
            <w:pPr>
              <w:spacing w:after="0"/>
              <w:jc w:val="center"/>
              <w:rPr>
                <w:sz w:val="18"/>
                <w:szCs w:val="18"/>
              </w:rPr>
            </w:pPr>
            <w:r w:rsidRPr="0062047C">
              <w:rPr>
                <w:b w:val="0"/>
                <w:bCs w:val="0"/>
                <w:sz w:val="18"/>
                <w:szCs w:val="18"/>
              </w:rPr>
              <w:t>0</w:t>
            </w:r>
          </w:p>
        </w:tc>
        <w:tc>
          <w:tcPr>
            <w:tcW w:w="793" w:type="dxa"/>
            <w:vAlign w:val="center"/>
          </w:tcPr>
          <w:p w:rsidR="00AA0256" w:rsidRPr="0062047C" w:rsidRDefault="00AA0256" w:rsidP="003E2F9E">
            <w:pPr>
              <w:spacing w:after="0"/>
              <w:jc w:val="center"/>
              <w:rPr>
                <w:sz w:val="18"/>
                <w:szCs w:val="18"/>
              </w:rPr>
            </w:pPr>
            <w:r w:rsidRPr="0062047C">
              <w:rPr>
                <w:b w:val="0"/>
                <w:bCs w:val="0"/>
                <w:sz w:val="18"/>
                <w:szCs w:val="18"/>
              </w:rPr>
              <w:t>0</w:t>
            </w:r>
          </w:p>
        </w:tc>
        <w:tc>
          <w:tcPr>
            <w:tcW w:w="721" w:type="dxa"/>
            <w:vAlign w:val="center"/>
          </w:tcPr>
          <w:p w:rsidR="00AA0256" w:rsidRPr="0062047C" w:rsidRDefault="00AA0256" w:rsidP="003E2F9E">
            <w:pPr>
              <w:spacing w:after="0"/>
              <w:jc w:val="center"/>
              <w:rPr>
                <w:sz w:val="18"/>
                <w:szCs w:val="18"/>
              </w:rPr>
            </w:pPr>
            <w:r w:rsidRPr="0062047C">
              <w:rPr>
                <w:b w:val="0"/>
                <w:bCs w:val="0"/>
                <w:sz w:val="18"/>
                <w:szCs w:val="18"/>
              </w:rPr>
              <w:t>0</w:t>
            </w:r>
          </w:p>
        </w:tc>
        <w:tc>
          <w:tcPr>
            <w:tcW w:w="847" w:type="dxa"/>
            <w:gridSpan w:val="2"/>
            <w:vAlign w:val="center"/>
          </w:tcPr>
          <w:p w:rsidR="00AA0256" w:rsidRPr="0062047C" w:rsidRDefault="00AA0256" w:rsidP="003E2F9E">
            <w:pPr>
              <w:spacing w:after="0"/>
              <w:jc w:val="center"/>
              <w:rPr>
                <w:sz w:val="18"/>
                <w:szCs w:val="18"/>
              </w:rPr>
            </w:pPr>
            <w:r w:rsidRPr="0062047C">
              <w:rPr>
                <w:b w:val="0"/>
                <w:bCs w:val="0"/>
                <w:sz w:val="18"/>
                <w:szCs w:val="18"/>
              </w:rPr>
              <w:t>0</w:t>
            </w:r>
          </w:p>
        </w:tc>
        <w:tc>
          <w:tcPr>
            <w:tcW w:w="774" w:type="dxa"/>
            <w:vAlign w:val="center"/>
          </w:tcPr>
          <w:p w:rsidR="00AA0256" w:rsidRPr="0062047C" w:rsidRDefault="00AA0256" w:rsidP="003E2F9E">
            <w:pPr>
              <w:spacing w:after="0"/>
              <w:jc w:val="center"/>
              <w:rPr>
                <w:sz w:val="18"/>
                <w:szCs w:val="18"/>
              </w:rPr>
            </w:pPr>
            <w:r w:rsidRPr="0062047C">
              <w:rPr>
                <w:b w:val="0"/>
                <w:bCs w:val="0"/>
                <w:sz w:val="18"/>
                <w:szCs w:val="18"/>
              </w:rPr>
              <w:t>0</w:t>
            </w:r>
          </w:p>
        </w:tc>
        <w:tc>
          <w:tcPr>
            <w:tcW w:w="777" w:type="dxa"/>
            <w:vAlign w:val="center"/>
          </w:tcPr>
          <w:p w:rsidR="00AA0256" w:rsidRPr="0062047C" w:rsidRDefault="00AA0256" w:rsidP="003E2F9E">
            <w:pPr>
              <w:spacing w:after="0"/>
              <w:jc w:val="center"/>
              <w:rPr>
                <w:sz w:val="18"/>
                <w:szCs w:val="18"/>
              </w:rPr>
            </w:pPr>
            <w:r w:rsidRPr="0062047C">
              <w:rPr>
                <w:b w:val="0"/>
                <w:bCs w:val="0"/>
                <w:sz w:val="18"/>
                <w:szCs w:val="18"/>
              </w:rPr>
              <w:t>0</w:t>
            </w:r>
          </w:p>
        </w:tc>
        <w:tc>
          <w:tcPr>
            <w:tcW w:w="682" w:type="dxa"/>
            <w:vAlign w:val="center"/>
          </w:tcPr>
          <w:p w:rsidR="00AA0256" w:rsidRPr="0062047C" w:rsidRDefault="00AA0256" w:rsidP="003E2F9E">
            <w:pPr>
              <w:spacing w:after="0"/>
              <w:jc w:val="center"/>
              <w:rPr>
                <w:sz w:val="18"/>
                <w:szCs w:val="18"/>
              </w:rPr>
            </w:pPr>
            <w:r w:rsidRPr="0062047C">
              <w:rPr>
                <w:b w:val="0"/>
                <w:bCs w:val="0"/>
                <w:sz w:val="18"/>
                <w:szCs w:val="18"/>
              </w:rPr>
              <w:t>0</w:t>
            </w:r>
          </w:p>
        </w:tc>
        <w:tc>
          <w:tcPr>
            <w:tcW w:w="701" w:type="dxa"/>
            <w:vAlign w:val="center"/>
          </w:tcPr>
          <w:p w:rsidR="00AA0256" w:rsidRPr="0062047C" w:rsidRDefault="00AA0256" w:rsidP="003E2F9E">
            <w:pPr>
              <w:spacing w:after="0"/>
              <w:jc w:val="center"/>
              <w:rPr>
                <w:sz w:val="18"/>
                <w:szCs w:val="18"/>
              </w:rPr>
            </w:pPr>
            <w:r w:rsidRPr="0062047C">
              <w:rPr>
                <w:b w:val="0"/>
                <w:bCs w:val="0"/>
                <w:sz w:val="18"/>
                <w:szCs w:val="18"/>
              </w:rPr>
              <w:t>0</w:t>
            </w:r>
          </w:p>
        </w:tc>
        <w:tc>
          <w:tcPr>
            <w:tcW w:w="662" w:type="dxa"/>
            <w:vAlign w:val="center"/>
          </w:tcPr>
          <w:p w:rsidR="00AA0256" w:rsidRPr="0062047C" w:rsidRDefault="00AA0256" w:rsidP="003E2F9E">
            <w:pPr>
              <w:spacing w:after="0"/>
              <w:jc w:val="center"/>
              <w:rPr>
                <w:sz w:val="18"/>
                <w:szCs w:val="18"/>
              </w:rPr>
            </w:pPr>
            <w:r w:rsidRPr="0062047C">
              <w:rPr>
                <w:b w:val="0"/>
                <w:bCs w:val="0"/>
                <w:sz w:val="18"/>
                <w:szCs w:val="18"/>
              </w:rPr>
              <w:t>0</w:t>
            </w:r>
          </w:p>
        </w:tc>
        <w:tc>
          <w:tcPr>
            <w:tcW w:w="619" w:type="dxa"/>
            <w:vAlign w:val="center"/>
          </w:tcPr>
          <w:p w:rsidR="00AA0256" w:rsidRPr="0062047C" w:rsidRDefault="00AA0256" w:rsidP="003E2F9E">
            <w:pPr>
              <w:spacing w:after="0"/>
              <w:jc w:val="center"/>
              <w:rPr>
                <w:sz w:val="18"/>
                <w:szCs w:val="18"/>
              </w:rPr>
            </w:pPr>
            <w:r w:rsidRPr="0062047C">
              <w:rPr>
                <w:b w:val="0"/>
                <w:bCs w:val="0"/>
                <w:sz w:val="18"/>
                <w:szCs w:val="18"/>
              </w:rPr>
              <w:t>0</w:t>
            </w:r>
          </w:p>
        </w:tc>
        <w:tc>
          <w:tcPr>
            <w:tcW w:w="2872" w:type="dxa"/>
          </w:tcPr>
          <w:p w:rsidR="00AA0256" w:rsidRPr="0062047C" w:rsidRDefault="00AA0256" w:rsidP="003E2F9E">
            <w:pPr>
              <w:bidi w:val="0"/>
              <w:spacing w:after="0"/>
              <w:jc w:val="center"/>
              <w:rPr>
                <w:b w:val="0"/>
                <w:bCs w:val="0"/>
                <w:sz w:val="18"/>
                <w:szCs w:val="18"/>
              </w:rPr>
            </w:pPr>
            <w:r w:rsidRPr="0062047C">
              <w:rPr>
                <w:b w:val="0"/>
                <w:bCs w:val="0"/>
                <w:sz w:val="18"/>
                <w:szCs w:val="18"/>
              </w:rPr>
              <w:t xml:space="preserve">Weight </w:t>
            </w:r>
          </w:p>
        </w:tc>
        <w:tc>
          <w:tcPr>
            <w:tcW w:w="490" w:type="dxa"/>
          </w:tcPr>
          <w:p w:rsidR="00AA0256" w:rsidRPr="0062047C" w:rsidRDefault="00AA0256" w:rsidP="003E2F9E">
            <w:pPr>
              <w:bidi w:val="0"/>
              <w:spacing w:after="0"/>
              <w:jc w:val="center"/>
              <w:rPr>
                <w:b w:val="0"/>
                <w:bCs w:val="0"/>
                <w:sz w:val="18"/>
                <w:szCs w:val="18"/>
                <w:rtl/>
              </w:rPr>
            </w:pPr>
            <w:r>
              <w:rPr>
                <w:b w:val="0"/>
                <w:bCs w:val="0"/>
                <w:sz w:val="18"/>
                <w:szCs w:val="18"/>
              </w:rPr>
              <w:t>1</w:t>
            </w:r>
          </w:p>
        </w:tc>
      </w:tr>
      <w:tr w:rsidR="00AA0256" w:rsidRPr="0062047C" w:rsidTr="00AA0256">
        <w:tc>
          <w:tcPr>
            <w:tcW w:w="650" w:type="dxa"/>
            <w:tcBorders>
              <w:top w:val="nil"/>
              <w:left w:val="nil"/>
              <w:bottom w:val="nil"/>
              <w:right w:val="single" w:sz="4" w:space="0" w:color="auto"/>
            </w:tcBorders>
          </w:tcPr>
          <w:p w:rsidR="00AA0256" w:rsidRPr="0062047C" w:rsidRDefault="00AA0256" w:rsidP="003E2F9E">
            <w:pPr>
              <w:bidi w:val="0"/>
              <w:spacing w:after="0"/>
              <w:rPr>
                <w:b w:val="0"/>
                <w:bCs w:val="0"/>
                <w:sz w:val="18"/>
                <w:szCs w:val="18"/>
                <w:rtl/>
              </w:rPr>
            </w:pPr>
          </w:p>
        </w:tc>
        <w:tc>
          <w:tcPr>
            <w:tcW w:w="872" w:type="dxa"/>
            <w:tcBorders>
              <w:left w:val="single" w:sz="4" w:space="0" w:color="auto"/>
            </w:tcBorders>
            <w:vAlign w:val="center"/>
          </w:tcPr>
          <w:p w:rsidR="00AA0256" w:rsidRPr="0062047C" w:rsidRDefault="00AA0256" w:rsidP="003E2F9E">
            <w:pPr>
              <w:bidi w:val="0"/>
              <w:spacing w:after="0"/>
              <w:jc w:val="center"/>
              <w:rPr>
                <w:sz w:val="18"/>
                <w:szCs w:val="18"/>
                <w:rtl/>
              </w:rPr>
            </w:pPr>
            <w:r>
              <w:rPr>
                <w:sz w:val="18"/>
                <w:szCs w:val="18"/>
              </w:rPr>
              <w:t>12.5</w:t>
            </w:r>
            <w:r w:rsidRPr="0062047C">
              <w:rPr>
                <w:sz w:val="18"/>
                <w:szCs w:val="18"/>
              </w:rPr>
              <w:t>%</w:t>
            </w:r>
          </w:p>
        </w:tc>
        <w:tc>
          <w:tcPr>
            <w:tcW w:w="761" w:type="dxa"/>
          </w:tcPr>
          <w:p w:rsidR="00AA0256" w:rsidRPr="0062047C" w:rsidRDefault="00AA0256" w:rsidP="003E2F9E">
            <w:pPr>
              <w:bidi w:val="0"/>
              <w:spacing w:after="0"/>
              <w:jc w:val="center"/>
              <w:rPr>
                <w:sz w:val="18"/>
                <w:szCs w:val="18"/>
              </w:rPr>
            </w:pPr>
            <w:r>
              <w:rPr>
                <w:sz w:val="18"/>
                <w:szCs w:val="18"/>
              </w:rPr>
              <w:t>8%</w:t>
            </w:r>
          </w:p>
        </w:tc>
        <w:tc>
          <w:tcPr>
            <w:tcW w:w="767" w:type="dxa"/>
          </w:tcPr>
          <w:p w:rsidR="00AA0256" w:rsidRPr="0062047C" w:rsidRDefault="00AA0256" w:rsidP="003E2F9E">
            <w:pPr>
              <w:bidi w:val="0"/>
              <w:spacing w:after="0"/>
              <w:jc w:val="center"/>
              <w:rPr>
                <w:sz w:val="18"/>
                <w:szCs w:val="18"/>
              </w:rPr>
            </w:pPr>
            <w:r>
              <w:rPr>
                <w:sz w:val="18"/>
                <w:szCs w:val="18"/>
              </w:rPr>
              <w:t>6%</w:t>
            </w:r>
          </w:p>
        </w:tc>
        <w:tc>
          <w:tcPr>
            <w:tcW w:w="774" w:type="dxa"/>
            <w:vAlign w:val="center"/>
          </w:tcPr>
          <w:p w:rsidR="00AA0256" w:rsidRPr="0062047C" w:rsidRDefault="00AA0256" w:rsidP="003E2F9E">
            <w:pPr>
              <w:bidi w:val="0"/>
              <w:spacing w:after="0"/>
              <w:jc w:val="center"/>
              <w:rPr>
                <w:sz w:val="18"/>
                <w:szCs w:val="18"/>
                <w:rtl/>
              </w:rPr>
            </w:pPr>
            <w:r w:rsidRPr="0062047C">
              <w:rPr>
                <w:sz w:val="18"/>
                <w:szCs w:val="18"/>
              </w:rPr>
              <w:t>5.25%</w:t>
            </w:r>
          </w:p>
        </w:tc>
        <w:tc>
          <w:tcPr>
            <w:tcW w:w="759" w:type="dxa"/>
            <w:vAlign w:val="center"/>
          </w:tcPr>
          <w:p w:rsidR="00AA0256" w:rsidRPr="0062047C" w:rsidRDefault="00AA0256" w:rsidP="003E2F9E">
            <w:pPr>
              <w:bidi w:val="0"/>
              <w:spacing w:after="0"/>
              <w:jc w:val="center"/>
              <w:rPr>
                <w:sz w:val="18"/>
                <w:szCs w:val="18"/>
                <w:rtl/>
              </w:rPr>
            </w:pPr>
            <w:r w:rsidRPr="0062047C">
              <w:rPr>
                <w:sz w:val="18"/>
                <w:szCs w:val="18"/>
              </w:rPr>
              <w:t>4.5%</w:t>
            </w:r>
          </w:p>
        </w:tc>
        <w:tc>
          <w:tcPr>
            <w:tcW w:w="777" w:type="dxa"/>
            <w:vAlign w:val="center"/>
          </w:tcPr>
          <w:p w:rsidR="00AA0256" w:rsidRPr="0062047C" w:rsidRDefault="00AA0256" w:rsidP="003E2F9E">
            <w:pPr>
              <w:bidi w:val="0"/>
              <w:spacing w:after="0"/>
              <w:jc w:val="center"/>
              <w:rPr>
                <w:sz w:val="18"/>
                <w:szCs w:val="18"/>
                <w:rtl/>
              </w:rPr>
            </w:pPr>
            <w:r w:rsidRPr="0062047C">
              <w:rPr>
                <w:sz w:val="18"/>
                <w:szCs w:val="18"/>
              </w:rPr>
              <w:t>3.75%</w:t>
            </w:r>
          </w:p>
        </w:tc>
        <w:tc>
          <w:tcPr>
            <w:tcW w:w="793" w:type="dxa"/>
            <w:vAlign w:val="center"/>
          </w:tcPr>
          <w:p w:rsidR="00AA0256" w:rsidRPr="0062047C" w:rsidRDefault="00AA0256" w:rsidP="003E2F9E">
            <w:pPr>
              <w:bidi w:val="0"/>
              <w:spacing w:after="0"/>
              <w:jc w:val="center"/>
              <w:rPr>
                <w:sz w:val="18"/>
                <w:szCs w:val="18"/>
                <w:rtl/>
              </w:rPr>
            </w:pPr>
            <w:r w:rsidRPr="0062047C">
              <w:rPr>
                <w:sz w:val="18"/>
                <w:szCs w:val="18"/>
              </w:rPr>
              <w:t>3.25%</w:t>
            </w:r>
          </w:p>
        </w:tc>
        <w:tc>
          <w:tcPr>
            <w:tcW w:w="721" w:type="dxa"/>
            <w:vAlign w:val="center"/>
          </w:tcPr>
          <w:p w:rsidR="00AA0256" w:rsidRPr="0062047C" w:rsidRDefault="00AA0256" w:rsidP="003E2F9E">
            <w:pPr>
              <w:bidi w:val="0"/>
              <w:spacing w:after="0"/>
              <w:jc w:val="center"/>
              <w:rPr>
                <w:sz w:val="18"/>
                <w:szCs w:val="18"/>
                <w:rtl/>
              </w:rPr>
            </w:pPr>
            <w:r w:rsidRPr="0062047C">
              <w:rPr>
                <w:sz w:val="18"/>
                <w:szCs w:val="18"/>
              </w:rPr>
              <w:t>2.75%</w:t>
            </w:r>
          </w:p>
        </w:tc>
        <w:tc>
          <w:tcPr>
            <w:tcW w:w="847" w:type="dxa"/>
            <w:gridSpan w:val="2"/>
            <w:vAlign w:val="center"/>
          </w:tcPr>
          <w:p w:rsidR="00AA0256" w:rsidRPr="0062047C" w:rsidRDefault="00AA0256" w:rsidP="003E2F9E">
            <w:pPr>
              <w:bidi w:val="0"/>
              <w:spacing w:after="0"/>
              <w:jc w:val="center"/>
              <w:rPr>
                <w:sz w:val="18"/>
                <w:szCs w:val="18"/>
                <w:rtl/>
              </w:rPr>
            </w:pPr>
            <w:r w:rsidRPr="0062047C">
              <w:rPr>
                <w:sz w:val="18"/>
                <w:szCs w:val="18"/>
              </w:rPr>
              <w:t>2.25%</w:t>
            </w:r>
          </w:p>
        </w:tc>
        <w:tc>
          <w:tcPr>
            <w:tcW w:w="774" w:type="dxa"/>
            <w:vAlign w:val="center"/>
          </w:tcPr>
          <w:p w:rsidR="00AA0256" w:rsidRPr="0062047C" w:rsidRDefault="00AA0256" w:rsidP="003E2F9E">
            <w:pPr>
              <w:bidi w:val="0"/>
              <w:spacing w:after="0"/>
              <w:jc w:val="center"/>
              <w:rPr>
                <w:sz w:val="18"/>
                <w:szCs w:val="18"/>
                <w:rtl/>
              </w:rPr>
            </w:pPr>
            <w:r w:rsidRPr="0062047C">
              <w:rPr>
                <w:sz w:val="18"/>
                <w:szCs w:val="18"/>
              </w:rPr>
              <w:t>1.75%</w:t>
            </w:r>
          </w:p>
        </w:tc>
        <w:tc>
          <w:tcPr>
            <w:tcW w:w="777" w:type="dxa"/>
            <w:vAlign w:val="center"/>
          </w:tcPr>
          <w:p w:rsidR="00AA0256" w:rsidRPr="0062047C" w:rsidRDefault="00AA0256" w:rsidP="003E2F9E">
            <w:pPr>
              <w:bidi w:val="0"/>
              <w:spacing w:after="0"/>
              <w:jc w:val="center"/>
              <w:rPr>
                <w:sz w:val="18"/>
                <w:szCs w:val="18"/>
                <w:rtl/>
              </w:rPr>
            </w:pPr>
            <w:r w:rsidRPr="0062047C">
              <w:rPr>
                <w:sz w:val="18"/>
                <w:szCs w:val="18"/>
              </w:rPr>
              <w:t>1.25%</w:t>
            </w:r>
          </w:p>
        </w:tc>
        <w:tc>
          <w:tcPr>
            <w:tcW w:w="682" w:type="dxa"/>
            <w:vAlign w:val="center"/>
          </w:tcPr>
          <w:p w:rsidR="00AA0256" w:rsidRPr="0062047C" w:rsidRDefault="00AA0256" w:rsidP="003E2F9E">
            <w:pPr>
              <w:bidi w:val="0"/>
              <w:spacing w:after="0"/>
              <w:jc w:val="center"/>
              <w:rPr>
                <w:sz w:val="18"/>
                <w:szCs w:val="18"/>
                <w:rtl/>
              </w:rPr>
            </w:pPr>
            <w:r w:rsidRPr="0062047C">
              <w:rPr>
                <w:sz w:val="18"/>
                <w:szCs w:val="18"/>
              </w:rPr>
              <w:t>0.7%</w:t>
            </w:r>
          </w:p>
        </w:tc>
        <w:tc>
          <w:tcPr>
            <w:tcW w:w="701" w:type="dxa"/>
            <w:vAlign w:val="center"/>
          </w:tcPr>
          <w:p w:rsidR="00AA0256" w:rsidRPr="0062047C" w:rsidRDefault="00AA0256" w:rsidP="003E2F9E">
            <w:pPr>
              <w:bidi w:val="0"/>
              <w:spacing w:after="0"/>
              <w:jc w:val="center"/>
              <w:rPr>
                <w:sz w:val="18"/>
                <w:szCs w:val="18"/>
                <w:rtl/>
              </w:rPr>
            </w:pPr>
            <w:r w:rsidRPr="0062047C">
              <w:rPr>
                <w:sz w:val="18"/>
                <w:szCs w:val="18"/>
              </w:rPr>
              <w:t>0.4%</w:t>
            </w:r>
          </w:p>
        </w:tc>
        <w:tc>
          <w:tcPr>
            <w:tcW w:w="662" w:type="dxa"/>
            <w:vAlign w:val="center"/>
          </w:tcPr>
          <w:p w:rsidR="00AA0256" w:rsidRPr="0062047C" w:rsidRDefault="00AA0256" w:rsidP="003E2F9E">
            <w:pPr>
              <w:bidi w:val="0"/>
              <w:spacing w:after="0"/>
              <w:jc w:val="center"/>
              <w:rPr>
                <w:sz w:val="18"/>
                <w:szCs w:val="18"/>
                <w:rtl/>
              </w:rPr>
            </w:pPr>
            <w:r w:rsidRPr="0062047C">
              <w:rPr>
                <w:sz w:val="18"/>
                <w:szCs w:val="18"/>
              </w:rPr>
              <w:t>0.2%</w:t>
            </w:r>
          </w:p>
        </w:tc>
        <w:tc>
          <w:tcPr>
            <w:tcW w:w="619" w:type="dxa"/>
            <w:vAlign w:val="center"/>
          </w:tcPr>
          <w:p w:rsidR="00AA0256" w:rsidRPr="0062047C" w:rsidRDefault="00AA0256" w:rsidP="003E2F9E">
            <w:pPr>
              <w:bidi w:val="0"/>
              <w:spacing w:after="0"/>
              <w:jc w:val="center"/>
              <w:rPr>
                <w:sz w:val="18"/>
                <w:szCs w:val="18"/>
                <w:rtl/>
              </w:rPr>
            </w:pPr>
            <w:r w:rsidRPr="0062047C">
              <w:rPr>
                <w:sz w:val="18"/>
                <w:szCs w:val="18"/>
              </w:rPr>
              <w:t>0</w:t>
            </w:r>
          </w:p>
        </w:tc>
        <w:tc>
          <w:tcPr>
            <w:tcW w:w="2872" w:type="dxa"/>
          </w:tcPr>
          <w:p w:rsidR="00AA0256" w:rsidRPr="0062047C" w:rsidRDefault="00AA0256" w:rsidP="003E2F9E">
            <w:pPr>
              <w:bidi w:val="0"/>
              <w:spacing w:after="0"/>
              <w:jc w:val="center"/>
              <w:rPr>
                <w:b w:val="0"/>
                <w:bCs w:val="0"/>
                <w:sz w:val="18"/>
                <w:szCs w:val="18"/>
              </w:rPr>
            </w:pPr>
            <w:r w:rsidRPr="0062047C">
              <w:rPr>
                <w:b w:val="0"/>
                <w:bCs w:val="0"/>
                <w:sz w:val="18"/>
                <w:szCs w:val="18"/>
              </w:rPr>
              <w:t>long positions*Weight (A)</w:t>
            </w:r>
          </w:p>
        </w:tc>
        <w:tc>
          <w:tcPr>
            <w:tcW w:w="490" w:type="dxa"/>
          </w:tcPr>
          <w:p w:rsidR="00AA0256" w:rsidRPr="0062047C" w:rsidRDefault="00AA0256" w:rsidP="003E2F9E">
            <w:pPr>
              <w:bidi w:val="0"/>
              <w:spacing w:after="0"/>
              <w:jc w:val="center"/>
              <w:rPr>
                <w:b w:val="0"/>
                <w:bCs w:val="0"/>
                <w:sz w:val="18"/>
                <w:szCs w:val="18"/>
                <w:rtl/>
              </w:rPr>
            </w:pPr>
            <w:r>
              <w:rPr>
                <w:b w:val="0"/>
                <w:bCs w:val="0"/>
                <w:sz w:val="18"/>
                <w:szCs w:val="18"/>
              </w:rPr>
              <w:t>2</w:t>
            </w:r>
          </w:p>
        </w:tc>
      </w:tr>
      <w:tr w:rsidR="00AA0256" w:rsidRPr="0062047C" w:rsidTr="00AA0256">
        <w:tc>
          <w:tcPr>
            <w:tcW w:w="650" w:type="dxa"/>
            <w:tcBorders>
              <w:top w:val="nil"/>
              <w:left w:val="nil"/>
              <w:bottom w:val="single" w:sz="4" w:space="0" w:color="auto"/>
              <w:right w:val="single" w:sz="4" w:space="0" w:color="auto"/>
            </w:tcBorders>
          </w:tcPr>
          <w:p w:rsidR="00AA0256" w:rsidRPr="0062047C" w:rsidRDefault="00AA0256" w:rsidP="003E2F9E">
            <w:pPr>
              <w:bidi w:val="0"/>
              <w:spacing w:after="0"/>
              <w:rPr>
                <w:b w:val="0"/>
                <w:bCs w:val="0"/>
                <w:sz w:val="18"/>
                <w:szCs w:val="18"/>
                <w:rtl/>
              </w:rPr>
            </w:pPr>
          </w:p>
        </w:tc>
        <w:tc>
          <w:tcPr>
            <w:tcW w:w="872" w:type="dxa"/>
            <w:tcBorders>
              <w:left w:val="single" w:sz="4" w:space="0" w:color="auto"/>
              <w:bottom w:val="single" w:sz="4" w:space="0" w:color="auto"/>
            </w:tcBorders>
            <w:vAlign w:val="center"/>
          </w:tcPr>
          <w:p w:rsidR="00AA0256" w:rsidRPr="0062047C" w:rsidRDefault="00AA0256" w:rsidP="003E2F9E">
            <w:pPr>
              <w:spacing w:after="0"/>
              <w:jc w:val="center"/>
              <w:rPr>
                <w:sz w:val="18"/>
                <w:szCs w:val="18"/>
              </w:rPr>
            </w:pPr>
            <w:r w:rsidRPr="0062047C">
              <w:rPr>
                <w:sz w:val="18"/>
                <w:szCs w:val="18"/>
              </w:rPr>
              <w:t>0</w:t>
            </w:r>
          </w:p>
        </w:tc>
        <w:tc>
          <w:tcPr>
            <w:tcW w:w="761" w:type="dxa"/>
            <w:tcBorders>
              <w:bottom w:val="single" w:sz="4" w:space="0" w:color="auto"/>
            </w:tcBorders>
          </w:tcPr>
          <w:p w:rsidR="00AA0256" w:rsidRPr="0062047C" w:rsidRDefault="00AA0256" w:rsidP="003E2F9E">
            <w:pPr>
              <w:spacing w:after="0"/>
              <w:jc w:val="center"/>
              <w:rPr>
                <w:sz w:val="18"/>
                <w:szCs w:val="18"/>
              </w:rPr>
            </w:pPr>
            <w:r>
              <w:rPr>
                <w:sz w:val="18"/>
                <w:szCs w:val="18"/>
              </w:rPr>
              <w:t>0</w:t>
            </w:r>
          </w:p>
        </w:tc>
        <w:tc>
          <w:tcPr>
            <w:tcW w:w="767" w:type="dxa"/>
            <w:tcBorders>
              <w:bottom w:val="single" w:sz="4" w:space="0" w:color="auto"/>
            </w:tcBorders>
          </w:tcPr>
          <w:p w:rsidR="00AA0256" w:rsidRPr="0062047C" w:rsidRDefault="00AA0256" w:rsidP="003E2F9E">
            <w:pPr>
              <w:spacing w:after="0"/>
              <w:jc w:val="center"/>
              <w:rPr>
                <w:sz w:val="18"/>
                <w:szCs w:val="18"/>
              </w:rPr>
            </w:pPr>
            <w:r>
              <w:rPr>
                <w:sz w:val="18"/>
                <w:szCs w:val="18"/>
              </w:rPr>
              <w:t>0</w:t>
            </w:r>
          </w:p>
        </w:tc>
        <w:tc>
          <w:tcPr>
            <w:tcW w:w="774" w:type="dxa"/>
            <w:tcBorders>
              <w:bottom w:val="single" w:sz="4" w:space="0" w:color="auto"/>
            </w:tcBorders>
            <w:vAlign w:val="center"/>
          </w:tcPr>
          <w:p w:rsidR="00AA0256" w:rsidRPr="0062047C" w:rsidRDefault="00AA0256" w:rsidP="003E2F9E">
            <w:pPr>
              <w:spacing w:after="0"/>
              <w:jc w:val="center"/>
              <w:rPr>
                <w:sz w:val="18"/>
                <w:szCs w:val="18"/>
              </w:rPr>
            </w:pPr>
            <w:r w:rsidRPr="0062047C">
              <w:rPr>
                <w:sz w:val="18"/>
                <w:szCs w:val="18"/>
              </w:rPr>
              <w:t>0</w:t>
            </w:r>
          </w:p>
        </w:tc>
        <w:tc>
          <w:tcPr>
            <w:tcW w:w="759" w:type="dxa"/>
            <w:tcBorders>
              <w:bottom w:val="single" w:sz="4" w:space="0" w:color="auto"/>
            </w:tcBorders>
            <w:vAlign w:val="center"/>
          </w:tcPr>
          <w:p w:rsidR="00AA0256" w:rsidRPr="0062047C" w:rsidRDefault="00AA0256" w:rsidP="003E2F9E">
            <w:pPr>
              <w:spacing w:after="0"/>
              <w:jc w:val="center"/>
              <w:rPr>
                <w:sz w:val="18"/>
                <w:szCs w:val="18"/>
              </w:rPr>
            </w:pPr>
            <w:r w:rsidRPr="0062047C">
              <w:rPr>
                <w:sz w:val="18"/>
                <w:szCs w:val="18"/>
              </w:rPr>
              <w:t>0</w:t>
            </w:r>
          </w:p>
        </w:tc>
        <w:tc>
          <w:tcPr>
            <w:tcW w:w="777" w:type="dxa"/>
            <w:tcBorders>
              <w:bottom w:val="single" w:sz="4" w:space="0" w:color="auto"/>
            </w:tcBorders>
            <w:vAlign w:val="center"/>
          </w:tcPr>
          <w:p w:rsidR="00AA0256" w:rsidRPr="0062047C" w:rsidRDefault="00AA0256" w:rsidP="003E2F9E">
            <w:pPr>
              <w:spacing w:after="0"/>
              <w:jc w:val="center"/>
              <w:rPr>
                <w:sz w:val="18"/>
                <w:szCs w:val="18"/>
              </w:rPr>
            </w:pPr>
            <w:r w:rsidRPr="0062047C">
              <w:rPr>
                <w:sz w:val="18"/>
                <w:szCs w:val="18"/>
              </w:rPr>
              <w:t>0</w:t>
            </w:r>
          </w:p>
        </w:tc>
        <w:tc>
          <w:tcPr>
            <w:tcW w:w="793" w:type="dxa"/>
            <w:tcBorders>
              <w:bottom w:val="single" w:sz="4" w:space="0" w:color="auto"/>
            </w:tcBorders>
            <w:vAlign w:val="center"/>
          </w:tcPr>
          <w:p w:rsidR="00AA0256" w:rsidRPr="0062047C" w:rsidRDefault="00AA0256" w:rsidP="003E2F9E">
            <w:pPr>
              <w:spacing w:after="0"/>
              <w:jc w:val="center"/>
              <w:rPr>
                <w:sz w:val="18"/>
                <w:szCs w:val="18"/>
              </w:rPr>
            </w:pPr>
            <w:r w:rsidRPr="0062047C">
              <w:rPr>
                <w:sz w:val="18"/>
                <w:szCs w:val="18"/>
              </w:rPr>
              <w:t>0</w:t>
            </w:r>
          </w:p>
        </w:tc>
        <w:tc>
          <w:tcPr>
            <w:tcW w:w="721" w:type="dxa"/>
            <w:tcBorders>
              <w:bottom w:val="single" w:sz="4" w:space="0" w:color="auto"/>
            </w:tcBorders>
            <w:vAlign w:val="center"/>
          </w:tcPr>
          <w:p w:rsidR="00AA0256" w:rsidRPr="0062047C" w:rsidRDefault="00AA0256" w:rsidP="003E2F9E">
            <w:pPr>
              <w:spacing w:after="0"/>
              <w:jc w:val="center"/>
              <w:rPr>
                <w:sz w:val="18"/>
                <w:szCs w:val="18"/>
              </w:rPr>
            </w:pPr>
            <w:r w:rsidRPr="0062047C">
              <w:rPr>
                <w:sz w:val="18"/>
                <w:szCs w:val="18"/>
              </w:rPr>
              <w:t>0</w:t>
            </w:r>
          </w:p>
        </w:tc>
        <w:tc>
          <w:tcPr>
            <w:tcW w:w="847" w:type="dxa"/>
            <w:gridSpan w:val="2"/>
            <w:tcBorders>
              <w:bottom w:val="single" w:sz="4" w:space="0" w:color="auto"/>
            </w:tcBorders>
            <w:vAlign w:val="center"/>
          </w:tcPr>
          <w:p w:rsidR="00AA0256" w:rsidRPr="0062047C" w:rsidRDefault="00AA0256" w:rsidP="003E2F9E">
            <w:pPr>
              <w:spacing w:after="0"/>
              <w:jc w:val="center"/>
              <w:rPr>
                <w:sz w:val="18"/>
                <w:szCs w:val="18"/>
              </w:rPr>
            </w:pPr>
            <w:r w:rsidRPr="0062047C">
              <w:rPr>
                <w:sz w:val="18"/>
                <w:szCs w:val="18"/>
              </w:rPr>
              <w:t>0</w:t>
            </w:r>
          </w:p>
        </w:tc>
        <w:tc>
          <w:tcPr>
            <w:tcW w:w="774" w:type="dxa"/>
            <w:tcBorders>
              <w:bottom w:val="single" w:sz="4" w:space="0" w:color="auto"/>
            </w:tcBorders>
            <w:vAlign w:val="center"/>
          </w:tcPr>
          <w:p w:rsidR="00AA0256" w:rsidRPr="0062047C" w:rsidRDefault="00AA0256" w:rsidP="003E2F9E">
            <w:pPr>
              <w:spacing w:after="0"/>
              <w:jc w:val="center"/>
              <w:rPr>
                <w:sz w:val="18"/>
                <w:szCs w:val="18"/>
              </w:rPr>
            </w:pPr>
            <w:r w:rsidRPr="0062047C">
              <w:rPr>
                <w:sz w:val="18"/>
                <w:szCs w:val="18"/>
              </w:rPr>
              <w:t>0</w:t>
            </w:r>
          </w:p>
        </w:tc>
        <w:tc>
          <w:tcPr>
            <w:tcW w:w="777" w:type="dxa"/>
            <w:tcBorders>
              <w:bottom w:val="single" w:sz="4" w:space="0" w:color="auto"/>
            </w:tcBorders>
            <w:vAlign w:val="center"/>
          </w:tcPr>
          <w:p w:rsidR="00AA0256" w:rsidRPr="0062047C" w:rsidRDefault="00AA0256" w:rsidP="003E2F9E">
            <w:pPr>
              <w:spacing w:after="0"/>
              <w:jc w:val="center"/>
              <w:rPr>
                <w:sz w:val="18"/>
                <w:szCs w:val="18"/>
              </w:rPr>
            </w:pPr>
            <w:r w:rsidRPr="0062047C">
              <w:rPr>
                <w:sz w:val="18"/>
                <w:szCs w:val="18"/>
              </w:rPr>
              <w:t>0</w:t>
            </w:r>
          </w:p>
        </w:tc>
        <w:tc>
          <w:tcPr>
            <w:tcW w:w="682" w:type="dxa"/>
            <w:tcBorders>
              <w:bottom w:val="single" w:sz="4" w:space="0" w:color="auto"/>
            </w:tcBorders>
            <w:vAlign w:val="center"/>
          </w:tcPr>
          <w:p w:rsidR="00AA0256" w:rsidRPr="0062047C" w:rsidRDefault="00AA0256" w:rsidP="003E2F9E">
            <w:pPr>
              <w:spacing w:after="0"/>
              <w:jc w:val="center"/>
              <w:rPr>
                <w:sz w:val="18"/>
                <w:szCs w:val="18"/>
              </w:rPr>
            </w:pPr>
            <w:r w:rsidRPr="0062047C">
              <w:rPr>
                <w:sz w:val="18"/>
                <w:szCs w:val="18"/>
              </w:rPr>
              <w:t>0</w:t>
            </w:r>
          </w:p>
        </w:tc>
        <w:tc>
          <w:tcPr>
            <w:tcW w:w="701" w:type="dxa"/>
            <w:tcBorders>
              <w:bottom w:val="single" w:sz="4" w:space="0" w:color="auto"/>
            </w:tcBorders>
            <w:vAlign w:val="center"/>
          </w:tcPr>
          <w:p w:rsidR="00AA0256" w:rsidRPr="0062047C" w:rsidRDefault="00AA0256" w:rsidP="003E2F9E">
            <w:pPr>
              <w:spacing w:after="0"/>
              <w:jc w:val="center"/>
              <w:rPr>
                <w:sz w:val="18"/>
                <w:szCs w:val="18"/>
              </w:rPr>
            </w:pPr>
            <w:r w:rsidRPr="0062047C">
              <w:rPr>
                <w:sz w:val="18"/>
                <w:szCs w:val="18"/>
              </w:rPr>
              <w:t>0</w:t>
            </w:r>
          </w:p>
        </w:tc>
        <w:tc>
          <w:tcPr>
            <w:tcW w:w="662" w:type="dxa"/>
            <w:tcBorders>
              <w:bottom w:val="single" w:sz="4" w:space="0" w:color="auto"/>
            </w:tcBorders>
            <w:vAlign w:val="center"/>
          </w:tcPr>
          <w:p w:rsidR="00AA0256" w:rsidRPr="0062047C" w:rsidRDefault="00AA0256" w:rsidP="003E2F9E">
            <w:pPr>
              <w:spacing w:after="0"/>
              <w:jc w:val="center"/>
              <w:rPr>
                <w:sz w:val="18"/>
                <w:szCs w:val="18"/>
              </w:rPr>
            </w:pPr>
            <w:r w:rsidRPr="0062047C">
              <w:rPr>
                <w:sz w:val="18"/>
                <w:szCs w:val="18"/>
              </w:rPr>
              <w:t>0</w:t>
            </w:r>
          </w:p>
        </w:tc>
        <w:tc>
          <w:tcPr>
            <w:tcW w:w="619" w:type="dxa"/>
            <w:tcBorders>
              <w:bottom w:val="single" w:sz="4" w:space="0" w:color="auto"/>
            </w:tcBorders>
            <w:vAlign w:val="center"/>
          </w:tcPr>
          <w:p w:rsidR="00AA0256" w:rsidRPr="0062047C" w:rsidRDefault="00AA0256" w:rsidP="003E2F9E">
            <w:pPr>
              <w:spacing w:after="0"/>
              <w:jc w:val="center"/>
              <w:rPr>
                <w:sz w:val="18"/>
                <w:szCs w:val="18"/>
              </w:rPr>
            </w:pPr>
            <w:r w:rsidRPr="0062047C">
              <w:rPr>
                <w:sz w:val="18"/>
                <w:szCs w:val="18"/>
              </w:rPr>
              <w:t>0</w:t>
            </w:r>
          </w:p>
        </w:tc>
        <w:tc>
          <w:tcPr>
            <w:tcW w:w="2872" w:type="dxa"/>
          </w:tcPr>
          <w:p w:rsidR="00AA0256" w:rsidRPr="0062047C" w:rsidRDefault="00AA0256" w:rsidP="003E2F9E">
            <w:pPr>
              <w:bidi w:val="0"/>
              <w:spacing w:after="0"/>
              <w:jc w:val="center"/>
              <w:rPr>
                <w:b w:val="0"/>
                <w:bCs w:val="0"/>
                <w:sz w:val="18"/>
                <w:szCs w:val="18"/>
              </w:rPr>
            </w:pPr>
            <w:r w:rsidRPr="0062047C">
              <w:rPr>
                <w:b w:val="0"/>
                <w:bCs w:val="0"/>
                <w:sz w:val="18"/>
                <w:szCs w:val="18"/>
              </w:rPr>
              <w:t>Short positions*Weight (B)</w:t>
            </w:r>
          </w:p>
        </w:tc>
        <w:tc>
          <w:tcPr>
            <w:tcW w:w="490" w:type="dxa"/>
          </w:tcPr>
          <w:p w:rsidR="00AA0256" w:rsidRPr="0062047C" w:rsidRDefault="00AA0256" w:rsidP="003E2F9E">
            <w:pPr>
              <w:bidi w:val="0"/>
              <w:spacing w:after="0"/>
              <w:jc w:val="center"/>
              <w:rPr>
                <w:b w:val="0"/>
                <w:bCs w:val="0"/>
                <w:sz w:val="18"/>
                <w:szCs w:val="18"/>
                <w:rtl/>
              </w:rPr>
            </w:pPr>
            <w:r>
              <w:rPr>
                <w:b w:val="0"/>
                <w:bCs w:val="0"/>
                <w:sz w:val="18"/>
                <w:szCs w:val="18"/>
              </w:rPr>
              <w:t>3</w:t>
            </w:r>
          </w:p>
        </w:tc>
      </w:tr>
      <w:tr w:rsidR="00AA0256" w:rsidRPr="0062047C" w:rsidTr="00AA0256">
        <w:tc>
          <w:tcPr>
            <w:tcW w:w="6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AA0256" w:rsidRPr="0062047C" w:rsidRDefault="00AA0256" w:rsidP="003E2F9E">
            <w:pPr>
              <w:bidi w:val="0"/>
              <w:spacing w:after="0"/>
              <w:rPr>
                <w:b w:val="0"/>
                <w:bCs w:val="0"/>
                <w:sz w:val="18"/>
                <w:szCs w:val="18"/>
                <w:rtl/>
              </w:rPr>
            </w:pPr>
            <w:r>
              <w:rPr>
                <w:b w:val="0"/>
                <w:bCs w:val="0"/>
                <w:sz w:val="18"/>
                <w:szCs w:val="18"/>
              </w:rPr>
              <w:t>0</w:t>
            </w:r>
          </w:p>
        </w:tc>
        <w:tc>
          <w:tcPr>
            <w:tcW w:w="872" w:type="dxa"/>
            <w:tcBorders>
              <w:left w:val="single" w:sz="4" w:space="0" w:color="auto"/>
              <w:bottom w:val="double" w:sz="4" w:space="0" w:color="auto"/>
            </w:tcBorders>
            <w:vAlign w:val="center"/>
          </w:tcPr>
          <w:p w:rsidR="00AA0256" w:rsidRPr="0062047C" w:rsidRDefault="00AA0256" w:rsidP="003E2F9E">
            <w:pPr>
              <w:spacing w:after="0"/>
              <w:jc w:val="center"/>
              <w:rPr>
                <w:sz w:val="18"/>
                <w:szCs w:val="18"/>
              </w:rPr>
            </w:pPr>
            <w:r w:rsidRPr="0062047C">
              <w:rPr>
                <w:sz w:val="18"/>
                <w:szCs w:val="18"/>
              </w:rPr>
              <w:t>0</w:t>
            </w:r>
          </w:p>
        </w:tc>
        <w:tc>
          <w:tcPr>
            <w:tcW w:w="761" w:type="dxa"/>
            <w:tcBorders>
              <w:bottom w:val="double" w:sz="4" w:space="0" w:color="auto"/>
            </w:tcBorders>
          </w:tcPr>
          <w:p w:rsidR="00AA0256" w:rsidRPr="0062047C" w:rsidRDefault="00AA0256" w:rsidP="003E2F9E">
            <w:pPr>
              <w:spacing w:after="0"/>
              <w:jc w:val="center"/>
              <w:rPr>
                <w:sz w:val="18"/>
                <w:szCs w:val="18"/>
              </w:rPr>
            </w:pPr>
            <w:r>
              <w:rPr>
                <w:sz w:val="18"/>
                <w:szCs w:val="18"/>
              </w:rPr>
              <w:t>0</w:t>
            </w:r>
          </w:p>
        </w:tc>
        <w:tc>
          <w:tcPr>
            <w:tcW w:w="767" w:type="dxa"/>
            <w:tcBorders>
              <w:bottom w:val="double" w:sz="4" w:space="0" w:color="auto"/>
            </w:tcBorders>
          </w:tcPr>
          <w:p w:rsidR="00AA0256" w:rsidRPr="0062047C" w:rsidRDefault="00AA0256" w:rsidP="003E2F9E">
            <w:pPr>
              <w:spacing w:after="0"/>
              <w:jc w:val="center"/>
              <w:rPr>
                <w:sz w:val="18"/>
                <w:szCs w:val="18"/>
              </w:rPr>
            </w:pPr>
            <w:r>
              <w:rPr>
                <w:sz w:val="18"/>
                <w:szCs w:val="18"/>
              </w:rPr>
              <w:t>0</w:t>
            </w:r>
          </w:p>
        </w:tc>
        <w:tc>
          <w:tcPr>
            <w:tcW w:w="774" w:type="dxa"/>
            <w:tcBorders>
              <w:bottom w:val="double" w:sz="4" w:space="0" w:color="auto"/>
            </w:tcBorders>
            <w:vAlign w:val="center"/>
          </w:tcPr>
          <w:p w:rsidR="00AA0256" w:rsidRPr="0062047C" w:rsidRDefault="00AA0256" w:rsidP="003E2F9E">
            <w:pPr>
              <w:spacing w:after="0"/>
              <w:jc w:val="center"/>
              <w:rPr>
                <w:sz w:val="18"/>
                <w:szCs w:val="18"/>
              </w:rPr>
            </w:pPr>
            <w:r w:rsidRPr="0062047C">
              <w:rPr>
                <w:sz w:val="18"/>
                <w:szCs w:val="18"/>
              </w:rPr>
              <w:t>0</w:t>
            </w:r>
          </w:p>
        </w:tc>
        <w:tc>
          <w:tcPr>
            <w:tcW w:w="759" w:type="dxa"/>
            <w:tcBorders>
              <w:bottom w:val="double" w:sz="4" w:space="0" w:color="auto"/>
            </w:tcBorders>
            <w:vAlign w:val="center"/>
          </w:tcPr>
          <w:p w:rsidR="00AA0256" w:rsidRPr="0062047C" w:rsidRDefault="00AA0256" w:rsidP="003E2F9E">
            <w:pPr>
              <w:spacing w:after="0"/>
              <w:jc w:val="center"/>
              <w:rPr>
                <w:sz w:val="18"/>
                <w:szCs w:val="18"/>
              </w:rPr>
            </w:pPr>
            <w:r w:rsidRPr="0062047C">
              <w:rPr>
                <w:sz w:val="18"/>
                <w:szCs w:val="18"/>
              </w:rPr>
              <w:t>0</w:t>
            </w:r>
          </w:p>
        </w:tc>
        <w:tc>
          <w:tcPr>
            <w:tcW w:w="777" w:type="dxa"/>
            <w:tcBorders>
              <w:bottom w:val="double" w:sz="4" w:space="0" w:color="auto"/>
            </w:tcBorders>
            <w:vAlign w:val="center"/>
          </w:tcPr>
          <w:p w:rsidR="00AA0256" w:rsidRPr="0062047C" w:rsidRDefault="00AA0256" w:rsidP="003E2F9E">
            <w:pPr>
              <w:spacing w:after="0"/>
              <w:jc w:val="center"/>
              <w:rPr>
                <w:sz w:val="18"/>
                <w:szCs w:val="18"/>
              </w:rPr>
            </w:pPr>
            <w:r w:rsidRPr="0062047C">
              <w:rPr>
                <w:sz w:val="18"/>
                <w:szCs w:val="18"/>
              </w:rPr>
              <w:t>0</w:t>
            </w:r>
          </w:p>
        </w:tc>
        <w:tc>
          <w:tcPr>
            <w:tcW w:w="793" w:type="dxa"/>
            <w:tcBorders>
              <w:bottom w:val="double" w:sz="4" w:space="0" w:color="auto"/>
            </w:tcBorders>
            <w:vAlign w:val="center"/>
          </w:tcPr>
          <w:p w:rsidR="00AA0256" w:rsidRPr="0062047C" w:rsidRDefault="00AA0256" w:rsidP="003E2F9E">
            <w:pPr>
              <w:spacing w:after="0"/>
              <w:jc w:val="center"/>
              <w:rPr>
                <w:sz w:val="18"/>
                <w:szCs w:val="18"/>
              </w:rPr>
            </w:pPr>
            <w:r w:rsidRPr="0062047C">
              <w:rPr>
                <w:sz w:val="18"/>
                <w:szCs w:val="18"/>
              </w:rPr>
              <w:t>0</w:t>
            </w:r>
          </w:p>
        </w:tc>
        <w:tc>
          <w:tcPr>
            <w:tcW w:w="721" w:type="dxa"/>
            <w:tcBorders>
              <w:bottom w:val="double" w:sz="4" w:space="0" w:color="auto"/>
            </w:tcBorders>
            <w:vAlign w:val="center"/>
          </w:tcPr>
          <w:p w:rsidR="00AA0256" w:rsidRPr="0062047C" w:rsidRDefault="00AA0256" w:rsidP="003E2F9E">
            <w:pPr>
              <w:spacing w:after="0"/>
              <w:jc w:val="center"/>
              <w:rPr>
                <w:sz w:val="18"/>
                <w:szCs w:val="18"/>
              </w:rPr>
            </w:pPr>
            <w:r w:rsidRPr="0062047C">
              <w:rPr>
                <w:sz w:val="18"/>
                <w:szCs w:val="18"/>
              </w:rPr>
              <w:t>0</w:t>
            </w:r>
          </w:p>
        </w:tc>
        <w:tc>
          <w:tcPr>
            <w:tcW w:w="847" w:type="dxa"/>
            <w:gridSpan w:val="2"/>
            <w:tcBorders>
              <w:bottom w:val="double" w:sz="4" w:space="0" w:color="auto"/>
            </w:tcBorders>
            <w:vAlign w:val="center"/>
          </w:tcPr>
          <w:p w:rsidR="00AA0256" w:rsidRPr="0062047C" w:rsidRDefault="00AA0256" w:rsidP="003E2F9E">
            <w:pPr>
              <w:spacing w:after="0"/>
              <w:jc w:val="center"/>
              <w:rPr>
                <w:sz w:val="18"/>
                <w:szCs w:val="18"/>
              </w:rPr>
            </w:pPr>
            <w:r w:rsidRPr="0062047C">
              <w:rPr>
                <w:sz w:val="18"/>
                <w:szCs w:val="18"/>
              </w:rPr>
              <w:t>0</w:t>
            </w:r>
          </w:p>
        </w:tc>
        <w:tc>
          <w:tcPr>
            <w:tcW w:w="774" w:type="dxa"/>
            <w:tcBorders>
              <w:bottom w:val="double" w:sz="4" w:space="0" w:color="auto"/>
            </w:tcBorders>
            <w:vAlign w:val="center"/>
          </w:tcPr>
          <w:p w:rsidR="00AA0256" w:rsidRPr="0062047C" w:rsidRDefault="00AA0256" w:rsidP="003E2F9E">
            <w:pPr>
              <w:spacing w:after="0"/>
              <w:jc w:val="center"/>
              <w:rPr>
                <w:sz w:val="18"/>
                <w:szCs w:val="18"/>
              </w:rPr>
            </w:pPr>
            <w:r w:rsidRPr="0062047C">
              <w:rPr>
                <w:sz w:val="18"/>
                <w:szCs w:val="18"/>
              </w:rPr>
              <w:t>0</w:t>
            </w:r>
          </w:p>
        </w:tc>
        <w:tc>
          <w:tcPr>
            <w:tcW w:w="777" w:type="dxa"/>
            <w:tcBorders>
              <w:bottom w:val="double" w:sz="4" w:space="0" w:color="auto"/>
            </w:tcBorders>
            <w:vAlign w:val="center"/>
          </w:tcPr>
          <w:p w:rsidR="00AA0256" w:rsidRPr="0062047C" w:rsidRDefault="00AA0256" w:rsidP="003E2F9E">
            <w:pPr>
              <w:spacing w:after="0"/>
              <w:jc w:val="center"/>
              <w:rPr>
                <w:sz w:val="18"/>
                <w:szCs w:val="18"/>
              </w:rPr>
            </w:pPr>
            <w:r w:rsidRPr="0062047C">
              <w:rPr>
                <w:sz w:val="18"/>
                <w:szCs w:val="18"/>
              </w:rPr>
              <w:t>0</w:t>
            </w:r>
          </w:p>
        </w:tc>
        <w:tc>
          <w:tcPr>
            <w:tcW w:w="682" w:type="dxa"/>
            <w:tcBorders>
              <w:bottom w:val="double" w:sz="4" w:space="0" w:color="auto"/>
            </w:tcBorders>
            <w:vAlign w:val="center"/>
          </w:tcPr>
          <w:p w:rsidR="00AA0256" w:rsidRPr="0062047C" w:rsidRDefault="00AA0256" w:rsidP="003E2F9E">
            <w:pPr>
              <w:spacing w:after="0"/>
              <w:jc w:val="center"/>
              <w:rPr>
                <w:sz w:val="18"/>
                <w:szCs w:val="18"/>
              </w:rPr>
            </w:pPr>
            <w:r w:rsidRPr="0062047C">
              <w:rPr>
                <w:sz w:val="18"/>
                <w:szCs w:val="18"/>
              </w:rPr>
              <w:t>0</w:t>
            </w:r>
          </w:p>
        </w:tc>
        <w:tc>
          <w:tcPr>
            <w:tcW w:w="701" w:type="dxa"/>
            <w:tcBorders>
              <w:bottom w:val="double" w:sz="4" w:space="0" w:color="auto"/>
            </w:tcBorders>
            <w:vAlign w:val="center"/>
          </w:tcPr>
          <w:p w:rsidR="00AA0256" w:rsidRPr="0062047C" w:rsidRDefault="00AA0256" w:rsidP="003E2F9E">
            <w:pPr>
              <w:spacing w:after="0"/>
              <w:jc w:val="center"/>
              <w:rPr>
                <w:sz w:val="18"/>
                <w:szCs w:val="18"/>
              </w:rPr>
            </w:pPr>
            <w:r w:rsidRPr="0062047C">
              <w:rPr>
                <w:sz w:val="18"/>
                <w:szCs w:val="18"/>
              </w:rPr>
              <w:t>0</w:t>
            </w:r>
          </w:p>
        </w:tc>
        <w:tc>
          <w:tcPr>
            <w:tcW w:w="662" w:type="dxa"/>
            <w:tcBorders>
              <w:bottom w:val="double" w:sz="4" w:space="0" w:color="auto"/>
            </w:tcBorders>
            <w:vAlign w:val="center"/>
          </w:tcPr>
          <w:p w:rsidR="00AA0256" w:rsidRPr="0062047C" w:rsidRDefault="00AA0256" w:rsidP="003E2F9E">
            <w:pPr>
              <w:spacing w:after="0"/>
              <w:jc w:val="center"/>
              <w:rPr>
                <w:sz w:val="18"/>
                <w:szCs w:val="18"/>
              </w:rPr>
            </w:pPr>
            <w:r w:rsidRPr="0062047C">
              <w:rPr>
                <w:sz w:val="18"/>
                <w:szCs w:val="18"/>
              </w:rPr>
              <w:t>0</w:t>
            </w:r>
          </w:p>
        </w:tc>
        <w:tc>
          <w:tcPr>
            <w:tcW w:w="619" w:type="dxa"/>
            <w:tcBorders>
              <w:bottom w:val="double" w:sz="4" w:space="0" w:color="auto"/>
            </w:tcBorders>
            <w:vAlign w:val="center"/>
          </w:tcPr>
          <w:p w:rsidR="00AA0256" w:rsidRPr="0062047C" w:rsidRDefault="00AA0256" w:rsidP="003E2F9E">
            <w:pPr>
              <w:spacing w:after="0"/>
              <w:jc w:val="center"/>
              <w:rPr>
                <w:sz w:val="18"/>
                <w:szCs w:val="18"/>
              </w:rPr>
            </w:pPr>
            <w:r w:rsidRPr="0062047C">
              <w:rPr>
                <w:sz w:val="18"/>
                <w:szCs w:val="18"/>
              </w:rPr>
              <w:t>0</w:t>
            </w:r>
          </w:p>
        </w:tc>
        <w:tc>
          <w:tcPr>
            <w:tcW w:w="2872" w:type="dxa"/>
          </w:tcPr>
          <w:p w:rsidR="00AA0256" w:rsidRPr="0062047C" w:rsidRDefault="00AA0256" w:rsidP="00AA0256">
            <w:pPr>
              <w:pStyle w:val="ListParagraph"/>
              <w:numPr>
                <w:ilvl w:val="0"/>
                <w:numId w:val="29"/>
              </w:numPr>
              <w:bidi w:val="0"/>
              <w:spacing w:after="0"/>
              <w:jc w:val="center"/>
              <w:rPr>
                <w:b w:val="0"/>
                <w:bCs w:val="0"/>
                <w:sz w:val="18"/>
                <w:szCs w:val="18"/>
              </w:rPr>
            </w:pPr>
            <w:r w:rsidRPr="0062047C">
              <w:rPr>
                <w:b w:val="0"/>
                <w:bCs w:val="0"/>
                <w:sz w:val="18"/>
                <w:szCs w:val="18"/>
              </w:rPr>
              <w:t>+ (B)</w:t>
            </w:r>
          </w:p>
        </w:tc>
        <w:tc>
          <w:tcPr>
            <w:tcW w:w="490" w:type="dxa"/>
          </w:tcPr>
          <w:p w:rsidR="00AA0256" w:rsidRPr="0062047C" w:rsidRDefault="00AA0256" w:rsidP="003E2F9E">
            <w:pPr>
              <w:bidi w:val="0"/>
              <w:spacing w:after="0"/>
              <w:jc w:val="center"/>
              <w:rPr>
                <w:b w:val="0"/>
                <w:bCs w:val="0"/>
                <w:sz w:val="18"/>
                <w:szCs w:val="18"/>
                <w:rtl/>
              </w:rPr>
            </w:pPr>
            <w:r>
              <w:rPr>
                <w:b w:val="0"/>
                <w:bCs w:val="0"/>
                <w:sz w:val="18"/>
                <w:szCs w:val="18"/>
              </w:rPr>
              <w:t>4</w:t>
            </w:r>
          </w:p>
        </w:tc>
      </w:tr>
      <w:tr w:rsidR="00AA0256" w:rsidRPr="0062047C" w:rsidTr="00AA0256">
        <w:tc>
          <w:tcPr>
            <w:tcW w:w="650" w:type="dxa"/>
            <w:tcBorders>
              <w:top w:val="single" w:sz="4" w:space="0" w:color="auto"/>
              <w:left w:val="single" w:sz="4" w:space="0" w:color="auto"/>
              <w:bottom w:val="single" w:sz="4" w:space="0" w:color="auto"/>
            </w:tcBorders>
            <w:shd w:val="clear" w:color="auto" w:fill="FFF2CC" w:themeFill="accent4" w:themeFillTint="33"/>
            <w:vAlign w:val="center"/>
          </w:tcPr>
          <w:p w:rsidR="00AA0256" w:rsidRPr="001C0206" w:rsidRDefault="00AA0256" w:rsidP="003E2F9E">
            <w:pPr>
              <w:bidi w:val="0"/>
              <w:spacing w:after="0"/>
              <w:rPr>
                <w:sz w:val="18"/>
                <w:szCs w:val="18"/>
                <w:rtl/>
              </w:rPr>
            </w:pPr>
          </w:p>
        </w:tc>
        <w:tc>
          <w:tcPr>
            <w:tcW w:w="2400" w:type="dxa"/>
            <w:gridSpan w:val="3"/>
            <w:tcBorders>
              <w:top w:val="double" w:sz="4" w:space="0" w:color="auto"/>
              <w:bottom w:val="single" w:sz="4" w:space="0" w:color="auto"/>
            </w:tcBorders>
            <w:vAlign w:val="center"/>
          </w:tcPr>
          <w:p w:rsidR="00AA0256" w:rsidRPr="0062047C" w:rsidRDefault="00AA0256" w:rsidP="003E2F9E">
            <w:pPr>
              <w:spacing w:after="0"/>
              <w:jc w:val="center"/>
              <w:rPr>
                <w:sz w:val="18"/>
                <w:szCs w:val="18"/>
              </w:rPr>
            </w:pPr>
          </w:p>
        </w:tc>
        <w:tc>
          <w:tcPr>
            <w:tcW w:w="774" w:type="dxa"/>
            <w:tcBorders>
              <w:top w:val="double" w:sz="4" w:space="0" w:color="auto"/>
              <w:bottom w:val="single" w:sz="4" w:space="0" w:color="auto"/>
            </w:tcBorders>
            <w:vAlign w:val="center"/>
          </w:tcPr>
          <w:p w:rsidR="00AA0256" w:rsidRPr="00EB3048" w:rsidRDefault="00AA0256" w:rsidP="003E2F9E">
            <w:pPr>
              <w:spacing w:after="0"/>
              <w:jc w:val="center"/>
              <w:rPr>
                <w:color w:val="FF0000"/>
                <w:sz w:val="18"/>
                <w:szCs w:val="18"/>
              </w:rPr>
            </w:pPr>
            <w:r w:rsidRPr="00EB3048">
              <w:rPr>
                <w:color w:val="FF0000"/>
                <w:sz w:val="18"/>
                <w:szCs w:val="18"/>
              </w:rPr>
              <w:t>0</w:t>
            </w:r>
          </w:p>
        </w:tc>
        <w:tc>
          <w:tcPr>
            <w:tcW w:w="759" w:type="dxa"/>
            <w:tcBorders>
              <w:top w:val="double" w:sz="4" w:space="0" w:color="auto"/>
              <w:bottom w:val="single" w:sz="4" w:space="0" w:color="auto"/>
            </w:tcBorders>
            <w:vAlign w:val="center"/>
          </w:tcPr>
          <w:p w:rsidR="00AA0256" w:rsidRPr="00EB3048" w:rsidRDefault="00AA0256" w:rsidP="003E2F9E">
            <w:pPr>
              <w:spacing w:after="0"/>
              <w:jc w:val="center"/>
              <w:rPr>
                <w:color w:val="FF0000"/>
                <w:sz w:val="18"/>
                <w:szCs w:val="18"/>
              </w:rPr>
            </w:pPr>
            <w:r w:rsidRPr="00EB3048">
              <w:rPr>
                <w:color w:val="FF0000"/>
                <w:sz w:val="18"/>
                <w:szCs w:val="18"/>
              </w:rPr>
              <w:t>0</w:t>
            </w:r>
          </w:p>
        </w:tc>
        <w:tc>
          <w:tcPr>
            <w:tcW w:w="777" w:type="dxa"/>
            <w:tcBorders>
              <w:top w:val="double" w:sz="4" w:space="0" w:color="auto"/>
              <w:bottom w:val="single" w:sz="4" w:space="0" w:color="auto"/>
            </w:tcBorders>
            <w:shd w:val="clear" w:color="auto" w:fill="FFFF00"/>
            <w:vAlign w:val="center"/>
          </w:tcPr>
          <w:p w:rsidR="00AA0256" w:rsidRPr="0062047C" w:rsidRDefault="00AA0256" w:rsidP="003E2F9E">
            <w:pPr>
              <w:spacing w:after="0"/>
              <w:jc w:val="center"/>
              <w:rPr>
                <w:sz w:val="18"/>
                <w:szCs w:val="18"/>
              </w:rPr>
            </w:pPr>
            <w:r w:rsidRPr="0062047C">
              <w:rPr>
                <w:sz w:val="18"/>
                <w:szCs w:val="18"/>
              </w:rPr>
              <w:t>0</w:t>
            </w:r>
          </w:p>
        </w:tc>
        <w:tc>
          <w:tcPr>
            <w:tcW w:w="793" w:type="dxa"/>
            <w:tcBorders>
              <w:top w:val="double" w:sz="4" w:space="0" w:color="auto"/>
              <w:bottom w:val="single" w:sz="4" w:space="0" w:color="auto"/>
            </w:tcBorders>
            <w:vAlign w:val="center"/>
          </w:tcPr>
          <w:p w:rsidR="00AA0256" w:rsidRPr="0062047C" w:rsidRDefault="00AA0256" w:rsidP="003E2F9E">
            <w:pPr>
              <w:spacing w:after="0"/>
              <w:jc w:val="center"/>
              <w:rPr>
                <w:sz w:val="18"/>
                <w:szCs w:val="18"/>
              </w:rPr>
            </w:pPr>
            <w:r w:rsidRPr="0062047C">
              <w:rPr>
                <w:sz w:val="18"/>
                <w:szCs w:val="18"/>
              </w:rPr>
              <w:t>0</w:t>
            </w:r>
          </w:p>
        </w:tc>
        <w:tc>
          <w:tcPr>
            <w:tcW w:w="721" w:type="dxa"/>
            <w:tcBorders>
              <w:top w:val="double" w:sz="4" w:space="0" w:color="auto"/>
              <w:bottom w:val="single" w:sz="4" w:space="0" w:color="auto"/>
            </w:tcBorders>
            <w:vAlign w:val="center"/>
          </w:tcPr>
          <w:p w:rsidR="00AA0256" w:rsidRPr="0062047C" w:rsidRDefault="00AA0256" w:rsidP="003E2F9E">
            <w:pPr>
              <w:spacing w:after="0"/>
              <w:jc w:val="center"/>
              <w:rPr>
                <w:sz w:val="18"/>
                <w:szCs w:val="18"/>
              </w:rPr>
            </w:pPr>
            <w:r w:rsidRPr="0062047C">
              <w:rPr>
                <w:sz w:val="18"/>
                <w:szCs w:val="18"/>
              </w:rPr>
              <w:t>0</w:t>
            </w:r>
          </w:p>
        </w:tc>
        <w:tc>
          <w:tcPr>
            <w:tcW w:w="847" w:type="dxa"/>
            <w:gridSpan w:val="2"/>
            <w:tcBorders>
              <w:top w:val="double" w:sz="4" w:space="0" w:color="auto"/>
              <w:bottom w:val="single" w:sz="4" w:space="0" w:color="auto"/>
            </w:tcBorders>
            <w:shd w:val="clear" w:color="auto" w:fill="FFFF00"/>
            <w:vAlign w:val="center"/>
          </w:tcPr>
          <w:p w:rsidR="00AA0256" w:rsidRPr="0062047C" w:rsidRDefault="00AA0256" w:rsidP="003E2F9E">
            <w:pPr>
              <w:spacing w:after="0"/>
              <w:jc w:val="center"/>
              <w:rPr>
                <w:sz w:val="18"/>
                <w:szCs w:val="18"/>
              </w:rPr>
            </w:pPr>
            <w:r w:rsidRPr="0062047C">
              <w:rPr>
                <w:sz w:val="18"/>
                <w:szCs w:val="18"/>
              </w:rPr>
              <w:t>0</w:t>
            </w:r>
          </w:p>
        </w:tc>
        <w:tc>
          <w:tcPr>
            <w:tcW w:w="774" w:type="dxa"/>
            <w:tcBorders>
              <w:top w:val="double" w:sz="4" w:space="0" w:color="auto"/>
              <w:bottom w:val="single" w:sz="4" w:space="0" w:color="auto"/>
            </w:tcBorders>
            <w:vAlign w:val="center"/>
          </w:tcPr>
          <w:p w:rsidR="00AA0256" w:rsidRPr="0062047C" w:rsidRDefault="00AA0256" w:rsidP="003E2F9E">
            <w:pPr>
              <w:spacing w:after="0"/>
              <w:jc w:val="center"/>
              <w:rPr>
                <w:sz w:val="18"/>
                <w:szCs w:val="18"/>
              </w:rPr>
            </w:pPr>
            <w:r w:rsidRPr="0062047C">
              <w:rPr>
                <w:sz w:val="18"/>
                <w:szCs w:val="18"/>
              </w:rPr>
              <w:t>0</w:t>
            </w:r>
          </w:p>
        </w:tc>
        <w:tc>
          <w:tcPr>
            <w:tcW w:w="777" w:type="dxa"/>
            <w:tcBorders>
              <w:top w:val="double" w:sz="4" w:space="0" w:color="auto"/>
              <w:bottom w:val="single" w:sz="4" w:space="0" w:color="auto"/>
            </w:tcBorders>
            <w:vAlign w:val="center"/>
          </w:tcPr>
          <w:p w:rsidR="00AA0256" w:rsidRPr="0062047C" w:rsidRDefault="00AA0256" w:rsidP="003E2F9E">
            <w:pPr>
              <w:spacing w:after="0"/>
              <w:jc w:val="center"/>
              <w:rPr>
                <w:sz w:val="18"/>
                <w:szCs w:val="18"/>
              </w:rPr>
            </w:pPr>
            <w:r w:rsidRPr="0062047C">
              <w:rPr>
                <w:sz w:val="18"/>
                <w:szCs w:val="18"/>
              </w:rPr>
              <w:t>0</w:t>
            </w:r>
          </w:p>
        </w:tc>
        <w:tc>
          <w:tcPr>
            <w:tcW w:w="682" w:type="dxa"/>
            <w:tcBorders>
              <w:top w:val="double" w:sz="4" w:space="0" w:color="auto"/>
              <w:bottom w:val="single" w:sz="4" w:space="0" w:color="auto"/>
            </w:tcBorders>
            <w:vAlign w:val="center"/>
          </w:tcPr>
          <w:p w:rsidR="00AA0256" w:rsidRPr="0062047C" w:rsidRDefault="00AA0256" w:rsidP="003E2F9E">
            <w:pPr>
              <w:spacing w:after="0"/>
              <w:jc w:val="center"/>
              <w:rPr>
                <w:sz w:val="18"/>
                <w:szCs w:val="18"/>
              </w:rPr>
            </w:pPr>
            <w:r w:rsidRPr="00EB3048">
              <w:rPr>
                <w:color w:val="FF0000"/>
                <w:sz w:val="18"/>
                <w:szCs w:val="18"/>
              </w:rPr>
              <w:t>0</w:t>
            </w:r>
          </w:p>
        </w:tc>
        <w:tc>
          <w:tcPr>
            <w:tcW w:w="701" w:type="dxa"/>
            <w:tcBorders>
              <w:top w:val="double" w:sz="4" w:space="0" w:color="auto"/>
              <w:bottom w:val="single" w:sz="4" w:space="0" w:color="auto"/>
            </w:tcBorders>
            <w:shd w:val="clear" w:color="auto" w:fill="FFFF00"/>
            <w:vAlign w:val="center"/>
          </w:tcPr>
          <w:p w:rsidR="00AA0256" w:rsidRPr="0062047C" w:rsidRDefault="00AA0256" w:rsidP="003E2F9E">
            <w:pPr>
              <w:spacing w:after="0"/>
              <w:jc w:val="center"/>
              <w:rPr>
                <w:sz w:val="18"/>
                <w:szCs w:val="18"/>
              </w:rPr>
            </w:pPr>
            <w:r w:rsidRPr="0062047C">
              <w:rPr>
                <w:sz w:val="18"/>
                <w:szCs w:val="18"/>
              </w:rPr>
              <w:t>0</w:t>
            </w:r>
          </w:p>
        </w:tc>
        <w:tc>
          <w:tcPr>
            <w:tcW w:w="662" w:type="dxa"/>
            <w:tcBorders>
              <w:top w:val="double" w:sz="4" w:space="0" w:color="auto"/>
              <w:bottom w:val="single" w:sz="4" w:space="0" w:color="auto"/>
            </w:tcBorders>
            <w:vAlign w:val="center"/>
          </w:tcPr>
          <w:p w:rsidR="00AA0256" w:rsidRPr="0062047C" w:rsidRDefault="00AA0256" w:rsidP="003E2F9E">
            <w:pPr>
              <w:spacing w:after="0"/>
              <w:jc w:val="center"/>
              <w:rPr>
                <w:sz w:val="18"/>
                <w:szCs w:val="18"/>
              </w:rPr>
            </w:pPr>
            <w:r w:rsidRPr="0062047C">
              <w:rPr>
                <w:sz w:val="18"/>
                <w:szCs w:val="18"/>
              </w:rPr>
              <w:t>0</w:t>
            </w:r>
          </w:p>
        </w:tc>
        <w:tc>
          <w:tcPr>
            <w:tcW w:w="619" w:type="dxa"/>
            <w:tcBorders>
              <w:top w:val="double" w:sz="4" w:space="0" w:color="auto"/>
              <w:bottom w:val="single" w:sz="4" w:space="0" w:color="auto"/>
            </w:tcBorders>
            <w:vAlign w:val="center"/>
          </w:tcPr>
          <w:p w:rsidR="00AA0256" w:rsidRPr="0062047C" w:rsidRDefault="00AA0256" w:rsidP="003E2F9E">
            <w:pPr>
              <w:spacing w:after="0"/>
              <w:jc w:val="center"/>
              <w:rPr>
                <w:sz w:val="18"/>
                <w:szCs w:val="18"/>
              </w:rPr>
            </w:pPr>
            <w:r w:rsidRPr="0062047C">
              <w:rPr>
                <w:sz w:val="18"/>
                <w:szCs w:val="18"/>
              </w:rPr>
              <w:t>0</w:t>
            </w:r>
          </w:p>
        </w:tc>
        <w:tc>
          <w:tcPr>
            <w:tcW w:w="2872" w:type="dxa"/>
          </w:tcPr>
          <w:p w:rsidR="00AA0256" w:rsidRPr="0062047C" w:rsidRDefault="00AA0256" w:rsidP="003E2F9E">
            <w:pPr>
              <w:pStyle w:val="ListParagraph"/>
              <w:bidi w:val="0"/>
              <w:spacing w:after="0"/>
              <w:rPr>
                <w:b w:val="0"/>
                <w:bCs w:val="0"/>
                <w:sz w:val="18"/>
                <w:szCs w:val="18"/>
              </w:rPr>
            </w:pPr>
          </w:p>
        </w:tc>
        <w:tc>
          <w:tcPr>
            <w:tcW w:w="490" w:type="dxa"/>
          </w:tcPr>
          <w:p w:rsidR="00AA0256" w:rsidRPr="0062047C" w:rsidRDefault="00AA0256" w:rsidP="003E2F9E">
            <w:pPr>
              <w:bidi w:val="0"/>
              <w:spacing w:after="0"/>
              <w:jc w:val="center"/>
              <w:rPr>
                <w:b w:val="0"/>
                <w:bCs w:val="0"/>
                <w:sz w:val="18"/>
                <w:szCs w:val="18"/>
                <w:rtl/>
              </w:rPr>
            </w:pPr>
          </w:p>
        </w:tc>
      </w:tr>
      <w:tr w:rsidR="00AA0256" w:rsidRPr="0062047C" w:rsidTr="00AA0256">
        <w:tc>
          <w:tcPr>
            <w:tcW w:w="650" w:type="dxa"/>
            <w:tcBorders>
              <w:top w:val="single" w:sz="4" w:space="0" w:color="auto"/>
              <w:left w:val="single" w:sz="4" w:space="0" w:color="auto"/>
            </w:tcBorders>
            <w:shd w:val="clear" w:color="auto" w:fill="FFF2CC" w:themeFill="accent4" w:themeFillTint="33"/>
            <w:vAlign w:val="center"/>
          </w:tcPr>
          <w:p w:rsidR="00AA0256" w:rsidRPr="001C0206" w:rsidRDefault="00AA0256" w:rsidP="003E2F9E">
            <w:pPr>
              <w:bidi w:val="0"/>
              <w:spacing w:after="0"/>
              <w:rPr>
                <w:sz w:val="18"/>
                <w:szCs w:val="18"/>
                <w:rtl/>
              </w:rPr>
            </w:pPr>
            <w:r>
              <w:rPr>
                <w:sz w:val="18"/>
                <w:szCs w:val="18"/>
              </w:rPr>
              <w:t>0</w:t>
            </w:r>
          </w:p>
        </w:tc>
        <w:tc>
          <w:tcPr>
            <w:tcW w:w="872" w:type="dxa"/>
            <w:tcBorders>
              <w:top w:val="single" w:sz="4" w:space="0" w:color="auto"/>
              <w:bottom w:val="double" w:sz="4" w:space="0" w:color="auto"/>
              <w:right w:val="dashed" w:sz="4" w:space="0" w:color="auto"/>
            </w:tcBorders>
            <w:shd w:val="clear" w:color="auto" w:fill="auto"/>
            <w:vAlign w:val="center"/>
          </w:tcPr>
          <w:p w:rsidR="00AA0256" w:rsidRPr="00EB3048" w:rsidRDefault="00AA0256" w:rsidP="003E2F9E">
            <w:pPr>
              <w:jc w:val="center"/>
              <w:rPr>
                <w:b w:val="0"/>
                <w:bCs w:val="0"/>
                <w:color w:val="E7E6E6" w:themeColor="background2"/>
                <w:sz w:val="18"/>
                <w:szCs w:val="18"/>
              </w:rPr>
            </w:pPr>
            <w:r w:rsidRPr="00EB3048">
              <w:rPr>
                <w:b w:val="0"/>
                <w:bCs w:val="0"/>
                <w:color w:val="E7E6E6" w:themeColor="background2"/>
                <w:sz w:val="18"/>
                <w:szCs w:val="18"/>
              </w:rPr>
              <w:t>0</w:t>
            </w:r>
          </w:p>
        </w:tc>
        <w:tc>
          <w:tcPr>
            <w:tcW w:w="761" w:type="dxa"/>
            <w:tcBorders>
              <w:top w:val="single" w:sz="4" w:space="0" w:color="auto"/>
              <w:left w:val="dashed" w:sz="4" w:space="0" w:color="auto"/>
              <w:bottom w:val="double" w:sz="4" w:space="0" w:color="auto"/>
              <w:right w:val="dashed" w:sz="4" w:space="0" w:color="auto"/>
            </w:tcBorders>
            <w:shd w:val="clear" w:color="auto" w:fill="auto"/>
          </w:tcPr>
          <w:p w:rsidR="00AA0256" w:rsidRPr="00EB3048" w:rsidRDefault="00AA0256" w:rsidP="003E2F9E">
            <w:pPr>
              <w:jc w:val="center"/>
              <w:rPr>
                <w:b w:val="0"/>
                <w:bCs w:val="0"/>
                <w:color w:val="E7E6E6" w:themeColor="background2"/>
                <w:sz w:val="18"/>
                <w:szCs w:val="18"/>
              </w:rPr>
            </w:pPr>
            <w:r>
              <w:rPr>
                <w:b w:val="0"/>
                <w:bCs w:val="0"/>
                <w:color w:val="E7E6E6" w:themeColor="background2"/>
                <w:sz w:val="18"/>
                <w:szCs w:val="18"/>
              </w:rPr>
              <w:t>0</w:t>
            </w:r>
          </w:p>
        </w:tc>
        <w:tc>
          <w:tcPr>
            <w:tcW w:w="767" w:type="dxa"/>
            <w:tcBorders>
              <w:top w:val="single" w:sz="4" w:space="0" w:color="auto"/>
              <w:left w:val="dashed" w:sz="4" w:space="0" w:color="auto"/>
              <w:bottom w:val="double" w:sz="4" w:space="0" w:color="auto"/>
              <w:right w:val="dashed" w:sz="4" w:space="0" w:color="auto"/>
            </w:tcBorders>
            <w:shd w:val="clear" w:color="auto" w:fill="auto"/>
          </w:tcPr>
          <w:p w:rsidR="00AA0256" w:rsidRPr="00EB3048" w:rsidRDefault="00AA0256" w:rsidP="003E2F9E">
            <w:pPr>
              <w:jc w:val="center"/>
              <w:rPr>
                <w:b w:val="0"/>
                <w:bCs w:val="0"/>
                <w:color w:val="E7E6E6" w:themeColor="background2"/>
                <w:sz w:val="18"/>
                <w:szCs w:val="18"/>
              </w:rPr>
            </w:pPr>
            <w:r>
              <w:rPr>
                <w:b w:val="0"/>
                <w:bCs w:val="0"/>
                <w:color w:val="E7E6E6" w:themeColor="background2"/>
                <w:sz w:val="18"/>
                <w:szCs w:val="18"/>
              </w:rPr>
              <w:t>0</w:t>
            </w:r>
          </w:p>
        </w:tc>
        <w:tc>
          <w:tcPr>
            <w:tcW w:w="774" w:type="dxa"/>
            <w:tcBorders>
              <w:top w:val="single" w:sz="4" w:space="0" w:color="auto"/>
              <w:left w:val="dashed" w:sz="4" w:space="0" w:color="auto"/>
              <w:bottom w:val="double" w:sz="4" w:space="0" w:color="auto"/>
              <w:right w:val="dashed" w:sz="4" w:space="0" w:color="auto"/>
            </w:tcBorders>
            <w:shd w:val="clear" w:color="auto" w:fill="auto"/>
            <w:vAlign w:val="center"/>
          </w:tcPr>
          <w:p w:rsidR="00AA0256" w:rsidRPr="00EB3048" w:rsidRDefault="00AA0256" w:rsidP="003E2F9E">
            <w:pPr>
              <w:jc w:val="center"/>
              <w:rPr>
                <w:color w:val="E7E6E6" w:themeColor="background2"/>
              </w:rPr>
            </w:pPr>
            <w:r w:rsidRPr="00EB3048">
              <w:rPr>
                <w:b w:val="0"/>
                <w:bCs w:val="0"/>
                <w:color w:val="E7E6E6" w:themeColor="background2"/>
                <w:sz w:val="18"/>
                <w:szCs w:val="18"/>
              </w:rPr>
              <w:t>0</w:t>
            </w:r>
          </w:p>
        </w:tc>
        <w:tc>
          <w:tcPr>
            <w:tcW w:w="759" w:type="dxa"/>
            <w:tcBorders>
              <w:top w:val="single" w:sz="4" w:space="0" w:color="auto"/>
              <w:left w:val="dashed" w:sz="4" w:space="0" w:color="auto"/>
              <w:bottom w:val="double" w:sz="4" w:space="0" w:color="auto"/>
              <w:right w:val="dashed" w:sz="4" w:space="0" w:color="auto"/>
            </w:tcBorders>
            <w:shd w:val="clear" w:color="auto" w:fill="auto"/>
            <w:vAlign w:val="center"/>
          </w:tcPr>
          <w:p w:rsidR="00AA0256" w:rsidRPr="00EB3048" w:rsidRDefault="00AA0256" w:rsidP="003E2F9E">
            <w:pPr>
              <w:jc w:val="center"/>
              <w:rPr>
                <w:color w:val="E7E6E6" w:themeColor="background2"/>
              </w:rPr>
            </w:pPr>
            <w:r w:rsidRPr="00EB3048">
              <w:rPr>
                <w:b w:val="0"/>
                <w:bCs w:val="0"/>
                <w:color w:val="E7E6E6" w:themeColor="background2"/>
                <w:sz w:val="18"/>
                <w:szCs w:val="18"/>
              </w:rPr>
              <w:t>0</w:t>
            </w:r>
          </w:p>
        </w:tc>
        <w:tc>
          <w:tcPr>
            <w:tcW w:w="777" w:type="dxa"/>
            <w:tcBorders>
              <w:top w:val="single" w:sz="4" w:space="0" w:color="auto"/>
              <w:left w:val="dashed" w:sz="4" w:space="0" w:color="auto"/>
              <w:bottom w:val="double" w:sz="4" w:space="0" w:color="auto"/>
              <w:right w:val="dashed" w:sz="4" w:space="0" w:color="auto"/>
            </w:tcBorders>
            <w:shd w:val="clear" w:color="auto" w:fill="auto"/>
            <w:vAlign w:val="center"/>
          </w:tcPr>
          <w:p w:rsidR="00AA0256" w:rsidRPr="00EB3048" w:rsidRDefault="00AA0256" w:rsidP="003E2F9E">
            <w:pPr>
              <w:jc w:val="center"/>
              <w:rPr>
                <w:color w:val="E7E6E6" w:themeColor="background2"/>
              </w:rPr>
            </w:pPr>
            <w:r w:rsidRPr="00EB3048">
              <w:rPr>
                <w:b w:val="0"/>
                <w:bCs w:val="0"/>
                <w:color w:val="E7E6E6" w:themeColor="background2"/>
                <w:sz w:val="18"/>
                <w:szCs w:val="18"/>
              </w:rPr>
              <w:t>0</w:t>
            </w:r>
          </w:p>
        </w:tc>
        <w:tc>
          <w:tcPr>
            <w:tcW w:w="793" w:type="dxa"/>
            <w:tcBorders>
              <w:top w:val="single" w:sz="4" w:space="0" w:color="auto"/>
              <w:left w:val="dashed" w:sz="4" w:space="0" w:color="auto"/>
              <w:bottom w:val="double" w:sz="4" w:space="0" w:color="auto"/>
              <w:right w:val="dashed" w:sz="4" w:space="0" w:color="auto"/>
            </w:tcBorders>
            <w:shd w:val="clear" w:color="auto" w:fill="auto"/>
            <w:vAlign w:val="center"/>
          </w:tcPr>
          <w:p w:rsidR="00AA0256" w:rsidRPr="00EB3048" w:rsidRDefault="00AA0256" w:rsidP="003E2F9E">
            <w:pPr>
              <w:jc w:val="center"/>
              <w:rPr>
                <w:color w:val="E7E6E6" w:themeColor="background2"/>
              </w:rPr>
            </w:pPr>
            <w:r w:rsidRPr="00EB3048">
              <w:rPr>
                <w:b w:val="0"/>
                <w:bCs w:val="0"/>
                <w:color w:val="E7E6E6" w:themeColor="background2"/>
                <w:sz w:val="18"/>
                <w:szCs w:val="18"/>
              </w:rPr>
              <w:t>0</w:t>
            </w:r>
          </w:p>
        </w:tc>
        <w:tc>
          <w:tcPr>
            <w:tcW w:w="721" w:type="dxa"/>
            <w:tcBorders>
              <w:top w:val="single" w:sz="4" w:space="0" w:color="auto"/>
              <w:left w:val="dashed" w:sz="4" w:space="0" w:color="auto"/>
              <w:bottom w:val="double" w:sz="4" w:space="0" w:color="auto"/>
              <w:right w:val="dashed" w:sz="4" w:space="0" w:color="auto"/>
            </w:tcBorders>
            <w:shd w:val="clear" w:color="auto" w:fill="auto"/>
            <w:vAlign w:val="center"/>
          </w:tcPr>
          <w:p w:rsidR="00AA0256" w:rsidRPr="00EB3048" w:rsidRDefault="00AA0256" w:rsidP="003E2F9E">
            <w:pPr>
              <w:jc w:val="center"/>
              <w:rPr>
                <w:color w:val="E7E6E6" w:themeColor="background2"/>
              </w:rPr>
            </w:pPr>
            <w:r w:rsidRPr="00EB3048">
              <w:rPr>
                <w:b w:val="0"/>
                <w:bCs w:val="0"/>
                <w:color w:val="E7E6E6" w:themeColor="background2"/>
                <w:sz w:val="18"/>
                <w:szCs w:val="18"/>
              </w:rPr>
              <w:t>0</w:t>
            </w:r>
          </w:p>
        </w:tc>
        <w:tc>
          <w:tcPr>
            <w:tcW w:w="847" w:type="dxa"/>
            <w:gridSpan w:val="2"/>
            <w:tcBorders>
              <w:top w:val="single" w:sz="4" w:space="0" w:color="auto"/>
              <w:left w:val="dashed" w:sz="4" w:space="0" w:color="auto"/>
              <w:bottom w:val="double" w:sz="4" w:space="0" w:color="auto"/>
              <w:right w:val="dashed" w:sz="4" w:space="0" w:color="auto"/>
            </w:tcBorders>
            <w:shd w:val="clear" w:color="auto" w:fill="auto"/>
            <w:vAlign w:val="center"/>
          </w:tcPr>
          <w:p w:rsidR="00AA0256" w:rsidRPr="00EB3048" w:rsidRDefault="00AA0256" w:rsidP="003E2F9E">
            <w:pPr>
              <w:jc w:val="center"/>
              <w:rPr>
                <w:color w:val="E7E6E6" w:themeColor="background2"/>
              </w:rPr>
            </w:pPr>
            <w:r w:rsidRPr="00EB3048">
              <w:rPr>
                <w:b w:val="0"/>
                <w:bCs w:val="0"/>
                <w:color w:val="E7E6E6" w:themeColor="background2"/>
                <w:sz w:val="18"/>
                <w:szCs w:val="18"/>
              </w:rPr>
              <w:t>0</w:t>
            </w:r>
          </w:p>
        </w:tc>
        <w:tc>
          <w:tcPr>
            <w:tcW w:w="774" w:type="dxa"/>
            <w:tcBorders>
              <w:top w:val="single" w:sz="4" w:space="0" w:color="auto"/>
              <w:left w:val="dashed" w:sz="4" w:space="0" w:color="auto"/>
              <w:bottom w:val="double" w:sz="4" w:space="0" w:color="auto"/>
              <w:right w:val="dashed" w:sz="4" w:space="0" w:color="auto"/>
            </w:tcBorders>
            <w:shd w:val="clear" w:color="auto" w:fill="auto"/>
            <w:vAlign w:val="center"/>
          </w:tcPr>
          <w:p w:rsidR="00AA0256" w:rsidRPr="00EB3048" w:rsidRDefault="00AA0256" w:rsidP="003E2F9E">
            <w:pPr>
              <w:jc w:val="center"/>
              <w:rPr>
                <w:color w:val="E7E6E6" w:themeColor="background2"/>
              </w:rPr>
            </w:pPr>
            <w:r w:rsidRPr="00EB3048">
              <w:rPr>
                <w:b w:val="0"/>
                <w:bCs w:val="0"/>
                <w:color w:val="E7E6E6" w:themeColor="background2"/>
                <w:sz w:val="18"/>
                <w:szCs w:val="18"/>
              </w:rPr>
              <w:t>0</w:t>
            </w:r>
          </w:p>
        </w:tc>
        <w:tc>
          <w:tcPr>
            <w:tcW w:w="777" w:type="dxa"/>
            <w:tcBorders>
              <w:top w:val="single" w:sz="4" w:space="0" w:color="auto"/>
              <w:left w:val="dashed" w:sz="4" w:space="0" w:color="auto"/>
              <w:bottom w:val="double" w:sz="4" w:space="0" w:color="auto"/>
              <w:right w:val="dashed" w:sz="4" w:space="0" w:color="auto"/>
            </w:tcBorders>
            <w:shd w:val="clear" w:color="auto" w:fill="auto"/>
            <w:vAlign w:val="center"/>
          </w:tcPr>
          <w:p w:rsidR="00AA0256" w:rsidRPr="00EB3048" w:rsidRDefault="00AA0256" w:rsidP="003E2F9E">
            <w:pPr>
              <w:jc w:val="center"/>
              <w:rPr>
                <w:color w:val="E7E6E6" w:themeColor="background2"/>
              </w:rPr>
            </w:pPr>
            <w:r w:rsidRPr="00EB3048">
              <w:rPr>
                <w:b w:val="0"/>
                <w:bCs w:val="0"/>
                <w:color w:val="E7E6E6" w:themeColor="background2"/>
                <w:sz w:val="18"/>
                <w:szCs w:val="18"/>
              </w:rPr>
              <w:t>0</w:t>
            </w:r>
          </w:p>
        </w:tc>
        <w:tc>
          <w:tcPr>
            <w:tcW w:w="682" w:type="dxa"/>
            <w:tcBorders>
              <w:top w:val="single" w:sz="4" w:space="0" w:color="auto"/>
              <w:left w:val="dashed" w:sz="4" w:space="0" w:color="auto"/>
              <w:bottom w:val="double" w:sz="4" w:space="0" w:color="auto"/>
              <w:right w:val="dashed" w:sz="4" w:space="0" w:color="auto"/>
            </w:tcBorders>
            <w:shd w:val="clear" w:color="auto" w:fill="auto"/>
            <w:vAlign w:val="center"/>
          </w:tcPr>
          <w:p w:rsidR="00AA0256" w:rsidRPr="00EB3048" w:rsidRDefault="00AA0256" w:rsidP="003E2F9E">
            <w:pPr>
              <w:jc w:val="center"/>
              <w:rPr>
                <w:color w:val="E7E6E6" w:themeColor="background2"/>
              </w:rPr>
            </w:pPr>
            <w:r w:rsidRPr="00EB3048">
              <w:rPr>
                <w:b w:val="0"/>
                <w:bCs w:val="0"/>
                <w:color w:val="E7E6E6" w:themeColor="background2"/>
                <w:sz w:val="18"/>
                <w:szCs w:val="18"/>
              </w:rPr>
              <w:t>0</w:t>
            </w:r>
          </w:p>
        </w:tc>
        <w:tc>
          <w:tcPr>
            <w:tcW w:w="701" w:type="dxa"/>
            <w:tcBorders>
              <w:top w:val="single" w:sz="4" w:space="0" w:color="auto"/>
              <w:left w:val="dashed" w:sz="4" w:space="0" w:color="auto"/>
              <w:bottom w:val="double" w:sz="4" w:space="0" w:color="auto"/>
              <w:right w:val="dashed" w:sz="4" w:space="0" w:color="auto"/>
            </w:tcBorders>
            <w:shd w:val="clear" w:color="auto" w:fill="auto"/>
            <w:vAlign w:val="center"/>
          </w:tcPr>
          <w:p w:rsidR="00AA0256" w:rsidRPr="00EB3048" w:rsidRDefault="00AA0256" w:rsidP="003E2F9E">
            <w:pPr>
              <w:jc w:val="center"/>
              <w:rPr>
                <w:color w:val="E7E6E6" w:themeColor="background2"/>
              </w:rPr>
            </w:pPr>
            <w:r w:rsidRPr="00EB3048">
              <w:rPr>
                <w:b w:val="0"/>
                <w:bCs w:val="0"/>
                <w:color w:val="E7E6E6" w:themeColor="background2"/>
                <w:sz w:val="18"/>
                <w:szCs w:val="18"/>
              </w:rPr>
              <w:t>0</w:t>
            </w:r>
          </w:p>
        </w:tc>
        <w:tc>
          <w:tcPr>
            <w:tcW w:w="662" w:type="dxa"/>
            <w:tcBorders>
              <w:top w:val="single" w:sz="4" w:space="0" w:color="auto"/>
              <w:left w:val="dashed" w:sz="4" w:space="0" w:color="auto"/>
              <w:bottom w:val="double" w:sz="4" w:space="0" w:color="auto"/>
              <w:right w:val="dashed" w:sz="4" w:space="0" w:color="auto"/>
            </w:tcBorders>
            <w:shd w:val="clear" w:color="auto" w:fill="auto"/>
            <w:vAlign w:val="center"/>
          </w:tcPr>
          <w:p w:rsidR="00AA0256" w:rsidRPr="00EB3048" w:rsidRDefault="00AA0256" w:rsidP="003E2F9E">
            <w:pPr>
              <w:jc w:val="center"/>
              <w:rPr>
                <w:color w:val="E7E6E6" w:themeColor="background2"/>
              </w:rPr>
            </w:pPr>
            <w:r w:rsidRPr="00EB3048">
              <w:rPr>
                <w:b w:val="0"/>
                <w:bCs w:val="0"/>
                <w:color w:val="E7E6E6" w:themeColor="background2"/>
                <w:sz w:val="18"/>
                <w:szCs w:val="18"/>
              </w:rPr>
              <w:t>0</w:t>
            </w:r>
          </w:p>
        </w:tc>
        <w:tc>
          <w:tcPr>
            <w:tcW w:w="619" w:type="dxa"/>
            <w:tcBorders>
              <w:top w:val="single" w:sz="4" w:space="0" w:color="auto"/>
              <w:left w:val="dashed" w:sz="4" w:space="0" w:color="auto"/>
              <w:bottom w:val="double" w:sz="4" w:space="0" w:color="auto"/>
            </w:tcBorders>
            <w:shd w:val="clear" w:color="auto" w:fill="auto"/>
            <w:vAlign w:val="center"/>
          </w:tcPr>
          <w:p w:rsidR="00AA0256" w:rsidRPr="00EB3048" w:rsidRDefault="00AA0256" w:rsidP="003E2F9E">
            <w:pPr>
              <w:bidi w:val="0"/>
              <w:spacing w:after="0"/>
              <w:jc w:val="center"/>
              <w:rPr>
                <w:b w:val="0"/>
                <w:bCs w:val="0"/>
                <w:color w:val="E7E6E6" w:themeColor="background2"/>
                <w:sz w:val="18"/>
                <w:szCs w:val="18"/>
                <w:rtl/>
              </w:rPr>
            </w:pPr>
            <w:r w:rsidRPr="00EB3048">
              <w:rPr>
                <w:b w:val="0"/>
                <w:bCs w:val="0"/>
                <w:color w:val="E7E6E6" w:themeColor="background2"/>
                <w:sz w:val="18"/>
                <w:szCs w:val="18"/>
              </w:rPr>
              <w:t>0</w:t>
            </w:r>
          </w:p>
        </w:tc>
        <w:tc>
          <w:tcPr>
            <w:tcW w:w="2872" w:type="dxa"/>
          </w:tcPr>
          <w:p w:rsidR="00AA0256" w:rsidRPr="0062047C" w:rsidRDefault="00AA0256" w:rsidP="003E2F9E">
            <w:pPr>
              <w:pStyle w:val="ListParagraph"/>
              <w:bidi w:val="0"/>
              <w:spacing w:after="0"/>
              <w:ind w:left="0"/>
              <w:rPr>
                <w:b w:val="0"/>
                <w:bCs w:val="0"/>
                <w:sz w:val="18"/>
                <w:szCs w:val="18"/>
              </w:rPr>
            </w:pPr>
            <w:r w:rsidRPr="0062047C">
              <w:rPr>
                <w:b w:val="0"/>
                <w:bCs w:val="0"/>
                <w:sz w:val="18"/>
                <w:szCs w:val="18"/>
              </w:rPr>
              <w:t>Vertical disallowances (</w:t>
            </w:r>
            <w:r w:rsidRPr="0062047C">
              <w:rPr>
                <w:rFonts w:ascii="Times New Roman" w:eastAsiaTheme="minorHAnsi" w:hAnsi="Times New Roman" w:cs="Times New Roman"/>
                <w:b w:val="0"/>
                <w:bCs w:val="0"/>
                <w:sz w:val="18"/>
                <w:szCs w:val="18"/>
              </w:rPr>
              <w:t>matched position</w:t>
            </w:r>
            <w:r w:rsidRPr="0062047C">
              <w:rPr>
                <w:b w:val="0"/>
                <w:bCs w:val="0"/>
                <w:sz w:val="18"/>
                <w:szCs w:val="18"/>
              </w:rPr>
              <w:t xml:space="preserve"> within time-band *10%)</w:t>
            </w:r>
          </w:p>
        </w:tc>
        <w:tc>
          <w:tcPr>
            <w:tcW w:w="490" w:type="dxa"/>
          </w:tcPr>
          <w:p w:rsidR="00AA0256" w:rsidRPr="0062047C" w:rsidRDefault="00AA0256" w:rsidP="003E2F9E">
            <w:pPr>
              <w:bidi w:val="0"/>
              <w:spacing w:after="0"/>
              <w:jc w:val="center"/>
              <w:rPr>
                <w:b w:val="0"/>
                <w:bCs w:val="0"/>
                <w:sz w:val="18"/>
                <w:szCs w:val="18"/>
                <w:rtl/>
              </w:rPr>
            </w:pPr>
            <w:r>
              <w:rPr>
                <w:b w:val="0"/>
                <w:bCs w:val="0"/>
                <w:sz w:val="18"/>
                <w:szCs w:val="18"/>
              </w:rPr>
              <w:t>5</w:t>
            </w:r>
          </w:p>
        </w:tc>
      </w:tr>
      <w:tr w:rsidR="00AA0256" w:rsidRPr="0062047C" w:rsidTr="00AA0256">
        <w:tc>
          <w:tcPr>
            <w:tcW w:w="650" w:type="dxa"/>
            <w:tcBorders>
              <w:left w:val="single" w:sz="4" w:space="0" w:color="auto"/>
              <w:right w:val="single" w:sz="4" w:space="0" w:color="auto"/>
            </w:tcBorders>
            <w:shd w:val="clear" w:color="auto" w:fill="FFF2CC" w:themeFill="accent4" w:themeFillTint="33"/>
            <w:vAlign w:val="center"/>
          </w:tcPr>
          <w:p w:rsidR="00AA0256" w:rsidRPr="001C0206" w:rsidRDefault="00AA0256" w:rsidP="003E2F9E">
            <w:pPr>
              <w:bidi w:val="0"/>
              <w:spacing w:after="0"/>
              <w:rPr>
                <w:sz w:val="18"/>
                <w:szCs w:val="18"/>
                <w:rtl/>
              </w:rPr>
            </w:pPr>
            <w:r>
              <w:rPr>
                <w:sz w:val="18"/>
                <w:szCs w:val="18"/>
              </w:rPr>
              <w:t>0</w:t>
            </w:r>
          </w:p>
        </w:tc>
        <w:tc>
          <w:tcPr>
            <w:tcW w:w="5503" w:type="dxa"/>
            <w:gridSpan w:val="7"/>
            <w:tcBorders>
              <w:top w:val="double" w:sz="4" w:space="0" w:color="auto"/>
              <w:left w:val="single" w:sz="4" w:space="0" w:color="auto"/>
              <w:bottom w:val="double" w:sz="4" w:space="0" w:color="auto"/>
              <w:right w:val="dashed" w:sz="4" w:space="0" w:color="auto"/>
            </w:tcBorders>
            <w:shd w:val="clear" w:color="auto" w:fill="E7E6E6" w:themeFill="background2"/>
            <w:vAlign w:val="center"/>
          </w:tcPr>
          <w:p w:rsidR="00AA0256" w:rsidRPr="001C0206" w:rsidRDefault="00AA0256" w:rsidP="003E2F9E">
            <w:pPr>
              <w:jc w:val="center"/>
            </w:pPr>
          </w:p>
        </w:tc>
        <w:tc>
          <w:tcPr>
            <w:tcW w:w="721" w:type="dxa"/>
            <w:tcBorders>
              <w:top w:val="double" w:sz="4" w:space="0" w:color="auto"/>
              <w:left w:val="dashed" w:sz="4" w:space="0" w:color="auto"/>
              <w:bottom w:val="double" w:sz="4" w:space="0" w:color="auto"/>
              <w:right w:val="single" w:sz="4" w:space="0" w:color="auto"/>
            </w:tcBorders>
            <w:shd w:val="clear" w:color="auto" w:fill="E7E6E6" w:themeFill="background2"/>
            <w:vAlign w:val="center"/>
          </w:tcPr>
          <w:p w:rsidR="00AA0256" w:rsidRPr="001C0206" w:rsidRDefault="00AA0256" w:rsidP="003E2F9E">
            <w:pPr>
              <w:jc w:val="center"/>
            </w:pPr>
            <w:r w:rsidRPr="001C0206">
              <w:rPr>
                <w:sz w:val="18"/>
                <w:szCs w:val="18"/>
              </w:rPr>
              <w:t>0</w:t>
            </w:r>
          </w:p>
        </w:tc>
        <w:tc>
          <w:tcPr>
            <w:tcW w:w="1621" w:type="dxa"/>
            <w:gridSpan w:val="3"/>
            <w:tcBorders>
              <w:top w:val="double" w:sz="4" w:space="0" w:color="auto"/>
              <w:left w:val="single" w:sz="4" w:space="0" w:color="auto"/>
              <w:bottom w:val="double" w:sz="4" w:space="0" w:color="auto"/>
              <w:right w:val="dashed" w:sz="4" w:space="0" w:color="auto"/>
            </w:tcBorders>
            <w:shd w:val="clear" w:color="auto" w:fill="E7E6E6" w:themeFill="background2"/>
            <w:vAlign w:val="center"/>
          </w:tcPr>
          <w:p w:rsidR="00AA0256" w:rsidRPr="001C0206" w:rsidRDefault="00AA0256" w:rsidP="003E2F9E">
            <w:pPr>
              <w:jc w:val="center"/>
            </w:pPr>
          </w:p>
        </w:tc>
        <w:tc>
          <w:tcPr>
            <w:tcW w:w="777" w:type="dxa"/>
            <w:tcBorders>
              <w:top w:val="double" w:sz="4" w:space="0" w:color="auto"/>
              <w:left w:val="dashed" w:sz="4" w:space="0" w:color="auto"/>
              <w:bottom w:val="double" w:sz="4" w:space="0" w:color="auto"/>
              <w:right w:val="single" w:sz="4" w:space="0" w:color="auto"/>
            </w:tcBorders>
            <w:shd w:val="clear" w:color="auto" w:fill="E7E6E6" w:themeFill="background2"/>
            <w:vAlign w:val="center"/>
          </w:tcPr>
          <w:p w:rsidR="00AA0256" w:rsidRPr="001C0206" w:rsidRDefault="00AA0256" w:rsidP="003E2F9E">
            <w:pPr>
              <w:jc w:val="center"/>
            </w:pPr>
            <w:r w:rsidRPr="001C0206">
              <w:rPr>
                <w:sz w:val="18"/>
                <w:szCs w:val="18"/>
              </w:rPr>
              <w:t>0</w:t>
            </w:r>
          </w:p>
        </w:tc>
        <w:tc>
          <w:tcPr>
            <w:tcW w:w="2045" w:type="dxa"/>
            <w:gridSpan w:val="3"/>
            <w:tcBorders>
              <w:top w:val="double" w:sz="4" w:space="0" w:color="auto"/>
              <w:left w:val="single" w:sz="4" w:space="0" w:color="auto"/>
              <w:bottom w:val="double" w:sz="4" w:space="0" w:color="auto"/>
              <w:right w:val="dashed" w:sz="4" w:space="0" w:color="auto"/>
            </w:tcBorders>
            <w:shd w:val="clear" w:color="auto" w:fill="E7E6E6" w:themeFill="background2"/>
            <w:vAlign w:val="center"/>
          </w:tcPr>
          <w:p w:rsidR="00AA0256" w:rsidRPr="001C0206" w:rsidRDefault="00AA0256" w:rsidP="003E2F9E">
            <w:pPr>
              <w:jc w:val="center"/>
            </w:pPr>
          </w:p>
        </w:tc>
        <w:tc>
          <w:tcPr>
            <w:tcW w:w="619" w:type="dxa"/>
            <w:tcBorders>
              <w:top w:val="double" w:sz="4" w:space="0" w:color="auto"/>
              <w:left w:val="dashed" w:sz="4" w:space="0" w:color="auto"/>
              <w:bottom w:val="double" w:sz="4" w:space="0" w:color="auto"/>
            </w:tcBorders>
            <w:shd w:val="clear" w:color="auto" w:fill="E7E6E6" w:themeFill="background2"/>
            <w:vAlign w:val="center"/>
          </w:tcPr>
          <w:p w:rsidR="00AA0256" w:rsidRPr="001C0206" w:rsidRDefault="00AA0256" w:rsidP="003E2F9E">
            <w:pPr>
              <w:bidi w:val="0"/>
              <w:spacing w:after="0"/>
              <w:jc w:val="center"/>
              <w:rPr>
                <w:sz w:val="18"/>
                <w:szCs w:val="18"/>
                <w:rtl/>
              </w:rPr>
            </w:pPr>
            <w:r w:rsidRPr="001C0206">
              <w:rPr>
                <w:sz w:val="18"/>
                <w:szCs w:val="18"/>
              </w:rPr>
              <w:t>0</w:t>
            </w:r>
          </w:p>
        </w:tc>
        <w:tc>
          <w:tcPr>
            <w:tcW w:w="2872" w:type="dxa"/>
          </w:tcPr>
          <w:p w:rsidR="00AA0256" w:rsidRPr="0062047C" w:rsidRDefault="00AA0256" w:rsidP="003E2F9E">
            <w:pPr>
              <w:pStyle w:val="ListParagraph"/>
              <w:bidi w:val="0"/>
              <w:spacing w:after="0"/>
              <w:ind w:left="0"/>
              <w:rPr>
                <w:b w:val="0"/>
                <w:bCs w:val="0"/>
                <w:sz w:val="18"/>
                <w:szCs w:val="18"/>
              </w:rPr>
            </w:pPr>
            <w:r w:rsidRPr="0062047C">
              <w:rPr>
                <w:b w:val="0"/>
                <w:bCs w:val="0"/>
                <w:sz w:val="18"/>
                <w:szCs w:val="18"/>
              </w:rPr>
              <w:t xml:space="preserve">horizontal disallowances: </w:t>
            </w:r>
            <w:r w:rsidRPr="0062047C">
              <w:rPr>
                <w:rFonts w:ascii="Times New Roman" w:eastAsiaTheme="minorHAnsi" w:hAnsi="Times New Roman" w:cs="Times New Roman"/>
                <w:b w:val="0"/>
                <w:bCs w:val="0"/>
                <w:sz w:val="18"/>
                <w:szCs w:val="18"/>
              </w:rPr>
              <w:t>matched position</w:t>
            </w:r>
            <w:r w:rsidRPr="0062047C">
              <w:rPr>
                <w:b w:val="0"/>
                <w:bCs w:val="0"/>
                <w:sz w:val="18"/>
                <w:szCs w:val="18"/>
              </w:rPr>
              <w:t xml:space="preserve"> within the zones * (40%,30%,30%)</w:t>
            </w:r>
          </w:p>
        </w:tc>
        <w:tc>
          <w:tcPr>
            <w:tcW w:w="490" w:type="dxa"/>
          </w:tcPr>
          <w:p w:rsidR="00AA0256" w:rsidRPr="0062047C" w:rsidRDefault="00AA0256" w:rsidP="003E2F9E">
            <w:pPr>
              <w:bidi w:val="0"/>
              <w:spacing w:after="0"/>
              <w:jc w:val="center"/>
              <w:rPr>
                <w:b w:val="0"/>
                <w:bCs w:val="0"/>
                <w:sz w:val="18"/>
                <w:szCs w:val="18"/>
                <w:rtl/>
              </w:rPr>
            </w:pPr>
            <w:r>
              <w:rPr>
                <w:b w:val="0"/>
                <w:bCs w:val="0"/>
                <w:sz w:val="18"/>
                <w:szCs w:val="18"/>
              </w:rPr>
              <w:t>6</w:t>
            </w:r>
          </w:p>
        </w:tc>
      </w:tr>
      <w:tr w:rsidR="00AA0256" w:rsidRPr="0062047C" w:rsidTr="00AA0256">
        <w:tc>
          <w:tcPr>
            <w:tcW w:w="650" w:type="dxa"/>
            <w:tcBorders>
              <w:left w:val="single" w:sz="4" w:space="0" w:color="auto"/>
            </w:tcBorders>
            <w:shd w:val="clear" w:color="auto" w:fill="FFF2CC" w:themeFill="accent4" w:themeFillTint="33"/>
            <w:vAlign w:val="center"/>
          </w:tcPr>
          <w:p w:rsidR="00AA0256" w:rsidRPr="001C0206" w:rsidRDefault="00AA0256" w:rsidP="003E2F9E">
            <w:pPr>
              <w:bidi w:val="0"/>
              <w:spacing w:after="0"/>
              <w:rPr>
                <w:sz w:val="18"/>
                <w:szCs w:val="18"/>
                <w:rtl/>
              </w:rPr>
            </w:pPr>
            <w:r>
              <w:rPr>
                <w:sz w:val="18"/>
                <w:szCs w:val="18"/>
              </w:rPr>
              <w:t>0</w:t>
            </w:r>
          </w:p>
        </w:tc>
        <w:tc>
          <w:tcPr>
            <w:tcW w:w="7033" w:type="dxa"/>
            <w:gridSpan w:val="9"/>
            <w:tcBorders>
              <w:top w:val="double" w:sz="4" w:space="0" w:color="auto"/>
              <w:right w:val="single" w:sz="4" w:space="0" w:color="auto"/>
            </w:tcBorders>
            <w:shd w:val="clear" w:color="auto" w:fill="FFC000"/>
          </w:tcPr>
          <w:p w:rsidR="00AA0256" w:rsidRPr="0062047C" w:rsidRDefault="00AA0256" w:rsidP="003E2F9E">
            <w:pPr>
              <w:bidi w:val="0"/>
              <w:spacing w:after="0"/>
              <w:jc w:val="center"/>
              <w:rPr>
                <w:b w:val="0"/>
                <w:bCs w:val="0"/>
                <w:sz w:val="18"/>
                <w:szCs w:val="18"/>
                <w:rtl/>
              </w:rPr>
            </w:pPr>
          </w:p>
        </w:tc>
        <w:tc>
          <w:tcPr>
            <w:tcW w:w="812" w:type="dxa"/>
            <w:gridSpan w:val="2"/>
            <w:tcBorders>
              <w:top w:val="double" w:sz="4" w:space="0" w:color="auto"/>
              <w:left w:val="single" w:sz="4" w:space="0" w:color="auto"/>
              <w:bottom w:val="single" w:sz="4" w:space="0" w:color="auto"/>
              <w:right w:val="single" w:sz="4" w:space="0" w:color="auto"/>
            </w:tcBorders>
            <w:shd w:val="clear" w:color="auto" w:fill="FFC000"/>
            <w:vAlign w:val="center"/>
          </w:tcPr>
          <w:p w:rsidR="00AA0256" w:rsidRPr="0062047C" w:rsidRDefault="00AA0256" w:rsidP="003E2F9E">
            <w:pPr>
              <w:bidi w:val="0"/>
              <w:spacing w:after="0"/>
              <w:jc w:val="center"/>
              <w:rPr>
                <w:b w:val="0"/>
                <w:bCs w:val="0"/>
                <w:sz w:val="18"/>
                <w:szCs w:val="18"/>
                <w:rtl/>
              </w:rPr>
            </w:pPr>
            <w:r>
              <w:rPr>
                <w:b w:val="0"/>
                <w:bCs w:val="0"/>
                <w:sz w:val="18"/>
                <w:szCs w:val="18"/>
              </w:rPr>
              <w:t>0</w:t>
            </w:r>
          </w:p>
        </w:tc>
        <w:tc>
          <w:tcPr>
            <w:tcW w:w="2822" w:type="dxa"/>
            <w:gridSpan w:val="4"/>
            <w:tcBorders>
              <w:top w:val="double" w:sz="4" w:space="0" w:color="auto"/>
              <w:left w:val="single" w:sz="4" w:space="0" w:color="auto"/>
              <w:bottom w:val="single" w:sz="4" w:space="0" w:color="auto"/>
              <w:right w:val="single" w:sz="4" w:space="0" w:color="auto"/>
            </w:tcBorders>
            <w:shd w:val="clear" w:color="auto" w:fill="FFC000"/>
            <w:vAlign w:val="center"/>
          </w:tcPr>
          <w:p w:rsidR="00AA0256" w:rsidRPr="0062047C" w:rsidRDefault="00AA0256" w:rsidP="003E2F9E">
            <w:pPr>
              <w:bidi w:val="0"/>
              <w:spacing w:after="0"/>
              <w:jc w:val="center"/>
              <w:rPr>
                <w:b w:val="0"/>
                <w:bCs w:val="0"/>
                <w:sz w:val="18"/>
                <w:szCs w:val="18"/>
                <w:rtl/>
              </w:rPr>
            </w:pPr>
          </w:p>
        </w:tc>
        <w:tc>
          <w:tcPr>
            <w:tcW w:w="619" w:type="dxa"/>
            <w:tcBorders>
              <w:top w:val="double" w:sz="4" w:space="0" w:color="auto"/>
              <w:left w:val="single" w:sz="4" w:space="0" w:color="auto"/>
              <w:bottom w:val="single" w:sz="4" w:space="0" w:color="auto"/>
            </w:tcBorders>
            <w:shd w:val="clear" w:color="auto" w:fill="FFC000"/>
            <w:vAlign w:val="center"/>
          </w:tcPr>
          <w:p w:rsidR="00AA0256" w:rsidRPr="0062047C" w:rsidRDefault="00AA0256" w:rsidP="003E2F9E">
            <w:pPr>
              <w:bidi w:val="0"/>
              <w:spacing w:after="0"/>
              <w:jc w:val="center"/>
              <w:rPr>
                <w:b w:val="0"/>
                <w:bCs w:val="0"/>
                <w:sz w:val="18"/>
                <w:szCs w:val="18"/>
                <w:rtl/>
              </w:rPr>
            </w:pPr>
            <w:r>
              <w:rPr>
                <w:b w:val="0"/>
                <w:bCs w:val="0"/>
                <w:sz w:val="18"/>
                <w:szCs w:val="18"/>
              </w:rPr>
              <w:t>0</w:t>
            </w:r>
          </w:p>
        </w:tc>
        <w:tc>
          <w:tcPr>
            <w:tcW w:w="2872" w:type="dxa"/>
            <w:tcBorders>
              <w:bottom w:val="single" w:sz="4" w:space="0" w:color="auto"/>
            </w:tcBorders>
          </w:tcPr>
          <w:p w:rsidR="00AA0256" w:rsidRPr="0062047C" w:rsidRDefault="00AA0256" w:rsidP="003E2F9E">
            <w:pPr>
              <w:pStyle w:val="ListParagraph"/>
              <w:bidi w:val="0"/>
              <w:spacing w:after="0"/>
              <w:ind w:left="0"/>
              <w:rPr>
                <w:b w:val="0"/>
                <w:bCs w:val="0"/>
                <w:sz w:val="18"/>
                <w:szCs w:val="18"/>
              </w:rPr>
            </w:pPr>
            <w:r w:rsidRPr="0062047C">
              <w:rPr>
                <w:b w:val="0"/>
                <w:bCs w:val="0"/>
                <w:sz w:val="18"/>
                <w:szCs w:val="18"/>
              </w:rPr>
              <w:t xml:space="preserve">horizontal disallowances: </w:t>
            </w:r>
            <w:r w:rsidRPr="0062047C">
              <w:rPr>
                <w:rFonts w:ascii="Times New Roman" w:eastAsiaTheme="minorHAnsi" w:hAnsi="Times New Roman" w:cs="Times New Roman"/>
                <w:b w:val="0"/>
                <w:bCs w:val="0"/>
                <w:sz w:val="18"/>
                <w:szCs w:val="18"/>
              </w:rPr>
              <w:t>matched position</w:t>
            </w:r>
            <w:r w:rsidRPr="0062047C">
              <w:rPr>
                <w:b w:val="0"/>
                <w:bCs w:val="0"/>
                <w:sz w:val="18"/>
                <w:szCs w:val="18"/>
              </w:rPr>
              <w:t xml:space="preserve"> between adjacent zones*40%</w:t>
            </w:r>
          </w:p>
        </w:tc>
        <w:tc>
          <w:tcPr>
            <w:tcW w:w="490" w:type="dxa"/>
          </w:tcPr>
          <w:p w:rsidR="00AA0256" w:rsidRPr="0062047C" w:rsidRDefault="00AA0256" w:rsidP="003E2F9E">
            <w:pPr>
              <w:bidi w:val="0"/>
              <w:spacing w:after="0"/>
              <w:jc w:val="center"/>
              <w:rPr>
                <w:b w:val="0"/>
                <w:bCs w:val="0"/>
                <w:sz w:val="18"/>
                <w:szCs w:val="18"/>
                <w:rtl/>
              </w:rPr>
            </w:pPr>
            <w:r>
              <w:rPr>
                <w:b w:val="0"/>
                <w:bCs w:val="0"/>
                <w:sz w:val="18"/>
                <w:szCs w:val="18"/>
              </w:rPr>
              <w:t>7</w:t>
            </w:r>
          </w:p>
        </w:tc>
      </w:tr>
      <w:tr w:rsidR="00AA0256" w:rsidRPr="0062047C" w:rsidTr="00AA0256">
        <w:tc>
          <w:tcPr>
            <w:tcW w:w="650" w:type="dxa"/>
            <w:tcBorders>
              <w:left w:val="single" w:sz="4" w:space="0" w:color="auto"/>
            </w:tcBorders>
            <w:shd w:val="clear" w:color="auto" w:fill="FFF2CC" w:themeFill="accent4" w:themeFillTint="33"/>
            <w:vAlign w:val="center"/>
          </w:tcPr>
          <w:p w:rsidR="00AA0256" w:rsidRPr="001C0206" w:rsidRDefault="00AA0256" w:rsidP="003E2F9E">
            <w:pPr>
              <w:bidi w:val="0"/>
              <w:spacing w:after="0"/>
              <w:rPr>
                <w:sz w:val="18"/>
                <w:szCs w:val="18"/>
                <w:rtl/>
              </w:rPr>
            </w:pPr>
            <w:r>
              <w:rPr>
                <w:sz w:val="18"/>
                <w:szCs w:val="18"/>
              </w:rPr>
              <w:t>0</w:t>
            </w:r>
          </w:p>
        </w:tc>
        <w:tc>
          <w:tcPr>
            <w:tcW w:w="11286" w:type="dxa"/>
            <w:gridSpan w:val="16"/>
            <w:shd w:val="clear" w:color="auto" w:fill="92D050"/>
          </w:tcPr>
          <w:p w:rsidR="00AA0256" w:rsidRPr="001C0206" w:rsidRDefault="00AA0256" w:rsidP="003E2F9E">
            <w:pPr>
              <w:bidi w:val="0"/>
              <w:spacing w:after="0"/>
              <w:jc w:val="left"/>
              <w:rPr>
                <w:sz w:val="18"/>
                <w:szCs w:val="18"/>
                <w:rtl/>
              </w:rPr>
            </w:pPr>
            <w:r w:rsidRPr="001C0206">
              <w:rPr>
                <w:sz w:val="18"/>
                <w:szCs w:val="18"/>
              </w:rPr>
              <w:t>0</w:t>
            </w:r>
          </w:p>
        </w:tc>
        <w:tc>
          <w:tcPr>
            <w:tcW w:w="2872" w:type="dxa"/>
            <w:tcBorders>
              <w:top w:val="single" w:sz="4" w:space="0" w:color="auto"/>
            </w:tcBorders>
          </w:tcPr>
          <w:p w:rsidR="00AA0256" w:rsidRPr="0062047C" w:rsidRDefault="00AA0256" w:rsidP="003E2F9E">
            <w:pPr>
              <w:pStyle w:val="ListParagraph"/>
              <w:bidi w:val="0"/>
              <w:spacing w:after="0"/>
              <w:ind w:left="-1" w:firstLine="1"/>
              <w:rPr>
                <w:b w:val="0"/>
                <w:bCs w:val="0"/>
                <w:sz w:val="18"/>
                <w:szCs w:val="18"/>
              </w:rPr>
            </w:pPr>
            <w:r w:rsidRPr="0062047C">
              <w:rPr>
                <w:b w:val="0"/>
                <w:bCs w:val="0"/>
                <w:sz w:val="18"/>
                <w:szCs w:val="18"/>
              </w:rPr>
              <w:t xml:space="preserve">horizontal disallowances: </w:t>
            </w:r>
            <w:r w:rsidRPr="0062047C">
              <w:rPr>
                <w:rFonts w:ascii="Times New Roman" w:eastAsiaTheme="minorHAnsi" w:hAnsi="Times New Roman" w:cs="Times New Roman"/>
                <w:b w:val="0"/>
                <w:bCs w:val="0"/>
                <w:sz w:val="18"/>
                <w:szCs w:val="18"/>
              </w:rPr>
              <w:t>matched position</w:t>
            </w:r>
            <w:r w:rsidRPr="0062047C">
              <w:rPr>
                <w:b w:val="0"/>
                <w:bCs w:val="0"/>
                <w:sz w:val="18"/>
                <w:szCs w:val="18"/>
              </w:rPr>
              <w:t xml:space="preserve"> between zones 1and3 * 100%</w:t>
            </w:r>
          </w:p>
        </w:tc>
        <w:tc>
          <w:tcPr>
            <w:tcW w:w="490" w:type="dxa"/>
          </w:tcPr>
          <w:p w:rsidR="00AA0256" w:rsidRPr="0062047C" w:rsidRDefault="00AA0256" w:rsidP="003E2F9E">
            <w:pPr>
              <w:bidi w:val="0"/>
              <w:spacing w:after="0"/>
              <w:jc w:val="center"/>
              <w:rPr>
                <w:b w:val="0"/>
                <w:bCs w:val="0"/>
                <w:sz w:val="18"/>
                <w:szCs w:val="18"/>
                <w:rtl/>
              </w:rPr>
            </w:pPr>
            <w:r>
              <w:rPr>
                <w:b w:val="0"/>
                <w:bCs w:val="0"/>
                <w:sz w:val="18"/>
                <w:szCs w:val="18"/>
              </w:rPr>
              <w:t>8</w:t>
            </w:r>
          </w:p>
        </w:tc>
      </w:tr>
      <w:tr w:rsidR="00AA0256" w:rsidRPr="0062047C" w:rsidTr="00AA0256">
        <w:tc>
          <w:tcPr>
            <w:tcW w:w="650" w:type="dxa"/>
            <w:tcBorders>
              <w:left w:val="single" w:sz="4" w:space="0" w:color="auto"/>
            </w:tcBorders>
            <w:shd w:val="clear" w:color="auto" w:fill="FFF2CC" w:themeFill="accent4" w:themeFillTint="33"/>
            <w:vAlign w:val="center"/>
          </w:tcPr>
          <w:p w:rsidR="00AA0256" w:rsidRPr="001C0206" w:rsidRDefault="00AA0256" w:rsidP="003E2F9E">
            <w:pPr>
              <w:bidi w:val="0"/>
              <w:spacing w:after="0"/>
              <w:rPr>
                <w:sz w:val="18"/>
                <w:szCs w:val="18"/>
                <w:rtl/>
              </w:rPr>
            </w:pPr>
            <w:r>
              <w:rPr>
                <w:sz w:val="18"/>
                <w:szCs w:val="18"/>
              </w:rPr>
              <w:t>0</w:t>
            </w:r>
          </w:p>
        </w:tc>
        <w:tc>
          <w:tcPr>
            <w:tcW w:w="14158" w:type="dxa"/>
            <w:gridSpan w:val="17"/>
            <w:shd w:val="clear" w:color="auto" w:fill="auto"/>
          </w:tcPr>
          <w:p w:rsidR="00AA0256" w:rsidRPr="0062047C" w:rsidRDefault="00AA0256" w:rsidP="003E2F9E">
            <w:pPr>
              <w:pStyle w:val="ListParagraph"/>
              <w:bidi w:val="0"/>
              <w:spacing w:after="0"/>
              <w:ind w:left="0"/>
              <w:rPr>
                <w:b w:val="0"/>
                <w:bCs w:val="0"/>
                <w:sz w:val="18"/>
                <w:szCs w:val="18"/>
              </w:rPr>
            </w:pPr>
            <w:r w:rsidRPr="0062047C">
              <w:rPr>
                <w:color w:val="202124"/>
                <w:sz w:val="18"/>
                <w:szCs w:val="18"/>
                <w:lang w:val="en"/>
              </w:rPr>
              <w:t xml:space="preserve">The capital required for general risk of debt instruments subject to interest rate risk equal: </w:t>
            </w:r>
          </w:p>
        </w:tc>
        <w:tc>
          <w:tcPr>
            <w:tcW w:w="490" w:type="dxa"/>
          </w:tcPr>
          <w:p w:rsidR="00AA0256" w:rsidRPr="0062047C" w:rsidRDefault="00AA0256" w:rsidP="003E2F9E">
            <w:pPr>
              <w:bidi w:val="0"/>
              <w:spacing w:after="0"/>
              <w:jc w:val="center"/>
              <w:rPr>
                <w:b w:val="0"/>
                <w:bCs w:val="0"/>
                <w:sz w:val="18"/>
                <w:szCs w:val="18"/>
                <w:rtl/>
              </w:rPr>
            </w:pPr>
          </w:p>
        </w:tc>
      </w:tr>
      <w:tr w:rsidR="00AA0256" w:rsidRPr="0062047C" w:rsidTr="00AA0256">
        <w:tc>
          <w:tcPr>
            <w:tcW w:w="650" w:type="dxa"/>
            <w:tcBorders>
              <w:left w:val="single" w:sz="4" w:space="0" w:color="auto"/>
            </w:tcBorders>
            <w:shd w:val="clear" w:color="auto" w:fill="FFF2CC" w:themeFill="accent4" w:themeFillTint="33"/>
            <w:vAlign w:val="center"/>
          </w:tcPr>
          <w:p w:rsidR="00AA0256" w:rsidRPr="0062047C" w:rsidRDefault="00AA0256" w:rsidP="003E2F9E">
            <w:pPr>
              <w:bidi w:val="0"/>
              <w:spacing w:after="0"/>
              <w:rPr>
                <w:b w:val="0"/>
                <w:bCs w:val="0"/>
                <w:sz w:val="18"/>
                <w:szCs w:val="18"/>
                <w:rtl/>
              </w:rPr>
            </w:pPr>
            <w:r>
              <w:rPr>
                <w:b w:val="0"/>
                <w:bCs w:val="0"/>
                <w:sz w:val="18"/>
                <w:szCs w:val="18"/>
              </w:rPr>
              <w:t>0</w:t>
            </w:r>
          </w:p>
        </w:tc>
        <w:tc>
          <w:tcPr>
            <w:tcW w:w="14158" w:type="dxa"/>
            <w:gridSpan w:val="17"/>
            <w:shd w:val="clear" w:color="auto" w:fill="auto"/>
          </w:tcPr>
          <w:p w:rsidR="00AA0256" w:rsidRPr="0062047C" w:rsidRDefault="00AA0256" w:rsidP="003E2F9E">
            <w:pPr>
              <w:pStyle w:val="ListParagraph"/>
              <w:bidi w:val="0"/>
              <w:spacing w:after="0"/>
              <w:ind w:left="0"/>
              <w:rPr>
                <w:sz w:val="18"/>
                <w:szCs w:val="18"/>
                <w:lang w:bidi="ar-JO"/>
              </w:rPr>
            </w:pPr>
            <w:r w:rsidRPr="0062047C">
              <w:rPr>
                <w:color w:val="202124"/>
                <w:sz w:val="18"/>
                <w:szCs w:val="18"/>
                <w:lang w:val="en"/>
              </w:rPr>
              <w:t>The market general risk for interest rate = the required capital * 12.5</w:t>
            </w:r>
          </w:p>
        </w:tc>
        <w:tc>
          <w:tcPr>
            <w:tcW w:w="490" w:type="dxa"/>
          </w:tcPr>
          <w:p w:rsidR="00AA0256" w:rsidRPr="0062047C" w:rsidRDefault="00AA0256" w:rsidP="003E2F9E">
            <w:pPr>
              <w:bidi w:val="0"/>
              <w:spacing w:after="0"/>
              <w:jc w:val="center"/>
              <w:rPr>
                <w:b w:val="0"/>
                <w:bCs w:val="0"/>
                <w:sz w:val="18"/>
                <w:szCs w:val="18"/>
                <w:rtl/>
              </w:rPr>
            </w:pPr>
          </w:p>
        </w:tc>
      </w:tr>
    </w:tbl>
    <w:p w:rsidR="00505A8B" w:rsidRDefault="00505A8B" w:rsidP="00AA0256">
      <w:pPr>
        <w:rPr>
          <w:rtl/>
          <w:lang w:bidi="ar-JO"/>
        </w:rPr>
        <w:sectPr w:rsidR="00505A8B" w:rsidSect="00565969">
          <w:headerReference w:type="first" r:id="rId13"/>
          <w:footerReference w:type="first" r:id="rId14"/>
          <w:pgSz w:w="16838" w:h="11906" w:orient="landscape"/>
          <w:pgMar w:top="1198" w:right="1440" w:bottom="1797" w:left="1440" w:header="709" w:footer="387" w:gutter="0"/>
          <w:cols w:space="708"/>
          <w:titlePg/>
          <w:bidi/>
          <w:rtlGutter/>
          <w:docGrid w:linePitch="360"/>
        </w:sectPr>
      </w:pPr>
    </w:p>
    <w:p w:rsidR="002E519D" w:rsidRPr="00D036DF" w:rsidRDefault="002E519D" w:rsidP="00B66B27">
      <w:pPr>
        <w:pStyle w:val="Heading1"/>
        <w:pBdr>
          <w:bottom w:val="single" w:sz="4" w:space="1" w:color="auto"/>
        </w:pBdr>
        <w:bidi w:val="0"/>
        <w:jc w:val="center"/>
        <w:rPr>
          <w:rFonts w:asciiTheme="majorBidi" w:hAnsiTheme="majorBidi" w:cstheme="majorBidi"/>
          <w:b/>
          <w:bCs/>
        </w:rPr>
      </w:pPr>
      <w:bookmarkStart w:id="88" w:name="_Toc65354427"/>
      <w:r w:rsidRPr="00D036DF">
        <w:rPr>
          <w:rFonts w:asciiTheme="majorBidi" w:hAnsiTheme="majorBidi" w:cstheme="majorBidi"/>
          <w:b/>
          <w:bCs/>
        </w:rPr>
        <w:lastRenderedPageBreak/>
        <w:t>Annex (18)</w:t>
      </w:r>
      <w:r w:rsidR="00B66B27">
        <w:rPr>
          <w:rFonts w:asciiTheme="majorBidi" w:hAnsiTheme="majorBidi" w:cstheme="majorBidi"/>
          <w:b/>
          <w:bCs/>
        </w:rPr>
        <w:t xml:space="preserve"> </w:t>
      </w:r>
      <w:r w:rsidR="004B5A19" w:rsidRPr="00D036DF">
        <w:rPr>
          <w:rFonts w:asciiTheme="majorBidi" w:hAnsiTheme="majorBidi" w:cstheme="majorBidi"/>
          <w:b/>
          <w:bCs/>
        </w:rPr>
        <w:t>The capital charge for equities risk</w:t>
      </w:r>
      <w:bookmarkEnd w:id="88"/>
    </w:p>
    <w:p w:rsidR="004B5A19" w:rsidRDefault="004B5A19" w:rsidP="004B5A19">
      <w:pPr>
        <w:bidi w:val="0"/>
        <w:jc w:val="center"/>
      </w:pPr>
    </w:p>
    <w:p w:rsidR="004B5A19" w:rsidRPr="004B5A19" w:rsidRDefault="004B5A19" w:rsidP="004B5A19">
      <w:pPr>
        <w:bidi w:val="0"/>
        <w:jc w:val="right"/>
        <w:rPr>
          <w:rFonts w:ascii="Times New Roman" w:hAnsi="Times New Roman" w:cs="Times New Roman"/>
          <w:b w:val="0"/>
          <w:bCs w:val="0"/>
          <w:sz w:val="22"/>
          <w:szCs w:val="22"/>
        </w:rPr>
      </w:pPr>
      <w:r w:rsidRPr="006078A3">
        <w:rPr>
          <w:rFonts w:ascii="Times New Roman" w:hAnsi="Times New Roman" w:cs="Times New Roman"/>
          <w:b w:val="0"/>
          <w:bCs w:val="0"/>
          <w:sz w:val="22"/>
          <w:szCs w:val="22"/>
        </w:rPr>
        <w:t>Thousands JD</w:t>
      </w:r>
    </w:p>
    <w:tbl>
      <w:tblPr>
        <w:tblStyle w:val="TableGrid"/>
        <w:tblW w:w="0" w:type="auto"/>
        <w:tblLook w:val="04A0" w:firstRow="1" w:lastRow="0" w:firstColumn="1" w:lastColumn="0" w:noHBand="0" w:noVBand="1"/>
      </w:tblPr>
      <w:tblGrid>
        <w:gridCol w:w="775"/>
        <w:gridCol w:w="1012"/>
        <w:gridCol w:w="828"/>
        <w:gridCol w:w="925"/>
        <w:gridCol w:w="1192"/>
        <w:gridCol w:w="988"/>
        <w:gridCol w:w="1121"/>
        <w:gridCol w:w="1554"/>
      </w:tblGrid>
      <w:tr w:rsidR="00C756C8" w:rsidTr="0039291D">
        <w:tc>
          <w:tcPr>
            <w:tcW w:w="775" w:type="dxa"/>
            <w:shd w:val="clear" w:color="auto" w:fill="C9C9C9" w:themeFill="accent3" w:themeFillTint="99"/>
            <w:vAlign w:val="center"/>
          </w:tcPr>
          <w:p w:rsidR="00C756C8" w:rsidRPr="004B5A19" w:rsidRDefault="00C756C8" w:rsidP="004B5A19">
            <w:pPr>
              <w:bidi w:val="0"/>
              <w:spacing w:after="0"/>
              <w:jc w:val="center"/>
              <w:rPr>
                <w:rFonts w:ascii="Times New Roman" w:hAnsi="Times New Roman" w:cs="Times New Roman"/>
                <w:b w:val="0"/>
                <w:bCs w:val="0"/>
                <w:sz w:val="22"/>
                <w:szCs w:val="22"/>
                <w:lang w:bidi="ar-JO"/>
              </w:rPr>
            </w:pPr>
            <w:r w:rsidRPr="004B5A19">
              <w:rPr>
                <w:rFonts w:ascii="Times New Roman" w:hAnsi="Times New Roman" w:cs="Times New Roman"/>
                <w:b w:val="0"/>
                <w:bCs w:val="0"/>
                <w:sz w:val="22"/>
                <w:szCs w:val="22"/>
                <w:lang w:bidi="ar-JO"/>
              </w:rPr>
              <w:t>The book</w:t>
            </w:r>
          </w:p>
        </w:tc>
        <w:tc>
          <w:tcPr>
            <w:tcW w:w="1840" w:type="dxa"/>
            <w:gridSpan w:val="2"/>
            <w:shd w:val="clear" w:color="auto" w:fill="C9C9C9" w:themeFill="accent3" w:themeFillTint="99"/>
            <w:vAlign w:val="center"/>
          </w:tcPr>
          <w:p w:rsidR="00C756C8" w:rsidRPr="004B5A19" w:rsidRDefault="00C756C8" w:rsidP="004B5A19">
            <w:pPr>
              <w:bidi w:val="0"/>
              <w:spacing w:after="0"/>
              <w:jc w:val="center"/>
              <w:rPr>
                <w:rFonts w:ascii="Times New Roman" w:hAnsi="Times New Roman" w:cs="Times New Roman"/>
                <w:b w:val="0"/>
                <w:bCs w:val="0"/>
                <w:sz w:val="22"/>
                <w:szCs w:val="22"/>
                <w:lang w:bidi="ar-JO"/>
              </w:rPr>
            </w:pPr>
            <w:r w:rsidRPr="004B5A19">
              <w:rPr>
                <w:rFonts w:ascii="Times New Roman" w:hAnsi="Times New Roman" w:cs="Times New Roman"/>
                <w:b w:val="0"/>
                <w:bCs w:val="0"/>
                <w:sz w:val="22"/>
                <w:szCs w:val="22"/>
                <w:lang w:bidi="ar-JO"/>
              </w:rPr>
              <w:t>Open positions</w:t>
            </w:r>
          </w:p>
        </w:tc>
        <w:tc>
          <w:tcPr>
            <w:tcW w:w="925" w:type="dxa"/>
            <w:shd w:val="clear" w:color="auto" w:fill="C9C9C9" w:themeFill="accent3" w:themeFillTint="99"/>
            <w:vAlign w:val="center"/>
          </w:tcPr>
          <w:p w:rsidR="00C756C8" w:rsidRPr="004B5A19" w:rsidRDefault="00C756C8" w:rsidP="004B5A19">
            <w:pPr>
              <w:bidi w:val="0"/>
              <w:spacing w:after="0"/>
              <w:jc w:val="center"/>
              <w:rPr>
                <w:rFonts w:ascii="Times New Roman" w:hAnsi="Times New Roman" w:cs="Times New Roman"/>
                <w:b w:val="0"/>
                <w:bCs w:val="0"/>
                <w:sz w:val="22"/>
                <w:szCs w:val="22"/>
                <w:lang w:bidi="ar-JO"/>
              </w:rPr>
            </w:pPr>
            <w:r w:rsidRPr="004B5A19">
              <w:rPr>
                <w:rFonts w:ascii="Times New Roman" w:hAnsi="Times New Roman" w:cs="Times New Roman"/>
                <w:b w:val="0"/>
                <w:bCs w:val="0"/>
                <w:sz w:val="22"/>
                <w:szCs w:val="22"/>
                <w:lang w:bidi="ar-JO"/>
              </w:rPr>
              <w:t xml:space="preserve">Total position </w:t>
            </w:r>
          </w:p>
        </w:tc>
        <w:tc>
          <w:tcPr>
            <w:tcW w:w="1192" w:type="dxa"/>
            <w:shd w:val="clear" w:color="auto" w:fill="C9C9C9" w:themeFill="accent3" w:themeFillTint="99"/>
            <w:vAlign w:val="center"/>
          </w:tcPr>
          <w:p w:rsidR="00C756C8" w:rsidRPr="004B5A19" w:rsidRDefault="00C756C8" w:rsidP="004B5A19">
            <w:pPr>
              <w:bidi w:val="0"/>
              <w:spacing w:after="0"/>
              <w:jc w:val="center"/>
              <w:rPr>
                <w:rFonts w:ascii="Times New Roman" w:hAnsi="Times New Roman" w:cs="Times New Roman"/>
                <w:b w:val="0"/>
                <w:bCs w:val="0"/>
                <w:sz w:val="22"/>
                <w:szCs w:val="22"/>
                <w:lang w:bidi="ar-JO"/>
              </w:rPr>
            </w:pPr>
            <w:r w:rsidRPr="004B5A19">
              <w:rPr>
                <w:rFonts w:ascii="Times New Roman" w:hAnsi="Times New Roman" w:cs="Times New Roman"/>
                <w:b w:val="0"/>
                <w:bCs w:val="0"/>
                <w:sz w:val="22"/>
                <w:szCs w:val="22"/>
              </w:rPr>
              <w:t>capital charge for specific risk</w:t>
            </w:r>
          </w:p>
        </w:tc>
        <w:tc>
          <w:tcPr>
            <w:tcW w:w="988" w:type="dxa"/>
            <w:shd w:val="clear" w:color="auto" w:fill="C9C9C9" w:themeFill="accent3" w:themeFillTint="99"/>
            <w:vAlign w:val="center"/>
          </w:tcPr>
          <w:p w:rsidR="00C756C8" w:rsidRPr="004B5A19" w:rsidRDefault="00C756C8" w:rsidP="004B5A19">
            <w:pPr>
              <w:bidi w:val="0"/>
              <w:spacing w:after="0"/>
              <w:jc w:val="center"/>
              <w:rPr>
                <w:rFonts w:ascii="Times New Roman" w:hAnsi="Times New Roman" w:cs="Times New Roman"/>
                <w:b w:val="0"/>
                <w:bCs w:val="0"/>
                <w:sz w:val="22"/>
                <w:szCs w:val="22"/>
                <w:lang w:bidi="ar-JO"/>
              </w:rPr>
            </w:pPr>
            <w:r w:rsidRPr="004B5A19">
              <w:rPr>
                <w:rFonts w:ascii="Times New Roman" w:hAnsi="Times New Roman" w:cs="Times New Roman"/>
                <w:b w:val="0"/>
                <w:bCs w:val="0"/>
                <w:sz w:val="22"/>
                <w:szCs w:val="22"/>
                <w:lang w:bidi="ar-JO"/>
              </w:rPr>
              <w:t>Net of position</w:t>
            </w:r>
          </w:p>
        </w:tc>
        <w:tc>
          <w:tcPr>
            <w:tcW w:w="1121" w:type="dxa"/>
            <w:shd w:val="clear" w:color="auto" w:fill="C9C9C9" w:themeFill="accent3" w:themeFillTint="99"/>
            <w:vAlign w:val="center"/>
          </w:tcPr>
          <w:p w:rsidR="00C756C8" w:rsidRPr="004B5A19" w:rsidRDefault="00C756C8" w:rsidP="004B5A19">
            <w:pPr>
              <w:bidi w:val="0"/>
              <w:spacing w:after="0"/>
              <w:jc w:val="center"/>
              <w:rPr>
                <w:rFonts w:ascii="Times New Roman" w:hAnsi="Times New Roman" w:cs="Times New Roman"/>
                <w:b w:val="0"/>
                <w:bCs w:val="0"/>
                <w:sz w:val="22"/>
                <w:szCs w:val="22"/>
                <w:lang w:bidi="ar-JO"/>
              </w:rPr>
            </w:pPr>
            <w:r w:rsidRPr="004B5A19">
              <w:rPr>
                <w:rFonts w:ascii="Times New Roman" w:hAnsi="Times New Roman" w:cs="Times New Roman"/>
                <w:b w:val="0"/>
                <w:bCs w:val="0"/>
                <w:sz w:val="22"/>
                <w:szCs w:val="22"/>
              </w:rPr>
              <w:t>capital charge for general risk</w:t>
            </w:r>
          </w:p>
        </w:tc>
        <w:tc>
          <w:tcPr>
            <w:tcW w:w="1554" w:type="dxa"/>
            <w:shd w:val="clear" w:color="auto" w:fill="C9C9C9" w:themeFill="accent3" w:themeFillTint="99"/>
            <w:vAlign w:val="center"/>
          </w:tcPr>
          <w:p w:rsidR="00C756C8" w:rsidRPr="004B5A19" w:rsidRDefault="00C756C8" w:rsidP="004B5A19">
            <w:pPr>
              <w:bidi w:val="0"/>
              <w:spacing w:after="0"/>
              <w:jc w:val="center"/>
              <w:rPr>
                <w:rFonts w:ascii="Times New Roman" w:hAnsi="Times New Roman" w:cs="Times New Roman"/>
                <w:b w:val="0"/>
                <w:bCs w:val="0"/>
                <w:sz w:val="22"/>
                <w:szCs w:val="22"/>
                <w:lang w:bidi="ar-JO"/>
              </w:rPr>
            </w:pPr>
            <w:r w:rsidRPr="004B5A19">
              <w:rPr>
                <w:rFonts w:ascii="Times New Roman" w:hAnsi="Times New Roman" w:cs="Times New Roman"/>
                <w:b w:val="0"/>
                <w:bCs w:val="0"/>
                <w:sz w:val="22"/>
                <w:szCs w:val="22"/>
              </w:rPr>
              <w:t xml:space="preserve">capital charge for specific and general risk </w:t>
            </w:r>
          </w:p>
        </w:tc>
      </w:tr>
      <w:tr w:rsidR="000A2117" w:rsidTr="000A2117">
        <w:tc>
          <w:tcPr>
            <w:tcW w:w="775" w:type="dxa"/>
            <w:shd w:val="clear" w:color="auto" w:fill="DBDBDB" w:themeFill="accent3" w:themeFillTint="66"/>
            <w:vAlign w:val="center"/>
          </w:tcPr>
          <w:p w:rsidR="004B5A19" w:rsidRPr="004B5A19" w:rsidRDefault="004B5A19" w:rsidP="004B5A19">
            <w:pPr>
              <w:bidi w:val="0"/>
              <w:jc w:val="center"/>
              <w:rPr>
                <w:rFonts w:ascii="Times New Roman" w:hAnsi="Times New Roman" w:cs="Times New Roman"/>
                <w:b w:val="0"/>
                <w:bCs w:val="0"/>
                <w:sz w:val="22"/>
                <w:szCs w:val="22"/>
                <w:lang w:bidi="ar-JO"/>
              </w:rPr>
            </w:pPr>
            <w:r w:rsidRPr="004B5A19">
              <w:rPr>
                <w:rFonts w:ascii="Times New Roman" w:hAnsi="Times New Roman" w:cs="Times New Roman"/>
                <w:b w:val="0"/>
                <w:bCs w:val="0"/>
                <w:sz w:val="22"/>
                <w:szCs w:val="22"/>
                <w:lang w:bidi="ar-JO"/>
              </w:rPr>
              <w:t>1</w:t>
            </w:r>
          </w:p>
        </w:tc>
        <w:tc>
          <w:tcPr>
            <w:tcW w:w="1012" w:type="dxa"/>
            <w:shd w:val="clear" w:color="auto" w:fill="DBDBDB" w:themeFill="accent3" w:themeFillTint="66"/>
            <w:vAlign w:val="center"/>
          </w:tcPr>
          <w:p w:rsidR="004B5A19" w:rsidRPr="004B5A19" w:rsidRDefault="004B5A19" w:rsidP="004B5A19">
            <w:pPr>
              <w:bidi w:val="0"/>
              <w:jc w:val="center"/>
              <w:rPr>
                <w:rFonts w:ascii="Times New Roman" w:hAnsi="Times New Roman" w:cs="Times New Roman"/>
                <w:b w:val="0"/>
                <w:bCs w:val="0"/>
                <w:sz w:val="22"/>
                <w:szCs w:val="22"/>
                <w:lang w:bidi="ar-JO"/>
              </w:rPr>
            </w:pPr>
            <w:r w:rsidRPr="004B5A19">
              <w:rPr>
                <w:rFonts w:ascii="Times New Roman" w:hAnsi="Times New Roman" w:cs="Times New Roman"/>
                <w:b w:val="0"/>
                <w:bCs w:val="0"/>
                <w:sz w:val="22"/>
                <w:szCs w:val="22"/>
                <w:lang w:bidi="ar-JO"/>
              </w:rPr>
              <w:t>Long (2)</w:t>
            </w:r>
          </w:p>
        </w:tc>
        <w:tc>
          <w:tcPr>
            <w:tcW w:w="828" w:type="dxa"/>
            <w:shd w:val="clear" w:color="auto" w:fill="DBDBDB" w:themeFill="accent3" w:themeFillTint="66"/>
            <w:vAlign w:val="center"/>
          </w:tcPr>
          <w:p w:rsidR="004B5A19" w:rsidRPr="004B5A19" w:rsidRDefault="004B5A19" w:rsidP="004B5A19">
            <w:pPr>
              <w:bidi w:val="0"/>
              <w:jc w:val="center"/>
              <w:rPr>
                <w:rFonts w:ascii="Times New Roman" w:hAnsi="Times New Roman" w:cs="Times New Roman"/>
                <w:b w:val="0"/>
                <w:bCs w:val="0"/>
                <w:sz w:val="22"/>
                <w:szCs w:val="22"/>
                <w:lang w:bidi="ar-JO"/>
              </w:rPr>
            </w:pPr>
            <w:r w:rsidRPr="004B5A19">
              <w:rPr>
                <w:rFonts w:ascii="Times New Roman" w:hAnsi="Times New Roman" w:cs="Times New Roman"/>
                <w:b w:val="0"/>
                <w:bCs w:val="0"/>
                <w:sz w:val="22"/>
                <w:szCs w:val="22"/>
                <w:lang w:bidi="ar-JO"/>
              </w:rPr>
              <w:t>Short (3)</w:t>
            </w:r>
          </w:p>
        </w:tc>
        <w:tc>
          <w:tcPr>
            <w:tcW w:w="925" w:type="dxa"/>
            <w:shd w:val="clear" w:color="auto" w:fill="DBDBDB" w:themeFill="accent3" w:themeFillTint="66"/>
            <w:vAlign w:val="center"/>
          </w:tcPr>
          <w:p w:rsidR="004B5A19" w:rsidRPr="004B5A19" w:rsidRDefault="004B5A19" w:rsidP="004B5A19">
            <w:pPr>
              <w:bidi w:val="0"/>
              <w:spacing w:after="0"/>
              <w:jc w:val="center"/>
              <w:rPr>
                <w:rFonts w:ascii="Times New Roman" w:hAnsi="Times New Roman" w:cs="Times New Roman"/>
                <w:b w:val="0"/>
                <w:bCs w:val="0"/>
                <w:sz w:val="22"/>
                <w:szCs w:val="22"/>
                <w:lang w:bidi="ar-JO"/>
              </w:rPr>
            </w:pPr>
            <w:r w:rsidRPr="004B5A19">
              <w:rPr>
                <w:rFonts w:ascii="Times New Roman" w:hAnsi="Times New Roman" w:cs="Times New Roman"/>
                <w:b w:val="0"/>
                <w:bCs w:val="0"/>
                <w:sz w:val="22"/>
                <w:szCs w:val="22"/>
                <w:lang w:bidi="ar-JO"/>
              </w:rPr>
              <w:t>(4)</w:t>
            </w:r>
          </w:p>
        </w:tc>
        <w:tc>
          <w:tcPr>
            <w:tcW w:w="1192" w:type="dxa"/>
            <w:shd w:val="clear" w:color="auto" w:fill="DBDBDB" w:themeFill="accent3" w:themeFillTint="66"/>
            <w:vAlign w:val="center"/>
          </w:tcPr>
          <w:p w:rsidR="004B5A19" w:rsidRPr="004B5A19" w:rsidRDefault="004B5A19" w:rsidP="004B5A19">
            <w:pPr>
              <w:bidi w:val="0"/>
              <w:spacing w:after="0"/>
              <w:jc w:val="center"/>
              <w:rPr>
                <w:rFonts w:ascii="Times New Roman" w:hAnsi="Times New Roman" w:cs="Times New Roman"/>
                <w:b w:val="0"/>
                <w:bCs w:val="0"/>
                <w:sz w:val="22"/>
                <w:szCs w:val="22"/>
              </w:rPr>
            </w:pPr>
            <w:r w:rsidRPr="004B5A19">
              <w:rPr>
                <w:rFonts w:ascii="Times New Roman" w:hAnsi="Times New Roman" w:cs="Times New Roman"/>
                <w:b w:val="0"/>
                <w:bCs w:val="0"/>
                <w:sz w:val="22"/>
                <w:szCs w:val="22"/>
                <w:lang w:bidi="ar-JO"/>
              </w:rPr>
              <w:t>Total position (5)</w:t>
            </w:r>
          </w:p>
        </w:tc>
        <w:tc>
          <w:tcPr>
            <w:tcW w:w="988" w:type="dxa"/>
            <w:shd w:val="clear" w:color="auto" w:fill="DBDBDB" w:themeFill="accent3" w:themeFillTint="66"/>
            <w:vAlign w:val="center"/>
          </w:tcPr>
          <w:p w:rsidR="004B5A19" w:rsidRPr="004B5A19" w:rsidRDefault="004B5A19" w:rsidP="004B5A19">
            <w:pPr>
              <w:bidi w:val="0"/>
              <w:spacing w:after="0"/>
              <w:jc w:val="center"/>
              <w:rPr>
                <w:rFonts w:ascii="Times New Roman" w:hAnsi="Times New Roman" w:cs="Times New Roman"/>
                <w:b w:val="0"/>
                <w:bCs w:val="0"/>
                <w:sz w:val="22"/>
                <w:szCs w:val="22"/>
                <w:lang w:bidi="ar-JO"/>
              </w:rPr>
            </w:pPr>
            <w:r w:rsidRPr="004B5A19">
              <w:rPr>
                <w:rFonts w:ascii="Times New Roman" w:hAnsi="Times New Roman" w:cs="Times New Roman"/>
                <w:b w:val="0"/>
                <w:bCs w:val="0"/>
                <w:sz w:val="22"/>
                <w:szCs w:val="22"/>
                <w:lang w:bidi="ar-JO"/>
              </w:rPr>
              <w:t>(6)</w:t>
            </w:r>
          </w:p>
        </w:tc>
        <w:tc>
          <w:tcPr>
            <w:tcW w:w="1121" w:type="dxa"/>
            <w:shd w:val="clear" w:color="auto" w:fill="DBDBDB" w:themeFill="accent3" w:themeFillTint="66"/>
            <w:vAlign w:val="center"/>
          </w:tcPr>
          <w:p w:rsidR="004B5A19" w:rsidRPr="004B5A19" w:rsidRDefault="004B5A19" w:rsidP="004B5A19">
            <w:pPr>
              <w:bidi w:val="0"/>
              <w:spacing w:after="0"/>
              <w:jc w:val="center"/>
              <w:rPr>
                <w:rFonts w:ascii="Times New Roman" w:hAnsi="Times New Roman" w:cs="Times New Roman"/>
                <w:b w:val="0"/>
                <w:bCs w:val="0"/>
                <w:sz w:val="22"/>
                <w:szCs w:val="22"/>
              </w:rPr>
            </w:pPr>
            <w:r w:rsidRPr="004B5A19">
              <w:rPr>
                <w:rFonts w:ascii="Times New Roman" w:hAnsi="Times New Roman" w:cs="Times New Roman"/>
                <w:b w:val="0"/>
                <w:bCs w:val="0"/>
                <w:sz w:val="22"/>
                <w:szCs w:val="22"/>
                <w:lang w:bidi="ar-JO"/>
              </w:rPr>
              <w:t>Net of position (7)</w:t>
            </w:r>
          </w:p>
        </w:tc>
        <w:tc>
          <w:tcPr>
            <w:tcW w:w="1554" w:type="dxa"/>
            <w:shd w:val="clear" w:color="auto" w:fill="DBDBDB" w:themeFill="accent3" w:themeFillTint="66"/>
            <w:vAlign w:val="center"/>
          </w:tcPr>
          <w:p w:rsidR="004B5A19" w:rsidRPr="004B5A19" w:rsidRDefault="004B5A19" w:rsidP="004B5A19">
            <w:pPr>
              <w:bidi w:val="0"/>
              <w:spacing w:after="0"/>
              <w:jc w:val="center"/>
              <w:rPr>
                <w:rFonts w:ascii="Times New Roman" w:hAnsi="Times New Roman" w:cs="Times New Roman"/>
                <w:b w:val="0"/>
                <w:bCs w:val="0"/>
                <w:sz w:val="22"/>
                <w:szCs w:val="22"/>
              </w:rPr>
            </w:pPr>
            <w:r>
              <w:rPr>
                <w:rFonts w:ascii="Times New Roman" w:hAnsi="Times New Roman" w:cs="Times New Roman"/>
                <w:b w:val="0"/>
                <w:bCs w:val="0"/>
                <w:sz w:val="22"/>
                <w:szCs w:val="22"/>
              </w:rPr>
              <w:t>(8)</w:t>
            </w:r>
          </w:p>
        </w:tc>
      </w:tr>
      <w:tr w:rsidR="004B5A19" w:rsidTr="000A2117">
        <w:trPr>
          <w:trHeight w:val="367"/>
        </w:trPr>
        <w:tc>
          <w:tcPr>
            <w:tcW w:w="775" w:type="dxa"/>
            <w:shd w:val="clear" w:color="auto" w:fill="EDEDED" w:themeFill="accent3" w:themeFillTint="33"/>
            <w:vAlign w:val="center"/>
          </w:tcPr>
          <w:p w:rsidR="004B5A19" w:rsidRPr="004B5A19" w:rsidRDefault="004B5A19" w:rsidP="004B5A19">
            <w:pPr>
              <w:bidi w:val="0"/>
              <w:spacing w:after="0"/>
              <w:jc w:val="center"/>
              <w:rPr>
                <w:rFonts w:ascii="Times New Roman" w:hAnsi="Times New Roman" w:cs="Times New Roman"/>
                <w:b w:val="0"/>
                <w:bCs w:val="0"/>
                <w:sz w:val="22"/>
                <w:szCs w:val="22"/>
                <w:lang w:bidi="ar-JO"/>
              </w:rPr>
            </w:pPr>
          </w:p>
        </w:tc>
        <w:tc>
          <w:tcPr>
            <w:tcW w:w="1012" w:type="dxa"/>
            <w:shd w:val="clear" w:color="auto" w:fill="EDEDED" w:themeFill="accent3" w:themeFillTint="33"/>
            <w:vAlign w:val="center"/>
          </w:tcPr>
          <w:p w:rsidR="004B5A19" w:rsidRPr="004B5A19" w:rsidRDefault="004B5A19" w:rsidP="004B5A19">
            <w:pPr>
              <w:bidi w:val="0"/>
              <w:spacing w:after="0"/>
              <w:jc w:val="center"/>
              <w:rPr>
                <w:rFonts w:ascii="Times New Roman" w:hAnsi="Times New Roman" w:cs="Times New Roman"/>
                <w:b w:val="0"/>
                <w:bCs w:val="0"/>
                <w:sz w:val="22"/>
                <w:szCs w:val="22"/>
                <w:lang w:bidi="ar-JO"/>
              </w:rPr>
            </w:pPr>
          </w:p>
        </w:tc>
        <w:tc>
          <w:tcPr>
            <w:tcW w:w="828" w:type="dxa"/>
            <w:shd w:val="clear" w:color="auto" w:fill="EDEDED" w:themeFill="accent3" w:themeFillTint="33"/>
            <w:vAlign w:val="center"/>
          </w:tcPr>
          <w:p w:rsidR="004B5A19" w:rsidRPr="004B5A19" w:rsidRDefault="004B5A19" w:rsidP="004B5A19">
            <w:pPr>
              <w:bidi w:val="0"/>
              <w:spacing w:after="0"/>
              <w:jc w:val="center"/>
              <w:rPr>
                <w:rFonts w:ascii="Times New Roman" w:hAnsi="Times New Roman" w:cs="Times New Roman"/>
                <w:b w:val="0"/>
                <w:bCs w:val="0"/>
                <w:sz w:val="22"/>
                <w:szCs w:val="22"/>
                <w:lang w:bidi="ar-JO"/>
              </w:rPr>
            </w:pPr>
          </w:p>
        </w:tc>
        <w:tc>
          <w:tcPr>
            <w:tcW w:w="925" w:type="dxa"/>
            <w:shd w:val="clear" w:color="auto" w:fill="EDEDED" w:themeFill="accent3" w:themeFillTint="33"/>
            <w:vAlign w:val="center"/>
          </w:tcPr>
          <w:p w:rsidR="004B5A19" w:rsidRPr="004B5A19" w:rsidRDefault="004B5A19" w:rsidP="004B5A19">
            <w:pPr>
              <w:bidi w:val="0"/>
              <w:spacing w:after="0"/>
              <w:jc w:val="center"/>
              <w:rPr>
                <w:rFonts w:ascii="Times New Roman" w:hAnsi="Times New Roman" w:cs="Times New Roman"/>
                <w:b w:val="0"/>
                <w:bCs w:val="0"/>
                <w:sz w:val="22"/>
                <w:szCs w:val="22"/>
                <w:lang w:bidi="ar-JO"/>
              </w:rPr>
            </w:pPr>
            <w:r w:rsidRPr="004B5A19">
              <w:rPr>
                <w:rFonts w:ascii="Times New Roman" w:hAnsi="Times New Roman" w:cs="Times New Roman"/>
                <w:b w:val="0"/>
                <w:bCs w:val="0"/>
                <w:sz w:val="22"/>
                <w:szCs w:val="22"/>
                <w:lang w:bidi="ar-JO"/>
              </w:rPr>
              <w:t>(2+3)</w:t>
            </w:r>
          </w:p>
        </w:tc>
        <w:tc>
          <w:tcPr>
            <w:tcW w:w="1192" w:type="dxa"/>
            <w:shd w:val="clear" w:color="auto" w:fill="EDEDED" w:themeFill="accent3" w:themeFillTint="33"/>
            <w:vAlign w:val="center"/>
          </w:tcPr>
          <w:p w:rsidR="004B5A19" w:rsidRPr="004B5A19" w:rsidRDefault="004B5A19" w:rsidP="004B5A19">
            <w:pPr>
              <w:bidi w:val="0"/>
              <w:spacing w:after="0"/>
              <w:jc w:val="center"/>
              <w:rPr>
                <w:rFonts w:ascii="Times New Roman" w:hAnsi="Times New Roman" w:cs="Times New Roman"/>
                <w:b w:val="0"/>
                <w:bCs w:val="0"/>
                <w:sz w:val="22"/>
                <w:szCs w:val="22"/>
                <w:lang w:bidi="ar-JO"/>
              </w:rPr>
            </w:pPr>
            <w:r w:rsidRPr="004B5A19">
              <w:rPr>
                <w:rFonts w:ascii="Times New Roman" w:hAnsi="Times New Roman" w:cs="Times New Roman"/>
                <w:b w:val="0"/>
                <w:bCs w:val="0"/>
                <w:sz w:val="22"/>
                <w:szCs w:val="22"/>
                <w:lang w:bidi="ar-JO"/>
              </w:rPr>
              <w:t>(4*8%)</w:t>
            </w:r>
          </w:p>
        </w:tc>
        <w:tc>
          <w:tcPr>
            <w:tcW w:w="988" w:type="dxa"/>
            <w:shd w:val="clear" w:color="auto" w:fill="EDEDED" w:themeFill="accent3" w:themeFillTint="33"/>
            <w:vAlign w:val="center"/>
          </w:tcPr>
          <w:p w:rsidR="004B5A19" w:rsidRPr="004B5A19" w:rsidRDefault="004B5A19" w:rsidP="004B5A19">
            <w:pPr>
              <w:bidi w:val="0"/>
              <w:spacing w:after="0"/>
              <w:jc w:val="center"/>
              <w:rPr>
                <w:rFonts w:ascii="Times New Roman" w:hAnsi="Times New Roman" w:cs="Times New Roman"/>
                <w:b w:val="0"/>
                <w:bCs w:val="0"/>
                <w:sz w:val="22"/>
                <w:szCs w:val="22"/>
                <w:lang w:bidi="ar-JO"/>
              </w:rPr>
            </w:pPr>
            <w:r w:rsidRPr="004B5A19">
              <w:rPr>
                <w:rFonts w:ascii="Times New Roman" w:hAnsi="Times New Roman" w:cs="Times New Roman"/>
                <w:b w:val="0"/>
                <w:bCs w:val="0"/>
                <w:sz w:val="22"/>
                <w:szCs w:val="22"/>
                <w:lang w:bidi="ar-JO"/>
              </w:rPr>
              <w:t>2-3)</w:t>
            </w:r>
          </w:p>
        </w:tc>
        <w:tc>
          <w:tcPr>
            <w:tcW w:w="1121" w:type="dxa"/>
            <w:shd w:val="clear" w:color="auto" w:fill="EDEDED" w:themeFill="accent3" w:themeFillTint="33"/>
            <w:vAlign w:val="center"/>
          </w:tcPr>
          <w:p w:rsidR="004B5A19" w:rsidRPr="004B5A19" w:rsidRDefault="004B5A19" w:rsidP="004B5A19">
            <w:pPr>
              <w:bidi w:val="0"/>
              <w:spacing w:after="0"/>
              <w:jc w:val="center"/>
              <w:rPr>
                <w:rFonts w:ascii="Times New Roman" w:hAnsi="Times New Roman" w:cs="Times New Roman"/>
                <w:b w:val="0"/>
                <w:bCs w:val="0"/>
                <w:sz w:val="22"/>
                <w:szCs w:val="22"/>
                <w:lang w:bidi="ar-JO"/>
              </w:rPr>
            </w:pPr>
            <w:r w:rsidRPr="004B5A19">
              <w:rPr>
                <w:rFonts w:ascii="Times New Roman" w:hAnsi="Times New Roman" w:cs="Times New Roman"/>
                <w:b w:val="0"/>
                <w:bCs w:val="0"/>
                <w:sz w:val="22"/>
                <w:szCs w:val="22"/>
                <w:lang w:bidi="ar-JO"/>
              </w:rPr>
              <w:t>(6*8%)</w:t>
            </w:r>
          </w:p>
        </w:tc>
        <w:tc>
          <w:tcPr>
            <w:tcW w:w="1554" w:type="dxa"/>
            <w:shd w:val="clear" w:color="auto" w:fill="EDEDED" w:themeFill="accent3" w:themeFillTint="33"/>
            <w:vAlign w:val="center"/>
          </w:tcPr>
          <w:p w:rsidR="004B5A19" w:rsidRPr="004B5A19" w:rsidRDefault="004B5A19" w:rsidP="004B5A19">
            <w:pPr>
              <w:bidi w:val="0"/>
              <w:spacing w:after="0"/>
              <w:jc w:val="center"/>
              <w:rPr>
                <w:rFonts w:ascii="Times New Roman" w:hAnsi="Times New Roman" w:cs="Times New Roman"/>
                <w:b w:val="0"/>
                <w:bCs w:val="0"/>
                <w:sz w:val="22"/>
                <w:szCs w:val="22"/>
                <w:lang w:bidi="ar-JO"/>
              </w:rPr>
            </w:pPr>
          </w:p>
        </w:tc>
      </w:tr>
      <w:tr w:rsidR="004B5A19" w:rsidTr="000A2117">
        <w:tc>
          <w:tcPr>
            <w:tcW w:w="775" w:type="dxa"/>
          </w:tcPr>
          <w:p w:rsidR="004B5A19" w:rsidRPr="000A2117" w:rsidRDefault="004B5A19" w:rsidP="004B5A19">
            <w:pPr>
              <w:bidi w:val="0"/>
              <w:jc w:val="center"/>
              <w:rPr>
                <w:rFonts w:ascii="Times New Roman" w:hAnsi="Times New Roman" w:cs="Times New Roman"/>
                <w:b w:val="0"/>
                <w:bCs w:val="0"/>
                <w:sz w:val="22"/>
                <w:szCs w:val="22"/>
                <w:lang w:bidi="ar-JO"/>
              </w:rPr>
            </w:pPr>
          </w:p>
        </w:tc>
        <w:tc>
          <w:tcPr>
            <w:tcW w:w="1012" w:type="dxa"/>
          </w:tcPr>
          <w:p w:rsidR="004B5A19" w:rsidRPr="000A2117" w:rsidRDefault="004B5A19" w:rsidP="004B5A19">
            <w:pPr>
              <w:bidi w:val="0"/>
              <w:jc w:val="center"/>
              <w:rPr>
                <w:rFonts w:ascii="Times New Roman" w:hAnsi="Times New Roman" w:cs="Times New Roman"/>
                <w:b w:val="0"/>
                <w:bCs w:val="0"/>
                <w:sz w:val="22"/>
                <w:szCs w:val="22"/>
                <w:lang w:bidi="ar-JO"/>
              </w:rPr>
            </w:pPr>
          </w:p>
        </w:tc>
        <w:tc>
          <w:tcPr>
            <w:tcW w:w="828" w:type="dxa"/>
          </w:tcPr>
          <w:p w:rsidR="004B5A19" w:rsidRPr="000A2117" w:rsidRDefault="004B5A19" w:rsidP="004B5A19">
            <w:pPr>
              <w:bidi w:val="0"/>
              <w:jc w:val="center"/>
              <w:rPr>
                <w:rFonts w:ascii="Times New Roman" w:hAnsi="Times New Roman" w:cs="Times New Roman"/>
                <w:b w:val="0"/>
                <w:bCs w:val="0"/>
                <w:sz w:val="22"/>
                <w:szCs w:val="22"/>
                <w:lang w:bidi="ar-JO"/>
              </w:rPr>
            </w:pPr>
          </w:p>
        </w:tc>
        <w:tc>
          <w:tcPr>
            <w:tcW w:w="925" w:type="dxa"/>
          </w:tcPr>
          <w:p w:rsidR="004B5A19" w:rsidRPr="000A2117" w:rsidRDefault="000A2117" w:rsidP="004B5A19">
            <w:pPr>
              <w:bidi w:val="0"/>
              <w:jc w:val="center"/>
              <w:rPr>
                <w:rFonts w:ascii="Times New Roman" w:hAnsi="Times New Roman" w:cs="Times New Roman"/>
                <w:b w:val="0"/>
                <w:bCs w:val="0"/>
                <w:sz w:val="22"/>
                <w:szCs w:val="22"/>
                <w:lang w:bidi="ar-JO"/>
              </w:rPr>
            </w:pPr>
            <w:r w:rsidRPr="000A2117">
              <w:rPr>
                <w:rFonts w:ascii="Times New Roman" w:hAnsi="Times New Roman" w:cs="Times New Roman"/>
                <w:b w:val="0"/>
                <w:bCs w:val="0"/>
                <w:sz w:val="22"/>
                <w:szCs w:val="22"/>
                <w:lang w:bidi="ar-JO"/>
              </w:rPr>
              <w:t>0</w:t>
            </w:r>
          </w:p>
        </w:tc>
        <w:tc>
          <w:tcPr>
            <w:tcW w:w="1192" w:type="dxa"/>
          </w:tcPr>
          <w:p w:rsidR="004B5A19" w:rsidRPr="000A2117" w:rsidRDefault="000A2117" w:rsidP="004B5A19">
            <w:pPr>
              <w:bidi w:val="0"/>
              <w:jc w:val="center"/>
              <w:rPr>
                <w:rFonts w:ascii="Times New Roman" w:hAnsi="Times New Roman" w:cs="Times New Roman"/>
                <w:b w:val="0"/>
                <w:bCs w:val="0"/>
                <w:sz w:val="22"/>
                <w:szCs w:val="22"/>
                <w:lang w:bidi="ar-JO"/>
              </w:rPr>
            </w:pPr>
            <w:r w:rsidRPr="000A2117">
              <w:rPr>
                <w:rFonts w:ascii="Times New Roman" w:hAnsi="Times New Roman" w:cs="Times New Roman"/>
                <w:b w:val="0"/>
                <w:bCs w:val="0"/>
                <w:sz w:val="22"/>
                <w:szCs w:val="22"/>
                <w:lang w:bidi="ar-JO"/>
              </w:rPr>
              <w:t>0</w:t>
            </w:r>
          </w:p>
        </w:tc>
        <w:tc>
          <w:tcPr>
            <w:tcW w:w="988" w:type="dxa"/>
          </w:tcPr>
          <w:p w:rsidR="004B5A19" w:rsidRPr="000A2117" w:rsidRDefault="000A2117" w:rsidP="004B5A19">
            <w:pPr>
              <w:bidi w:val="0"/>
              <w:jc w:val="center"/>
              <w:rPr>
                <w:rFonts w:ascii="Times New Roman" w:hAnsi="Times New Roman" w:cs="Times New Roman"/>
                <w:b w:val="0"/>
                <w:bCs w:val="0"/>
                <w:sz w:val="22"/>
                <w:szCs w:val="22"/>
                <w:lang w:bidi="ar-JO"/>
              </w:rPr>
            </w:pPr>
            <w:r w:rsidRPr="000A2117">
              <w:rPr>
                <w:rFonts w:ascii="Times New Roman" w:hAnsi="Times New Roman" w:cs="Times New Roman"/>
                <w:b w:val="0"/>
                <w:bCs w:val="0"/>
                <w:sz w:val="22"/>
                <w:szCs w:val="22"/>
                <w:lang w:bidi="ar-JO"/>
              </w:rPr>
              <w:t>0</w:t>
            </w:r>
          </w:p>
        </w:tc>
        <w:tc>
          <w:tcPr>
            <w:tcW w:w="1121" w:type="dxa"/>
          </w:tcPr>
          <w:p w:rsidR="004B5A19" w:rsidRPr="000A2117" w:rsidRDefault="000A2117" w:rsidP="004B5A19">
            <w:pPr>
              <w:bidi w:val="0"/>
              <w:jc w:val="center"/>
              <w:rPr>
                <w:rFonts w:ascii="Times New Roman" w:hAnsi="Times New Roman" w:cs="Times New Roman"/>
                <w:b w:val="0"/>
                <w:bCs w:val="0"/>
                <w:sz w:val="22"/>
                <w:szCs w:val="22"/>
                <w:lang w:bidi="ar-JO"/>
              </w:rPr>
            </w:pPr>
            <w:r w:rsidRPr="000A2117">
              <w:rPr>
                <w:rFonts w:ascii="Times New Roman" w:hAnsi="Times New Roman" w:cs="Times New Roman"/>
                <w:b w:val="0"/>
                <w:bCs w:val="0"/>
                <w:sz w:val="22"/>
                <w:szCs w:val="22"/>
                <w:lang w:bidi="ar-JO"/>
              </w:rPr>
              <w:t>0</w:t>
            </w:r>
          </w:p>
        </w:tc>
        <w:tc>
          <w:tcPr>
            <w:tcW w:w="1554" w:type="dxa"/>
          </w:tcPr>
          <w:p w:rsidR="004B5A19" w:rsidRPr="000A2117" w:rsidRDefault="000A2117" w:rsidP="004B5A19">
            <w:pPr>
              <w:bidi w:val="0"/>
              <w:jc w:val="center"/>
              <w:rPr>
                <w:rFonts w:ascii="Times New Roman" w:hAnsi="Times New Roman" w:cs="Times New Roman"/>
                <w:b w:val="0"/>
                <w:bCs w:val="0"/>
                <w:sz w:val="22"/>
                <w:szCs w:val="22"/>
                <w:lang w:bidi="ar-JO"/>
              </w:rPr>
            </w:pPr>
            <w:r w:rsidRPr="000A2117">
              <w:rPr>
                <w:rFonts w:ascii="Times New Roman" w:hAnsi="Times New Roman" w:cs="Times New Roman"/>
                <w:b w:val="0"/>
                <w:bCs w:val="0"/>
                <w:sz w:val="22"/>
                <w:szCs w:val="22"/>
                <w:lang w:bidi="ar-JO"/>
              </w:rPr>
              <w:t>0</w:t>
            </w:r>
          </w:p>
        </w:tc>
      </w:tr>
      <w:tr w:rsidR="004B5A19" w:rsidTr="000A2117">
        <w:tc>
          <w:tcPr>
            <w:tcW w:w="775" w:type="dxa"/>
          </w:tcPr>
          <w:p w:rsidR="004B5A19" w:rsidRPr="000A2117" w:rsidRDefault="004B5A19" w:rsidP="004B5A19">
            <w:pPr>
              <w:bidi w:val="0"/>
              <w:jc w:val="center"/>
              <w:rPr>
                <w:rFonts w:ascii="Times New Roman" w:hAnsi="Times New Roman" w:cs="Times New Roman"/>
                <w:b w:val="0"/>
                <w:bCs w:val="0"/>
                <w:sz w:val="22"/>
                <w:szCs w:val="22"/>
                <w:lang w:bidi="ar-JO"/>
              </w:rPr>
            </w:pPr>
          </w:p>
        </w:tc>
        <w:tc>
          <w:tcPr>
            <w:tcW w:w="1012" w:type="dxa"/>
          </w:tcPr>
          <w:p w:rsidR="004B5A19" w:rsidRPr="000A2117" w:rsidRDefault="004B5A19" w:rsidP="004B5A19">
            <w:pPr>
              <w:bidi w:val="0"/>
              <w:jc w:val="center"/>
              <w:rPr>
                <w:rFonts w:ascii="Times New Roman" w:hAnsi="Times New Roman" w:cs="Times New Roman"/>
                <w:b w:val="0"/>
                <w:bCs w:val="0"/>
                <w:sz w:val="22"/>
                <w:szCs w:val="22"/>
                <w:lang w:bidi="ar-JO"/>
              </w:rPr>
            </w:pPr>
          </w:p>
        </w:tc>
        <w:tc>
          <w:tcPr>
            <w:tcW w:w="828" w:type="dxa"/>
          </w:tcPr>
          <w:p w:rsidR="004B5A19" w:rsidRPr="000A2117" w:rsidRDefault="004B5A19" w:rsidP="004B5A19">
            <w:pPr>
              <w:bidi w:val="0"/>
              <w:jc w:val="center"/>
              <w:rPr>
                <w:rFonts w:ascii="Times New Roman" w:hAnsi="Times New Roman" w:cs="Times New Roman"/>
                <w:b w:val="0"/>
                <w:bCs w:val="0"/>
                <w:sz w:val="22"/>
                <w:szCs w:val="22"/>
                <w:lang w:bidi="ar-JO"/>
              </w:rPr>
            </w:pPr>
          </w:p>
        </w:tc>
        <w:tc>
          <w:tcPr>
            <w:tcW w:w="925" w:type="dxa"/>
          </w:tcPr>
          <w:p w:rsidR="004B5A19" w:rsidRPr="000A2117" w:rsidRDefault="000A2117" w:rsidP="004B5A19">
            <w:pPr>
              <w:bidi w:val="0"/>
              <w:jc w:val="center"/>
              <w:rPr>
                <w:rFonts w:ascii="Times New Roman" w:hAnsi="Times New Roman" w:cs="Times New Roman"/>
                <w:b w:val="0"/>
                <w:bCs w:val="0"/>
                <w:sz w:val="22"/>
                <w:szCs w:val="22"/>
                <w:lang w:bidi="ar-JO"/>
              </w:rPr>
            </w:pPr>
            <w:r w:rsidRPr="000A2117">
              <w:rPr>
                <w:rFonts w:ascii="Times New Roman" w:hAnsi="Times New Roman" w:cs="Times New Roman"/>
                <w:b w:val="0"/>
                <w:bCs w:val="0"/>
                <w:sz w:val="22"/>
                <w:szCs w:val="22"/>
                <w:lang w:bidi="ar-JO"/>
              </w:rPr>
              <w:t>0</w:t>
            </w:r>
          </w:p>
        </w:tc>
        <w:tc>
          <w:tcPr>
            <w:tcW w:w="1192" w:type="dxa"/>
          </w:tcPr>
          <w:p w:rsidR="004B5A19" w:rsidRPr="000A2117" w:rsidRDefault="000A2117" w:rsidP="004B5A19">
            <w:pPr>
              <w:bidi w:val="0"/>
              <w:jc w:val="center"/>
              <w:rPr>
                <w:rFonts w:ascii="Times New Roman" w:hAnsi="Times New Roman" w:cs="Times New Roman"/>
                <w:b w:val="0"/>
                <w:bCs w:val="0"/>
                <w:sz w:val="22"/>
                <w:szCs w:val="22"/>
                <w:lang w:bidi="ar-JO"/>
              </w:rPr>
            </w:pPr>
            <w:r w:rsidRPr="000A2117">
              <w:rPr>
                <w:rFonts w:ascii="Times New Roman" w:hAnsi="Times New Roman" w:cs="Times New Roman"/>
                <w:b w:val="0"/>
                <w:bCs w:val="0"/>
                <w:sz w:val="22"/>
                <w:szCs w:val="22"/>
                <w:lang w:bidi="ar-JO"/>
              </w:rPr>
              <w:t>0</w:t>
            </w:r>
          </w:p>
        </w:tc>
        <w:tc>
          <w:tcPr>
            <w:tcW w:w="988" w:type="dxa"/>
          </w:tcPr>
          <w:p w:rsidR="004B5A19" w:rsidRPr="000A2117" w:rsidRDefault="000A2117" w:rsidP="004B5A19">
            <w:pPr>
              <w:bidi w:val="0"/>
              <w:jc w:val="center"/>
              <w:rPr>
                <w:rFonts w:ascii="Times New Roman" w:hAnsi="Times New Roman" w:cs="Times New Roman"/>
                <w:b w:val="0"/>
                <w:bCs w:val="0"/>
                <w:sz w:val="22"/>
                <w:szCs w:val="22"/>
                <w:lang w:bidi="ar-JO"/>
              </w:rPr>
            </w:pPr>
            <w:r w:rsidRPr="000A2117">
              <w:rPr>
                <w:rFonts w:ascii="Times New Roman" w:hAnsi="Times New Roman" w:cs="Times New Roman"/>
                <w:b w:val="0"/>
                <w:bCs w:val="0"/>
                <w:sz w:val="22"/>
                <w:szCs w:val="22"/>
                <w:lang w:bidi="ar-JO"/>
              </w:rPr>
              <w:t>0</w:t>
            </w:r>
          </w:p>
        </w:tc>
        <w:tc>
          <w:tcPr>
            <w:tcW w:w="1121" w:type="dxa"/>
          </w:tcPr>
          <w:p w:rsidR="004B5A19" w:rsidRPr="000A2117" w:rsidRDefault="000A2117" w:rsidP="004B5A19">
            <w:pPr>
              <w:bidi w:val="0"/>
              <w:jc w:val="center"/>
              <w:rPr>
                <w:rFonts w:ascii="Times New Roman" w:hAnsi="Times New Roman" w:cs="Times New Roman"/>
                <w:b w:val="0"/>
                <w:bCs w:val="0"/>
                <w:sz w:val="22"/>
                <w:szCs w:val="22"/>
                <w:lang w:bidi="ar-JO"/>
              </w:rPr>
            </w:pPr>
            <w:r w:rsidRPr="000A2117">
              <w:rPr>
                <w:rFonts w:ascii="Times New Roman" w:hAnsi="Times New Roman" w:cs="Times New Roman"/>
                <w:b w:val="0"/>
                <w:bCs w:val="0"/>
                <w:sz w:val="22"/>
                <w:szCs w:val="22"/>
                <w:lang w:bidi="ar-JO"/>
              </w:rPr>
              <w:t>0</w:t>
            </w:r>
          </w:p>
        </w:tc>
        <w:tc>
          <w:tcPr>
            <w:tcW w:w="1554" w:type="dxa"/>
          </w:tcPr>
          <w:p w:rsidR="004B5A19" w:rsidRPr="000A2117" w:rsidRDefault="000A2117" w:rsidP="004B5A19">
            <w:pPr>
              <w:bidi w:val="0"/>
              <w:jc w:val="center"/>
              <w:rPr>
                <w:rFonts w:ascii="Times New Roman" w:hAnsi="Times New Roman" w:cs="Times New Roman"/>
                <w:b w:val="0"/>
                <w:bCs w:val="0"/>
                <w:sz w:val="22"/>
                <w:szCs w:val="22"/>
                <w:lang w:bidi="ar-JO"/>
              </w:rPr>
            </w:pPr>
            <w:r w:rsidRPr="000A2117">
              <w:rPr>
                <w:rFonts w:ascii="Times New Roman" w:hAnsi="Times New Roman" w:cs="Times New Roman"/>
                <w:b w:val="0"/>
                <w:bCs w:val="0"/>
                <w:sz w:val="22"/>
                <w:szCs w:val="22"/>
                <w:lang w:bidi="ar-JO"/>
              </w:rPr>
              <w:t>0</w:t>
            </w:r>
          </w:p>
        </w:tc>
      </w:tr>
      <w:tr w:rsidR="000A2117" w:rsidTr="000A2117">
        <w:tc>
          <w:tcPr>
            <w:tcW w:w="775" w:type="dxa"/>
          </w:tcPr>
          <w:p w:rsidR="000A2117" w:rsidRPr="000A2117" w:rsidRDefault="000A2117" w:rsidP="000A2117">
            <w:pPr>
              <w:bidi w:val="0"/>
              <w:jc w:val="center"/>
              <w:rPr>
                <w:rFonts w:ascii="Times New Roman" w:hAnsi="Times New Roman" w:cs="Times New Roman"/>
                <w:b w:val="0"/>
                <w:bCs w:val="0"/>
                <w:sz w:val="22"/>
                <w:szCs w:val="22"/>
                <w:lang w:bidi="ar-JO"/>
              </w:rPr>
            </w:pPr>
          </w:p>
        </w:tc>
        <w:tc>
          <w:tcPr>
            <w:tcW w:w="1012" w:type="dxa"/>
          </w:tcPr>
          <w:p w:rsidR="000A2117" w:rsidRPr="000A2117" w:rsidRDefault="000A2117" w:rsidP="000A2117">
            <w:pPr>
              <w:bidi w:val="0"/>
              <w:jc w:val="center"/>
              <w:rPr>
                <w:rFonts w:ascii="Times New Roman" w:hAnsi="Times New Roman" w:cs="Times New Roman"/>
                <w:b w:val="0"/>
                <w:bCs w:val="0"/>
                <w:sz w:val="22"/>
                <w:szCs w:val="22"/>
                <w:lang w:bidi="ar-JO"/>
              </w:rPr>
            </w:pPr>
          </w:p>
        </w:tc>
        <w:tc>
          <w:tcPr>
            <w:tcW w:w="828" w:type="dxa"/>
          </w:tcPr>
          <w:p w:rsidR="000A2117" w:rsidRPr="000A2117" w:rsidRDefault="000A2117" w:rsidP="000A2117">
            <w:pPr>
              <w:bidi w:val="0"/>
              <w:jc w:val="center"/>
              <w:rPr>
                <w:rFonts w:ascii="Times New Roman" w:hAnsi="Times New Roman" w:cs="Times New Roman"/>
                <w:b w:val="0"/>
                <w:bCs w:val="0"/>
                <w:sz w:val="22"/>
                <w:szCs w:val="22"/>
                <w:lang w:bidi="ar-JO"/>
              </w:rPr>
            </w:pPr>
          </w:p>
        </w:tc>
        <w:tc>
          <w:tcPr>
            <w:tcW w:w="925" w:type="dxa"/>
          </w:tcPr>
          <w:p w:rsidR="000A2117" w:rsidRDefault="000A2117" w:rsidP="000A2117">
            <w:pPr>
              <w:jc w:val="center"/>
            </w:pPr>
            <w:r w:rsidRPr="00D104D7">
              <w:rPr>
                <w:rFonts w:ascii="Times New Roman" w:hAnsi="Times New Roman" w:cs="Times New Roman"/>
                <w:b w:val="0"/>
                <w:bCs w:val="0"/>
                <w:sz w:val="22"/>
                <w:szCs w:val="22"/>
                <w:lang w:bidi="ar-JO"/>
              </w:rPr>
              <w:t>0</w:t>
            </w:r>
          </w:p>
        </w:tc>
        <w:tc>
          <w:tcPr>
            <w:tcW w:w="1192" w:type="dxa"/>
          </w:tcPr>
          <w:p w:rsidR="000A2117" w:rsidRDefault="000A2117" w:rsidP="000A2117">
            <w:pPr>
              <w:jc w:val="center"/>
            </w:pPr>
            <w:r w:rsidRPr="00D104D7">
              <w:rPr>
                <w:rFonts w:ascii="Times New Roman" w:hAnsi="Times New Roman" w:cs="Times New Roman"/>
                <w:b w:val="0"/>
                <w:bCs w:val="0"/>
                <w:sz w:val="22"/>
                <w:szCs w:val="22"/>
                <w:lang w:bidi="ar-JO"/>
              </w:rPr>
              <w:t>0</w:t>
            </w:r>
          </w:p>
        </w:tc>
        <w:tc>
          <w:tcPr>
            <w:tcW w:w="988" w:type="dxa"/>
          </w:tcPr>
          <w:p w:rsidR="000A2117" w:rsidRDefault="000A2117" w:rsidP="000A2117">
            <w:pPr>
              <w:jc w:val="center"/>
            </w:pPr>
            <w:r w:rsidRPr="00D104D7">
              <w:rPr>
                <w:rFonts w:ascii="Times New Roman" w:hAnsi="Times New Roman" w:cs="Times New Roman"/>
                <w:b w:val="0"/>
                <w:bCs w:val="0"/>
                <w:sz w:val="22"/>
                <w:szCs w:val="22"/>
                <w:lang w:bidi="ar-JO"/>
              </w:rPr>
              <w:t>0</w:t>
            </w:r>
          </w:p>
        </w:tc>
        <w:tc>
          <w:tcPr>
            <w:tcW w:w="1121" w:type="dxa"/>
          </w:tcPr>
          <w:p w:rsidR="000A2117" w:rsidRDefault="000A2117" w:rsidP="000A2117">
            <w:pPr>
              <w:jc w:val="center"/>
            </w:pPr>
            <w:r w:rsidRPr="00D104D7">
              <w:rPr>
                <w:rFonts w:ascii="Times New Roman" w:hAnsi="Times New Roman" w:cs="Times New Roman"/>
                <w:b w:val="0"/>
                <w:bCs w:val="0"/>
                <w:sz w:val="22"/>
                <w:szCs w:val="22"/>
                <w:lang w:bidi="ar-JO"/>
              </w:rPr>
              <w:t>0</w:t>
            </w:r>
          </w:p>
        </w:tc>
        <w:tc>
          <w:tcPr>
            <w:tcW w:w="1554" w:type="dxa"/>
          </w:tcPr>
          <w:p w:rsidR="000A2117" w:rsidRDefault="000A2117" w:rsidP="000A2117">
            <w:pPr>
              <w:jc w:val="center"/>
            </w:pPr>
            <w:r w:rsidRPr="00D104D7">
              <w:rPr>
                <w:rFonts w:ascii="Times New Roman" w:hAnsi="Times New Roman" w:cs="Times New Roman"/>
                <w:b w:val="0"/>
                <w:bCs w:val="0"/>
                <w:sz w:val="22"/>
                <w:szCs w:val="22"/>
                <w:lang w:bidi="ar-JO"/>
              </w:rPr>
              <w:t>0</w:t>
            </w:r>
          </w:p>
        </w:tc>
      </w:tr>
      <w:tr w:rsidR="000A2117" w:rsidTr="000A2117">
        <w:tc>
          <w:tcPr>
            <w:tcW w:w="775" w:type="dxa"/>
          </w:tcPr>
          <w:p w:rsidR="000A2117" w:rsidRPr="000A2117" w:rsidRDefault="000A2117" w:rsidP="000A2117">
            <w:pPr>
              <w:bidi w:val="0"/>
              <w:jc w:val="center"/>
              <w:rPr>
                <w:rFonts w:ascii="Times New Roman" w:hAnsi="Times New Roman" w:cs="Times New Roman"/>
                <w:b w:val="0"/>
                <w:bCs w:val="0"/>
                <w:sz w:val="22"/>
                <w:szCs w:val="22"/>
                <w:lang w:bidi="ar-JO"/>
              </w:rPr>
            </w:pPr>
          </w:p>
        </w:tc>
        <w:tc>
          <w:tcPr>
            <w:tcW w:w="1012" w:type="dxa"/>
          </w:tcPr>
          <w:p w:rsidR="000A2117" w:rsidRPr="000A2117" w:rsidRDefault="000A2117" w:rsidP="000A2117">
            <w:pPr>
              <w:bidi w:val="0"/>
              <w:jc w:val="center"/>
              <w:rPr>
                <w:rFonts w:ascii="Times New Roman" w:hAnsi="Times New Roman" w:cs="Times New Roman"/>
                <w:b w:val="0"/>
                <w:bCs w:val="0"/>
                <w:sz w:val="22"/>
                <w:szCs w:val="22"/>
                <w:lang w:bidi="ar-JO"/>
              </w:rPr>
            </w:pPr>
          </w:p>
        </w:tc>
        <w:tc>
          <w:tcPr>
            <w:tcW w:w="828" w:type="dxa"/>
          </w:tcPr>
          <w:p w:rsidR="000A2117" w:rsidRPr="000A2117" w:rsidRDefault="000A2117" w:rsidP="000A2117">
            <w:pPr>
              <w:bidi w:val="0"/>
              <w:jc w:val="center"/>
              <w:rPr>
                <w:rFonts w:ascii="Times New Roman" w:hAnsi="Times New Roman" w:cs="Times New Roman"/>
                <w:b w:val="0"/>
                <w:bCs w:val="0"/>
                <w:sz w:val="22"/>
                <w:szCs w:val="22"/>
                <w:lang w:bidi="ar-JO"/>
              </w:rPr>
            </w:pPr>
          </w:p>
        </w:tc>
        <w:tc>
          <w:tcPr>
            <w:tcW w:w="925" w:type="dxa"/>
          </w:tcPr>
          <w:p w:rsidR="000A2117" w:rsidRDefault="000A2117" w:rsidP="000A2117">
            <w:pPr>
              <w:jc w:val="center"/>
            </w:pPr>
            <w:r w:rsidRPr="00D104D7">
              <w:rPr>
                <w:rFonts w:ascii="Times New Roman" w:hAnsi="Times New Roman" w:cs="Times New Roman"/>
                <w:b w:val="0"/>
                <w:bCs w:val="0"/>
                <w:sz w:val="22"/>
                <w:szCs w:val="22"/>
                <w:lang w:bidi="ar-JO"/>
              </w:rPr>
              <w:t>0</w:t>
            </w:r>
          </w:p>
        </w:tc>
        <w:tc>
          <w:tcPr>
            <w:tcW w:w="1192" w:type="dxa"/>
          </w:tcPr>
          <w:p w:rsidR="000A2117" w:rsidRDefault="000A2117" w:rsidP="000A2117">
            <w:pPr>
              <w:jc w:val="center"/>
            </w:pPr>
            <w:r w:rsidRPr="00D104D7">
              <w:rPr>
                <w:rFonts w:ascii="Times New Roman" w:hAnsi="Times New Roman" w:cs="Times New Roman"/>
                <w:b w:val="0"/>
                <w:bCs w:val="0"/>
                <w:sz w:val="22"/>
                <w:szCs w:val="22"/>
                <w:lang w:bidi="ar-JO"/>
              </w:rPr>
              <w:t>0</w:t>
            </w:r>
          </w:p>
        </w:tc>
        <w:tc>
          <w:tcPr>
            <w:tcW w:w="988" w:type="dxa"/>
          </w:tcPr>
          <w:p w:rsidR="000A2117" w:rsidRDefault="000A2117" w:rsidP="000A2117">
            <w:pPr>
              <w:jc w:val="center"/>
            </w:pPr>
            <w:r w:rsidRPr="00D104D7">
              <w:rPr>
                <w:rFonts w:ascii="Times New Roman" w:hAnsi="Times New Roman" w:cs="Times New Roman"/>
                <w:b w:val="0"/>
                <w:bCs w:val="0"/>
                <w:sz w:val="22"/>
                <w:szCs w:val="22"/>
                <w:lang w:bidi="ar-JO"/>
              </w:rPr>
              <w:t>0</w:t>
            </w:r>
          </w:p>
        </w:tc>
        <w:tc>
          <w:tcPr>
            <w:tcW w:w="1121" w:type="dxa"/>
          </w:tcPr>
          <w:p w:rsidR="000A2117" w:rsidRDefault="000A2117" w:rsidP="000A2117">
            <w:pPr>
              <w:jc w:val="center"/>
            </w:pPr>
            <w:r w:rsidRPr="00D104D7">
              <w:rPr>
                <w:rFonts w:ascii="Times New Roman" w:hAnsi="Times New Roman" w:cs="Times New Roman"/>
                <w:b w:val="0"/>
                <w:bCs w:val="0"/>
                <w:sz w:val="22"/>
                <w:szCs w:val="22"/>
                <w:lang w:bidi="ar-JO"/>
              </w:rPr>
              <w:t>0</w:t>
            </w:r>
          </w:p>
        </w:tc>
        <w:tc>
          <w:tcPr>
            <w:tcW w:w="1554" w:type="dxa"/>
          </w:tcPr>
          <w:p w:rsidR="000A2117" w:rsidRDefault="000A2117" w:rsidP="000A2117">
            <w:pPr>
              <w:jc w:val="center"/>
            </w:pPr>
            <w:r w:rsidRPr="00D104D7">
              <w:rPr>
                <w:rFonts w:ascii="Times New Roman" w:hAnsi="Times New Roman" w:cs="Times New Roman"/>
                <w:b w:val="0"/>
                <w:bCs w:val="0"/>
                <w:sz w:val="22"/>
                <w:szCs w:val="22"/>
                <w:lang w:bidi="ar-JO"/>
              </w:rPr>
              <w:t>0</w:t>
            </w:r>
          </w:p>
        </w:tc>
      </w:tr>
      <w:tr w:rsidR="000A2117" w:rsidTr="000A2117">
        <w:tc>
          <w:tcPr>
            <w:tcW w:w="775" w:type="dxa"/>
          </w:tcPr>
          <w:p w:rsidR="000A2117" w:rsidRPr="000A2117" w:rsidRDefault="000A2117" w:rsidP="000A2117">
            <w:pPr>
              <w:bidi w:val="0"/>
              <w:jc w:val="center"/>
              <w:rPr>
                <w:rFonts w:ascii="Times New Roman" w:hAnsi="Times New Roman" w:cs="Times New Roman"/>
                <w:b w:val="0"/>
                <w:bCs w:val="0"/>
                <w:sz w:val="22"/>
                <w:szCs w:val="22"/>
                <w:lang w:bidi="ar-JO"/>
              </w:rPr>
            </w:pPr>
          </w:p>
        </w:tc>
        <w:tc>
          <w:tcPr>
            <w:tcW w:w="1012" w:type="dxa"/>
          </w:tcPr>
          <w:p w:rsidR="000A2117" w:rsidRPr="000A2117" w:rsidRDefault="000A2117" w:rsidP="000A2117">
            <w:pPr>
              <w:bidi w:val="0"/>
              <w:jc w:val="center"/>
              <w:rPr>
                <w:rFonts w:ascii="Times New Roman" w:hAnsi="Times New Roman" w:cs="Times New Roman"/>
                <w:b w:val="0"/>
                <w:bCs w:val="0"/>
                <w:sz w:val="22"/>
                <w:szCs w:val="22"/>
                <w:lang w:bidi="ar-JO"/>
              </w:rPr>
            </w:pPr>
          </w:p>
        </w:tc>
        <w:tc>
          <w:tcPr>
            <w:tcW w:w="828" w:type="dxa"/>
          </w:tcPr>
          <w:p w:rsidR="000A2117" w:rsidRPr="000A2117" w:rsidRDefault="000A2117" w:rsidP="000A2117">
            <w:pPr>
              <w:bidi w:val="0"/>
              <w:jc w:val="center"/>
              <w:rPr>
                <w:rFonts w:ascii="Times New Roman" w:hAnsi="Times New Roman" w:cs="Times New Roman"/>
                <w:b w:val="0"/>
                <w:bCs w:val="0"/>
                <w:sz w:val="22"/>
                <w:szCs w:val="22"/>
                <w:lang w:bidi="ar-JO"/>
              </w:rPr>
            </w:pPr>
          </w:p>
        </w:tc>
        <w:tc>
          <w:tcPr>
            <w:tcW w:w="925" w:type="dxa"/>
          </w:tcPr>
          <w:p w:rsidR="000A2117" w:rsidRDefault="000A2117" w:rsidP="000A2117">
            <w:pPr>
              <w:jc w:val="center"/>
            </w:pPr>
            <w:r w:rsidRPr="00D104D7">
              <w:rPr>
                <w:rFonts w:ascii="Times New Roman" w:hAnsi="Times New Roman" w:cs="Times New Roman"/>
                <w:b w:val="0"/>
                <w:bCs w:val="0"/>
                <w:sz w:val="22"/>
                <w:szCs w:val="22"/>
                <w:lang w:bidi="ar-JO"/>
              </w:rPr>
              <w:t>0</w:t>
            </w:r>
          </w:p>
        </w:tc>
        <w:tc>
          <w:tcPr>
            <w:tcW w:w="1192" w:type="dxa"/>
          </w:tcPr>
          <w:p w:rsidR="000A2117" w:rsidRDefault="000A2117" w:rsidP="000A2117">
            <w:pPr>
              <w:jc w:val="center"/>
            </w:pPr>
            <w:r w:rsidRPr="00D104D7">
              <w:rPr>
                <w:rFonts w:ascii="Times New Roman" w:hAnsi="Times New Roman" w:cs="Times New Roman"/>
                <w:b w:val="0"/>
                <w:bCs w:val="0"/>
                <w:sz w:val="22"/>
                <w:szCs w:val="22"/>
                <w:lang w:bidi="ar-JO"/>
              </w:rPr>
              <w:t>0</w:t>
            </w:r>
          </w:p>
        </w:tc>
        <w:tc>
          <w:tcPr>
            <w:tcW w:w="988" w:type="dxa"/>
          </w:tcPr>
          <w:p w:rsidR="000A2117" w:rsidRDefault="000A2117" w:rsidP="000A2117">
            <w:pPr>
              <w:jc w:val="center"/>
            </w:pPr>
            <w:r w:rsidRPr="00D104D7">
              <w:rPr>
                <w:rFonts w:ascii="Times New Roman" w:hAnsi="Times New Roman" w:cs="Times New Roman"/>
                <w:b w:val="0"/>
                <w:bCs w:val="0"/>
                <w:sz w:val="22"/>
                <w:szCs w:val="22"/>
                <w:lang w:bidi="ar-JO"/>
              </w:rPr>
              <w:t>0</w:t>
            </w:r>
          </w:p>
        </w:tc>
        <w:tc>
          <w:tcPr>
            <w:tcW w:w="1121" w:type="dxa"/>
          </w:tcPr>
          <w:p w:rsidR="000A2117" w:rsidRDefault="000A2117" w:rsidP="000A2117">
            <w:pPr>
              <w:jc w:val="center"/>
            </w:pPr>
            <w:r w:rsidRPr="00D104D7">
              <w:rPr>
                <w:rFonts w:ascii="Times New Roman" w:hAnsi="Times New Roman" w:cs="Times New Roman"/>
                <w:b w:val="0"/>
                <w:bCs w:val="0"/>
                <w:sz w:val="22"/>
                <w:szCs w:val="22"/>
                <w:lang w:bidi="ar-JO"/>
              </w:rPr>
              <w:t>0</w:t>
            </w:r>
          </w:p>
        </w:tc>
        <w:tc>
          <w:tcPr>
            <w:tcW w:w="1554" w:type="dxa"/>
          </w:tcPr>
          <w:p w:rsidR="000A2117" w:rsidRDefault="000A2117" w:rsidP="000A2117">
            <w:pPr>
              <w:jc w:val="center"/>
            </w:pPr>
            <w:r w:rsidRPr="00D104D7">
              <w:rPr>
                <w:rFonts w:ascii="Times New Roman" w:hAnsi="Times New Roman" w:cs="Times New Roman"/>
                <w:b w:val="0"/>
                <w:bCs w:val="0"/>
                <w:sz w:val="22"/>
                <w:szCs w:val="22"/>
                <w:lang w:bidi="ar-JO"/>
              </w:rPr>
              <w:t>0</w:t>
            </w:r>
          </w:p>
        </w:tc>
      </w:tr>
      <w:tr w:rsidR="000A2117" w:rsidTr="000A2117">
        <w:tc>
          <w:tcPr>
            <w:tcW w:w="775" w:type="dxa"/>
            <w:tcBorders>
              <w:bottom w:val="single" w:sz="4" w:space="0" w:color="auto"/>
            </w:tcBorders>
          </w:tcPr>
          <w:p w:rsidR="000A2117" w:rsidRPr="000A2117" w:rsidRDefault="000A2117" w:rsidP="000A2117">
            <w:pPr>
              <w:bidi w:val="0"/>
              <w:jc w:val="center"/>
              <w:rPr>
                <w:rFonts w:ascii="Times New Roman" w:hAnsi="Times New Roman" w:cs="Times New Roman"/>
                <w:b w:val="0"/>
                <w:bCs w:val="0"/>
                <w:sz w:val="22"/>
                <w:szCs w:val="22"/>
                <w:lang w:bidi="ar-JO"/>
              </w:rPr>
            </w:pPr>
          </w:p>
        </w:tc>
        <w:tc>
          <w:tcPr>
            <w:tcW w:w="1012" w:type="dxa"/>
            <w:tcBorders>
              <w:bottom w:val="single" w:sz="4" w:space="0" w:color="auto"/>
            </w:tcBorders>
          </w:tcPr>
          <w:p w:rsidR="000A2117" w:rsidRPr="000A2117" w:rsidRDefault="000A2117" w:rsidP="000A2117">
            <w:pPr>
              <w:bidi w:val="0"/>
              <w:jc w:val="center"/>
              <w:rPr>
                <w:rFonts w:ascii="Times New Roman" w:hAnsi="Times New Roman" w:cs="Times New Roman"/>
                <w:b w:val="0"/>
                <w:bCs w:val="0"/>
                <w:sz w:val="22"/>
                <w:szCs w:val="22"/>
                <w:lang w:bidi="ar-JO"/>
              </w:rPr>
            </w:pPr>
          </w:p>
        </w:tc>
        <w:tc>
          <w:tcPr>
            <w:tcW w:w="828" w:type="dxa"/>
            <w:tcBorders>
              <w:bottom w:val="single" w:sz="4" w:space="0" w:color="auto"/>
            </w:tcBorders>
          </w:tcPr>
          <w:p w:rsidR="000A2117" w:rsidRPr="000A2117" w:rsidRDefault="000A2117" w:rsidP="000A2117">
            <w:pPr>
              <w:bidi w:val="0"/>
              <w:jc w:val="center"/>
              <w:rPr>
                <w:rFonts w:ascii="Times New Roman" w:hAnsi="Times New Roman" w:cs="Times New Roman"/>
                <w:b w:val="0"/>
                <w:bCs w:val="0"/>
                <w:sz w:val="22"/>
                <w:szCs w:val="22"/>
                <w:lang w:bidi="ar-JO"/>
              </w:rPr>
            </w:pPr>
          </w:p>
        </w:tc>
        <w:tc>
          <w:tcPr>
            <w:tcW w:w="925" w:type="dxa"/>
            <w:tcBorders>
              <w:bottom w:val="single" w:sz="4" w:space="0" w:color="auto"/>
            </w:tcBorders>
          </w:tcPr>
          <w:p w:rsidR="000A2117" w:rsidRDefault="000A2117" w:rsidP="000A2117">
            <w:pPr>
              <w:jc w:val="center"/>
            </w:pPr>
            <w:r w:rsidRPr="00D104D7">
              <w:rPr>
                <w:rFonts w:ascii="Times New Roman" w:hAnsi="Times New Roman" w:cs="Times New Roman"/>
                <w:b w:val="0"/>
                <w:bCs w:val="0"/>
                <w:sz w:val="22"/>
                <w:szCs w:val="22"/>
                <w:lang w:bidi="ar-JO"/>
              </w:rPr>
              <w:t>0</w:t>
            </w:r>
          </w:p>
        </w:tc>
        <w:tc>
          <w:tcPr>
            <w:tcW w:w="1192" w:type="dxa"/>
            <w:tcBorders>
              <w:bottom w:val="single" w:sz="4" w:space="0" w:color="auto"/>
            </w:tcBorders>
          </w:tcPr>
          <w:p w:rsidR="000A2117" w:rsidRDefault="000A2117" w:rsidP="000A2117">
            <w:pPr>
              <w:jc w:val="center"/>
            </w:pPr>
            <w:r w:rsidRPr="00D104D7">
              <w:rPr>
                <w:rFonts w:ascii="Times New Roman" w:hAnsi="Times New Roman" w:cs="Times New Roman"/>
                <w:b w:val="0"/>
                <w:bCs w:val="0"/>
                <w:sz w:val="22"/>
                <w:szCs w:val="22"/>
                <w:lang w:bidi="ar-JO"/>
              </w:rPr>
              <w:t>0</w:t>
            </w:r>
          </w:p>
        </w:tc>
        <w:tc>
          <w:tcPr>
            <w:tcW w:w="988" w:type="dxa"/>
            <w:tcBorders>
              <w:bottom w:val="single" w:sz="4" w:space="0" w:color="auto"/>
            </w:tcBorders>
          </w:tcPr>
          <w:p w:rsidR="000A2117" w:rsidRDefault="000A2117" w:rsidP="000A2117">
            <w:pPr>
              <w:jc w:val="center"/>
            </w:pPr>
            <w:r w:rsidRPr="00D104D7">
              <w:rPr>
                <w:rFonts w:ascii="Times New Roman" w:hAnsi="Times New Roman" w:cs="Times New Roman"/>
                <w:b w:val="0"/>
                <w:bCs w:val="0"/>
                <w:sz w:val="22"/>
                <w:szCs w:val="22"/>
                <w:lang w:bidi="ar-JO"/>
              </w:rPr>
              <w:t>0</w:t>
            </w:r>
          </w:p>
        </w:tc>
        <w:tc>
          <w:tcPr>
            <w:tcW w:w="1121" w:type="dxa"/>
            <w:tcBorders>
              <w:bottom w:val="single" w:sz="4" w:space="0" w:color="auto"/>
            </w:tcBorders>
          </w:tcPr>
          <w:p w:rsidR="000A2117" w:rsidRDefault="000A2117" w:rsidP="000A2117">
            <w:pPr>
              <w:jc w:val="center"/>
            </w:pPr>
            <w:r w:rsidRPr="00D104D7">
              <w:rPr>
                <w:rFonts w:ascii="Times New Roman" w:hAnsi="Times New Roman" w:cs="Times New Roman"/>
                <w:b w:val="0"/>
                <w:bCs w:val="0"/>
                <w:sz w:val="22"/>
                <w:szCs w:val="22"/>
                <w:lang w:bidi="ar-JO"/>
              </w:rPr>
              <w:t>0</w:t>
            </w:r>
          </w:p>
        </w:tc>
        <w:tc>
          <w:tcPr>
            <w:tcW w:w="1554" w:type="dxa"/>
            <w:tcBorders>
              <w:bottom w:val="single" w:sz="4" w:space="0" w:color="auto"/>
            </w:tcBorders>
          </w:tcPr>
          <w:p w:rsidR="000A2117" w:rsidRDefault="000A2117" w:rsidP="000A2117">
            <w:pPr>
              <w:jc w:val="center"/>
            </w:pPr>
            <w:r w:rsidRPr="00D104D7">
              <w:rPr>
                <w:rFonts w:ascii="Times New Roman" w:hAnsi="Times New Roman" w:cs="Times New Roman"/>
                <w:b w:val="0"/>
                <w:bCs w:val="0"/>
                <w:sz w:val="22"/>
                <w:szCs w:val="22"/>
                <w:lang w:bidi="ar-JO"/>
              </w:rPr>
              <w:t>0</w:t>
            </w:r>
          </w:p>
        </w:tc>
      </w:tr>
      <w:tr w:rsidR="004B5A19" w:rsidTr="000A2117">
        <w:tc>
          <w:tcPr>
            <w:tcW w:w="775" w:type="dxa"/>
            <w:tcBorders>
              <w:bottom w:val="single" w:sz="4" w:space="0" w:color="auto"/>
            </w:tcBorders>
          </w:tcPr>
          <w:p w:rsidR="004B5A19" w:rsidRPr="000A2117" w:rsidRDefault="000A2117" w:rsidP="004B5A19">
            <w:pPr>
              <w:bidi w:val="0"/>
              <w:jc w:val="center"/>
              <w:rPr>
                <w:rFonts w:ascii="Times New Roman" w:hAnsi="Times New Roman" w:cs="Times New Roman"/>
                <w:b w:val="0"/>
                <w:bCs w:val="0"/>
                <w:sz w:val="22"/>
                <w:szCs w:val="22"/>
                <w:lang w:bidi="ar-JO"/>
              </w:rPr>
            </w:pPr>
            <w:r w:rsidRPr="000A2117">
              <w:rPr>
                <w:rFonts w:ascii="Times New Roman" w:hAnsi="Times New Roman" w:cs="Times New Roman"/>
                <w:b w:val="0"/>
                <w:bCs w:val="0"/>
                <w:sz w:val="22"/>
                <w:szCs w:val="22"/>
                <w:lang w:bidi="ar-JO"/>
              </w:rPr>
              <w:t>Total</w:t>
            </w:r>
          </w:p>
        </w:tc>
        <w:tc>
          <w:tcPr>
            <w:tcW w:w="1012" w:type="dxa"/>
            <w:tcBorders>
              <w:bottom w:val="single" w:sz="4" w:space="0" w:color="auto"/>
            </w:tcBorders>
          </w:tcPr>
          <w:p w:rsidR="004B5A19" w:rsidRPr="000A2117" w:rsidRDefault="000A2117" w:rsidP="004B5A19">
            <w:pPr>
              <w:bidi w:val="0"/>
              <w:jc w:val="center"/>
              <w:rPr>
                <w:rFonts w:ascii="Times New Roman" w:hAnsi="Times New Roman" w:cs="Times New Roman"/>
                <w:b w:val="0"/>
                <w:bCs w:val="0"/>
                <w:sz w:val="22"/>
                <w:szCs w:val="22"/>
                <w:lang w:bidi="ar-JO"/>
              </w:rPr>
            </w:pPr>
            <w:r w:rsidRPr="000A2117">
              <w:rPr>
                <w:rFonts w:ascii="Times New Roman" w:hAnsi="Times New Roman" w:cs="Times New Roman"/>
                <w:b w:val="0"/>
                <w:bCs w:val="0"/>
                <w:sz w:val="22"/>
                <w:szCs w:val="22"/>
                <w:lang w:bidi="ar-JO"/>
              </w:rPr>
              <w:t>0</w:t>
            </w:r>
          </w:p>
        </w:tc>
        <w:tc>
          <w:tcPr>
            <w:tcW w:w="828" w:type="dxa"/>
            <w:tcBorders>
              <w:bottom w:val="single" w:sz="4" w:space="0" w:color="auto"/>
            </w:tcBorders>
          </w:tcPr>
          <w:p w:rsidR="004B5A19" w:rsidRPr="000A2117" w:rsidRDefault="000A2117" w:rsidP="004B5A19">
            <w:pPr>
              <w:bidi w:val="0"/>
              <w:jc w:val="center"/>
              <w:rPr>
                <w:rFonts w:ascii="Times New Roman" w:hAnsi="Times New Roman" w:cs="Times New Roman"/>
                <w:b w:val="0"/>
                <w:bCs w:val="0"/>
                <w:sz w:val="22"/>
                <w:szCs w:val="22"/>
                <w:lang w:bidi="ar-JO"/>
              </w:rPr>
            </w:pPr>
            <w:r w:rsidRPr="000A2117">
              <w:rPr>
                <w:rFonts w:ascii="Times New Roman" w:hAnsi="Times New Roman" w:cs="Times New Roman"/>
                <w:b w:val="0"/>
                <w:bCs w:val="0"/>
                <w:sz w:val="22"/>
                <w:szCs w:val="22"/>
                <w:lang w:bidi="ar-JO"/>
              </w:rPr>
              <w:t>0</w:t>
            </w:r>
          </w:p>
        </w:tc>
        <w:tc>
          <w:tcPr>
            <w:tcW w:w="925" w:type="dxa"/>
            <w:tcBorders>
              <w:bottom w:val="single" w:sz="4" w:space="0" w:color="auto"/>
            </w:tcBorders>
          </w:tcPr>
          <w:p w:rsidR="004B5A19" w:rsidRPr="000A2117" w:rsidRDefault="000A2117" w:rsidP="004B5A19">
            <w:pPr>
              <w:bidi w:val="0"/>
              <w:jc w:val="center"/>
              <w:rPr>
                <w:rFonts w:ascii="Times New Roman" w:hAnsi="Times New Roman" w:cs="Times New Roman"/>
                <w:b w:val="0"/>
                <w:bCs w:val="0"/>
                <w:sz w:val="22"/>
                <w:szCs w:val="22"/>
                <w:lang w:bidi="ar-JO"/>
              </w:rPr>
            </w:pPr>
            <w:r w:rsidRPr="000A2117">
              <w:rPr>
                <w:rFonts w:ascii="Times New Roman" w:hAnsi="Times New Roman" w:cs="Times New Roman"/>
                <w:b w:val="0"/>
                <w:bCs w:val="0"/>
                <w:sz w:val="22"/>
                <w:szCs w:val="22"/>
                <w:lang w:bidi="ar-JO"/>
              </w:rPr>
              <w:t>0</w:t>
            </w:r>
          </w:p>
        </w:tc>
        <w:tc>
          <w:tcPr>
            <w:tcW w:w="1192" w:type="dxa"/>
            <w:tcBorders>
              <w:bottom w:val="single" w:sz="4" w:space="0" w:color="auto"/>
            </w:tcBorders>
          </w:tcPr>
          <w:p w:rsidR="004B5A19" w:rsidRPr="000A2117" w:rsidRDefault="000A2117" w:rsidP="004B5A19">
            <w:pPr>
              <w:bidi w:val="0"/>
              <w:jc w:val="center"/>
              <w:rPr>
                <w:rFonts w:ascii="Times New Roman" w:hAnsi="Times New Roman" w:cs="Times New Roman"/>
                <w:b w:val="0"/>
                <w:bCs w:val="0"/>
                <w:sz w:val="22"/>
                <w:szCs w:val="22"/>
                <w:lang w:bidi="ar-JO"/>
              </w:rPr>
            </w:pPr>
            <w:r w:rsidRPr="000A2117">
              <w:rPr>
                <w:rFonts w:ascii="Times New Roman" w:hAnsi="Times New Roman" w:cs="Times New Roman"/>
                <w:b w:val="0"/>
                <w:bCs w:val="0"/>
                <w:sz w:val="22"/>
                <w:szCs w:val="22"/>
                <w:lang w:bidi="ar-JO"/>
              </w:rPr>
              <w:t>0</w:t>
            </w:r>
          </w:p>
        </w:tc>
        <w:tc>
          <w:tcPr>
            <w:tcW w:w="988" w:type="dxa"/>
            <w:tcBorders>
              <w:bottom w:val="single" w:sz="4" w:space="0" w:color="auto"/>
            </w:tcBorders>
          </w:tcPr>
          <w:p w:rsidR="004B5A19" w:rsidRPr="000A2117" w:rsidRDefault="000A2117" w:rsidP="004B5A19">
            <w:pPr>
              <w:bidi w:val="0"/>
              <w:jc w:val="center"/>
              <w:rPr>
                <w:rFonts w:ascii="Times New Roman" w:hAnsi="Times New Roman" w:cs="Times New Roman"/>
                <w:b w:val="0"/>
                <w:bCs w:val="0"/>
                <w:sz w:val="22"/>
                <w:szCs w:val="22"/>
                <w:lang w:bidi="ar-JO"/>
              </w:rPr>
            </w:pPr>
            <w:r w:rsidRPr="000A2117">
              <w:rPr>
                <w:rFonts w:ascii="Times New Roman" w:hAnsi="Times New Roman" w:cs="Times New Roman"/>
                <w:b w:val="0"/>
                <w:bCs w:val="0"/>
                <w:sz w:val="22"/>
                <w:szCs w:val="22"/>
                <w:lang w:bidi="ar-JO"/>
              </w:rPr>
              <w:t>0</w:t>
            </w:r>
          </w:p>
        </w:tc>
        <w:tc>
          <w:tcPr>
            <w:tcW w:w="1121" w:type="dxa"/>
            <w:tcBorders>
              <w:bottom w:val="single" w:sz="4" w:space="0" w:color="auto"/>
            </w:tcBorders>
          </w:tcPr>
          <w:p w:rsidR="004B5A19" w:rsidRPr="000A2117" w:rsidRDefault="000A2117" w:rsidP="004B5A19">
            <w:pPr>
              <w:bidi w:val="0"/>
              <w:jc w:val="center"/>
              <w:rPr>
                <w:rFonts w:ascii="Times New Roman" w:hAnsi="Times New Roman" w:cs="Times New Roman"/>
                <w:b w:val="0"/>
                <w:bCs w:val="0"/>
                <w:sz w:val="22"/>
                <w:szCs w:val="22"/>
                <w:lang w:bidi="ar-JO"/>
              </w:rPr>
            </w:pPr>
            <w:r w:rsidRPr="000A2117">
              <w:rPr>
                <w:rFonts w:ascii="Times New Roman" w:hAnsi="Times New Roman" w:cs="Times New Roman"/>
                <w:b w:val="0"/>
                <w:bCs w:val="0"/>
                <w:sz w:val="22"/>
                <w:szCs w:val="22"/>
                <w:lang w:bidi="ar-JO"/>
              </w:rPr>
              <w:t>0</w:t>
            </w:r>
          </w:p>
        </w:tc>
        <w:tc>
          <w:tcPr>
            <w:tcW w:w="1554" w:type="dxa"/>
            <w:tcBorders>
              <w:bottom w:val="single" w:sz="4" w:space="0" w:color="auto"/>
            </w:tcBorders>
          </w:tcPr>
          <w:p w:rsidR="004B5A19" w:rsidRPr="000A2117" w:rsidRDefault="000A2117" w:rsidP="004B5A19">
            <w:pPr>
              <w:bidi w:val="0"/>
              <w:jc w:val="center"/>
              <w:rPr>
                <w:rFonts w:ascii="Times New Roman" w:hAnsi="Times New Roman" w:cs="Times New Roman"/>
                <w:b w:val="0"/>
                <w:bCs w:val="0"/>
                <w:sz w:val="22"/>
                <w:szCs w:val="22"/>
                <w:lang w:bidi="ar-JO"/>
              </w:rPr>
            </w:pPr>
            <w:r w:rsidRPr="000A2117">
              <w:rPr>
                <w:rFonts w:ascii="Times New Roman" w:hAnsi="Times New Roman" w:cs="Times New Roman"/>
                <w:b w:val="0"/>
                <w:bCs w:val="0"/>
                <w:sz w:val="22"/>
                <w:szCs w:val="22"/>
                <w:lang w:bidi="ar-JO"/>
              </w:rPr>
              <w:t>0</w:t>
            </w:r>
          </w:p>
        </w:tc>
      </w:tr>
      <w:tr w:rsidR="000A2117" w:rsidTr="000A2117">
        <w:tc>
          <w:tcPr>
            <w:tcW w:w="775" w:type="dxa"/>
            <w:tcBorders>
              <w:top w:val="single" w:sz="4" w:space="0" w:color="auto"/>
              <w:left w:val="nil"/>
              <w:bottom w:val="single" w:sz="4" w:space="0" w:color="auto"/>
              <w:right w:val="nil"/>
            </w:tcBorders>
          </w:tcPr>
          <w:p w:rsidR="000A2117" w:rsidRPr="000A2117" w:rsidRDefault="000A2117" w:rsidP="004B5A19">
            <w:pPr>
              <w:bidi w:val="0"/>
              <w:jc w:val="center"/>
              <w:rPr>
                <w:rFonts w:ascii="Times New Roman" w:hAnsi="Times New Roman" w:cs="Times New Roman"/>
                <w:b w:val="0"/>
                <w:bCs w:val="0"/>
                <w:sz w:val="22"/>
                <w:szCs w:val="22"/>
                <w:lang w:bidi="ar-JO"/>
              </w:rPr>
            </w:pPr>
          </w:p>
        </w:tc>
        <w:tc>
          <w:tcPr>
            <w:tcW w:w="1012" w:type="dxa"/>
            <w:tcBorders>
              <w:top w:val="single" w:sz="4" w:space="0" w:color="auto"/>
              <w:left w:val="nil"/>
              <w:bottom w:val="single" w:sz="4" w:space="0" w:color="auto"/>
              <w:right w:val="nil"/>
            </w:tcBorders>
          </w:tcPr>
          <w:p w:rsidR="000A2117" w:rsidRPr="000A2117" w:rsidRDefault="000A2117" w:rsidP="004B5A19">
            <w:pPr>
              <w:bidi w:val="0"/>
              <w:jc w:val="center"/>
              <w:rPr>
                <w:rFonts w:ascii="Times New Roman" w:hAnsi="Times New Roman" w:cs="Times New Roman"/>
                <w:b w:val="0"/>
                <w:bCs w:val="0"/>
                <w:sz w:val="22"/>
                <w:szCs w:val="22"/>
                <w:lang w:bidi="ar-JO"/>
              </w:rPr>
            </w:pPr>
          </w:p>
        </w:tc>
        <w:tc>
          <w:tcPr>
            <w:tcW w:w="828" w:type="dxa"/>
            <w:tcBorders>
              <w:top w:val="single" w:sz="4" w:space="0" w:color="auto"/>
              <w:left w:val="nil"/>
              <w:bottom w:val="single" w:sz="4" w:space="0" w:color="auto"/>
              <w:right w:val="nil"/>
            </w:tcBorders>
          </w:tcPr>
          <w:p w:rsidR="000A2117" w:rsidRPr="000A2117" w:rsidRDefault="000A2117" w:rsidP="004B5A19">
            <w:pPr>
              <w:bidi w:val="0"/>
              <w:jc w:val="center"/>
              <w:rPr>
                <w:rFonts w:ascii="Times New Roman" w:hAnsi="Times New Roman" w:cs="Times New Roman"/>
                <w:b w:val="0"/>
                <w:bCs w:val="0"/>
                <w:sz w:val="22"/>
                <w:szCs w:val="22"/>
                <w:lang w:bidi="ar-JO"/>
              </w:rPr>
            </w:pPr>
          </w:p>
        </w:tc>
        <w:tc>
          <w:tcPr>
            <w:tcW w:w="925" w:type="dxa"/>
            <w:tcBorders>
              <w:top w:val="single" w:sz="4" w:space="0" w:color="auto"/>
              <w:left w:val="nil"/>
              <w:bottom w:val="single" w:sz="4" w:space="0" w:color="auto"/>
              <w:right w:val="nil"/>
            </w:tcBorders>
          </w:tcPr>
          <w:p w:rsidR="000A2117" w:rsidRPr="000A2117" w:rsidRDefault="000A2117" w:rsidP="004B5A19">
            <w:pPr>
              <w:bidi w:val="0"/>
              <w:jc w:val="center"/>
              <w:rPr>
                <w:rFonts w:ascii="Times New Roman" w:hAnsi="Times New Roman" w:cs="Times New Roman"/>
                <w:b w:val="0"/>
                <w:bCs w:val="0"/>
                <w:sz w:val="22"/>
                <w:szCs w:val="22"/>
                <w:lang w:bidi="ar-JO"/>
              </w:rPr>
            </w:pPr>
          </w:p>
        </w:tc>
        <w:tc>
          <w:tcPr>
            <w:tcW w:w="1192" w:type="dxa"/>
            <w:tcBorders>
              <w:top w:val="single" w:sz="4" w:space="0" w:color="auto"/>
              <w:left w:val="nil"/>
              <w:bottom w:val="single" w:sz="4" w:space="0" w:color="auto"/>
              <w:right w:val="nil"/>
            </w:tcBorders>
          </w:tcPr>
          <w:p w:rsidR="000A2117" w:rsidRPr="000A2117" w:rsidRDefault="000A2117" w:rsidP="004B5A19">
            <w:pPr>
              <w:bidi w:val="0"/>
              <w:jc w:val="center"/>
              <w:rPr>
                <w:rFonts w:ascii="Times New Roman" w:hAnsi="Times New Roman" w:cs="Times New Roman"/>
                <w:b w:val="0"/>
                <w:bCs w:val="0"/>
                <w:sz w:val="22"/>
                <w:szCs w:val="22"/>
                <w:lang w:bidi="ar-JO"/>
              </w:rPr>
            </w:pPr>
          </w:p>
        </w:tc>
        <w:tc>
          <w:tcPr>
            <w:tcW w:w="988" w:type="dxa"/>
            <w:tcBorders>
              <w:top w:val="single" w:sz="4" w:space="0" w:color="auto"/>
              <w:left w:val="nil"/>
              <w:bottom w:val="nil"/>
              <w:right w:val="nil"/>
            </w:tcBorders>
          </w:tcPr>
          <w:p w:rsidR="000A2117" w:rsidRPr="000A2117" w:rsidRDefault="000A2117" w:rsidP="004B5A19">
            <w:pPr>
              <w:bidi w:val="0"/>
              <w:jc w:val="center"/>
              <w:rPr>
                <w:rFonts w:ascii="Times New Roman" w:hAnsi="Times New Roman" w:cs="Times New Roman"/>
                <w:b w:val="0"/>
                <w:bCs w:val="0"/>
                <w:sz w:val="22"/>
                <w:szCs w:val="22"/>
                <w:lang w:bidi="ar-JO"/>
              </w:rPr>
            </w:pPr>
          </w:p>
        </w:tc>
        <w:tc>
          <w:tcPr>
            <w:tcW w:w="1121" w:type="dxa"/>
            <w:tcBorders>
              <w:top w:val="single" w:sz="4" w:space="0" w:color="auto"/>
              <w:left w:val="nil"/>
              <w:bottom w:val="nil"/>
              <w:right w:val="nil"/>
            </w:tcBorders>
          </w:tcPr>
          <w:p w:rsidR="000A2117" w:rsidRPr="000A2117" w:rsidRDefault="000A2117" w:rsidP="004B5A19">
            <w:pPr>
              <w:bidi w:val="0"/>
              <w:jc w:val="center"/>
              <w:rPr>
                <w:rFonts w:ascii="Times New Roman" w:hAnsi="Times New Roman" w:cs="Times New Roman"/>
                <w:b w:val="0"/>
                <w:bCs w:val="0"/>
                <w:sz w:val="22"/>
                <w:szCs w:val="22"/>
                <w:lang w:bidi="ar-JO"/>
              </w:rPr>
            </w:pPr>
          </w:p>
        </w:tc>
        <w:tc>
          <w:tcPr>
            <w:tcW w:w="1554" w:type="dxa"/>
            <w:tcBorders>
              <w:top w:val="single" w:sz="4" w:space="0" w:color="auto"/>
              <w:left w:val="nil"/>
              <w:bottom w:val="nil"/>
              <w:right w:val="nil"/>
            </w:tcBorders>
          </w:tcPr>
          <w:p w:rsidR="000A2117" w:rsidRPr="000A2117" w:rsidRDefault="000A2117" w:rsidP="004B5A19">
            <w:pPr>
              <w:bidi w:val="0"/>
              <w:jc w:val="center"/>
              <w:rPr>
                <w:rFonts w:ascii="Times New Roman" w:hAnsi="Times New Roman" w:cs="Times New Roman"/>
                <w:b w:val="0"/>
                <w:bCs w:val="0"/>
                <w:sz w:val="22"/>
                <w:szCs w:val="22"/>
                <w:lang w:bidi="ar-JO"/>
              </w:rPr>
            </w:pPr>
          </w:p>
        </w:tc>
      </w:tr>
      <w:tr w:rsidR="000A2117" w:rsidTr="000A2117">
        <w:tc>
          <w:tcPr>
            <w:tcW w:w="3540" w:type="dxa"/>
            <w:gridSpan w:val="4"/>
            <w:tcBorders>
              <w:top w:val="single" w:sz="4" w:space="0" w:color="auto"/>
              <w:left w:val="single" w:sz="4" w:space="0" w:color="auto"/>
              <w:bottom w:val="single" w:sz="4" w:space="0" w:color="auto"/>
              <w:right w:val="single" w:sz="4" w:space="0" w:color="auto"/>
            </w:tcBorders>
          </w:tcPr>
          <w:p w:rsidR="000A2117" w:rsidRPr="000A2117" w:rsidRDefault="000A2117" w:rsidP="004B5A19">
            <w:pPr>
              <w:bidi w:val="0"/>
              <w:jc w:val="center"/>
              <w:rPr>
                <w:rFonts w:ascii="Times New Roman" w:hAnsi="Times New Roman" w:cs="Times New Roman"/>
                <w:b w:val="0"/>
                <w:bCs w:val="0"/>
                <w:sz w:val="22"/>
                <w:szCs w:val="22"/>
                <w:lang w:bidi="ar-JO"/>
              </w:rPr>
            </w:pPr>
            <w:r w:rsidRPr="000A2117">
              <w:rPr>
                <w:rFonts w:ascii="Times New Roman" w:hAnsi="Times New Roman" w:cs="Times New Roman"/>
                <w:b w:val="0"/>
                <w:bCs w:val="0"/>
                <w:sz w:val="22"/>
                <w:szCs w:val="22"/>
                <w:lang w:bidi="ar-JO"/>
              </w:rPr>
              <w:t>Market risk for equity instruments</w:t>
            </w:r>
          </w:p>
        </w:tc>
        <w:tc>
          <w:tcPr>
            <w:tcW w:w="1192" w:type="dxa"/>
            <w:tcBorders>
              <w:top w:val="single" w:sz="4" w:space="0" w:color="auto"/>
              <w:left w:val="single" w:sz="4" w:space="0" w:color="auto"/>
              <w:bottom w:val="single" w:sz="4" w:space="0" w:color="auto"/>
              <w:right w:val="single" w:sz="4" w:space="0" w:color="auto"/>
            </w:tcBorders>
          </w:tcPr>
          <w:p w:rsidR="000A2117" w:rsidRPr="000A2117" w:rsidRDefault="000A2117" w:rsidP="004B5A19">
            <w:pPr>
              <w:bidi w:val="0"/>
              <w:jc w:val="center"/>
              <w:rPr>
                <w:rFonts w:ascii="Times New Roman" w:hAnsi="Times New Roman" w:cs="Times New Roman"/>
                <w:b w:val="0"/>
                <w:bCs w:val="0"/>
                <w:sz w:val="22"/>
                <w:szCs w:val="22"/>
                <w:lang w:bidi="ar-JO"/>
              </w:rPr>
            </w:pPr>
            <w:r w:rsidRPr="000A2117">
              <w:rPr>
                <w:rFonts w:ascii="Times New Roman" w:hAnsi="Times New Roman" w:cs="Times New Roman"/>
                <w:b w:val="0"/>
                <w:bCs w:val="0"/>
                <w:sz w:val="22"/>
                <w:szCs w:val="22"/>
                <w:lang w:bidi="ar-JO"/>
              </w:rPr>
              <w:t>0</w:t>
            </w:r>
          </w:p>
        </w:tc>
        <w:tc>
          <w:tcPr>
            <w:tcW w:w="988" w:type="dxa"/>
            <w:tcBorders>
              <w:top w:val="nil"/>
              <w:left w:val="single" w:sz="4" w:space="0" w:color="auto"/>
              <w:bottom w:val="nil"/>
              <w:right w:val="nil"/>
            </w:tcBorders>
          </w:tcPr>
          <w:p w:rsidR="000A2117" w:rsidRPr="000A2117" w:rsidRDefault="000A2117" w:rsidP="004B5A19">
            <w:pPr>
              <w:bidi w:val="0"/>
              <w:jc w:val="center"/>
              <w:rPr>
                <w:rFonts w:ascii="Times New Roman" w:hAnsi="Times New Roman" w:cs="Times New Roman"/>
                <w:b w:val="0"/>
                <w:bCs w:val="0"/>
                <w:sz w:val="22"/>
                <w:szCs w:val="22"/>
                <w:lang w:bidi="ar-JO"/>
              </w:rPr>
            </w:pPr>
          </w:p>
        </w:tc>
        <w:tc>
          <w:tcPr>
            <w:tcW w:w="1121" w:type="dxa"/>
            <w:tcBorders>
              <w:top w:val="nil"/>
              <w:left w:val="nil"/>
              <w:bottom w:val="nil"/>
              <w:right w:val="nil"/>
            </w:tcBorders>
          </w:tcPr>
          <w:p w:rsidR="000A2117" w:rsidRPr="000A2117" w:rsidRDefault="000A2117" w:rsidP="004B5A19">
            <w:pPr>
              <w:bidi w:val="0"/>
              <w:jc w:val="center"/>
              <w:rPr>
                <w:rFonts w:ascii="Times New Roman" w:hAnsi="Times New Roman" w:cs="Times New Roman"/>
                <w:b w:val="0"/>
                <w:bCs w:val="0"/>
                <w:sz w:val="22"/>
                <w:szCs w:val="22"/>
                <w:lang w:bidi="ar-JO"/>
              </w:rPr>
            </w:pPr>
          </w:p>
        </w:tc>
        <w:tc>
          <w:tcPr>
            <w:tcW w:w="1554" w:type="dxa"/>
            <w:tcBorders>
              <w:top w:val="nil"/>
              <w:left w:val="nil"/>
              <w:bottom w:val="nil"/>
              <w:right w:val="nil"/>
            </w:tcBorders>
          </w:tcPr>
          <w:p w:rsidR="000A2117" w:rsidRPr="000A2117" w:rsidRDefault="000A2117" w:rsidP="004B5A19">
            <w:pPr>
              <w:bidi w:val="0"/>
              <w:jc w:val="center"/>
              <w:rPr>
                <w:rFonts w:ascii="Times New Roman" w:hAnsi="Times New Roman" w:cs="Times New Roman"/>
                <w:b w:val="0"/>
                <w:bCs w:val="0"/>
                <w:sz w:val="22"/>
                <w:szCs w:val="22"/>
                <w:lang w:bidi="ar-JO"/>
              </w:rPr>
            </w:pPr>
          </w:p>
        </w:tc>
      </w:tr>
    </w:tbl>
    <w:p w:rsidR="004B5A19" w:rsidRDefault="004B5A19" w:rsidP="004B5A19">
      <w:pPr>
        <w:bidi w:val="0"/>
        <w:jc w:val="center"/>
        <w:rPr>
          <w:rtl/>
          <w:lang w:bidi="ar-JO"/>
        </w:rPr>
      </w:pPr>
    </w:p>
    <w:p w:rsidR="002E519D" w:rsidRDefault="002E519D" w:rsidP="002E519D">
      <w:pPr>
        <w:bidi w:val="0"/>
        <w:jc w:val="center"/>
        <w:rPr>
          <w:sz w:val="28"/>
          <w:szCs w:val="28"/>
        </w:rPr>
      </w:pPr>
      <w:bookmarkStart w:id="89" w:name="_Toc465255844"/>
    </w:p>
    <w:bookmarkEnd w:id="89"/>
    <w:p w:rsidR="00505A8B" w:rsidRDefault="00505A8B" w:rsidP="00505A8B">
      <w:pPr>
        <w:rPr>
          <w:lang w:bidi="ar-JO"/>
        </w:rPr>
      </w:pPr>
    </w:p>
    <w:p w:rsidR="000A2117" w:rsidRDefault="000A2117" w:rsidP="00505A8B">
      <w:pPr>
        <w:rPr>
          <w:lang w:bidi="ar-JO"/>
        </w:rPr>
      </w:pPr>
    </w:p>
    <w:p w:rsidR="000A2117" w:rsidRDefault="000A2117" w:rsidP="00505A8B">
      <w:pPr>
        <w:rPr>
          <w:lang w:bidi="ar-JO"/>
        </w:rPr>
      </w:pPr>
    </w:p>
    <w:p w:rsidR="000A2117" w:rsidRDefault="000A2117" w:rsidP="00505A8B">
      <w:pPr>
        <w:rPr>
          <w:lang w:bidi="ar-JO"/>
        </w:rPr>
      </w:pPr>
    </w:p>
    <w:p w:rsidR="000A2117" w:rsidRDefault="000A2117" w:rsidP="00505A8B">
      <w:pPr>
        <w:rPr>
          <w:lang w:bidi="ar-JO"/>
        </w:rPr>
      </w:pPr>
    </w:p>
    <w:p w:rsidR="000A2117" w:rsidRDefault="000A2117" w:rsidP="00505A8B">
      <w:pPr>
        <w:rPr>
          <w:rtl/>
          <w:lang w:bidi="ar-JO"/>
        </w:rPr>
      </w:pPr>
    </w:p>
    <w:p w:rsidR="00505A8B" w:rsidRDefault="00505A8B" w:rsidP="00505A8B">
      <w:pPr>
        <w:rPr>
          <w:rtl/>
          <w:lang w:bidi="ar-JO"/>
        </w:rPr>
      </w:pPr>
    </w:p>
    <w:p w:rsidR="00505A8B" w:rsidRDefault="00505A8B" w:rsidP="00505A8B">
      <w:pPr>
        <w:rPr>
          <w:rtl/>
          <w:lang w:bidi="ar-JO"/>
        </w:rPr>
      </w:pPr>
    </w:p>
    <w:p w:rsidR="00505A8B" w:rsidRPr="005A2DDD" w:rsidRDefault="00505A8B" w:rsidP="00505A8B">
      <w:pPr>
        <w:rPr>
          <w:rtl/>
          <w:lang w:bidi="ar-JO"/>
        </w:rPr>
      </w:pPr>
    </w:p>
    <w:p w:rsidR="000A2117" w:rsidRPr="00D036DF" w:rsidRDefault="000A2117" w:rsidP="00B66B27">
      <w:pPr>
        <w:pStyle w:val="Heading1"/>
        <w:pBdr>
          <w:bottom w:val="single" w:sz="4" w:space="1" w:color="auto"/>
        </w:pBdr>
        <w:bidi w:val="0"/>
        <w:jc w:val="center"/>
        <w:rPr>
          <w:rFonts w:asciiTheme="majorBidi" w:hAnsiTheme="majorBidi" w:cstheme="majorBidi"/>
          <w:b/>
          <w:bCs/>
        </w:rPr>
      </w:pPr>
      <w:bookmarkStart w:id="90" w:name="_Toc465255845"/>
      <w:bookmarkStart w:id="91" w:name="_Toc65354428"/>
      <w:r w:rsidRPr="00D036DF">
        <w:rPr>
          <w:rFonts w:asciiTheme="majorBidi" w:hAnsiTheme="majorBidi" w:cstheme="majorBidi"/>
          <w:b/>
          <w:bCs/>
        </w:rPr>
        <w:lastRenderedPageBreak/>
        <w:t>Annex (19)</w:t>
      </w:r>
      <w:r w:rsidR="00B66B27">
        <w:rPr>
          <w:rFonts w:asciiTheme="majorBidi" w:hAnsiTheme="majorBidi" w:cstheme="majorBidi"/>
          <w:b/>
          <w:bCs/>
        </w:rPr>
        <w:t xml:space="preserve"> </w:t>
      </w:r>
      <w:r w:rsidRPr="00D036DF">
        <w:rPr>
          <w:rFonts w:asciiTheme="majorBidi" w:hAnsiTheme="majorBidi" w:cstheme="majorBidi"/>
          <w:b/>
          <w:bCs/>
        </w:rPr>
        <w:t>Market risk for foreign exchange</w:t>
      </w:r>
      <w:r w:rsidR="00563636">
        <w:rPr>
          <w:rFonts w:asciiTheme="majorBidi" w:hAnsiTheme="majorBidi" w:cstheme="majorBidi"/>
          <w:b/>
          <w:bCs/>
        </w:rPr>
        <w:t xml:space="preserve"> rate</w:t>
      </w:r>
      <w:r w:rsidRPr="00D036DF">
        <w:rPr>
          <w:rFonts w:asciiTheme="majorBidi" w:hAnsiTheme="majorBidi" w:cstheme="majorBidi"/>
          <w:b/>
          <w:bCs/>
        </w:rPr>
        <w:t xml:space="preserve"> and gold</w:t>
      </w:r>
      <w:bookmarkEnd w:id="91"/>
      <w:r w:rsidRPr="00D036DF">
        <w:rPr>
          <w:rFonts w:asciiTheme="majorBidi" w:hAnsiTheme="majorBidi" w:cstheme="majorBidi"/>
          <w:b/>
          <w:bCs/>
        </w:rPr>
        <w:t xml:space="preserve"> </w:t>
      </w:r>
    </w:p>
    <w:p w:rsidR="000A2117" w:rsidRDefault="000A2117" w:rsidP="00505A8B">
      <w:pPr>
        <w:pStyle w:val="Caption"/>
        <w:keepNext/>
        <w:jc w:val="center"/>
        <w:rPr>
          <w:b/>
          <w:bCs/>
          <w:color w:val="auto"/>
          <w:sz w:val="28"/>
          <w:szCs w:val="28"/>
        </w:rPr>
      </w:pPr>
    </w:p>
    <w:bookmarkEnd w:id="90"/>
    <w:p w:rsidR="00505A8B" w:rsidRDefault="00505A8B" w:rsidP="00505A8B">
      <w:pPr>
        <w:pStyle w:val="Caption"/>
        <w:keepNext/>
        <w:jc w:val="center"/>
        <w:rPr>
          <w:b/>
          <w:bCs/>
          <w:color w:val="auto"/>
          <w:sz w:val="28"/>
          <w:szCs w:val="28"/>
        </w:rPr>
      </w:pPr>
    </w:p>
    <w:tbl>
      <w:tblPr>
        <w:tblStyle w:val="TableGrid"/>
        <w:bidiVisual/>
        <w:tblW w:w="0" w:type="auto"/>
        <w:tblInd w:w="33" w:type="dxa"/>
        <w:tblLook w:val="04A0" w:firstRow="1" w:lastRow="0" w:firstColumn="1" w:lastColumn="0" w:noHBand="0" w:noVBand="1"/>
      </w:tblPr>
      <w:tblGrid>
        <w:gridCol w:w="1139"/>
        <w:gridCol w:w="993"/>
        <w:gridCol w:w="6230"/>
      </w:tblGrid>
      <w:tr w:rsidR="00DA7B2F" w:rsidRPr="00B71FB6" w:rsidTr="00B71FB6">
        <w:tc>
          <w:tcPr>
            <w:tcW w:w="2132" w:type="dxa"/>
            <w:gridSpan w:val="2"/>
            <w:shd w:val="clear" w:color="auto" w:fill="DBDBDB" w:themeFill="accent3" w:themeFillTint="66"/>
          </w:tcPr>
          <w:p w:rsidR="00DA7B2F" w:rsidRPr="00B71FB6" w:rsidRDefault="00DA7B2F" w:rsidP="00B71FB6">
            <w:pPr>
              <w:bidi w:val="0"/>
              <w:spacing w:after="0" w:line="276" w:lineRule="auto"/>
              <w:jc w:val="center"/>
              <w:rPr>
                <w:rFonts w:ascii="Times New Roman" w:hAnsi="Times New Roman" w:cs="Times New Roman"/>
                <w:sz w:val="24"/>
                <w:szCs w:val="24"/>
                <w:rtl/>
              </w:rPr>
            </w:pPr>
            <w:r w:rsidRPr="00B71FB6">
              <w:rPr>
                <w:rFonts w:ascii="Times New Roman" w:hAnsi="Times New Roman" w:cs="Times New Roman"/>
                <w:sz w:val="24"/>
                <w:szCs w:val="24"/>
              </w:rPr>
              <w:t>Net positions</w:t>
            </w:r>
          </w:p>
        </w:tc>
        <w:tc>
          <w:tcPr>
            <w:tcW w:w="6230" w:type="dxa"/>
            <w:shd w:val="clear" w:color="auto" w:fill="DBDBDB" w:themeFill="accent3" w:themeFillTint="66"/>
          </w:tcPr>
          <w:p w:rsidR="00DA7B2F" w:rsidRPr="00B71FB6" w:rsidRDefault="00DA7B2F" w:rsidP="00B71FB6">
            <w:pPr>
              <w:bidi w:val="0"/>
              <w:spacing w:after="0" w:line="276" w:lineRule="auto"/>
              <w:jc w:val="center"/>
              <w:rPr>
                <w:rFonts w:ascii="Times New Roman" w:hAnsi="Times New Roman" w:cs="Times New Roman"/>
                <w:sz w:val="24"/>
                <w:szCs w:val="24"/>
                <w:rtl/>
              </w:rPr>
            </w:pPr>
            <w:r w:rsidRPr="00B71FB6">
              <w:rPr>
                <w:rFonts w:ascii="Times New Roman" w:hAnsi="Times New Roman" w:cs="Times New Roman"/>
                <w:sz w:val="24"/>
                <w:szCs w:val="24"/>
              </w:rPr>
              <w:t>currency</w:t>
            </w:r>
          </w:p>
        </w:tc>
      </w:tr>
      <w:tr w:rsidR="00DA7B2F" w:rsidRPr="00B71FB6" w:rsidTr="00B71FB6">
        <w:tc>
          <w:tcPr>
            <w:tcW w:w="1139" w:type="dxa"/>
          </w:tcPr>
          <w:p w:rsidR="00DA7B2F" w:rsidRPr="00B71FB6" w:rsidRDefault="00DA7B2F" w:rsidP="00B71FB6">
            <w:pPr>
              <w:bidi w:val="0"/>
              <w:spacing w:after="0" w:line="276" w:lineRule="auto"/>
              <w:rPr>
                <w:rFonts w:ascii="Times New Roman" w:hAnsi="Times New Roman" w:cs="Times New Roman"/>
                <w:b w:val="0"/>
                <w:bCs w:val="0"/>
                <w:sz w:val="24"/>
                <w:szCs w:val="24"/>
                <w:rtl/>
              </w:rPr>
            </w:pPr>
            <w:r w:rsidRPr="00B71FB6">
              <w:rPr>
                <w:rFonts w:ascii="Times New Roman" w:hAnsi="Times New Roman" w:cs="Times New Roman"/>
                <w:b w:val="0"/>
                <w:bCs w:val="0"/>
                <w:sz w:val="24"/>
                <w:szCs w:val="24"/>
              </w:rPr>
              <w:t>short</w:t>
            </w:r>
          </w:p>
        </w:tc>
        <w:tc>
          <w:tcPr>
            <w:tcW w:w="993" w:type="dxa"/>
          </w:tcPr>
          <w:p w:rsidR="00DA7B2F" w:rsidRPr="00B71FB6" w:rsidRDefault="00DA7B2F" w:rsidP="00B71FB6">
            <w:pPr>
              <w:bidi w:val="0"/>
              <w:spacing w:after="0" w:line="276" w:lineRule="auto"/>
              <w:rPr>
                <w:rFonts w:ascii="Times New Roman" w:hAnsi="Times New Roman" w:cs="Times New Roman"/>
                <w:b w:val="0"/>
                <w:bCs w:val="0"/>
                <w:sz w:val="24"/>
                <w:szCs w:val="24"/>
                <w:rtl/>
              </w:rPr>
            </w:pPr>
            <w:r w:rsidRPr="00B71FB6">
              <w:rPr>
                <w:rFonts w:ascii="Times New Roman" w:hAnsi="Times New Roman" w:cs="Times New Roman"/>
                <w:b w:val="0"/>
                <w:bCs w:val="0"/>
                <w:sz w:val="24"/>
                <w:szCs w:val="24"/>
              </w:rPr>
              <w:t>long</w:t>
            </w:r>
          </w:p>
        </w:tc>
        <w:tc>
          <w:tcPr>
            <w:tcW w:w="6230" w:type="dxa"/>
          </w:tcPr>
          <w:p w:rsidR="00DA7B2F" w:rsidRPr="00B71FB6" w:rsidRDefault="00DA7B2F" w:rsidP="00B71FB6">
            <w:pPr>
              <w:bidi w:val="0"/>
              <w:spacing w:after="0" w:line="276" w:lineRule="auto"/>
              <w:rPr>
                <w:rFonts w:ascii="Times New Roman" w:hAnsi="Times New Roman" w:cs="Times New Roman"/>
                <w:b w:val="0"/>
                <w:bCs w:val="0"/>
                <w:sz w:val="24"/>
                <w:szCs w:val="24"/>
                <w:rtl/>
              </w:rPr>
            </w:pPr>
          </w:p>
        </w:tc>
      </w:tr>
      <w:tr w:rsidR="00DA7B2F" w:rsidRPr="00B71FB6" w:rsidTr="00B71FB6">
        <w:tc>
          <w:tcPr>
            <w:tcW w:w="1139" w:type="dxa"/>
          </w:tcPr>
          <w:p w:rsidR="00DA7B2F" w:rsidRPr="00B71FB6" w:rsidRDefault="00DA7B2F" w:rsidP="00B71FB6">
            <w:pPr>
              <w:bidi w:val="0"/>
              <w:spacing w:after="0" w:line="276" w:lineRule="auto"/>
              <w:rPr>
                <w:rFonts w:ascii="Times New Roman" w:hAnsi="Times New Roman" w:cs="Times New Roman"/>
                <w:b w:val="0"/>
                <w:bCs w:val="0"/>
                <w:sz w:val="24"/>
                <w:szCs w:val="24"/>
                <w:rtl/>
              </w:rPr>
            </w:pPr>
          </w:p>
        </w:tc>
        <w:tc>
          <w:tcPr>
            <w:tcW w:w="993" w:type="dxa"/>
          </w:tcPr>
          <w:p w:rsidR="00DA7B2F" w:rsidRPr="00B71FB6" w:rsidRDefault="00DA7B2F" w:rsidP="00B71FB6">
            <w:pPr>
              <w:bidi w:val="0"/>
              <w:spacing w:after="0" w:line="276" w:lineRule="auto"/>
              <w:rPr>
                <w:rFonts w:ascii="Times New Roman" w:hAnsi="Times New Roman" w:cs="Times New Roman"/>
                <w:b w:val="0"/>
                <w:bCs w:val="0"/>
                <w:sz w:val="24"/>
                <w:szCs w:val="24"/>
                <w:rtl/>
              </w:rPr>
            </w:pPr>
          </w:p>
        </w:tc>
        <w:tc>
          <w:tcPr>
            <w:tcW w:w="6230" w:type="dxa"/>
          </w:tcPr>
          <w:p w:rsidR="00DA7B2F" w:rsidRPr="00B71FB6" w:rsidRDefault="00DA7B2F" w:rsidP="00B71FB6">
            <w:pPr>
              <w:bidi w:val="0"/>
              <w:spacing w:after="0" w:line="276" w:lineRule="auto"/>
              <w:rPr>
                <w:rFonts w:ascii="Times New Roman" w:hAnsi="Times New Roman" w:cs="Times New Roman"/>
                <w:b w:val="0"/>
                <w:bCs w:val="0"/>
                <w:sz w:val="24"/>
                <w:szCs w:val="24"/>
                <w:rtl/>
              </w:rPr>
            </w:pPr>
            <w:r w:rsidRPr="00B71FB6">
              <w:rPr>
                <w:rFonts w:ascii="Times New Roman" w:hAnsi="Times New Roman" w:cs="Times New Roman"/>
                <w:b w:val="0"/>
                <w:bCs w:val="0"/>
                <w:sz w:val="24"/>
                <w:szCs w:val="24"/>
              </w:rPr>
              <w:t>Dollar</w:t>
            </w:r>
          </w:p>
        </w:tc>
      </w:tr>
      <w:tr w:rsidR="00DA7B2F" w:rsidRPr="00B71FB6" w:rsidTr="00B71FB6">
        <w:tc>
          <w:tcPr>
            <w:tcW w:w="1139" w:type="dxa"/>
          </w:tcPr>
          <w:p w:rsidR="00DA7B2F" w:rsidRPr="00B71FB6" w:rsidRDefault="00DA7B2F" w:rsidP="00B71FB6">
            <w:pPr>
              <w:bidi w:val="0"/>
              <w:spacing w:after="0" w:line="276" w:lineRule="auto"/>
              <w:rPr>
                <w:rFonts w:ascii="Times New Roman" w:hAnsi="Times New Roman" w:cs="Times New Roman"/>
                <w:b w:val="0"/>
                <w:bCs w:val="0"/>
                <w:sz w:val="24"/>
                <w:szCs w:val="24"/>
                <w:rtl/>
              </w:rPr>
            </w:pPr>
          </w:p>
        </w:tc>
        <w:tc>
          <w:tcPr>
            <w:tcW w:w="993" w:type="dxa"/>
          </w:tcPr>
          <w:p w:rsidR="00DA7B2F" w:rsidRPr="00B71FB6" w:rsidRDefault="00DA7B2F" w:rsidP="00B71FB6">
            <w:pPr>
              <w:bidi w:val="0"/>
              <w:spacing w:after="0" w:line="276" w:lineRule="auto"/>
              <w:rPr>
                <w:rFonts w:ascii="Times New Roman" w:hAnsi="Times New Roman" w:cs="Times New Roman"/>
                <w:b w:val="0"/>
                <w:bCs w:val="0"/>
                <w:sz w:val="24"/>
                <w:szCs w:val="24"/>
                <w:rtl/>
              </w:rPr>
            </w:pPr>
          </w:p>
        </w:tc>
        <w:tc>
          <w:tcPr>
            <w:tcW w:w="6230" w:type="dxa"/>
          </w:tcPr>
          <w:p w:rsidR="00DA7B2F" w:rsidRPr="00B71FB6" w:rsidRDefault="00DA7B2F" w:rsidP="00B71FB6">
            <w:pPr>
              <w:bidi w:val="0"/>
              <w:spacing w:after="0" w:line="276" w:lineRule="auto"/>
              <w:rPr>
                <w:rFonts w:ascii="Times New Roman" w:hAnsi="Times New Roman" w:cs="Times New Roman"/>
                <w:b w:val="0"/>
                <w:bCs w:val="0"/>
                <w:sz w:val="24"/>
                <w:szCs w:val="24"/>
                <w:rtl/>
              </w:rPr>
            </w:pPr>
            <w:r w:rsidRPr="00B71FB6">
              <w:rPr>
                <w:rFonts w:ascii="Times New Roman" w:hAnsi="Times New Roman" w:cs="Times New Roman"/>
                <w:b w:val="0"/>
                <w:bCs w:val="0"/>
                <w:sz w:val="24"/>
                <w:szCs w:val="24"/>
              </w:rPr>
              <w:t xml:space="preserve">Euro </w:t>
            </w:r>
          </w:p>
        </w:tc>
      </w:tr>
      <w:tr w:rsidR="00DA7B2F" w:rsidRPr="00B71FB6" w:rsidTr="00B71FB6">
        <w:tc>
          <w:tcPr>
            <w:tcW w:w="1139" w:type="dxa"/>
          </w:tcPr>
          <w:p w:rsidR="00DA7B2F" w:rsidRPr="00B71FB6" w:rsidRDefault="00DA7B2F" w:rsidP="00B71FB6">
            <w:pPr>
              <w:bidi w:val="0"/>
              <w:spacing w:after="0" w:line="276" w:lineRule="auto"/>
              <w:rPr>
                <w:rFonts w:ascii="Times New Roman" w:hAnsi="Times New Roman" w:cs="Times New Roman"/>
                <w:b w:val="0"/>
                <w:bCs w:val="0"/>
                <w:sz w:val="24"/>
                <w:szCs w:val="24"/>
                <w:rtl/>
              </w:rPr>
            </w:pPr>
          </w:p>
        </w:tc>
        <w:tc>
          <w:tcPr>
            <w:tcW w:w="993" w:type="dxa"/>
          </w:tcPr>
          <w:p w:rsidR="00DA7B2F" w:rsidRPr="00B71FB6" w:rsidRDefault="00DA7B2F" w:rsidP="00B71FB6">
            <w:pPr>
              <w:bidi w:val="0"/>
              <w:spacing w:after="0" w:line="276" w:lineRule="auto"/>
              <w:rPr>
                <w:rFonts w:ascii="Times New Roman" w:hAnsi="Times New Roman" w:cs="Times New Roman"/>
                <w:b w:val="0"/>
                <w:bCs w:val="0"/>
                <w:sz w:val="24"/>
                <w:szCs w:val="24"/>
                <w:rtl/>
              </w:rPr>
            </w:pPr>
          </w:p>
        </w:tc>
        <w:tc>
          <w:tcPr>
            <w:tcW w:w="6230" w:type="dxa"/>
          </w:tcPr>
          <w:p w:rsidR="00DA7B2F" w:rsidRPr="00B71FB6" w:rsidRDefault="00DA7B2F" w:rsidP="00B71FB6">
            <w:pPr>
              <w:bidi w:val="0"/>
              <w:spacing w:after="0" w:line="276" w:lineRule="auto"/>
              <w:rPr>
                <w:rFonts w:ascii="Times New Roman" w:hAnsi="Times New Roman" w:cs="Times New Roman"/>
                <w:b w:val="0"/>
                <w:bCs w:val="0"/>
                <w:sz w:val="24"/>
                <w:szCs w:val="24"/>
              </w:rPr>
            </w:pPr>
            <w:r w:rsidRPr="00B71FB6">
              <w:rPr>
                <w:rFonts w:ascii="Times New Roman" w:hAnsi="Times New Roman" w:cs="Times New Roman"/>
                <w:b w:val="0"/>
                <w:bCs w:val="0"/>
                <w:color w:val="202124"/>
                <w:sz w:val="24"/>
                <w:szCs w:val="24"/>
                <w:lang w:val="en"/>
              </w:rPr>
              <w:t>Japanese Yen</w:t>
            </w:r>
          </w:p>
        </w:tc>
      </w:tr>
      <w:tr w:rsidR="00DA7B2F" w:rsidRPr="00B71FB6" w:rsidTr="00B71FB6">
        <w:tc>
          <w:tcPr>
            <w:tcW w:w="1139" w:type="dxa"/>
          </w:tcPr>
          <w:p w:rsidR="00DA7B2F" w:rsidRPr="00B71FB6" w:rsidRDefault="00DA7B2F" w:rsidP="00B71FB6">
            <w:pPr>
              <w:bidi w:val="0"/>
              <w:spacing w:after="0" w:line="276" w:lineRule="auto"/>
              <w:rPr>
                <w:rFonts w:ascii="Times New Roman" w:hAnsi="Times New Roman" w:cs="Times New Roman"/>
                <w:b w:val="0"/>
                <w:bCs w:val="0"/>
                <w:sz w:val="24"/>
                <w:szCs w:val="24"/>
                <w:rtl/>
              </w:rPr>
            </w:pPr>
          </w:p>
        </w:tc>
        <w:tc>
          <w:tcPr>
            <w:tcW w:w="993" w:type="dxa"/>
          </w:tcPr>
          <w:p w:rsidR="00DA7B2F" w:rsidRPr="00B71FB6" w:rsidRDefault="00DA7B2F" w:rsidP="00B71FB6">
            <w:pPr>
              <w:bidi w:val="0"/>
              <w:spacing w:after="0" w:line="276" w:lineRule="auto"/>
              <w:rPr>
                <w:rFonts w:ascii="Times New Roman" w:hAnsi="Times New Roman" w:cs="Times New Roman"/>
                <w:b w:val="0"/>
                <w:bCs w:val="0"/>
                <w:sz w:val="24"/>
                <w:szCs w:val="24"/>
                <w:rtl/>
              </w:rPr>
            </w:pPr>
          </w:p>
        </w:tc>
        <w:tc>
          <w:tcPr>
            <w:tcW w:w="6230" w:type="dxa"/>
          </w:tcPr>
          <w:p w:rsidR="00DA7B2F" w:rsidRPr="00B71FB6" w:rsidRDefault="00DA7B2F" w:rsidP="00B71FB6">
            <w:pPr>
              <w:bidi w:val="0"/>
              <w:spacing w:after="0" w:line="276" w:lineRule="auto"/>
              <w:rPr>
                <w:rFonts w:ascii="Times New Roman" w:hAnsi="Times New Roman" w:cs="Times New Roman"/>
                <w:b w:val="0"/>
                <w:bCs w:val="0"/>
                <w:color w:val="202124"/>
                <w:sz w:val="24"/>
                <w:szCs w:val="24"/>
                <w:lang w:val="en"/>
              </w:rPr>
            </w:pPr>
            <w:r w:rsidRPr="00B71FB6">
              <w:rPr>
                <w:rFonts w:ascii="Times New Roman" w:hAnsi="Times New Roman" w:cs="Times New Roman"/>
                <w:b w:val="0"/>
                <w:bCs w:val="0"/>
                <w:color w:val="202124"/>
                <w:sz w:val="24"/>
                <w:szCs w:val="24"/>
                <w:lang w:val="en"/>
              </w:rPr>
              <w:t>Swiss franc</w:t>
            </w:r>
          </w:p>
        </w:tc>
      </w:tr>
      <w:tr w:rsidR="00DA7B2F" w:rsidRPr="00B71FB6" w:rsidTr="00B71FB6">
        <w:tc>
          <w:tcPr>
            <w:tcW w:w="1139" w:type="dxa"/>
          </w:tcPr>
          <w:p w:rsidR="00DA7B2F" w:rsidRPr="00B71FB6" w:rsidRDefault="00DA7B2F" w:rsidP="00B71FB6">
            <w:pPr>
              <w:bidi w:val="0"/>
              <w:spacing w:after="0" w:line="276" w:lineRule="auto"/>
              <w:rPr>
                <w:rFonts w:ascii="Times New Roman" w:hAnsi="Times New Roman" w:cs="Times New Roman"/>
                <w:b w:val="0"/>
                <w:bCs w:val="0"/>
                <w:sz w:val="24"/>
                <w:szCs w:val="24"/>
                <w:rtl/>
              </w:rPr>
            </w:pPr>
          </w:p>
        </w:tc>
        <w:tc>
          <w:tcPr>
            <w:tcW w:w="993" w:type="dxa"/>
          </w:tcPr>
          <w:p w:rsidR="00DA7B2F" w:rsidRPr="00B71FB6" w:rsidRDefault="00DA7B2F" w:rsidP="00B71FB6">
            <w:pPr>
              <w:bidi w:val="0"/>
              <w:spacing w:after="0" w:line="276" w:lineRule="auto"/>
              <w:rPr>
                <w:rFonts w:ascii="Times New Roman" w:hAnsi="Times New Roman" w:cs="Times New Roman"/>
                <w:b w:val="0"/>
                <w:bCs w:val="0"/>
                <w:sz w:val="24"/>
                <w:szCs w:val="24"/>
                <w:rtl/>
              </w:rPr>
            </w:pPr>
          </w:p>
        </w:tc>
        <w:tc>
          <w:tcPr>
            <w:tcW w:w="6230" w:type="dxa"/>
          </w:tcPr>
          <w:p w:rsidR="00DA7B2F" w:rsidRPr="00B71FB6" w:rsidRDefault="00DA7B2F" w:rsidP="00B71FB6">
            <w:pPr>
              <w:bidi w:val="0"/>
              <w:spacing w:after="0" w:line="276" w:lineRule="auto"/>
              <w:rPr>
                <w:rFonts w:ascii="Times New Roman" w:hAnsi="Times New Roman" w:cs="Times New Roman"/>
                <w:b w:val="0"/>
                <w:bCs w:val="0"/>
                <w:color w:val="202124"/>
                <w:sz w:val="24"/>
                <w:szCs w:val="24"/>
                <w:lang w:val="en"/>
              </w:rPr>
            </w:pPr>
            <w:r w:rsidRPr="00B71FB6">
              <w:rPr>
                <w:rFonts w:ascii="Times New Roman" w:hAnsi="Times New Roman" w:cs="Times New Roman"/>
                <w:b w:val="0"/>
                <w:bCs w:val="0"/>
                <w:color w:val="202124"/>
                <w:sz w:val="24"/>
                <w:szCs w:val="24"/>
                <w:lang w:val="en"/>
              </w:rPr>
              <w:t>Swedish krona</w:t>
            </w:r>
          </w:p>
        </w:tc>
      </w:tr>
      <w:tr w:rsidR="00DA7B2F" w:rsidRPr="00B71FB6" w:rsidTr="00B71FB6">
        <w:tc>
          <w:tcPr>
            <w:tcW w:w="1139" w:type="dxa"/>
          </w:tcPr>
          <w:p w:rsidR="00DA7B2F" w:rsidRPr="00B71FB6" w:rsidRDefault="00DA7B2F" w:rsidP="00B71FB6">
            <w:pPr>
              <w:bidi w:val="0"/>
              <w:spacing w:after="0" w:line="276" w:lineRule="auto"/>
              <w:rPr>
                <w:rFonts w:ascii="Times New Roman" w:hAnsi="Times New Roman" w:cs="Times New Roman"/>
                <w:b w:val="0"/>
                <w:bCs w:val="0"/>
                <w:sz w:val="24"/>
                <w:szCs w:val="24"/>
                <w:rtl/>
              </w:rPr>
            </w:pPr>
          </w:p>
        </w:tc>
        <w:tc>
          <w:tcPr>
            <w:tcW w:w="993" w:type="dxa"/>
          </w:tcPr>
          <w:p w:rsidR="00DA7B2F" w:rsidRPr="00B71FB6" w:rsidRDefault="00DA7B2F" w:rsidP="00B71FB6">
            <w:pPr>
              <w:bidi w:val="0"/>
              <w:spacing w:after="0" w:line="276" w:lineRule="auto"/>
              <w:rPr>
                <w:rFonts w:ascii="Times New Roman" w:hAnsi="Times New Roman" w:cs="Times New Roman"/>
                <w:b w:val="0"/>
                <w:bCs w:val="0"/>
                <w:sz w:val="24"/>
                <w:szCs w:val="24"/>
                <w:rtl/>
              </w:rPr>
            </w:pPr>
          </w:p>
        </w:tc>
        <w:tc>
          <w:tcPr>
            <w:tcW w:w="6230" w:type="dxa"/>
          </w:tcPr>
          <w:p w:rsidR="00DA7B2F" w:rsidRPr="00B71FB6" w:rsidRDefault="00DA7B2F" w:rsidP="00B71FB6">
            <w:pPr>
              <w:bidi w:val="0"/>
              <w:spacing w:after="0" w:line="276" w:lineRule="auto"/>
              <w:rPr>
                <w:rFonts w:ascii="Times New Roman" w:hAnsi="Times New Roman" w:cs="Times New Roman"/>
                <w:b w:val="0"/>
                <w:bCs w:val="0"/>
                <w:color w:val="202124"/>
                <w:sz w:val="24"/>
                <w:szCs w:val="24"/>
                <w:lang w:val="en"/>
              </w:rPr>
            </w:pPr>
            <w:r w:rsidRPr="00B71FB6">
              <w:rPr>
                <w:rFonts w:ascii="Times New Roman" w:hAnsi="Times New Roman" w:cs="Times New Roman"/>
                <w:b w:val="0"/>
                <w:bCs w:val="0"/>
                <w:color w:val="202124"/>
                <w:sz w:val="24"/>
                <w:szCs w:val="24"/>
                <w:lang w:val="en"/>
              </w:rPr>
              <w:t>Canadian Dollar</w:t>
            </w:r>
          </w:p>
        </w:tc>
      </w:tr>
      <w:tr w:rsidR="00DA7B2F" w:rsidRPr="00B71FB6" w:rsidTr="00B71FB6">
        <w:tc>
          <w:tcPr>
            <w:tcW w:w="1139" w:type="dxa"/>
          </w:tcPr>
          <w:p w:rsidR="00DA7B2F" w:rsidRPr="00B71FB6" w:rsidRDefault="00DA7B2F" w:rsidP="00B71FB6">
            <w:pPr>
              <w:bidi w:val="0"/>
              <w:spacing w:after="0" w:line="276" w:lineRule="auto"/>
              <w:rPr>
                <w:rFonts w:ascii="Times New Roman" w:hAnsi="Times New Roman" w:cs="Times New Roman"/>
                <w:b w:val="0"/>
                <w:bCs w:val="0"/>
                <w:sz w:val="24"/>
                <w:szCs w:val="24"/>
                <w:rtl/>
              </w:rPr>
            </w:pPr>
          </w:p>
        </w:tc>
        <w:tc>
          <w:tcPr>
            <w:tcW w:w="993" w:type="dxa"/>
          </w:tcPr>
          <w:p w:rsidR="00DA7B2F" w:rsidRPr="00B71FB6" w:rsidRDefault="00DA7B2F" w:rsidP="00B71FB6">
            <w:pPr>
              <w:bidi w:val="0"/>
              <w:spacing w:after="0" w:line="276" w:lineRule="auto"/>
              <w:rPr>
                <w:rFonts w:ascii="Times New Roman" w:hAnsi="Times New Roman" w:cs="Times New Roman"/>
                <w:b w:val="0"/>
                <w:bCs w:val="0"/>
                <w:sz w:val="24"/>
                <w:szCs w:val="24"/>
                <w:rtl/>
              </w:rPr>
            </w:pPr>
          </w:p>
        </w:tc>
        <w:tc>
          <w:tcPr>
            <w:tcW w:w="6230" w:type="dxa"/>
          </w:tcPr>
          <w:p w:rsidR="00DA7B2F" w:rsidRPr="00B71FB6" w:rsidRDefault="00DA7B2F" w:rsidP="00B71FB6">
            <w:pPr>
              <w:bidi w:val="0"/>
              <w:spacing w:after="0" w:line="276" w:lineRule="auto"/>
              <w:rPr>
                <w:rFonts w:ascii="Times New Roman" w:hAnsi="Times New Roman" w:cs="Times New Roman"/>
                <w:b w:val="0"/>
                <w:bCs w:val="0"/>
                <w:color w:val="202124"/>
                <w:sz w:val="24"/>
                <w:szCs w:val="24"/>
                <w:lang w:val="en"/>
              </w:rPr>
            </w:pPr>
            <w:r w:rsidRPr="00B71FB6">
              <w:rPr>
                <w:rFonts w:ascii="Times New Roman" w:hAnsi="Times New Roman" w:cs="Times New Roman"/>
                <w:b w:val="0"/>
                <w:bCs w:val="0"/>
                <w:color w:val="202124"/>
                <w:sz w:val="24"/>
                <w:szCs w:val="24"/>
                <w:lang w:val="en"/>
              </w:rPr>
              <w:t>Danish Krone</w:t>
            </w:r>
          </w:p>
        </w:tc>
      </w:tr>
      <w:tr w:rsidR="00DA7B2F" w:rsidRPr="00B71FB6" w:rsidTr="00B71FB6">
        <w:tc>
          <w:tcPr>
            <w:tcW w:w="1139" w:type="dxa"/>
          </w:tcPr>
          <w:p w:rsidR="00DA7B2F" w:rsidRPr="00B71FB6" w:rsidRDefault="00DA7B2F" w:rsidP="00B71FB6">
            <w:pPr>
              <w:bidi w:val="0"/>
              <w:spacing w:after="0" w:line="276" w:lineRule="auto"/>
              <w:rPr>
                <w:rFonts w:ascii="Times New Roman" w:hAnsi="Times New Roman" w:cs="Times New Roman"/>
                <w:b w:val="0"/>
                <w:bCs w:val="0"/>
                <w:sz w:val="24"/>
                <w:szCs w:val="24"/>
                <w:rtl/>
              </w:rPr>
            </w:pPr>
          </w:p>
        </w:tc>
        <w:tc>
          <w:tcPr>
            <w:tcW w:w="993" w:type="dxa"/>
          </w:tcPr>
          <w:p w:rsidR="00DA7B2F" w:rsidRPr="00B71FB6" w:rsidRDefault="00DA7B2F" w:rsidP="00B71FB6">
            <w:pPr>
              <w:bidi w:val="0"/>
              <w:spacing w:after="0" w:line="276" w:lineRule="auto"/>
              <w:rPr>
                <w:rFonts w:ascii="Times New Roman" w:hAnsi="Times New Roman" w:cs="Times New Roman"/>
                <w:b w:val="0"/>
                <w:bCs w:val="0"/>
                <w:sz w:val="24"/>
                <w:szCs w:val="24"/>
                <w:rtl/>
              </w:rPr>
            </w:pPr>
          </w:p>
        </w:tc>
        <w:tc>
          <w:tcPr>
            <w:tcW w:w="6230" w:type="dxa"/>
          </w:tcPr>
          <w:p w:rsidR="00DA7B2F" w:rsidRPr="00B71FB6" w:rsidRDefault="00DA7B2F" w:rsidP="00B71FB6">
            <w:pPr>
              <w:bidi w:val="0"/>
              <w:spacing w:after="0" w:line="276" w:lineRule="auto"/>
              <w:rPr>
                <w:rFonts w:ascii="Times New Roman" w:hAnsi="Times New Roman" w:cs="Times New Roman"/>
                <w:b w:val="0"/>
                <w:bCs w:val="0"/>
                <w:color w:val="202124"/>
                <w:sz w:val="24"/>
                <w:szCs w:val="24"/>
                <w:lang w:val="en"/>
              </w:rPr>
            </w:pPr>
            <w:r w:rsidRPr="00B71FB6">
              <w:rPr>
                <w:rFonts w:ascii="Times New Roman" w:hAnsi="Times New Roman" w:cs="Times New Roman"/>
                <w:b w:val="0"/>
                <w:bCs w:val="0"/>
                <w:color w:val="202124"/>
                <w:sz w:val="24"/>
                <w:szCs w:val="24"/>
                <w:lang w:val="en"/>
              </w:rPr>
              <w:t>pound</w:t>
            </w:r>
          </w:p>
        </w:tc>
      </w:tr>
      <w:tr w:rsidR="00DA7B2F" w:rsidRPr="00B71FB6" w:rsidTr="00B71FB6">
        <w:tc>
          <w:tcPr>
            <w:tcW w:w="1139" w:type="dxa"/>
            <w:tcBorders>
              <w:bottom w:val="single" w:sz="4" w:space="0" w:color="auto"/>
            </w:tcBorders>
          </w:tcPr>
          <w:p w:rsidR="00DA7B2F" w:rsidRPr="00B71FB6" w:rsidRDefault="00DA7B2F" w:rsidP="00B71FB6">
            <w:pPr>
              <w:bidi w:val="0"/>
              <w:spacing w:after="0" w:line="276" w:lineRule="auto"/>
              <w:rPr>
                <w:rFonts w:ascii="Times New Roman" w:hAnsi="Times New Roman" w:cs="Times New Roman"/>
                <w:b w:val="0"/>
                <w:bCs w:val="0"/>
                <w:sz w:val="24"/>
                <w:szCs w:val="24"/>
                <w:rtl/>
              </w:rPr>
            </w:pPr>
          </w:p>
        </w:tc>
        <w:tc>
          <w:tcPr>
            <w:tcW w:w="993" w:type="dxa"/>
            <w:tcBorders>
              <w:bottom w:val="single" w:sz="4" w:space="0" w:color="auto"/>
            </w:tcBorders>
          </w:tcPr>
          <w:p w:rsidR="00DA7B2F" w:rsidRPr="00B71FB6" w:rsidRDefault="00DA7B2F" w:rsidP="00B71FB6">
            <w:pPr>
              <w:bidi w:val="0"/>
              <w:spacing w:after="0" w:line="276" w:lineRule="auto"/>
              <w:rPr>
                <w:rFonts w:ascii="Times New Roman" w:hAnsi="Times New Roman" w:cs="Times New Roman"/>
                <w:b w:val="0"/>
                <w:bCs w:val="0"/>
                <w:sz w:val="24"/>
                <w:szCs w:val="24"/>
                <w:rtl/>
              </w:rPr>
            </w:pPr>
          </w:p>
        </w:tc>
        <w:tc>
          <w:tcPr>
            <w:tcW w:w="6230" w:type="dxa"/>
          </w:tcPr>
          <w:p w:rsidR="00DA7B2F" w:rsidRPr="00B71FB6" w:rsidRDefault="00DA7B2F" w:rsidP="00B71FB6">
            <w:pPr>
              <w:bidi w:val="0"/>
              <w:spacing w:after="0" w:line="276" w:lineRule="auto"/>
              <w:rPr>
                <w:rFonts w:ascii="Times New Roman" w:hAnsi="Times New Roman" w:cs="Times New Roman"/>
                <w:b w:val="0"/>
                <w:bCs w:val="0"/>
                <w:color w:val="202124"/>
                <w:sz w:val="24"/>
                <w:szCs w:val="24"/>
                <w:lang w:val="en"/>
              </w:rPr>
            </w:pPr>
            <w:r w:rsidRPr="00B71FB6">
              <w:rPr>
                <w:rFonts w:ascii="Times New Roman" w:hAnsi="Times New Roman" w:cs="Times New Roman"/>
                <w:b w:val="0"/>
                <w:bCs w:val="0"/>
                <w:color w:val="202124"/>
                <w:sz w:val="24"/>
                <w:szCs w:val="24"/>
                <w:lang w:val="en"/>
              </w:rPr>
              <w:t>Other currencies</w:t>
            </w:r>
          </w:p>
        </w:tc>
      </w:tr>
      <w:tr w:rsidR="00DA7B2F" w:rsidRPr="00B71FB6" w:rsidTr="00B71FB6">
        <w:tc>
          <w:tcPr>
            <w:tcW w:w="1139" w:type="dxa"/>
            <w:tcBorders>
              <w:bottom w:val="single" w:sz="4" w:space="0" w:color="auto"/>
            </w:tcBorders>
          </w:tcPr>
          <w:p w:rsidR="00DA7B2F" w:rsidRPr="00B71FB6" w:rsidRDefault="000A2117" w:rsidP="00B71FB6">
            <w:pPr>
              <w:bidi w:val="0"/>
              <w:spacing w:after="0" w:line="276" w:lineRule="auto"/>
              <w:jc w:val="center"/>
              <w:rPr>
                <w:rFonts w:ascii="Times New Roman" w:hAnsi="Times New Roman" w:cs="Times New Roman"/>
                <w:b w:val="0"/>
                <w:bCs w:val="0"/>
                <w:sz w:val="24"/>
                <w:szCs w:val="24"/>
                <w:rtl/>
              </w:rPr>
            </w:pPr>
            <w:r w:rsidRPr="00B71FB6">
              <w:rPr>
                <w:rFonts w:ascii="Times New Roman" w:hAnsi="Times New Roman" w:cs="Times New Roman"/>
                <w:b w:val="0"/>
                <w:bCs w:val="0"/>
                <w:sz w:val="24"/>
                <w:szCs w:val="24"/>
              </w:rPr>
              <w:t>0</w:t>
            </w:r>
          </w:p>
        </w:tc>
        <w:tc>
          <w:tcPr>
            <w:tcW w:w="993" w:type="dxa"/>
            <w:tcBorders>
              <w:bottom w:val="single" w:sz="4" w:space="0" w:color="auto"/>
            </w:tcBorders>
          </w:tcPr>
          <w:p w:rsidR="00DA7B2F" w:rsidRPr="00B71FB6" w:rsidRDefault="000A2117" w:rsidP="00B71FB6">
            <w:pPr>
              <w:bidi w:val="0"/>
              <w:spacing w:after="0" w:line="276" w:lineRule="auto"/>
              <w:jc w:val="center"/>
              <w:rPr>
                <w:rFonts w:ascii="Times New Roman" w:hAnsi="Times New Roman" w:cs="Times New Roman"/>
                <w:b w:val="0"/>
                <w:bCs w:val="0"/>
                <w:sz w:val="24"/>
                <w:szCs w:val="24"/>
                <w:rtl/>
              </w:rPr>
            </w:pPr>
            <w:r w:rsidRPr="00B71FB6">
              <w:rPr>
                <w:rFonts w:ascii="Times New Roman" w:hAnsi="Times New Roman" w:cs="Times New Roman"/>
                <w:b w:val="0"/>
                <w:bCs w:val="0"/>
                <w:sz w:val="24"/>
                <w:szCs w:val="24"/>
              </w:rPr>
              <w:t>0</w:t>
            </w:r>
          </w:p>
        </w:tc>
        <w:tc>
          <w:tcPr>
            <w:tcW w:w="6230" w:type="dxa"/>
          </w:tcPr>
          <w:p w:rsidR="00DA7B2F" w:rsidRPr="00B71FB6" w:rsidRDefault="00DA7B2F" w:rsidP="00B71FB6">
            <w:pPr>
              <w:bidi w:val="0"/>
              <w:spacing w:after="0" w:line="276" w:lineRule="auto"/>
              <w:rPr>
                <w:rFonts w:ascii="Times New Roman" w:hAnsi="Times New Roman" w:cs="Times New Roman"/>
                <w:b w:val="0"/>
                <w:bCs w:val="0"/>
                <w:color w:val="202124"/>
                <w:sz w:val="24"/>
                <w:szCs w:val="24"/>
                <w:lang w:val="en"/>
              </w:rPr>
            </w:pPr>
            <w:r w:rsidRPr="00B71FB6">
              <w:rPr>
                <w:rFonts w:ascii="Times New Roman" w:hAnsi="Times New Roman" w:cs="Times New Roman"/>
                <w:b w:val="0"/>
                <w:bCs w:val="0"/>
                <w:color w:val="202124"/>
                <w:sz w:val="24"/>
                <w:szCs w:val="24"/>
                <w:lang w:val="en"/>
              </w:rPr>
              <w:t xml:space="preserve">Total of net </w:t>
            </w:r>
            <w:r w:rsidR="000A2117" w:rsidRPr="00B71FB6">
              <w:rPr>
                <w:rFonts w:ascii="Times New Roman" w:hAnsi="Times New Roman" w:cs="Times New Roman"/>
                <w:b w:val="0"/>
                <w:bCs w:val="0"/>
                <w:color w:val="202124"/>
                <w:sz w:val="24"/>
                <w:szCs w:val="24"/>
                <w:lang w:val="en"/>
              </w:rPr>
              <w:t>open positions (long and short)</w:t>
            </w:r>
          </w:p>
        </w:tc>
      </w:tr>
      <w:tr w:rsidR="00DA7B2F" w:rsidRPr="00B71FB6" w:rsidTr="00B71FB6">
        <w:tc>
          <w:tcPr>
            <w:tcW w:w="1139" w:type="dxa"/>
            <w:tcBorders>
              <w:top w:val="single" w:sz="4" w:space="0" w:color="auto"/>
              <w:left w:val="nil"/>
              <w:bottom w:val="nil"/>
              <w:right w:val="single" w:sz="4" w:space="0" w:color="auto"/>
            </w:tcBorders>
          </w:tcPr>
          <w:p w:rsidR="00DA7B2F" w:rsidRPr="00B71FB6" w:rsidRDefault="00DA7B2F" w:rsidP="00B71FB6">
            <w:pPr>
              <w:bidi w:val="0"/>
              <w:spacing w:after="0" w:line="276" w:lineRule="auto"/>
              <w:rPr>
                <w:rFonts w:ascii="Times New Roman" w:hAnsi="Times New Roman" w:cs="Times New Roman"/>
                <w:b w:val="0"/>
                <w:bCs w:val="0"/>
                <w:sz w:val="24"/>
                <w:szCs w:val="24"/>
                <w:rtl/>
              </w:rPr>
            </w:pPr>
          </w:p>
        </w:tc>
        <w:tc>
          <w:tcPr>
            <w:tcW w:w="993" w:type="dxa"/>
            <w:tcBorders>
              <w:top w:val="single" w:sz="4" w:space="0" w:color="auto"/>
              <w:left w:val="single" w:sz="4" w:space="0" w:color="auto"/>
            </w:tcBorders>
          </w:tcPr>
          <w:p w:rsidR="00DA7B2F" w:rsidRPr="00B71FB6" w:rsidRDefault="000A2117" w:rsidP="00B71FB6">
            <w:pPr>
              <w:bidi w:val="0"/>
              <w:spacing w:after="0" w:line="276" w:lineRule="auto"/>
              <w:jc w:val="center"/>
              <w:rPr>
                <w:rFonts w:ascii="Times New Roman" w:hAnsi="Times New Roman" w:cs="Times New Roman"/>
                <w:b w:val="0"/>
                <w:bCs w:val="0"/>
                <w:sz w:val="24"/>
                <w:szCs w:val="24"/>
                <w:rtl/>
              </w:rPr>
            </w:pPr>
            <w:r w:rsidRPr="00B71FB6">
              <w:rPr>
                <w:rFonts w:ascii="Times New Roman" w:hAnsi="Times New Roman" w:cs="Times New Roman"/>
                <w:b w:val="0"/>
                <w:bCs w:val="0"/>
                <w:sz w:val="24"/>
                <w:szCs w:val="24"/>
              </w:rPr>
              <w:t>0</w:t>
            </w:r>
          </w:p>
        </w:tc>
        <w:tc>
          <w:tcPr>
            <w:tcW w:w="6230" w:type="dxa"/>
          </w:tcPr>
          <w:p w:rsidR="00DA7B2F" w:rsidRPr="00B71FB6" w:rsidRDefault="000A2117" w:rsidP="00B71FB6">
            <w:pPr>
              <w:pStyle w:val="ListParagraph"/>
              <w:numPr>
                <w:ilvl w:val="0"/>
                <w:numId w:val="39"/>
              </w:numPr>
              <w:bidi w:val="0"/>
              <w:spacing w:after="0" w:line="276" w:lineRule="auto"/>
              <w:rPr>
                <w:rFonts w:ascii="Times New Roman" w:hAnsi="Times New Roman" w:cs="Times New Roman"/>
                <w:b w:val="0"/>
                <w:bCs w:val="0"/>
                <w:color w:val="202124"/>
                <w:sz w:val="24"/>
                <w:szCs w:val="24"/>
                <w:lang w:val="en"/>
              </w:rPr>
            </w:pPr>
            <w:r w:rsidRPr="00563636">
              <w:rPr>
                <w:rFonts w:ascii="Times New Roman" w:hAnsi="Times New Roman" w:cs="Times New Roman"/>
                <w:b w:val="0"/>
                <w:bCs w:val="0"/>
                <w:color w:val="202124"/>
                <w:sz w:val="24"/>
                <w:szCs w:val="24"/>
                <w:lang w:val="en"/>
              </w:rPr>
              <w:t>The great</w:t>
            </w:r>
            <w:r w:rsidR="00563636" w:rsidRPr="00563636">
              <w:rPr>
                <w:rFonts w:ascii="Times New Roman" w:hAnsi="Times New Roman" w:cs="Times New Roman"/>
                <w:b w:val="0"/>
                <w:bCs w:val="0"/>
                <w:color w:val="202124"/>
                <w:sz w:val="24"/>
                <w:szCs w:val="24"/>
                <w:lang w:val="en"/>
              </w:rPr>
              <w:t>est</w:t>
            </w:r>
            <w:r w:rsidRPr="00563636">
              <w:rPr>
                <w:rFonts w:ascii="Times New Roman" w:hAnsi="Times New Roman" w:cs="Times New Roman"/>
                <w:b w:val="0"/>
                <w:bCs w:val="0"/>
                <w:color w:val="202124"/>
                <w:sz w:val="24"/>
                <w:szCs w:val="24"/>
                <w:lang w:val="en"/>
              </w:rPr>
              <w:t xml:space="preserve"> open positions</w:t>
            </w:r>
          </w:p>
        </w:tc>
      </w:tr>
      <w:tr w:rsidR="00DA7B2F" w:rsidRPr="00B71FB6" w:rsidTr="00B71FB6">
        <w:tc>
          <w:tcPr>
            <w:tcW w:w="1139" w:type="dxa"/>
            <w:tcBorders>
              <w:top w:val="nil"/>
              <w:left w:val="nil"/>
              <w:bottom w:val="nil"/>
              <w:right w:val="single" w:sz="4" w:space="0" w:color="auto"/>
            </w:tcBorders>
          </w:tcPr>
          <w:p w:rsidR="00DA7B2F" w:rsidRPr="00B71FB6" w:rsidRDefault="00DA7B2F" w:rsidP="00B71FB6">
            <w:pPr>
              <w:bidi w:val="0"/>
              <w:spacing w:after="0" w:line="276" w:lineRule="auto"/>
              <w:rPr>
                <w:rFonts w:ascii="Times New Roman" w:hAnsi="Times New Roman" w:cs="Times New Roman"/>
                <w:b w:val="0"/>
                <w:bCs w:val="0"/>
                <w:sz w:val="24"/>
                <w:szCs w:val="24"/>
                <w:rtl/>
              </w:rPr>
            </w:pPr>
          </w:p>
        </w:tc>
        <w:tc>
          <w:tcPr>
            <w:tcW w:w="993" w:type="dxa"/>
            <w:tcBorders>
              <w:left w:val="single" w:sz="4" w:space="0" w:color="auto"/>
            </w:tcBorders>
          </w:tcPr>
          <w:p w:rsidR="00DA7B2F" w:rsidRPr="00B71FB6" w:rsidRDefault="00DA7B2F" w:rsidP="00B71FB6">
            <w:pPr>
              <w:bidi w:val="0"/>
              <w:spacing w:after="0" w:line="276" w:lineRule="auto"/>
              <w:jc w:val="center"/>
              <w:rPr>
                <w:rFonts w:ascii="Times New Roman" w:hAnsi="Times New Roman" w:cs="Times New Roman"/>
                <w:b w:val="0"/>
                <w:bCs w:val="0"/>
                <w:sz w:val="24"/>
                <w:szCs w:val="24"/>
                <w:rtl/>
              </w:rPr>
            </w:pPr>
          </w:p>
        </w:tc>
        <w:tc>
          <w:tcPr>
            <w:tcW w:w="6230" w:type="dxa"/>
          </w:tcPr>
          <w:p w:rsidR="00DA7B2F" w:rsidRPr="00B71FB6" w:rsidRDefault="000A2117" w:rsidP="00B71FB6">
            <w:pPr>
              <w:pStyle w:val="ListParagraph"/>
              <w:numPr>
                <w:ilvl w:val="0"/>
                <w:numId w:val="39"/>
              </w:numPr>
              <w:bidi w:val="0"/>
              <w:spacing w:after="0" w:line="276" w:lineRule="auto"/>
              <w:rPr>
                <w:rFonts w:ascii="Times New Roman" w:hAnsi="Times New Roman" w:cs="Times New Roman"/>
                <w:b w:val="0"/>
                <w:bCs w:val="0"/>
                <w:color w:val="202124"/>
                <w:sz w:val="24"/>
                <w:szCs w:val="24"/>
                <w:lang w:val="en"/>
              </w:rPr>
            </w:pPr>
            <w:r w:rsidRPr="00B71FB6">
              <w:rPr>
                <w:rFonts w:ascii="Times New Roman" w:hAnsi="Times New Roman" w:cs="Times New Roman"/>
                <w:b w:val="0"/>
                <w:bCs w:val="0"/>
                <w:color w:val="202124"/>
                <w:sz w:val="24"/>
                <w:szCs w:val="24"/>
                <w:lang w:val="en"/>
              </w:rPr>
              <w:t>Net open position in gold (Long or short)</w:t>
            </w:r>
          </w:p>
        </w:tc>
      </w:tr>
      <w:tr w:rsidR="00DA7B2F" w:rsidRPr="00B71FB6" w:rsidTr="00B71FB6">
        <w:tc>
          <w:tcPr>
            <w:tcW w:w="1139" w:type="dxa"/>
            <w:tcBorders>
              <w:top w:val="nil"/>
              <w:left w:val="nil"/>
              <w:bottom w:val="nil"/>
              <w:right w:val="single" w:sz="4" w:space="0" w:color="auto"/>
            </w:tcBorders>
          </w:tcPr>
          <w:p w:rsidR="00DA7B2F" w:rsidRPr="00B71FB6" w:rsidRDefault="00DA7B2F" w:rsidP="00B71FB6">
            <w:pPr>
              <w:bidi w:val="0"/>
              <w:spacing w:after="0" w:line="276" w:lineRule="auto"/>
              <w:rPr>
                <w:rFonts w:ascii="Times New Roman" w:hAnsi="Times New Roman" w:cs="Times New Roman"/>
                <w:b w:val="0"/>
                <w:bCs w:val="0"/>
                <w:sz w:val="24"/>
                <w:szCs w:val="24"/>
                <w:rtl/>
              </w:rPr>
            </w:pPr>
          </w:p>
        </w:tc>
        <w:tc>
          <w:tcPr>
            <w:tcW w:w="993" w:type="dxa"/>
            <w:tcBorders>
              <w:left w:val="single" w:sz="4" w:space="0" w:color="auto"/>
            </w:tcBorders>
          </w:tcPr>
          <w:p w:rsidR="00DA7B2F" w:rsidRPr="00B71FB6" w:rsidRDefault="00B71FB6" w:rsidP="00B71FB6">
            <w:pPr>
              <w:bidi w:val="0"/>
              <w:spacing w:after="0" w:line="276" w:lineRule="auto"/>
              <w:jc w:val="center"/>
              <w:rPr>
                <w:rFonts w:ascii="Times New Roman" w:hAnsi="Times New Roman" w:cs="Times New Roman"/>
                <w:b w:val="0"/>
                <w:bCs w:val="0"/>
                <w:sz w:val="24"/>
                <w:szCs w:val="24"/>
                <w:rtl/>
              </w:rPr>
            </w:pPr>
            <w:r w:rsidRPr="00B71FB6">
              <w:rPr>
                <w:rFonts w:ascii="Times New Roman" w:hAnsi="Times New Roman" w:cs="Times New Roman"/>
                <w:b w:val="0"/>
                <w:bCs w:val="0"/>
                <w:sz w:val="24"/>
                <w:szCs w:val="24"/>
              </w:rPr>
              <w:t>0</w:t>
            </w:r>
          </w:p>
        </w:tc>
        <w:tc>
          <w:tcPr>
            <w:tcW w:w="6230" w:type="dxa"/>
          </w:tcPr>
          <w:p w:rsidR="00DA7B2F" w:rsidRPr="00B71FB6" w:rsidRDefault="00B71FB6" w:rsidP="00B71FB6">
            <w:pPr>
              <w:bidi w:val="0"/>
              <w:spacing w:after="0" w:line="276" w:lineRule="auto"/>
              <w:ind w:firstLine="454"/>
              <w:rPr>
                <w:rFonts w:ascii="Times New Roman" w:hAnsi="Times New Roman" w:cs="Times New Roman"/>
                <w:b w:val="0"/>
                <w:bCs w:val="0"/>
                <w:color w:val="202124"/>
                <w:sz w:val="24"/>
                <w:szCs w:val="24"/>
                <w:lang w:val="en"/>
              </w:rPr>
            </w:pPr>
            <w:proofErr w:type="spellStart"/>
            <w:r w:rsidRPr="00B71FB6">
              <w:rPr>
                <w:rFonts w:ascii="Times New Roman" w:hAnsi="Times New Roman" w:cs="Times New Roman"/>
                <w:b w:val="0"/>
                <w:bCs w:val="0"/>
                <w:color w:val="202124"/>
                <w:sz w:val="24"/>
                <w:szCs w:val="24"/>
                <w:lang w:val="en"/>
              </w:rPr>
              <w:t>a+b</w:t>
            </w:r>
            <w:proofErr w:type="spellEnd"/>
            <w:r w:rsidRPr="00B71FB6">
              <w:rPr>
                <w:rFonts w:ascii="Times New Roman" w:hAnsi="Times New Roman" w:cs="Times New Roman"/>
                <w:b w:val="0"/>
                <w:bCs w:val="0"/>
                <w:color w:val="202124"/>
                <w:sz w:val="24"/>
                <w:szCs w:val="24"/>
                <w:lang w:val="en"/>
              </w:rPr>
              <w:t xml:space="preserve"> </w:t>
            </w:r>
          </w:p>
        </w:tc>
      </w:tr>
      <w:tr w:rsidR="00B71FB6" w:rsidRPr="00B71FB6" w:rsidTr="00B71FB6">
        <w:tc>
          <w:tcPr>
            <w:tcW w:w="1139" w:type="dxa"/>
            <w:tcBorders>
              <w:top w:val="nil"/>
              <w:left w:val="nil"/>
              <w:bottom w:val="nil"/>
              <w:right w:val="single" w:sz="4" w:space="0" w:color="auto"/>
            </w:tcBorders>
          </w:tcPr>
          <w:p w:rsidR="00B71FB6" w:rsidRPr="00B71FB6" w:rsidRDefault="00B71FB6" w:rsidP="00B71FB6">
            <w:pPr>
              <w:bidi w:val="0"/>
              <w:spacing w:after="0" w:line="276" w:lineRule="auto"/>
              <w:rPr>
                <w:rFonts w:ascii="Times New Roman" w:hAnsi="Times New Roman" w:cs="Times New Roman"/>
                <w:b w:val="0"/>
                <w:bCs w:val="0"/>
                <w:sz w:val="24"/>
                <w:szCs w:val="24"/>
                <w:rtl/>
              </w:rPr>
            </w:pPr>
          </w:p>
        </w:tc>
        <w:tc>
          <w:tcPr>
            <w:tcW w:w="993" w:type="dxa"/>
            <w:tcBorders>
              <w:left w:val="single" w:sz="4" w:space="0" w:color="auto"/>
            </w:tcBorders>
          </w:tcPr>
          <w:p w:rsidR="00B71FB6" w:rsidRPr="00B71FB6" w:rsidRDefault="00B71FB6" w:rsidP="00B71FB6">
            <w:pPr>
              <w:bidi w:val="0"/>
              <w:spacing w:after="0" w:line="276" w:lineRule="auto"/>
              <w:jc w:val="center"/>
              <w:rPr>
                <w:rFonts w:ascii="Times New Roman" w:hAnsi="Times New Roman" w:cs="Times New Roman"/>
                <w:b w:val="0"/>
                <w:bCs w:val="0"/>
                <w:sz w:val="24"/>
                <w:szCs w:val="24"/>
                <w:rtl/>
              </w:rPr>
            </w:pPr>
            <w:r w:rsidRPr="00B71FB6">
              <w:rPr>
                <w:rFonts w:ascii="Times New Roman" w:hAnsi="Times New Roman" w:cs="Times New Roman"/>
                <w:b w:val="0"/>
                <w:bCs w:val="0"/>
                <w:sz w:val="24"/>
                <w:szCs w:val="24"/>
              </w:rPr>
              <w:t>0</w:t>
            </w:r>
          </w:p>
        </w:tc>
        <w:tc>
          <w:tcPr>
            <w:tcW w:w="6230" w:type="dxa"/>
          </w:tcPr>
          <w:p w:rsidR="00B71FB6" w:rsidRPr="00B71FB6" w:rsidRDefault="00B71FB6" w:rsidP="00B71FB6">
            <w:pPr>
              <w:bidi w:val="0"/>
              <w:spacing w:after="0" w:line="276" w:lineRule="auto"/>
              <w:rPr>
                <w:rFonts w:ascii="Times New Roman" w:hAnsi="Times New Roman" w:cs="Times New Roman"/>
                <w:b w:val="0"/>
                <w:bCs w:val="0"/>
                <w:color w:val="202124"/>
                <w:sz w:val="24"/>
                <w:szCs w:val="24"/>
                <w:lang w:val="en"/>
              </w:rPr>
            </w:pPr>
            <w:r w:rsidRPr="00B71FB6">
              <w:rPr>
                <w:rFonts w:ascii="Times New Roman" w:hAnsi="Times New Roman" w:cs="Times New Roman"/>
                <w:b w:val="0"/>
                <w:bCs w:val="0"/>
                <w:color w:val="202124"/>
                <w:sz w:val="24"/>
                <w:szCs w:val="24"/>
                <w:lang w:val="en"/>
              </w:rPr>
              <w:t xml:space="preserve">Capital charge for </w:t>
            </w:r>
            <w:r w:rsidRPr="00B71FB6">
              <w:rPr>
                <w:rFonts w:ascii="Times New Roman" w:hAnsi="Times New Roman" w:cs="Times New Roman"/>
                <w:b w:val="0"/>
                <w:bCs w:val="0"/>
                <w:sz w:val="24"/>
                <w:szCs w:val="24"/>
                <w:lang w:bidi="ar-JO"/>
              </w:rPr>
              <w:t>foreign exchange risk</w:t>
            </w:r>
          </w:p>
        </w:tc>
      </w:tr>
      <w:tr w:rsidR="00B71FB6" w:rsidRPr="00B71FB6" w:rsidTr="00B71FB6">
        <w:tc>
          <w:tcPr>
            <w:tcW w:w="1139" w:type="dxa"/>
            <w:tcBorders>
              <w:top w:val="nil"/>
              <w:left w:val="nil"/>
              <w:bottom w:val="nil"/>
              <w:right w:val="single" w:sz="4" w:space="0" w:color="auto"/>
            </w:tcBorders>
          </w:tcPr>
          <w:p w:rsidR="00B71FB6" w:rsidRPr="00B71FB6" w:rsidRDefault="00B71FB6" w:rsidP="00B71FB6">
            <w:pPr>
              <w:bidi w:val="0"/>
              <w:spacing w:after="0" w:line="276" w:lineRule="auto"/>
              <w:rPr>
                <w:rFonts w:ascii="Times New Roman" w:hAnsi="Times New Roman" w:cs="Times New Roman"/>
                <w:b w:val="0"/>
                <w:bCs w:val="0"/>
                <w:sz w:val="24"/>
                <w:szCs w:val="24"/>
                <w:rtl/>
              </w:rPr>
            </w:pPr>
          </w:p>
        </w:tc>
        <w:tc>
          <w:tcPr>
            <w:tcW w:w="993" w:type="dxa"/>
            <w:tcBorders>
              <w:left w:val="single" w:sz="4" w:space="0" w:color="auto"/>
            </w:tcBorders>
            <w:shd w:val="clear" w:color="auto" w:fill="DBDBDB" w:themeFill="accent3" w:themeFillTint="66"/>
          </w:tcPr>
          <w:p w:rsidR="00B71FB6" w:rsidRPr="00B71FB6" w:rsidRDefault="00B71FB6" w:rsidP="00B71FB6">
            <w:pPr>
              <w:bidi w:val="0"/>
              <w:spacing w:after="0" w:line="276" w:lineRule="auto"/>
              <w:jc w:val="center"/>
              <w:rPr>
                <w:rFonts w:ascii="Times New Roman" w:hAnsi="Times New Roman" w:cs="Times New Roman"/>
                <w:b w:val="0"/>
                <w:bCs w:val="0"/>
                <w:sz w:val="24"/>
                <w:szCs w:val="24"/>
                <w:rtl/>
              </w:rPr>
            </w:pPr>
            <w:r w:rsidRPr="00B71FB6">
              <w:rPr>
                <w:rFonts w:ascii="Times New Roman" w:hAnsi="Times New Roman" w:cs="Times New Roman"/>
                <w:b w:val="0"/>
                <w:bCs w:val="0"/>
                <w:sz w:val="24"/>
                <w:szCs w:val="24"/>
              </w:rPr>
              <w:t>0</w:t>
            </w:r>
          </w:p>
        </w:tc>
        <w:tc>
          <w:tcPr>
            <w:tcW w:w="6230" w:type="dxa"/>
            <w:shd w:val="clear" w:color="auto" w:fill="DBDBDB" w:themeFill="accent3" w:themeFillTint="66"/>
          </w:tcPr>
          <w:p w:rsidR="00B71FB6" w:rsidRPr="00B71FB6" w:rsidRDefault="00B71FB6" w:rsidP="00B71FB6">
            <w:pPr>
              <w:bidi w:val="0"/>
              <w:spacing w:after="0" w:line="276" w:lineRule="auto"/>
              <w:rPr>
                <w:rFonts w:ascii="Times New Roman" w:hAnsi="Times New Roman" w:cs="Times New Roman"/>
                <w:b w:val="0"/>
                <w:bCs w:val="0"/>
                <w:color w:val="202124"/>
                <w:sz w:val="24"/>
                <w:szCs w:val="24"/>
                <w:lang w:val="en"/>
              </w:rPr>
            </w:pPr>
            <w:r w:rsidRPr="00B71FB6">
              <w:rPr>
                <w:rFonts w:ascii="Times New Roman" w:hAnsi="Times New Roman" w:cs="Times New Roman"/>
                <w:b w:val="0"/>
                <w:bCs w:val="0"/>
                <w:sz w:val="24"/>
                <w:szCs w:val="24"/>
                <w:lang w:bidi="ar-JO"/>
              </w:rPr>
              <w:t>Market risk for foreign exchange</w:t>
            </w:r>
            <w:r w:rsidR="00563636">
              <w:rPr>
                <w:rFonts w:ascii="Times New Roman" w:hAnsi="Times New Roman" w:cs="Times New Roman"/>
                <w:b w:val="0"/>
                <w:bCs w:val="0"/>
                <w:sz w:val="24"/>
                <w:szCs w:val="24"/>
                <w:lang w:bidi="ar-JO"/>
              </w:rPr>
              <w:t xml:space="preserve"> rate</w:t>
            </w:r>
            <w:r w:rsidRPr="00B71FB6">
              <w:rPr>
                <w:rFonts w:ascii="Times New Roman" w:hAnsi="Times New Roman" w:cs="Times New Roman"/>
                <w:b w:val="0"/>
                <w:bCs w:val="0"/>
                <w:sz w:val="24"/>
                <w:szCs w:val="24"/>
                <w:lang w:bidi="ar-JO"/>
              </w:rPr>
              <w:t xml:space="preserve"> = Capital * 12.5</w:t>
            </w:r>
          </w:p>
        </w:tc>
      </w:tr>
    </w:tbl>
    <w:p w:rsidR="00505A8B" w:rsidRDefault="00505A8B" w:rsidP="00505A8B">
      <w:pPr>
        <w:rPr>
          <w:rtl/>
          <w:lang w:bidi="ar-JO"/>
        </w:rPr>
      </w:pPr>
    </w:p>
    <w:p w:rsidR="00505A8B" w:rsidRDefault="00505A8B" w:rsidP="00505A8B">
      <w:pPr>
        <w:rPr>
          <w:rtl/>
          <w:lang w:bidi="ar-JO"/>
        </w:rPr>
      </w:pPr>
    </w:p>
    <w:p w:rsidR="00505A8B" w:rsidRDefault="00505A8B" w:rsidP="00505A8B">
      <w:pPr>
        <w:rPr>
          <w:rtl/>
          <w:lang w:bidi="ar-JO"/>
        </w:rPr>
      </w:pPr>
    </w:p>
    <w:p w:rsidR="00505A8B" w:rsidRDefault="00505A8B" w:rsidP="00505A8B">
      <w:pPr>
        <w:rPr>
          <w:lang w:bidi="ar-JO"/>
        </w:rPr>
      </w:pPr>
    </w:p>
    <w:p w:rsidR="00B71FB6" w:rsidRDefault="00B71FB6" w:rsidP="00505A8B">
      <w:pPr>
        <w:rPr>
          <w:lang w:bidi="ar-JO"/>
        </w:rPr>
      </w:pPr>
    </w:p>
    <w:p w:rsidR="00B71FB6" w:rsidRDefault="00B71FB6" w:rsidP="00505A8B">
      <w:pPr>
        <w:rPr>
          <w:lang w:bidi="ar-JO"/>
        </w:rPr>
      </w:pPr>
    </w:p>
    <w:p w:rsidR="00B71FB6" w:rsidRDefault="00B71FB6" w:rsidP="00505A8B">
      <w:pPr>
        <w:rPr>
          <w:lang w:bidi="ar-JO"/>
        </w:rPr>
      </w:pPr>
    </w:p>
    <w:p w:rsidR="00B71FB6" w:rsidRDefault="00B71FB6" w:rsidP="00505A8B">
      <w:pPr>
        <w:rPr>
          <w:lang w:bidi="ar-JO"/>
        </w:rPr>
      </w:pPr>
    </w:p>
    <w:p w:rsidR="00B71FB6" w:rsidRDefault="00B71FB6" w:rsidP="00505A8B">
      <w:pPr>
        <w:rPr>
          <w:lang w:bidi="ar-JO"/>
        </w:rPr>
      </w:pPr>
    </w:p>
    <w:p w:rsidR="00B71FB6" w:rsidRDefault="00B71FB6" w:rsidP="00505A8B">
      <w:pPr>
        <w:rPr>
          <w:lang w:bidi="ar-JO"/>
        </w:rPr>
      </w:pPr>
    </w:p>
    <w:p w:rsidR="00B71FB6" w:rsidRPr="005A2DDD" w:rsidRDefault="00B71FB6" w:rsidP="00505A8B">
      <w:pPr>
        <w:rPr>
          <w:rtl/>
          <w:lang w:bidi="ar-JO"/>
        </w:rPr>
      </w:pPr>
    </w:p>
    <w:p w:rsidR="00B71FB6" w:rsidRPr="00D036DF" w:rsidRDefault="00B71FB6" w:rsidP="00B66B27">
      <w:pPr>
        <w:pStyle w:val="Heading1"/>
        <w:pBdr>
          <w:bottom w:val="single" w:sz="4" w:space="1" w:color="auto"/>
        </w:pBdr>
        <w:bidi w:val="0"/>
        <w:jc w:val="center"/>
        <w:rPr>
          <w:rFonts w:asciiTheme="majorBidi" w:hAnsiTheme="majorBidi" w:cstheme="majorBidi"/>
          <w:b/>
          <w:bCs/>
        </w:rPr>
      </w:pPr>
      <w:bookmarkStart w:id="92" w:name="_Toc465255846"/>
      <w:bookmarkStart w:id="93" w:name="_Toc65354429"/>
      <w:r w:rsidRPr="00D036DF">
        <w:rPr>
          <w:rFonts w:asciiTheme="majorBidi" w:hAnsiTheme="majorBidi" w:cstheme="majorBidi"/>
          <w:b/>
          <w:bCs/>
        </w:rPr>
        <w:lastRenderedPageBreak/>
        <w:t>Annex (20)</w:t>
      </w:r>
      <w:r w:rsidR="00B66B27">
        <w:rPr>
          <w:rFonts w:asciiTheme="majorBidi" w:hAnsiTheme="majorBidi" w:cstheme="majorBidi"/>
          <w:b/>
          <w:bCs/>
        </w:rPr>
        <w:t xml:space="preserve"> </w:t>
      </w:r>
      <w:r w:rsidR="004B3911" w:rsidRPr="00D036DF">
        <w:rPr>
          <w:rFonts w:asciiTheme="majorBidi" w:hAnsiTheme="majorBidi" w:cstheme="majorBidi"/>
          <w:b/>
          <w:bCs/>
        </w:rPr>
        <w:t>Simplified approach used to calculate commodities risk</w:t>
      </w:r>
      <w:bookmarkEnd w:id="93"/>
    </w:p>
    <w:p w:rsidR="00B71FB6" w:rsidRPr="00B71FB6" w:rsidRDefault="00B71FB6" w:rsidP="00B71FB6">
      <w:pPr>
        <w:bidi w:val="0"/>
      </w:pPr>
    </w:p>
    <w:tbl>
      <w:tblPr>
        <w:tblStyle w:val="TableGrid"/>
        <w:bidiVisual/>
        <w:tblW w:w="0" w:type="auto"/>
        <w:tblLook w:val="04A0" w:firstRow="1" w:lastRow="0" w:firstColumn="1" w:lastColumn="0" w:noHBand="0" w:noVBand="1"/>
      </w:tblPr>
      <w:tblGrid>
        <w:gridCol w:w="2371"/>
        <w:gridCol w:w="1209"/>
        <w:gridCol w:w="1144"/>
        <w:gridCol w:w="1097"/>
        <w:gridCol w:w="1144"/>
        <w:gridCol w:w="1430"/>
      </w:tblGrid>
      <w:tr w:rsidR="004B3911" w:rsidRPr="006352EB" w:rsidTr="00B060BD">
        <w:tc>
          <w:tcPr>
            <w:tcW w:w="2371" w:type="dxa"/>
            <w:shd w:val="clear" w:color="auto" w:fill="DBDBDB" w:themeFill="accent3" w:themeFillTint="66"/>
            <w:vAlign w:val="center"/>
          </w:tcPr>
          <w:bookmarkEnd w:id="92"/>
          <w:p w:rsidR="004B3911" w:rsidRPr="006352EB" w:rsidRDefault="004B3911" w:rsidP="004B3911">
            <w:pPr>
              <w:pStyle w:val="Caption"/>
              <w:keepNext/>
              <w:bidi w:val="0"/>
              <w:jc w:val="center"/>
              <w:rPr>
                <w:rFonts w:ascii="Times New Roman" w:hAnsi="Times New Roman" w:cs="Times New Roman"/>
                <w:b/>
                <w:bCs/>
                <w:color w:val="auto"/>
                <w:sz w:val="24"/>
                <w:szCs w:val="24"/>
                <w:rtl/>
              </w:rPr>
            </w:pPr>
            <w:r w:rsidRPr="006352EB">
              <w:rPr>
                <w:rFonts w:ascii="Times New Roman" w:hAnsi="Times New Roman" w:cs="Times New Roman"/>
                <w:b/>
                <w:bCs/>
                <w:color w:val="202124"/>
                <w:sz w:val="24"/>
                <w:szCs w:val="24"/>
                <w:lang w:val="en"/>
              </w:rPr>
              <w:t>The required capital</w:t>
            </w:r>
          </w:p>
        </w:tc>
        <w:tc>
          <w:tcPr>
            <w:tcW w:w="1209" w:type="dxa"/>
            <w:shd w:val="clear" w:color="auto" w:fill="DBDBDB" w:themeFill="accent3" w:themeFillTint="66"/>
            <w:vAlign w:val="center"/>
          </w:tcPr>
          <w:p w:rsidR="004B3911" w:rsidRPr="006352EB" w:rsidRDefault="004B3911" w:rsidP="004B3911">
            <w:pPr>
              <w:pStyle w:val="Caption"/>
              <w:keepNext/>
              <w:bidi w:val="0"/>
              <w:jc w:val="center"/>
              <w:rPr>
                <w:rFonts w:ascii="Times New Roman" w:hAnsi="Times New Roman" w:cs="Times New Roman"/>
                <w:b/>
                <w:bCs/>
                <w:color w:val="auto"/>
                <w:sz w:val="24"/>
                <w:szCs w:val="24"/>
                <w:rtl/>
              </w:rPr>
            </w:pPr>
            <w:r w:rsidRPr="006352EB">
              <w:rPr>
                <w:rFonts w:ascii="Times New Roman" w:hAnsi="Times New Roman" w:cs="Times New Roman"/>
                <w:b/>
                <w:bCs/>
                <w:color w:val="auto"/>
                <w:sz w:val="24"/>
                <w:szCs w:val="24"/>
              </w:rPr>
              <w:t>Total of positions</w:t>
            </w:r>
          </w:p>
        </w:tc>
        <w:tc>
          <w:tcPr>
            <w:tcW w:w="1144" w:type="dxa"/>
            <w:shd w:val="clear" w:color="auto" w:fill="DBDBDB" w:themeFill="accent3" w:themeFillTint="66"/>
            <w:vAlign w:val="center"/>
          </w:tcPr>
          <w:p w:rsidR="004B3911" w:rsidRPr="006352EB" w:rsidRDefault="004B3911" w:rsidP="004B3911">
            <w:pPr>
              <w:pStyle w:val="Caption"/>
              <w:keepNext/>
              <w:bidi w:val="0"/>
              <w:jc w:val="center"/>
              <w:rPr>
                <w:rFonts w:ascii="Times New Roman" w:hAnsi="Times New Roman" w:cs="Times New Roman"/>
                <w:b/>
                <w:bCs/>
                <w:color w:val="auto"/>
                <w:sz w:val="24"/>
                <w:szCs w:val="24"/>
                <w:rtl/>
              </w:rPr>
            </w:pPr>
            <w:r w:rsidRPr="006352EB">
              <w:rPr>
                <w:rFonts w:ascii="Times New Roman" w:hAnsi="Times New Roman" w:cs="Times New Roman"/>
                <w:b/>
                <w:bCs/>
                <w:color w:val="auto"/>
                <w:sz w:val="24"/>
                <w:szCs w:val="24"/>
              </w:rPr>
              <w:t>Net of position</w:t>
            </w:r>
          </w:p>
        </w:tc>
        <w:tc>
          <w:tcPr>
            <w:tcW w:w="1097" w:type="dxa"/>
            <w:shd w:val="clear" w:color="auto" w:fill="DBDBDB" w:themeFill="accent3" w:themeFillTint="66"/>
            <w:vAlign w:val="center"/>
          </w:tcPr>
          <w:p w:rsidR="004B3911" w:rsidRPr="006352EB" w:rsidRDefault="004B3911" w:rsidP="004B3911">
            <w:pPr>
              <w:pStyle w:val="Caption"/>
              <w:keepNext/>
              <w:bidi w:val="0"/>
              <w:jc w:val="center"/>
              <w:rPr>
                <w:rFonts w:ascii="Times New Roman" w:hAnsi="Times New Roman" w:cs="Times New Roman"/>
                <w:b/>
                <w:bCs/>
                <w:color w:val="auto"/>
                <w:sz w:val="24"/>
                <w:szCs w:val="24"/>
                <w:rtl/>
              </w:rPr>
            </w:pPr>
            <w:r w:rsidRPr="006352EB">
              <w:rPr>
                <w:rFonts w:ascii="Times New Roman" w:hAnsi="Times New Roman" w:cs="Times New Roman"/>
                <w:b/>
                <w:bCs/>
                <w:color w:val="auto"/>
                <w:sz w:val="24"/>
                <w:szCs w:val="24"/>
              </w:rPr>
              <w:t>Short positon</w:t>
            </w:r>
          </w:p>
        </w:tc>
        <w:tc>
          <w:tcPr>
            <w:tcW w:w="1144" w:type="dxa"/>
            <w:shd w:val="clear" w:color="auto" w:fill="DBDBDB" w:themeFill="accent3" w:themeFillTint="66"/>
            <w:vAlign w:val="center"/>
          </w:tcPr>
          <w:p w:rsidR="004B3911" w:rsidRPr="006352EB" w:rsidRDefault="004B3911" w:rsidP="004B3911">
            <w:pPr>
              <w:pStyle w:val="Caption"/>
              <w:keepNext/>
              <w:bidi w:val="0"/>
              <w:jc w:val="center"/>
              <w:rPr>
                <w:rFonts w:ascii="Times New Roman" w:hAnsi="Times New Roman" w:cs="Times New Roman"/>
                <w:b/>
                <w:bCs/>
                <w:color w:val="auto"/>
                <w:sz w:val="24"/>
                <w:szCs w:val="24"/>
                <w:rtl/>
              </w:rPr>
            </w:pPr>
            <w:r w:rsidRPr="006352EB">
              <w:rPr>
                <w:rFonts w:ascii="Times New Roman" w:hAnsi="Times New Roman" w:cs="Times New Roman"/>
                <w:b/>
                <w:bCs/>
                <w:color w:val="auto"/>
                <w:sz w:val="24"/>
                <w:szCs w:val="24"/>
              </w:rPr>
              <w:t>Long position</w:t>
            </w:r>
          </w:p>
        </w:tc>
        <w:tc>
          <w:tcPr>
            <w:tcW w:w="1430" w:type="dxa"/>
            <w:shd w:val="clear" w:color="auto" w:fill="DBDBDB" w:themeFill="accent3" w:themeFillTint="66"/>
            <w:vAlign w:val="center"/>
          </w:tcPr>
          <w:p w:rsidR="004B3911" w:rsidRPr="006352EB" w:rsidRDefault="004B3911" w:rsidP="004B3911">
            <w:pPr>
              <w:pStyle w:val="Caption"/>
              <w:keepNext/>
              <w:bidi w:val="0"/>
              <w:jc w:val="center"/>
              <w:rPr>
                <w:rFonts w:ascii="Times New Roman" w:hAnsi="Times New Roman" w:cs="Times New Roman"/>
                <w:b/>
                <w:bCs/>
                <w:color w:val="auto"/>
                <w:sz w:val="24"/>
                <w:szCs w:val="24"/>
                <w:rtl/>
              </w:rPr>
            </w:pPr>
            <w:r w:rsidRPr="006352EB">
              <w:rPr>
                <w:rFonts w:ascii="Times New Roman" w:hAnsi="Times New Roman" w:cs="Times New Roman"/>
                <w:b/>
                <w:bCs/>
                <w:color w:val="auto"/>
                <w:sz w:val="24"/>
                <w:szCs w:val="24"/>
              </w:rPr>
              <w:t>Commodity type</w:t>
            </w:r>
          </w:p>
        </w:tc>
      </w:tr>
      <w:tr w:rsidR="00B060BD" w:rsidRPr="006352EB" w:rsidTr="00B060BD">
        <w:tc>
          <w:tcPr>
            <w:tcW w:w="2371" w:type="dxa"/>
            <w:shd w:val="clear" w:color="auto" w:fill="7B7B7B" w:themeFill="accent3" w:themeFillShade="BF"/>
            <w:vAlign w:val="center"/>
          </w:tcPr>
          <w:p w:rsidR="00B060BD" w:rsidRPr="006352EB" w:rsidRDefault="00B060BD" w:rsidP="00B060BD">
            <w:pPr>
              <w:jc w:val="center"/>
              <w:rPr>
                <w:rFonts w:asciiTheme="majorBidi" w:hAnsiTheme="majorBidi" w:cstheme="majorBidi"/>
                <w:sz w:val="24"/>
                <w:szCs w:val="24"/>
              </w:rPr>
            </w:pPr>
            <w:r w:rsidRPr="006352EB">
              <w:rPr>
                <w:rFonts w:asciiTheme="majorBidi" w:hAnsiTheme="majorBidi" w:cstheme="majorBidi"/>
                <w:sz w:val="24"/>
                <w:szCs w:val="24"/>
              </w:rPr>
              <w:t>{(4)*3%}+{15%*(3)}</w:t>
            </w:r>
          </w:p>
        </w:tc>
        <w:tc>
          <w:tcPr>
            <w:tcW w:w="1209" w:type="dxa"/>
            <w:shd w:val="clear" w:color="auto" w:fill="7B7B7B" w:themeFill="accent3" w:themeFillShade="BF"/>
            <w:vAlign w:val="center"/>
          </w:tcPr>
          <w:p w:rsidR="00B060BD" w:rsidRPr="006352EB" w:rsidRDefault="00B060BD" w:rsidP="00B060BD">
            <w:pPr>
              <w:pStyle w:val="Caption"/>
              <w:keepNext/>
              <w:bidi w:val="0"/>
              <w:spacing w:after="0"/>
              <w:jc w:val="center"/>
              <w:rPr>
                <w:rFonts w:ascii="Times New Roman" w:hAnsi="Times New Roman" w:cs="Times New Roman"/>
                <w:b/>
                <w:bCs/>
                <w:color w:val="auto"/>
                <w:sz w:val="24"/>
                <w:szCs w:val="24"/>
                <w:rtl/>
              </w:rPr>
            </w:pPr>
            <w:r w:rsidRPr="006352EB">
              <w:rPr>
                <w:rFonts w:ascii="Times New Roman" w:hAnsi="Times New Roman" w:cs="Times New Roman"/>
                <w:b/>
                <w:bCs/>
                <w:color w:val="auto"/>
                <w:sz w:val="24"/>
                <w:szCs w:val="24"/>
              </w:rPr>
              <w:t>(1)+(2)</w:t>
            </w:r>
          </w:p>
        </w:tc>
        <w:tc>
          <w:tcPr>
            <w:tcW w:w="1144" w:type="dxa"/>
            <w:shd w:val="clear" w:color="auto" w:fill="7B7B7B" w:themeFill="accent3" w:themeFillShade="BF"/>
            <w:vAlign w:val="center"/>
          </w:tcPr>
          <w:p w:rsidR="00B060BD" w:rsidRPr="006352EB" w:rsidRDefault="00B060BD" w:rsidP="00B060BD">
            <w:pPr>
              <w:pStyle w:val="Caption"/>
              <w:keepNext/>
              <w:bidi w:val="0"/>
              <w:spacing w:after="0"/>
              <w:rPr>
                <w:rFonts w:ascii="Times New Roman" w:hAnsi="Times New Roman" w:cs="Times New Roman"/>
                <w:b/>
                <w:bCs/>
                <w:color w:val="auto"/>
                <w:sz w:val="24"/>
                <w:szCs w:val="24"/>
                <w:rtl/>
              </w:rPr>
            </w:pPr>
            <w:r w:rsidRPr="006352EB">
              <w:rPr>
                <w:rFonts w:ascii="Times New Roman" w:hAnsi="Times New Roman" w:cs="Times New Roman"/>
                <w:b/>
                <w:bCs/>
                <w:color w:val="auto"/>
                <w:sz w:val="24"/>
                <w:szCs w:val="24"/>
              </w:rPr>
              <w:t>(1)-(2)</w:t>
            </w:r>
          </w:p>
        </w:tc>
        <w:tc>
          <w:tcPr>
            <w:tcW w:w="1097" w:type="dxa"/>
            <w:shd w:val="clear" w:color="auto" w:fill="7B7B7B" w:themeFill="accent3" w:themeFillShade="BF"/>
            <w:vAlign w:val="center"/>
          </w:tcPr>
          <w:p w:rsidR="00B060BD" w:rsidRPr="006352EB" w:rsidRDefault="00B060BD" w:rsidP="00B060BD">
            <w:pPr>
              <w:pStyle w:val="Caption"/>
              <w:keepNext/>
              <w:bidi w:val="0"/>
              <w:spacing w:after="0"/>
              <w:jc w:val="center"/>
              <w:rPr>
                <w:rFonts w:ascii="Times New Roman" w:hAnsi="Times New Roman" w:cs="Times New Roman"/>
                <w:b/>
                <w:bCs/>
                <w:color w:val="auto"/>
                <w:sz w:val="24"/>
                <w:szCs w:val="24"/>
                <w:rtl/>
              </w:rPr>
            </w:pPr>
          </w:p>
        </w:tc>
        <w:tc>
          <w:tcPr>
            <w:tcW w:w="1144" w:type="dxa"/>
            <w:shd w:val="clear" w:color="auto" w:fill="7B7B7B" w:themeFill="accent3" w:themeFillShade="BF"/>
            <w:vAlign w:val="center"/>
          </w:tcPr>
          <w:p w:rsidR="00B060BD" w:rsidRPr="006352EB" w:rsidRDefault="00B060BD" w:rsidP="00B060BD">
            <w:pPr>
              <w:pStyle w:val="Caption"/>
              <w:keepNext/>
              <w:bidi w:val="0"/>
              <w:spacing w:after="0"/>
              <w:jc w:val="center"/>
              <w:rPr>
                <w:rFonts w:ascii="Times New Roman" w:hAnsi="Times New Roman" w:cs="Times New Roman"/>
                <w:b/>
                <w:bCs/>
                <w:color w:val="auto"/>
                <w:sz w:val="24"/>
                <w:szCs w:val="24"/>
                <w:rtl/>
              </w:rPr>
            </w:pPr>
          </w:p>
        </w:tc>
        <w:tc>
          <w:tcPr>
            <w:tcW w:w="1430" w:type="dxa"/>
            <w:shd w:val="clear" w:color="auto" w:fill="7B7B7B" w:themeFill="accent3" w:themeFillShade="BF"/>
            <w:vAlign w:val="center"/>
          </w:tcPr>
          <w:p w:rsidR="00B060BD" w:rsidRPr="006352EB" w:rsidRDefault="00B060BD" w:rsidP="00B060BD">
            <w:pPr>
              <w:pStyle w:val="Caption"/>
              <w:keepNext/>
              <w:bidi w:val="0"/>
              <w:spacing w:after="0"/>
              <w:jc w:val="center"/>
              <w:rPr>
                <w:rFonts w:ascii="Times New Roman" w:hAnsi="Times New Roman" w:cs="Times New Roman"/>
                <w:b/>
                <w:bCs/>
                <w:color w:val="auto"/>
                <w:sz w:val="24"/>
                <w:szCs w:val="24"/>
                <w:rtl/>
              </w:rPr>
            </w:pPr>
          </w:p>
        </w:tc>
      </w:tr>
      <w:tr w:rsidR="00B060BD" w:rsidRPr="006352EB" w:rsidTr="00B060BD">
        <w:tc>
          <w:tcPr>
            <w:tcW w:w="2371" w:type="dxa"/>
            <w:shd w:val="clear" w:color="auto" w:fill="DBDBDB" w:themeFill="accent3" w:themeFillTint="66"/>
            <w:vAlign w:val="center"/>
          </w:tcPr>
          <w:p w:rsidR="00B060BD" w:rsidRPr="006352EB" w:rsidRDefault="00B060BD" w:rsidP="00B060BD">
            <w:pPr>
              <w:pStyle w:val="Caption"/>
              <w:keepNext/>
              <w:bidi w:val="0"/>
              <w:spacing w:after="0"/>
              <w:jc w:val="center"/>
              <w:rPr>
                <w:rFonts w:ascii="Times New Roman" w:hAnsi="Times New Roman" w:cs="Times New Roman"/>
                <w:b/>
                <w:bCs/>
                <w:color w:val="auto"/>
                <w:sz w:val="24"/>
                <w:szCs w:val="24"/>
                <w:rtl/>
              </w:rPr>
            </w:pPr>
            <w:r w:rsidRPr="006352EB">
              <w:rPr>
                <w:rFonts w:ascii="Times New Roman" w:hAnsi="Times New Roman" w:cs="Times New Roman"/>
                <w:b/>
                <w:bCs/>
                <w:color w:val="auto"/>
                <w:sz w:val="24"/>
                <w:szCs w:val="24"/>
              </w:rPr>
              <w:t>5</w:t>
            </w:r>
          </w:p>
        </w:tc>
        <w:tc>
          <w:tcPr>
            <w:tcW w:w="1209" w:type="dxa"/>
            <w:shd w:val="clear" w:color="auto" w:fill="DBDBDB" w:themeFill="accent3" w:themeFillTint="66"/>
            <w:vAlign w:val="center"/>
          </w:tcPr>
          <w:p w:rsidR="00B060BD" w:rsidRPr="006352EB" w:rsidRDefault="00B060BD" w:rsidP="00B060BD">
            <w:pPr>
              <w:pStyle w:val="Caption"/>
              <w:keepNext/>
              <w:bidi w:val="0"/>
              <w:spacing w:after="0"/>
              <w:jc w:val="center"/>
              <w:rPr>
                <w:rFonts w:ascii="Times New Roman" w:hAnsi="Times New Roman" w:cs="Times New Roman"/>
                <w:b/>
                <w:bCs/>
                <w:color w:val="auto"/>
                <w:sz w:val="24"/>
                <w:szCs w:val="24"/>
                <w:rtl/>
              </w:rPr>
            </w:pPr>
            <w:r w:rsidRPr="006352EB">
              <w:rPr>
                <w:rFonts w:ascii="Times New Roman" w:hAnsi="Times New Roman" w:cs="Times New Roman"/>
                <w:b/>
                <w:bCs/>
                <w:color w:val="auto"/>
                <w:sz w:val="24"/>
                <w:szCs w:val="24"/>
              </w:rPr>
              <w:t>4</w:t>
            </w:r>
          </w:p>
        </w:tc>
        <w:tc>
          <w:tcPr>
            <w:tcW w:w="1144" w:type="dxa"/>
            <w:shd w:val="clear" w:color="auto" w:fill="DBDBDB" w:themeFill="accent3" w:themeFillTint="66"/>
            <w:vAlign w:val="center"/>
          </w:tcPr>
          <w:p w:rsidR="00B060BD" w:rsidRPr="006352EB" w:rsidRDefault="00B060BD" w:rsidP="00B060BD">
            <w:pPr>
              <w:pStyle w:val="Caption"/>
              <w:keepNext/>
              <w:bidi w:val="0"/>
              <w:spacing w:after="0"/>
              <w:jc w:val="center"/>
              <w:rPr>
                <w:rFonts w:ascii="Times New Roman" w:hAnsi="Times New Roman" w:cs="Times New Roman"/>
                <w:b/>
                <w:bCs/>
                <w:color w:val="auto"/>
                <w:sz w:val="24"/>
                <w:szCs w:val="24"/>
                <w:rtl/>
              </w:rPr>
            </w:pPr>
            <w:r w:rsidRPr="006352EB">
              <w:rPr>
                <w:rFonts w:ascii="Times New Roman" w:hAnsi="Times New Roman" w:cs="Times New Roman"/>
                <w:b/>
                <w:bCs/>
                <w:color w:val="auto"/>
                <w:sz w:val="24"/>
                <w:szCs w:val="24"/>
              </w:rPr>
              <w:t>3</w:t>
            </w:r>
          </w:p>
        </w:tc>
        <w:tc>
          <w:tcPr>
            <w:tcW w:w="1097" w:type="dxa"/>
            <w:shd w:val="clear" w:color="auto" w:fill="DBDBDB" w:themeFill="accent3" w:themeFillTint="66"/>
            <w:vAlign w:val="center"/>
          </w:tcPr>
          <w:p w:rsidR="00B060BD" w:rsidRPr="006352EB" w:rsidRDefault="00B060BD" w:rsidP="00B060BD">
            <w:pPr>
              <w:pStyle w:val="Caption"/>
              <w:keepNext/>
              <w:bidi w:val="0"/>
              <w:spacing w:after="0"/>
              <w:jc w:val="center"/>
              <w:rPr>
                <w:rFonts w:ascii="Times New Roman" w:hAnsi="Times New Roman" w:cs="Times New Roman"/>
                <w:b/>
                <w:bCs/>
                <w:color w:val="auto"/>
                <w:sz w:val="24"/>
                <w:szCs w:val="24"/>
                <w:rtl/>
              </w:rPr>
            </w:pPr>
            <w:r w:rsidRPr="006352EB">
              <w:rPr>
                <w:rFonts w:ascii="Times New Roman" w:hAnsi="Times New Roman" w:cs="Times New Roman"/>
                <w:b/>
                <w:bCs/>
                <w:color w:val="auto"/>
                <w:sz w:val="24"/>
                <w:szCs w:val="24"/>
              </w:rPr>
              <w:t>2</w:t>
            </w:r>
          </w:p>
        </w:tc>
        <w:tc>
          <w:tcPr>
            <w:tcW w:w="1144" w:type="dxa"/>
            <w:shd w:val="clear" w:color="auto" w:fill="DBDBDB" w:themeFill="accent3" w:themeFillTint="66"/>
            <w:vAlign w:val="center"/>
          </w:tcPr>
          <w:p w:rsidR="00B060BD" w:rsidRPr="006352EB" w:rsidRDefault="00B060BD" w:rsidP="00B060BD">
            <w:pPr>
              <w:pStyle w:val="Caption"/>
              <w:keepNext/>
              <w:bidi w:val="0"/>
              <w:spacing w:after="0"/>
              <w:jc w:val="center"/>
              <w:rPr>
                <w:rFonts w:ascii="Times New Roman" w:hAnsi="Times New Roman" w:cs="Times New Roman"/>
                <w:b/>
                <w:bCs/>
                <w:color w:val="auto"/>
                <w:sz w:val="24"/>
                <w:szCs w:val="24"/>
                <w:rtl/>
              </w:rPr>
            </w:pPr>
            <w:r w:rsidRPr="006352EB">
              <w:rPr>
                <w:rFonts w:ascii="Times New Roman" w:hAnsi="Times New Roman" w:cs="Times New Roman"/>
                <w:b/>
                <w:bCs/>
                <w:color w:val="auto"/>
                <w:sz w:val="24"/>
                <w:szCs w:val="24"/>
              </w:rPr>
              <w:t>1</w:t>
            </w:r>
          </w:p>
        </w:tc>
        <w:tc>
          <w:tcPr>
            <w:tcW w:w="1430" w:type="dxa"/>
            <w:shd w:val="clear" w:color="auto" w:fill="DBDBDB" w:themeFill="accent3" w:themeFillTint="66"/>
            <w:vAlign w:val="center"/>
          </w:tcPr>
          <w:p w:rsidR="00B060BD" w:rsidRPr="006352EB" w:rsidRDefault="00B060BD" w:rsidP="00B060BD">
            <w:pPr>
              <w:pStyle w:val="Caption"/>
              <w:keepNext/>
              <w:bidi w:val="0"/>
              <w:spacing w:after="0"/>
              <w:jc w:val="center"/>
              <w:rPr>
                <w:rFonts w:ascii="Times New Roman" w:hAnsi="Times New Roman" w:cs="Times New Roman"/>
                <w:b/>
                <w:bCs/>
                <w:color w:val="auto"/>
                <w:sz w:val="24"/>
                <w:szCs w:val="24"/>
                <w:rtl/>
              </w:rPr>
            </w:pPr>
          </w:p>
        </w:tc>
      </w:tr>
      <w:tr w:rsidR="00B060BD" w:rsidRPr="006352EB" w:rsidTr="00B060BD">
        <w:tc>
          <w:tcPr>
            <w:tcW w:w="2371" w:type="dxa"/>
          </w:tcPr>
          <w:p w:rsidR="00B060BD" w:rsidRPr="006352EB" w:rsidRDefault="00B060BD" w:rsidP="00B060BD">
            <w:pPr>
              <w:pStyle w:val="Caption"/>
              <w:keepNext/>
              <w:bidi w:val="0"/>
              <w:spacing w:after="0"/>
              <w:jc w:val="center"/>
              <w:rPr>
                <w:rFonts w:ascii="Times New Roman" w:hAnsi="Times New Roman" w:cs="Times New Roman"/>
                <w:color w:val="auto"/>
                <w:sz w:val="24"/>
                <w:szCs w:val="24"/>
                <w:rtl/>
              </w:rPr>
            </w:pPr>
            <w:r w:rsidRPr="006352EB">
              <w:rPr>
                <w:rFonts w:ascii="Times New Roman" w:hAnsi="Times New Roman" w:cs="Times New Roman"/>
                <w:color w:val="auto"/>
                <w:sz w:val="24"/>
                <w:szCs w:val="24"/>
              </w:rPr>
              <w:t>0</w:t>
            </w:r>
          </w:p>
        </w:tc>
        <w:tc>
          <w:tcPr>
            <w:tcW w:w="1209" w:type="dxa"/>
          </w:tcPr>
          <w:p w:rsidR="00B060BD" w:rsidRPr="006352EB" w:rsidRDefault="00B060BD" w:rsidP="00B060BD">
            <w:pPr>
              <w:pStyle w:val="Caption"/>
              <w:keepNext/>
              <w:bidi w:val="0"/>
              <w:spacing w:after="0"/>
              <w:jc w:val="center"/>
              <w:rPr>
                <w:rFonts w:ascii="Times New Roman" w:hAnsi="Times New Roman" w:cs="Times New Roman"/>
                <w:color w:val="auto"/>
                <w:sz w:val="24"/>
                <w:szCs w:val="24"/>
                <w:rtl/>
              </w:rPr>
            </w:pPr>
            <w:r w:rsidRPr="006352EB">
              <w:rPr>
                <w:rFonts w:ascii="Times New Roman" w:hAnsi="Times New Roman" w:cs="Times New Roman"/>
                <w:color w:val="auto"/>
                <w:sz w:val="24"/>
                <w:szCs w:val="24"/>
              </w:rPr>
              <w:t>0</w:t>
            </w:r>
          </w:p>
        </w:tc>
        <w:tc>
          <w:tcPr>
            <w:tcW w:w="1144" w:type="dxa"/>
          </w:tcPr>
          <w:p w:rsidR="00B060BD" w:rsidRPr="006352EB" w:rsidRDefault="00B060BD" w:rsidP="00B060BD">
            <w:pPr>
              <w:pStyle w:val="Caption"/>
              <w:keepNext/>
              <w:bidi w:val="0"/>
              <w:spacing w:after="0"/>
              <w:jc w:val="center"/>
              <w:rPr>
                <w:rFonts w:ascii="Times New Roman" w:hAnsi="Times New Roman" w:cs="Times New Roman"/>
                <w:color w:val="auto"/>
                <w:sz w:val="24"/>
                <w:szCs w:val="24"/>
                <w:rtl/>
              </w:rPr>
            </w:pPr>
            <w:r w:rsidRPr="006352EB">
              <w:rPr>
                <w:rFonts w:ascii="Times New Roman" w:hAnsi="Times New Roman" w:cs="Times New Roman"/>
                <w:color w:val="auto"/>
                <w:sz w:val="24"/>
                <w:szCs w:val="24"/>
              </w:rPr>
              <w:t>0</w:t>
            </w:r>
          </w:p>
        </w:tc>
        <w:tc>
          <w:tcPr>
            <w:tcW w:w="1097" w:type="dxa"/>
          </w:tcPr>
          <w:p w:rsidR="00B060BD" w:rsidRPr="006352EB" w:rsidRDefault="00B060BD" w:rsidP="00B060BD">
            <w:pPr>
              <w:pStyle w:val="Caption"/>
              <w:keepNext/>
              <w:bidi w:val="0"/>
              <w:spacing w:after="0"/>
              <w:jc w:val="center"/>
              <w:rPr>
                <w:rFonts w:ascii="Times New Roman" w:hAnsi="Times New Roman" w:cs="Times New Roman"/>
                <w:color w:val="auto"/>
                <w:sz w:val="24"/>
                <w:szCs w:val="24"/>
                <w:rtl/>
              </w:rPr>
            </w:pPr>
          </w:p>
        </w:tc>
        <w:tc>
          <w:tcPr>
            <w:tcW w:w="1144" w:type="dxa"/>
          </w:tcPr>
          <w:p w:rsidR="00B060BD" w:rsidRPr="006352EB" w:rsidRDefault="00B060BD" w:rsidP="00B060BD">
            <w:pPr>
              <w:pStyle w:val="Caption"/>
              <w:keepNext/>
              <w:bidi w:val="0"/>
              <w:spacing w:after="0"/>
              <w:jc w:val="center"/>
              <w:rPr>
                <w:rFonts w:ascii="Times New Roman" w:hAnsi="Times New Roman" w:cs="Times New Roman"/>
                <w:color w:val="auto"/>
                <w:sz w:val="24"/>
                <w:szCs w:val="24"/>
                <w:rtl/>
              </w:rPr>
            </w:pPr>
          </w:p>
        </w:tc>
        <w:tc>
          <w:tcPr>
            <w:tcW w:w="1430" w:type="dxa"/>
          </w:tcPr>
          <w:p w:rsidR="00B060BD" w:rsidRPr="006352EB" w:rsidRDefault="00B060BD" w:rsidP="00B060BD">
            <w:pPr>
              <w:pStyle w:val="Caption"/>
              <w:keepNext/>
              <w:bidi w:val="0"/>
              <w:spacing w:after="0"/>
              <w:jc w:val="center"/>
              <w:rPr>
                <w:rFonts w:ascii="Times New Roman" w:hAnsi="Times New Roman" w:cs="Times New Roman"/>
                <w:color w:val="auto"/>
                <w:sz w:val="24"/>
                <w:szCs w:val="24"/>
                <w:rtl/>
              </w:rPr>
            </w:pPr>
          </w:p>
        </w:tc>
      </w:tr>
      <w:tr w:rsidR="00B060BD" w:rsidRPr="006352EB" w:rsidTr="00B060BD">
        <w:tc>
          <w:tcPr>
            <w:tcW w:w="2371" w:type="dxa"/>
          </w:tcPr>
          <w:p w:rsidR="00B060BD" w:rsidRPr="006352EB" w:rsidRDefault="00B060BD" w:rsidP="00B060BD">
            <w:pPr>
              <w:pStyle w:val="Caption"/>
              <w:keepNext/>
              <w:bidi w:val="0"/>
              <w:spacing w:after="0"/>
              <w:jc w:val="center"/>
              <w:rPr>
                <w:rFonts w:ascii="Times New Roman" w:hAnsi="Times New Roman" w:cs="Times New Roman"/>
                <w:color w:val="auto"/>
                <w:sz w:val="24"/>
                <w:szCs w:val="24"/>
                <w:rtl/>
              </w:rPr>
            </w:pPr>
            <w:r w:rsidRPr="006352EB">
              <w:rPr>
                <w:rFonts w:ascii="Times New Roman" w:hAnsi="Times New Roman" w:cs="Times New Roman"/>
                <w:color w:val="auto"/>
                <w:sz w:val="24"/>
                <w:szCs w:val="24"/>
              </w:rPr>
              <w:t>0</w:t>
            </w:r>
          </w:p>
        </w:tc>
        <w:tc>
          <w:tcPr>
            <w:tcW w:w="1209" w:type="dxa"/>
          </w:tcPr>
          <w:p w:rsidR="00B060BD" w:rsidRPr="006352EB" w:rsidRDefault="00B060BD" w:rsidP="00B060BD">
            <w:pPr>
              <w:pStyle w:val="Caption"/>
              <w:keepNext/>
              <w:bidi w:val="0"/>
              <w:spacing w:after="0"/>
              <w:jc w:val="center"/>
              <w:rPr>
                <w:rFonts w:ascii="Times New Roman" w:hAnsi="Times New Roman" w:cs="Times New Roman"/>
                <w:color w:val="auto"/>
                <w:sz w:val="24"/>
                <w:szCs w:val="24"/>
                <w:rtl/>
              </w:rPr>
            </w:pPr>
            <w:r w:rsidRPr="006352EB">
              <w:rPr>
                <w:rFonts w:ascii="Times New Roman" w:hAnsi="Times New Roman" w:cs="Times New Roman"/>
                <w:color w:val="auto"/>
                <w:sz w:val="24"/>
                <w:szCs w:val="24"/>
              </w:rPr>
              <w:t>0</w:t>
            </w:r>
          </w:p>
        </w:tc>
        <w:tc>
          <w:tcPr>
            <w:tcW w:w="1144" w:type="dxa"/>
          </w:tcPr>
          <w:p w:rsidR="00B060BD" w:rsidRPr="006352EB" w:rsidRDefault="00B060BD" w:rsidP="00B060BD">
            <w:pPr>
              <w:pStyle w:val="Caption"/>
              <w:keepNext/>
              <w:bidi w:val="0"/>
              <w:spacing w:after="0"/>
              <w:jc w:val="center"/>
              <w:rPr>
                <w:rFonts w:ascii="Times New Roman" w:hAnsi="Times New Roman" w:cs="Times New Roman"/>
                <w:color w:val="auto"/>
                <w:sz w:val="24"/>
                <w:szCs w:val="24"/>
                <w:rtl/>
              </w:rPr>
            </w:pPr>
            <w:r w:rsidRPr="006352EB">
              <w:rPr>
                <w:rFonts w:ascii="Times New Roman" w:hAnsi="Times New Roman" w:cs="Times New Roman"/>
                <w:color w:val="auto"/>
                <w:sz w:val="24"/>
                <w:szCs w:val="24"/>
              </w:rPr>
              <w:t>0</w:t>
            </w:r>
          </w:p>
        </w:tc>
        <w:tc>
          <w:tcPr>
            <w:tcW w:w="1097" w:type="dxa"/>
          </w:tcPr>
          <w:p w:rsidR="00B060BD" w:rsidRPr="006352EB" w:rsidRDefault="00B060BD" w:rsidP="00B060BD">
            <w:pPr>
              <w:pStyle w:val="Caption"/>
              <w:keepNext/>
              <w:bidi w:val="0"/>
              <w:spacing w:after="0"/>
              <w:jc w:val="center"/>
              <w:rPr>
                <w:rFonts w:ascii="Times New Roman" w:hAnsi="Times New Roman" w:cs="Times New Roman"/>
                <w:color w:val="auto"/>
                <w:sz w:val="24"/>
                <w:szCs w:val="24"/>
                <w:rtl/>
              </w:rPr>
            </w:pPr>
          </w:p>
        </w:tc>
        <w:tc>
          <w:tcPr>
            <w:tcW w:w="1144" w:type="dxa"/>
          </w:tcPr>
          <w:p w:rsidR="00B060BD" w:rsidRPr="006352EB" w:rsidRDefault="00B060BD" w:rsidP="00B060BD">
            <w:pPr>
              <w:pStyle w:val="Caption"/>
              <w:keepNext/>
              <w:bidi w:val="0"/>
              <w:spacing w:after="0"/>
              <w:jc w:val="center"/>
              <w:rPr>
                <w:rFonts w:ascii="Times New Roman" w:hAnsi="Times New Roman" w:cs="Times New Roman"/>
                <w:color w:val="auto"/>
                <w:sz w:val="24"/>
                <w:szCs w:val="24"/>
                <w:rtl/>
              </w:rPr>
            </w:pPr>
          </w:p>
        </w:tc>
        <w:tc>
          <w:tcPr>
            <w:tcW w:w="1430" w:type="dxa"/>
          </w:tcPr>
          <w:p w:rsidR="00B060BD" w:rsidRPr="006352EB" w:rsidRDefault="00B060BD" w:rsidP="00B060BD">
            <w:pPr>
              <w:pStyle w:val="Caption"/>
              <w:keepNext/>
              <w:bidi w:val="0"/>
              <w:spacing w:after="0"/>
              <w:jc w:val="center"/>
              <w:rPr>
                <w:rFonts w:ascii="Times New Roman" w:hAnsi="Times New Roman" w:cs="Times New Roman"/>
                <w:color w:val="auto"/>
                <w:sz w:val="24"/>
                <w:szCs w:val="24"/>
                <w:rtl/>
              </w:rPr>
            </w:pPr>
          </w:p>
        </w:tc>
      </w:tr>
      <w:tr w:rsidR="00B060BD" w:rsidRPr="006352EB" w:rsidTr="00B060BD">
        <w:tc>
          <w:tcPr>
            <w:tcW w:w="2371" w:type="dxa"/>
          </w:tcPr>
          <w:p w:rsidR="00B060BD" w:rsidRPr="006352EB" w:rsidRDefault="00B060BD" w:rsidP="00B060BD">
            <w:pPr>
              <w:pStyle w:val="Caption"/>
              <w:keepNext/>
              <w:bidi w:val="0"/>
              <w:spacing w:after="0"/>
              <w:jc w:val="center"/>
              <w:rPr>
                <w:rFonts w:ascii="Times New Roman" w:hAnsi="Times New Roman" w:cs="Times New Roman"/>
                <w:color w:val="auto"/>
                <w:sz w:val="24"/>
                <w:szCs w:val="24"/>
                <w:rtl/>
              </w:rPr>
            </w:pPr>
            <w:r w:rsidRPr="006352EB">
              <w:rPr>
                <w:rFonts w:ascii="Times New Roman" w:hAnsi="Times New Roman" w:cs="Times New Roman"/>
                <w:color w:val="auto"/>
                <w:sz w:val="24"/>
                <w:szCs w:val="24"/>
              </w:rPr>
              <w:t>0</w:t>
            </w:r>
          </w:p>
        </w:tc>
        <w:tc>
          <w:tcPr>
            <w:tcW w:w="1209" w:type="dxa"/>
          </w:tcPr>
          <w:p w:rsidR="00B060BD" w:rsidRPr="006352EB" w:rsidRDefault="00B060BD" w:rsidP="00B060BD">
            <w:pPr>
              <w:pStyle w:val="Caption"/>
              <w:keepNext/>
              <w:bidi w:val="0"/>
              <w:spacing w:after="0"/>
              <w:jc w:val="center"/>
              <w:rPr>
                <w:rFonts w:ascii="Times New Roman" w:hAnsi="Times New Roman" w:cs="Times New Roman"/>
                <w:color w:val="auto"/>
                <w:sz w:val="24"/>
                <w:szCs w:val="24"/>
                <w:rtl/>
              </w:rPr>
            </w:pPr>
            <w:r w:rsidRPr="006352EB">
              <w:rPr>
                <w:rFonts w:ascii="Times New Roman" w:hAnsi="Times New Roman" w:cs="Times New Roman"/>
                <w:color w:val="auto"/>
                <w:sz w:val="24"/>
                <w:szCs w:val="24"/>
              </w:rPr>
              <w:t>0</w:t>
            </w:r>
          </w:p>
        </w:tc>
        <w:tc>
          <w:tcPr>
            <w:tcW w:w="1144" w:type="dxa"/>
          </w:tcPr>
          <w:p w:rsidR="00B060BD" w:rsidRPr="006352EB" w:rsidRDefault="00B060BD" w:rsidP="00B060BD">
            <w:pPr>
              <w:pStyle w:val="Caption"/>
              <w:keepNext/>
              <w:bidi w:val="0"/>
              <w:spacing w:after="0"/>
              <w:jc w:val="center"/>
              <w:rPr>
                <w:rFonts w:ascii="Times New Roman" w:hAnsi="Times New Roman" w:cs="Times New Roman"/>
                <w:color w:val="auto"/>
                <w:sz w:val="24"/>
                <w:szCs w:val="24"/>
                <w:rtl/>
              </w:rPr>
            </w:pPr>
            <w:r w:rsidRPr="006352EB">
              <w:rPr>
                <w:rFonts w:ascii="Times New Roman" w:hAnsi="Times New Roman" w:cs="Times New Roman"/>
                <w:color w:val="auto"/>
                <w:sz w:val="24"/>
                <w:szCs w:val="24"/>
              </w:rPr>
              <w:t>0</w:t>
            </w:r>
          </w:p>
        </w:tc>
        <w:tc>
          <w:tcPr>
            <w:tcW w:w="1097" w:type="dxa"/>
          </w:tcPr>
          <w:p w:rsidR="00B060BD" w:rsidRPr="006352EB" w:rsidRDefault="00B060BD" w:rsidP="00B060BD">
            <w:pPr>
              <w:pStyle w:val="Caption"/>
              <w:keepNext/>
              <w:bidi w:val="0"/>
              <w:spacing w:after="0"/>
              <w:jc w:val="center"/>
              <w:rPr>
                <w:rFonts w:ascii="Times New Roman" w:hAnsi="Times New Roman" w:cs="Times New Roman"/>
                <w:color w:val="auto"/>
                <w:sz w:val="24"/>
                <w:szCs w:val="24"/>
                <w:rtl/>
              </w:rPr>
            </w:pPr>
          </w:p>
        </w:tc>
        <w:tc>
          <w:tcPr>
            <w:tcW w:w="1144" w:type="dxa"/>
          </w:tcPr>
          <w:p w:rsidR="00B060BD" w:rsidRPr="006352EB" w:rsidRDefault="00B060BD" w:rsidP="00B060BD">
            <w:pPr>
              <w:pStyle w:val="Caption"/>
              <w:keepNext/>
              <w:bidi w:val="0"/>
              <w:spacing w:after="0"/>
              <w:jc w:val="center"/>
              <w:rPr>
                <w:rFonts w:ascii="Times New Roman" w:hAnsi="Times New Roman" w:cs="Times New Roman"/>
                <w:color w:val="auto"/>
                <w:sz w:val="24"/>
                <w:szCs w:val="24"/>
                <w:rtl/>
              </w:rPr>
            </w:pPr>
          </w:p>
        </w:tc>
        <w:tc>
          <w:tcPr>
            <w:tcW w:w="1430" w:type="dxa"/>
          </w:tcPr>
          <w:p w:rsidR="00B060BD" w:rsidRPr="006352EB" w:rsidRDefault="00B060BD" w:rsidP="00B060BD">
            <w:pPr>
              <w:pStyle w:val="Caption"/>
              <w:keepNext/>
              <w:bidi w:val="0"/>
              <w:spacing w:after="0"/>
              <w:jc w:val="center"/>
              <w:rPr>
                <w:rFonts w:ascii="Times New Roman" w:hAnsi="Times New Roman" w:cs="Times New Roman"/>
                <w:color w:val="auto"/>
                <w:sz w:val="24"/>
                <w:szCs w:val="24"/>
                <w:rtl/>
              </w:rPr>
            </w:pPr>
          </w:p>
        </w:tc>
      </w:tr>
      <w:tr w:rsidR="00B060BD" w:rsidRPr="006352EB" w:rsidTr="00B060BD">
        <w:tc>
          <w:tcPr>
            <w:tcW w:w="2371" w:type="dxa"/>
          </w:tcPr>
          <w:p w:rsidR="00B060BD" w:rsidRPr="006352EB" w:rsidRDefault="00B060BD" w:rsidP="00B060BD">
            <w:pPr>
              <w:pStyle w:val="Caption"/>
              <w:keepNext/>
              <w:bidi w:val="0"/>
              <w:spacing w:after="0"/>
              <w:jc w:val="center"/>
              <w:rPr>
                <w:rFonts w:ascii="Times New Roman" w:hAnsi="Times New Roman" w:cs="Times New Roman"/>
                <w:color w:val="auto"/>
                <w:sz w:val="24"/>
                <w:szCs w:val="24"/>
                <w:rtl/>
              </w:rPr>
            </w:pPr>
            <w:r w:rsidRPr="006352EB">
              <w:rPr>
                <w:rFonts w:ascii="Times New Roman" w:hAnsi="Times New Roman" w:cs="Times New Roman"/>
                <w:color w:val="auto"/>
                <w:sz w:val="24"/>
                <w:szCs w:val="24"/>
              </w:rPr>
              <w:t>0</w:t>
            </w:r>
          </w:p>
        </w:tc>
        <w:tc>
          <w:tcPr>
            <w:tcW w:w="1209" w:type="dxa"/>
          </w:tcPr>
          <w:p w:rsidR="00B060BD" w:rsidRPr="006352EB" w:rsidRDefault="00B060BD" w:rsidP="00B060BD">
            <w:pPr>
              <w:pStyle w:val="Caption"/>
              <w:keepNext/>
              <w:bidi w:val="0"/>
              <w:spacing w:after="0"/>
              <w:jc w:val="center"/>
              <w:rPr>
                <w:rFonts w:ascii="Times New Roman" w:hAnsi="Times New Roman" w:cs="Times New Roman"/>
                <w:color w:val="auto"/>
                <w:sz w:val="24"/>
                <w:szCs w:val="24"/>
                <w:rtl/>
              </w:rPr>
            </w:pPr>
            <w:r w:rsidRPr="006352EB">
              <w:rPr>
                <w:rFonts w:ascii="Times New Roman" w:hAnsi="Times New Roman" w:cs="Times New Roman"/>
                <w:color w:val="auto"/>
                <w:sz w:val="24"/>
                <w:szCs w:val="24"/>
              </w:rPr>
              <w:t>0</w:t>
            </w:r>
          </w:p>
        </w:tc>
        <w:tc>
          <w:tcPr>
            <w:tcW w:w="1144" w:type="dxa"/>
          </w:tcPr>
          <w:p w:rsidR="00B060BD" w:rsidRPr="006352EB" w:rsidRDefault="00B060BD" w:rsidP="00B060BD">
            <w:pPr>
              <w:pStyle w:val="Caption"/>
              <w:keepNext/>
              <w:bidi w:val="0"/>
              <w:spacing w:after="0"/>
              <w:jc w:val="center"/>
              <w:rPr>
                <w:rFonts w:ascii="Times New Roman" w:hAnsi="Times New Roman" w:cs="Times New Roman"/>
                <w:color w:val="auto"/>
                <w:sz w:val="24"/>
                <w:szCs w:val="24"/>
                <w:rtl/>
              </w:rPr>
            </w:pPr>
            <w:r w:rsidRPr="006352EB">
              <w:rPr>
                <w:rFonts w:ascii="Times New Roman" w:hAnsi="Times New Roman" w:cs="Times New Roman"/>
                <w:color w:val="auto"/>
                <w:sz w:val="24"/>
                <w:szCs w:val="24"/>
              </w:rPr>
              <w:t>0</w:t>
            </w:r>
          </w:p>
        </w:tc>
        <w:tc>
          <w:tcPr>
            <w:tcW w:w="1097" w:type="dxa"/>
          </w:tcPr>
          <w:p w:rsidR="00B060BD" w:rsidRPr="006352EB" w:rsidRDefault="00B060BD" w:rsidP="00B060BD">
            <w:pPr>
              <w:pStyle w:val="Caption"/>
              <w:keepNext/>
              <w:bidi w:val="0"/>
              <w:spacing w:after="0"/>
              <w:jc w:val="center"/>
              <w:rPr>
                <w:rFonts w:ascii="Times New Roman" w:hAnsi="Times New Roman" w:cs="Times New Roman"/>
                <w:color w:val="auto"/>
                <w:sz w:val="24"/>
                <w:szCs w:val="24"/>
                <w:rtl/>
              </w:rPr>
            </w:pPr>
          </w:p>
        </w:tc>
        <w:tc>
          <w:tcPr>
            <w:tcW w:w="1144" w:type="dxa"/>
          </w:tcPr>
          <w:p w:rsidR="00B060BD" w:rsidRPr="006352EB" w:rsidRDefault="00B060BD" w:rsidP="00B060BD">
            <w:pPr>
              <w:pStyle w:val="Caption"/>
              <w:keepNext/>
              <w:bidi w:val="0"/>
              <w:spacing w:after="0"/>
              <w:jc w:val="center"/>
              <w:rPr>
                <w:rFonts w:ascii="Times New Roman" w:hAnsi="Times New Roman" w:cs="Times New Roman"/>
                <w:color w:val="auto"/>
                <w:sz w:val="24"/>
                <w:szCs w:val="24"/>
                <w:rtl/>
              </w:rPr>
            </w:pPr>
          </w:p>
        </w:tc>
        <w:tc>
          <w:tcPr>
            <w:tcW w:w="1430" w:type="dxa"/>
          </w:tcPr>
          <w:p w:rsidR="00B060BD" w:rsidRPr="006352EB" w:rsidRDefault="00B060BD" w:rsidP="00B060BD">
            <w:pPr>
              <w:pStyle w:val="Caption"/>
              <w:keepNext/>
              <w:bidi w:val="0"/>
              <w:spacing w:after="0"/>
              <w:jc w:val="center"/>
              <w:rPr>
                <w:rFonts w:ascii="Times New Roman" w:hAnsi="Times New Roman" w:cs="Times New Roman"/>
                <w:color w:val="auto"/>
                <w:sz w:val="24"/>
                <w:szCs w:val="24"/>
                <w:rtl/>
              </w:rPr>
            </w:pPr>
          </w:p>
        </w:tc>
      </w:tr>
      <w:tr w:rsidR="00B060BD" w:rsidRPr="006352EB" w:rsidTr="00B060BD">
        <w:tc>
          <w:tcPr>
            <w:tcW w:w="2371" w:type="dxa"/>
          </w:tcPr>
          <w:p w:rsidR="00B060BD" w:rsidRPr="006352EB" w:rsidRDefault="00B060BD" w:rsidP="00B060BD">
            <w:pPr>
              <w:pStyle w:val="Caption"/>
              <w:keepNext/>
              <w:bidi w:val="0"/>
              <w:spacing w:after="0"/>
              <w:jc w:val="center"/>
              <w:rPr>
                <w:rFonts w:ascii="Times New Roman" w:hAnsi="Times New Roman" w:cs="Times New Roman"/>
                <w:color w:val="auto"/>
                <w:sz w:val="24"/>
                <w:szCs w:val="24"/>
                <w:rtl/>
              </w:rPr>
            </w:pPr>
            <w:r w:rsidRPr="006352EB">
              <w:rPr>
                <w:rFonts w:ascii="Times New Roman" w:hAnsi="Times New Roman" w:cs="Times New Roman"/>
                <w:color w:val="auto"/>
                <w:sz w:val="24"/>
                <w:szCs w:val="24"/>
              </w:rPr>
              <w:t>0</w:t>
            </w:r>
          </w:p>
        </w:tc>
        <w:tc>
          <w:tcPr>
            <w:tcW w:w="1209" w:type="dxa"/>
          </w:tcPr>
          <w:p w:rsidR="00B060BD" w:rsidRPr="006352EB" w:rsidRDefault="00B060BD" w:rsidP="00B060BD">
            <w:pPr>
              <w:pStyle w:val="Caption"/>
              <w:keepNext/>
              <w:bidi w:val="0"/>
              <w:spacing w:after="0"/>
              <w:jc w:val="center"/>
              <w:rPr>
                <w:rFonts w:ascii="Times New Roman" w:hAnsi="Times New Roman" w:cs="Times New Roman"/>
                <w:color w:val="auto"/>
                <w:sz w:val="24"/>
                <w:szCs w:val="24"/>
                <w:rtl/>
              </w:rPr>
            </w:pPr>
            <w:r w:rsidRPr="006352EB">
              <w:rPr>
                <w:rFonts w:ascii="Times New Roman" w:hAnsi="Times New Roman" w:cs="Times New Roman"/>
                <w:color w:val="auto"/>
                <w:sz w:val="24"/>
                <w:szCs w:val="24"/>
              </w:rPr>
              <w:t>0</w:t>
            </w:r>
          </w:p>
        </w:tc>
        <w:tc>
          <w:tcPr>
            <w:tcW w:w="1144" w:type="dxa"/>
          </w:tcPr>
          <w:p w:rsidR="00B060BD" w:rsidRPr="006352EB" w:rsidRDefault="00B060BD" w:rsidP="00B060BD">
            <w:pPr>
              <w:pStyle w:val="Caption"/>
              <w:keepNext/>
              <w:bidi w:val="0"/>
              <w:spacing w:after="0"/>
              <w:jc w:val="center"/>
              <w:rPr>
                <w:rFonts w:ascii="Times New Roman" w:hAnsi="Times New Roman" w:cs="Times New Roman"/>
                <w:color w:val="auto"/>
                <w:sz w:val="24"/>
                <w:szCs w:val="24"/>
                <w:rtl/>
              </w:rPr>
            </w:pPr>
            <w:r w:rsidRPr="006352EB">
              <w:rPr>
                <w:rFonts w:ascii="Times New Roman" w:hAnsi="Times New Roman" w:cs="Times New Roman"/>
                <w:color w:val="auto"/>
                <w:sz w:val="24"/>
                <w:szCs w:val="24"/>
              </w:rPr>
              <w:t>0</w:t>
            </w:r>
          </w:p>
        </w:tc>
        <w:tc>
          <w:tcPr>
            <w:tcW w:w="1097" w:type="dxa"/>
          </w:tcPr>
          <w:p w:rsidR="00B060BD" w:rsidRPr="006352EB" w:rsidRDefault="00B060BD" w:rsidP="00B060BD">
            <w:pPr>
              <w:pStyle w:val="Caption"/>
              <w:keepNext/>
              <w:bidi w:val="0"/>
              <w:spacing w:after="0"/>
              <w:jc w:val="center"/>
              <w:rPr>
                <w:rFonts w:ascii="Times New Roman" w:hAnsi="Times New Roman" w:cs="Times New Roman"/>
                <w:color w:val="auto"/>
                <w:sz w:val="24"/>
                <w:szCs w:val="24"/>
                <w:rtl/>
              </w:rPr>
            </w:pPr>
          </w:p>
        </w:tc>
        <w:tc>
          <w:tcPr>
            <w:tcW w:w="1144" w:type="dxa"/>
          </w:tcPr>
          <w:p w:rsidR="00B060BD" w:rsidRPr="006352EB" w:rsidRDefault="00B060BD" w:rsidP="00B060BD">
            <w:pPr>
              <w:pStyle w:val="Caption"/>
              <w:keepNext/>
              <w:bidi w:val="0"/>
              <w:spacing w:after="0"/>
              <w:jc w:val="center"/>
              <w:rPr>
                <w:rFonts w:ascii="Times New Roman" w:hAnsi="Times New Roman" w:cs="Times New Roman"/>
                <w:color w:val="auto"/>
                <w:sz w:val="24"/>
                <w:szCs w:val="24"/>
                <w:rtl/>
              </w:rPr>
            </w:pPr>
          </w:p>
        </w:tc>
        <w:tc>
          <w:tcPr>
            <w:tcW w:w="1430" w:type="dxa"/>
          </w:tcPr>
          <w:p w:rsidR="00B060BD" w:rsidRPr="006352EB" w:rsidRDefault="00B060BD" w:rsidP="00B060BD">
            <w:pPr>
              <w:pStyle w:val="Caption"/>
              <w:keepNext/>
              <w:bidi w:val="0"/>
              <w:spacing w:after="0"/>
              <w:jc w:val="center"/>
              <w:rPr>
                <w:rFonts w:ascii="Times New Roman" w:hAnsi="Times New Roman" w:cs="Times New Roman"/>
                <w:color w:val="auto"/>
                <w:sz w:val="24"/>
                <w:szCs w:val="24"/>
                <w:rtl/>
              </w:rPr>
            </w:pPr>
          </w:p>
        </w:tc>
      </w:tr>
      <w:tr w:rsidR="00B060BD" w:rsidRPr="006352EB" w:rsidTr="00B060BD">
        <w:tc>
          <w:tcPr>
            <w:tcW w:w="2371" w:type="dxa"/>
          </w:tcPr>
          <w:p w:rsidR="00B060BD" w:rsidRPr="006352EB" w:rsidRDefault="00B060BD" w:rsidP="00B060BD">
            <w:pPr>
              <w:pStyle w:val="Caption"/>
              <w:keepNext/>
              <w:bidi w:val="0"/>
              <w:spacing w:after="0"/>
              <w:jc w:val="center"/>
              <w:rPr>
                <w:rFonts w:ascii="Times New Roman" w:hAnsi="Times New Roman" w:cs="Times New Roman"/>
                <w:color w:val="auto"/>
                <w:sz w:val="24"/>
                <w:szCs w:val="24"/>
              </w:rPr>
            </w:pPr>
            <w:r w:rsidRPr="006352EB">
              <w:rPr>
                <w:rFonts w:ascii="Times New Roman" w:hAnsi="Times New Roman" w:cs="Times New Roman"/>
                <w:color w:val="auto"/>
                <w:sz w:val="24"/>
                <w:szCs w:val="24"/>
              </w:rPr>
              <w:t>0</w:t>
            </w:r>
          </w:p>
        </w:tc>
        <w:tc>
          <w:tcPr>
            <w:tcW w:w="1209" w:type="dxa"/>
          </w:tcPr>
          <w:p w:rsidR="00B060BD" w:rsidRPr="006352EB" w:rsidRDefault="00B060BD" w:rsidP="00B060BD">
            <w:pPr>
              <w:pStyle w:val="Caption"/>
              <w:keepNext/>
              <w:bidi w:val="0"/>
              <w:spacing w:after="0"/>
              <w:jc w:val="center"/>
              <w:rPr>
                <w:rFonts w:ascii="Times New Roman" w:hAnsi="Times New Roman" w:cs="Times New Roman"/>
                <w:color w:val="auto"/>
                <w:sz w:val="24"/>
                <w:szCs w:val="24"/>
              </w:rPr>
            </w:pPr>
            <w:r w:rsidRPr="006352EB">
              <w:rPr>
                <w:rFonts w:ascii="Times New Roman" w:hAnsi="Times New Roman" w:cs="Times New Roman"/>
                <w:color w:val="auto"/>
                <w:sz w:val="24"/>
                <w:szCs w:val="24"/>
              </w:rPr>
              <w:t>0</w:t>
            </w:r>
          </w:p>
        </w:tc>
        <w:tc>
          <w:tcPr>
            <w:tcW w:w="1144" w:type="dxa"/>
          </w:tcPr>
          <w:p w:rsidR="00B060BD" w:rsidRPr="006352EB" w:rsidRDefault="00B060BD" w:rsidP="00B060BD">
            <w:pPr>
              <w:pStyle w:val="Caption"/>
              <w:keepNext/>
              <w:bidi w:val="0"/>
              <w:spacing w:after="0"/>
              <w:jc w:val="center"/>
              <w:rPr>
                <w:rFonts w:ascii="Times New Roman" w:hAnsi="Times New Roman" w:cs="Times New Roman"/>
                <w:color w:val="auto"/>
                <w:sz w:val="24"/>
                <w:szCs w:val="24"/>
              </w:rPr>
            </w:pPr>
            <w:r w:rsidRPr="006352EB">
              <w:rPr>
                <w:rFonts w:ascii="Times New Roman" w:hAnsi="Times New Roman" w:cs="Times New Roman"/>
                <w:color w:val="auto"/>
                <w:sz w:val="24"/>
                <w:szCs w:val="24"/>
              </w:rPr>
              <w:t>0</w:t>
            </w:r>
          </w:p>
        </w:tc>
        <w:tc>
          <w:tcPr>
            <w:tcW w:w="1097" w:type="dxa"/>
          </w:tcPr>
          <w:p w:rsidR="00B060BD" w:rsidRPr="006352EB" w:rsidRDefault="00B060BD" w:rsidP="00B060BD">
            <w:pPr>
              <w:pStyle w:val="Caption"/>
              <w:keepNext/>
              <w:bidi w:val="0"/>
              <w:spacing w:after="0"/>
              <w:jc w:val="center"/>
              <w:rPr>
                <w:rFonts w:ascii="Times New Roman" w:hAnsi="Times New Roman" w:cs="Times New Roman"/>
                <w:color w:val="auto"/>
                <w:sz w:val="24"/>
                <w:szCs w:val="24"/>
                <w:rtl/>
              </w:rPr>
            </w:pPr>
          </w:p>
        </w:tc>
        <w:tc>
          <w:tcPr>
            <w:tcW w:w="1144" w:type="dxa"/>
          </w:tcPr>
          <w:p w:rsidR="00B060BD" w:rsidRPr="006352EB" w:rsidRDefault="00B060BD" w:rsidP="00B060BD">
            <w:pPr>
              <w:pStyle w:val="Caption"/>
              <w:keepNext/>
              <w:bidi w:val="0"/>
              <w:spacing w:after="0"/>
              <w:jc w:val="center"/>
              <w:rPr>
                <w:rFonts w:ascii="Times New Roman" w:hAnsi="Times New Roman" w:cs="Times New Roman"/>
                <w:color w:val="auto"/>
                <w:sz w:val="24"/>
                <w:szCs w:val="24"/>
                <w:rtl/>
              </w:rPr>
            </w:pPr>
          </w:p>
        </w:tc>
        <w:tc>
          <w:tcPr>
            <w:tcW w:w="1430" w:type="dxa"/>
          </w:tcPr>
          <w:p w:rsidR="00B060BD" w:rsidRPr="006352EB" w:rsidRDefault="00B060BD" w:rsidP="00B060BD">
            <w:pPr>
              <w:pStyle w:val="Caption"/>
              <w:keepNext/>
              <w:bidi w:val="0"/>
              <w:spacing w:after="0"/>
              <w:jc w:val="center"/>
              <w:rPr>
                <w:rFonts w:ascii="Times New Roman" w:hAnsi="Times New Roman" w:cs="Times New Roman"/>
                <w:color w:val="auto"/>
                <w:sz w:val="24"/>
                <w:szCs w:val="24"/>
                <w:rtl/>
              </w:rPr>
            </w:pPr>
          </w:p>
        </w:tc>
      </w:tr>
      <w:tr w:rsidR="00B060BD" w:rsidRPr="006352EB" w:rsidTr="00B060BD">
        <w:tc>
          <w:tcPr>
            <w:tcW w:w="2371" w:type="dxa"/>
          </w:tcPr>
          <w:p w:rsidR="00B060BD" w:rsidRPr="006352EB" w:rsidRDefault="00B060BD" w:rsidP="00B060BD">
            <w:pPr>
              <w:pStyle w:val="Caption"/>
              <w:keepNext/>
              <w:bidi w:val="0"/>
              <w:spacing w:after="0"/>
              <w:jc w:val="center"/>
              <w:rPr>
                <w:rFonts w:ascii="Times New Roman" w:hAnsi="Times New Roman" w:cs="Times New Roman"/>
                <w:color w:val="auto"/>
                <w:sz w:val="24"/>
                <w:szCs w:val="24"/>
              </w:rPr>
            </w:pPr>
            <w:r w:rsidRPr="006352EB">
              <w:rPr>
                <w:rFonts w:ascii="Times New Roman" w:hAnsi="Times New Roman" w:cs="Times New Roman"/>
                <w:color w:val="auto"/>
                <w:sz w:val="24"/>
                <w:szCs w:val="24"/>
              </w:rPr>
              <w:t>0</w:t>
            </w:r>
          </w:p>
        </w:tc>
        <w:tc>
          <w:tcPr>
            <w:tcW w:w="1209" w:type="dxa"/>
          </w:tcPr>
          <w:p w:rsidR="00B060BD" w:rsidRPr="006352EB" w:rsidRDefault="00B060BD" w:rsidP="00B060BD">
            <w:pPr>
              <w:pStyle w:val="Caption"/>
              <w:keepNext/>
              <w:bidi w:val="0"/>
              <w:spacing w:after="0"/>
              <w:jc w:val="center"/>
              <w:rPr>
                <w:rFonts w:ascii="Times New Roman" w:hAnsi="Times New Roman" w:cs="Times New Roman"/>
                <w:color w:val="auto"/>
                <w:sz w:val="24"/>
                <w:szCs w:val="24"/>
              </w:rPr>
            </w:pPr>
            <w:r w:rsidRPr="006352EB">
              <w:rPr>
                <w:rFonts w:ascii="Times New Roman" w:hAnsi="Times New Roman" w:cs="Times New Roman"/>
                <w:color w:val="auto"/>
                <w:sz w:val="24"/>
                <w:szCs w:val="24"/>
              </w:rPr>
              <w:t>0</w:t>
            </w:r>
          </w:p>
        </w:tc>
        <w:tc>
          <w:tcPr>
            <w:tcW w:w="1144" w:type="dxa"/>
          </w:tcPr>
          <w:p w:rsidR="00B060BD" w:rsidRPr="006352EB" w:rsidRDefault="00B060BD" w:rsidP="00B060BD">
            <w:pPr>
              <w:pStyle w:val="Caption"/>
              <w:keepNext/>
              <w:bidi w:val="0"/>
              <w:spacing w:after="0"/>
              <w:jc w:val="center"/>
              <w:rPr>
                <w:rFonts w:ascii="Times New Roman" w:hAnsi="Times New Roman" w:cs="Times New Roman"/>
                <w:color w:val="auto"/>
                <w:sz w:val="24"/>
                <w:szCs w:val="24"/>
              </w:rPr>
            </w:pPr>
            <w:r w:rsidRPr="006352EB">
              <w:rPr>
                <w:rFonts w:ascii="Times New Roman" w:hAnsi="Times New Roman" w:cs="Times New Roman"/>
                <w:color w:val="auto"/>
                <w:sz w:val="24"/>
                <w:szCs w:val="24"/>
              </w:rPr>
              <w:t>0</w:t>
            </w:r>
          </w:p>
        </w:tc>
        <w:tc>
          <w:tcPr>
            <w:tcW w:w="1097" w:type="dxa"/>
          </w:tcPr>
          <w:p w:rsidR="00B060BD" w:rsidRPr="006352EB" w:rsidRDefault="00B060BD" w:rsidP="00B060BD">
            <w:pPr>
              <w:pStyle w:val="Caption"/>
              <w:keepNext/>
              <w:bidi w:val="0"/>
              <w:spacing w:after="0"/>
              <w:jc w:val="center"/>
              <w:rPr>
                <w:rFonts w:ascii="Times New Roman" w:hAnsi="Times New Roman" w:cs="Times New Roman"/>
                <w:color w:val="auto"/>
                <w:sz w:val="24"/>
                <w:szCs w:val="24"/>
                <w:rtl/>
              </w:rPr>
            </w:pPr>
          </w:p>
        </w:tc>
        <w:tc>
          <w:tcPr>
            <w:tcW w:w="1144" w:type="dxa"/>
          </w:tcPr>
          <w:p w:rsidR="00B060BD" w:rsidRPr="006352EB" w:rsidRDefault="00B060BD" w:rsidP="00B060BD">
            <w:pPr>
              <w:pStyle w:val="Caption"/>
              <w:keepNext/>
              <w:bidi w:val="0"/>
              <w:spacing w:after="0"/>
              <w:jc w:val="center"/>
              <w:rPr>
                <w:rFonts w:ascii="Times New Roman" w:hAnsi="Times New Roman" w:cs="Times New Roman"/>
                <w:color w:val="auto"/>
                <w:sz w:val="24"/>
                <w:szCs w:val="24"/>
                <w:rtl/>
              </w:rPr>
            </w:pPr>
          </w:p>
        </w:tc>
        <w:tc>
          <w:tcPr>
            <w:tcW w:w="1430" w:type="dxa"/>
          </w:tcPr>
          <w:p w:rsidR="00B060BD" w:rsidRPr="006352EB" w:rsidRDefault="00B060BD" w:rsidP="00B060BD">
            <w:pPr>
              <w:pStyle w:val="Caption"/>
              <w:keepNext/>
              <w:bidi w:val="0"/>
              <w:spacing w:after="0"/>
              <w:jc w:val="center"/>
              <w:rPr>
                <w:rFonts w:ascii="Times New Roman" w:hAnsi="Times New Roman" w:cs="Times New Roman"/>
                <w:color w:val="auto"/>
                <w:sz w:val="24"/>
                <w:szCs w:val="24"/>
                <w:rtl/>
              </w:rPr>
            </w:pPr>
          </w:p>
        </w:tc>
      </w:tr>
      <w:tr w:rsidR="00B060BD" w:rsidRPr="006352EB" w:rsidTr="00B060BD">
        <w:tc>
          <w:tcPr>
            <w:tcW w:w="2371" w:type="dxa"/>
            <w:shd w:val="clear" w:color="auto" w:fill="C9C9C9" w:themeFill="accent3" w:themeFillTint="99"/>
          </w:tcPr>
          <w:p w:rsidR="00B060BD" w:rsidRPr="006352EB" w:rsidRDefault="00B060BD" w:rsidP="00B060BD">
            <w:pPr>
              <w:pStyle w:val="Caption"/>
              <w:keepNext/>
              <w:bidi w:val="0"/>
              <w:spacing w:after="0"/>
              <w:jc w:val="center"/>
              <w:rPr>
                <w:rFonts w:ascii="Times New Roman" w:hAnsi="Times New Roman" w:cs="Times New Roman"/>
                <w:b/>
                <w:bCs/>
                <w:color w:val="auto"/>
                <w:sz w:val="24"/>
                <w:szCs w:val="24"/>
              </w:rPr>
            </w:pPr>
            <w:r w:rsidRPr="006352EB">
              <w:rPr>
                <w:rFonts w:ascii="Times New Roman" w:hAnsi="Times New Roman" w:cs="Times New Roman"/>
                <w:b/>
                <w:bCs/>
                <w:color w:val="auto"/>
                <w:sz w:val="24"/>
                <w:szCs w:val="24"/>
              </w:rPr>
              <w:t>0</w:t>
            </w:r>
          </w:p>
        </w:tc>
        <w:tc>
          <w:tcPr>
            <w:tcW w:w="6024" w:type="dxa"/>
            <w:gridSpan w:val="5"/>
            <w:shd w:val="clear" w:color="auto" w:fill="C9C9C9" w:themeFill="accent3" w:themeFillTint="99"/>
          </w:tcPr>
          <w:p w:rsidR="00B060BD" w:rsidRPr="006352EB" w:rsidRDefault="00B060BD" w:rsidP="00B060BD">
            <w:pPr>
              <w:pStyle w:val="Caption"/>
              <w:keepNext/>
              <w:bidi w:val="0"/>
              <w:spacing w:after="0"/>
              <w:jc w:val="center"/>
              <w:rPr>
                <w:rFonts w:ascii="Times New Roman" w:hAnsi="Times New Roman" w:cs="Times New Roman"/>
                <w:b/>
                <w:bCs/>
                <w:color w:val="auto"/>
                <w:sz w:val="24"/>
                <w:szCs w:val="24"/>
                <w:rtl/>
              </w:rPr>
            </w:pPr>
            <w:r w:rsidRPr="006352EB">
              <w:rPr>
                <w:rFonts w:ascii="Times New Roman" w:hAnsi="Times New Roman" w:cs="Times New Roman"/>
                <w:b/>
                <w:bCs/>
                <w:color w:val="auto"/>
                <w:sz w:val="24"/>
                <w:szCs w:val="24"/>
              </w:rPr>
              <w:t>Total</w:t>
            </w:r>
          </w:p>
        </w:tc>
      </w:tr>
      <w:tr w:rsidR="00B060BD" w:rsidRPr="006352EB" w:rsidTr="00B060BD">
        <w:tc>
          <w:tcPr>
            <w:tcW w:w="2371" w:type="dxa"/>
            <w:shd w:val="clear" w:color="auto" w:fill="C9C9C9" w:themeFill="accent3" w:themeFillTint="99"/>
          </w:tcPr>
          <w:p w:rsidR="00B060BD" w:rsidRPr="006352EB" w:rsidRDefault="00B060BD" w:rsidP="00B060BD">
            <w:pPr>
              <w:pStyle w:val="Caption"/>
              <w:keepNext/>
              <w:bidi w:val="0"/>
              <w:spacing w:after="0"/>
              <w:jc w:val="center"/>
              <w:rPr>
                <w:rFonts w:ascii="Times New Roman" w:hAnsi="Times New Roman" w:cs="Times New Roman"/>
                <w:b/>
                <w:bCs/>
                <w:color w:val="auto"/>
                <w:sz w:val="24"/>
                <w:szCs w:val="24"/>
              </w:rPr>
            </w:pPr>
            <w:r w:rsidRPr="006352EB">
              <w:rPr>
                <w:rFonts w:ascii="Times New Roman" w:hAnsi="Times New Roman" w:cs="Times New Roman"/>
                <w:b/>
                <w:bCs/>
                <w:color w:val="auto"/>
                <w:sz w:val="24"/>
                <w:szCs w:val="24"/>
              </w:rPr>
              <w:t>0</w:t>
            </w:r>
          </w:p>
        </w:tc>
        <w:tc>
          <w:tcPr>
            <w:tcW w:w="6024" w:type="dxa"/>
            <w:gridSpan w:val="5"/>
            <w:shd w:val="clear" w:color="auto" w:fill="C9C9C9" w:themeFill="accent3" w:themeFillTint="99"/>
          </w:tcPr>
          <w:p w:rsidR="00B060BD" w:rsidRPr="006352EB" w:rsidRDefault="00B060BD" w:rsidP="00B060BD">
            <w:pPr>
              <w:pStyle w:val="Caption"/>
              <w:keepNext/>
              <w:bidi w:val="0"/>
              <w:spacing w:after="0"/>
              <w:jc w:val="center"/>
              <w:rPr>
                <w:rFonts w:ascii="Times New Roman" w:hAnsi="Times New Roman" w:cs="Times New Roman"/>
                <w:b/>
                <w:bCs/>
                <w:color w:val="auto"/>
                <w:sz w:val="24"/>
                <w:szCs w:val="24"/>
                <w:rtl/>
              </w:rPr>
            </w:pPr>
            <w:r w:rsidRPr="006352EB">
              <w:rPr>
                <w:rFonts w:ascii="Times New Roman" w:hAnsi="Times New Roman" w:cs="Times New Roman"/>
                <w:b/>
                <w:bCs/>
                <w:color w:val="auto"/>
                <w:sz w:val="24"/>
                <w:szCs w:val="24"/>
              </w:rPr>
              <w:t>Total of commodities risk = Total * 12.5</w:t>
            </w:r>
          </w:p>
        </w:tc>
      </w:tr>
    </w:tbl>
    <w:p w:rsidR="00505A8B" w:rsidRDefault="00505A8B" w:rsidP="00505A8B">
      <w:pPr>
        <w:pStyle w:val="Caption"/>
        <w:keepNext/>
        <w:jc w:val="center"/>
        <w:rPr>
          <w:b/>
          <w:bCs/>
          <w:color w:val="auto"/>
          <w:sz w:val="28"/>
          <w:szCs w:val="28"/>
        </w:rPr>
      </w:pPr>
    </w:p>
    <w:p w:rsidR="00505A8B" w:rsidRDefault="00505A8B" w:rsidP="00505A8B">
      <w:pPr>
        <w:rPr>
          <w:lang w:bidi="ar-JO"/>
        </w:rPr>
      </w:pPr>
    </w:p>
    <w:p w:rsidR="00B060BD" w:rsidRDefault="00B060BD" w:rsidP="00505A8B">
      <w:pPr>
        <w:rPr>
          <w:lang w:bidi="ar-JO"/>
        </w:rPr>
      </w:pPr>
    </w:p>
    <w:p w:rsidR="00B060BD" w:rsidRDefault="00B060BD" w:rsidP="00505A8B">
      <w:pPr>
        <w:rPr>
          <w:lang w:bidi="ar-JO"/>
        </w:rPr>
      </w:pPr>
    </w:p>
    <w:p w:rsidR="00B060BD" w:rsidRDefault="00B060BD" w:rsidP="00505A8B">
      <w:pPr>
        <w:rPr>
          <w:lang w:bidi="ar-JO"/>
        </w:rPr>
      </w:pPr>
    </w:p>
    <w:p w:rsidR="00B060BD" w:rsidRDefault="00B060BD" w:rsidP="00505A8B">
      <w:pPr>
        <w:rPr>
          <w:lang w:bidi="ar-JO"/>
        </w:rPr>
      </w:pPr>
    </w:p>
    <w:p w:rsidR="00B060BD" w:rsidRDefault="00B060BD" w:rsidP="00505A8B">
      <w:pPr>
        <w:rPr>
          <w:lang w:bidi="ar-JO"/>
        </w:rPr>
      </w:pPr>
    </w:p>
    <w:p w:rsidR="00B060BD" w:rsidRDefault="00B060BD" w:rsidP="00505A8B">
      <w:pPr>
        <w:rPr>
          <w:lang w:bidi="ar-JO"/>
        </w:rPr>
      </w:pPr>
    </w:p>
    <w:p w:rsidR="00B060BD" w:rsidRDefault="00B060BD" w:rsidP="00505A8B">
      <w:pPr>
        <w:rPr>
          <w:lang w:bidi="ar-JO"/>
        </w:rPr>
      </w:pPr>
    </w:p>
    <w:p w:rsidR="00B060BD" w:rsidRDefault="00B060BD" w:rsidP="00505A8B">
      <w:pPr>
        <w:rPr>
          <w:lang w:bidi="ar-JO"/>
        </w:rPr>
      </w:pPr>
    </w:p>
    <w:p w:rsidR="00B060BD" w:rsidRDefault="00B060BD" w:rsidP="00505A8B">
      <w:pPr>
        <w:rPr>
          <w:lang w:bidi="ar-JO"/>
        </w:rPr>
      </w:pPr>
    </w:p>
    <w:p w:rsidR="007362A2" w:rsidRDefault="007362A2" w:rsidP="00505A8B">
      <w:pPr>
        <w:rPr>
          <w:lang w:bidi="ar-JO"/>
        </w:rPr>
      </w:pPr>
    </w:p>
    <w:p w:rsidR="007362A2" w:rsidRDefault="007362A2" w:rsidP="00505A8B">
      <w:pPr>
        <w:rPr>
          <w:lang w:bidi="ar-JO"/>
        </w:rPr>
      </w:pPr>
    </w:p>
    <w:p w:rsidR="007362A2" w:rsidRDefault="007362A2" w:rsidP="00505A8B">
      <w:pPr>
        <w:rPr>
          <w:lang w:bidi="ar-JO"/>
        </w:rPr>
      </w:pPr>
    </w:p>
    <w:p w:rsidR="006352EB" w:rsidRDefault="006352EB" w:rsidP="00505A8B">
      <w:pPr>
        <w:rPr>
          <w:lang w:bidi="ar-JO"/>
        </w:rPr>
      </w:pPr>
    </w:p>
    <w:p w:rsidR="006352EB" w:rsidRDefault="006352EB" w:rsidP="00505A8B">
      <w:pPr>
        <w:rPr>
          <w:lang w:bidi="ar-JO"/>
        </w:rPr>
      </w:pPr>
    </w:p>
    <w:p w:rsidR="007362A2" w:rsidRPr="00D036DF" w:rsidRDefault="007362A2" w:rsidP="00B66B27">
      <w:pPr>
        <w:pStyle w:val="Heading1"/>
        <w:pBdr>
          <w:bottom w:val="single" w:sz="4" w:space="1" w:color="auto"/>
        </w:pBdr>
        <w:bidi w:val="0"/>
        <w:jc w:val="center"/>
        <w:rPr>
          <w:rFonts w:asciiTheme="majorBidi" w:hAnsiTheme="majorBidi" w:cstheme="majorBidi"/>
          <w:b/>
          <w:bCs/>
        </w:rPr>
      </w:pPr>
      <w:bookmarkStart w:id="94" w:name="_Toc65354430"/>
      <w:r w:rsidRPr="00D036DF">
        <w:rPr>
          <w:rFonts w:asciiTheme="majorBidi" w:hAnsiTheme="majorBidi" w:cstheme="majorBidi"/>
          <w:b/>
          <w:bCs/>
        </w:rPr>
        <w:lastRenderedPageBreak/>
        <w:t>Annex (21)</w:t>
      </w:r>
      <w:r w:rsidR="00B66B27">
        <w:rPr>
          <w:rFonts w:asciiTheme="majorBidi" w:hAnsiTheme="majorBidi" w:cstheme="majorBidi"/>
          <w:b/>
          <w:bCs/>
        </w:rPr>
        <w:t xml:space="preserve"> </w:t>
      </w:r>
      <w:r w:rsidR="006379F7" w:rsidRPr="00D036DF">
        <w:rPr>
          <w:rFonts w:asciiTheme="majorBidi" w:hAnsiTheme="majorBidi" w:cstheme="majorBidi"/>
          <w:b/>
          <w:bCs/>
        </w:rPr>
        <w:t>Market risk for maintaining derivative contracts for trading</w:t>
      </w:r>
      <w:bookmarkEnd w:id="94"/>
    </w:p>
    <w:p w:rsidR="006379F7" w:rsidRDefault="006379F7" w:rsidP="006379F7">
      <w:pPr>
        <w:bidi w:val="0"/>
        <w:jc w:val="center"/>
        <w:rPr>
          <w:rFonts w:ascii="Times New Roman" w:hAnsi="Times New Roman" w:cs="Times New Roman"/>
          <w:lang w:bidi="ar-JO"/>
        </w:rPr>
      </w:pPr>
    </w:p>
    <w:p w:rsidR="00997B8F" w:rsidRPr="00563636" w:rsidRDefault="00997B8F" w:rsidP="00997B8F">
      <w:pPr>
        <w:pStyle w:val="ListParagraph"/>
        <w:numPr>
          <w:ilvl w:val="0"/>
          <w:numId w:val="41"/>
        </w:numPr>
        <w:bidi w:val="0"/>
        <w:jc w:val="left"/>
        <w:rPr>
          <w:rFonts w:ascii="Times New Roman" w:hAnsi="Times New Roman" w:cs="Times New Roman"/>
          <w:lang w:bidi="ar-JO"/>
        </w:rPr>
      </w:pPr>
      <w:r w:rsidRPr="00563636">
        <w:rPr>
          <w:rFonts w:ascii="Times New Roman" w:hAnsi="Times New Roman" w:cs="Times New Roman"/>
          <w:color w:val="202124"/>
          <w:lang w:val="en"/>
        </w:rPr>
        <w:t xml:space="preserve">Maintaining positions with the right </w:t>
      </w:r>
      <w:r w:rsidR="00C756C8" w:rsidRPr="00563636">
        <w:rPr>
          <w:rFonts w:ascii="Times New Roman" w:hAnsi="Times New Roman" w:cs="Times New Roman"/>
          <w:color w:val="202124"/>
          <w:lang w:val="en"/>
        </w:rPr>
        <w:t xml:space="preserve">of </w:t>
      </w:r>
      <w:r w:rsidRPr="00563636">
        <w:rPr>
          <w:rFonts w:ascii="Times New Roman" w:hAnsi="Times New Roman" w:cs="Times New Roman"/>
          <w:color w:val="202124"/>
          <w:lang w:val="en"/>
        </w:rPr>
        <w:t>call-put</w:t>
      </w:r>
    </w:p>
    <w:p w:rsidR="00997B8F" w:rsidRPr="00997B8F" w:rsidRDefault="00997B8F" w:rsidP="00997B8F">
      <w:pPr>
        <w:pStyle w:val="ListParagraph"/>
        <w:bidi w:val="0"/>
        <w:jc w:val="left"/>
        <w:rPr>
          <w:lang w:bidi="ar-JO"/>
        </w:rPr>
      </w:pPr>
    </w:p>
    <w:p w:rsidR="00997B8F" w:rsidRPr="00997B8F" w:rsidRDefault="00997B8F" w:rsidP="00997B8F">
      <w:pPr>
        <w:pStyle w:val="ListParagraph"/>
        <w:bidi w:val="0"/>
        <w:jc w:val="right"/>
        <w:rPr>
          <w:rFonts w:ascii="Times New Roman" w:hAnsi="Times New Roman" w:cs="Times New Roman"/>
          <w:b w:val="0"/>
          <w:bCs w:val="0"/>
          <w:sz w:val="22"/>
          <w:szCs w:val="22"/>
        </w:rPr>
      </w:pPr>
      <w:r w:rsidRPr="00997B8F">
        <w:rPr>
          <w:rFonts w:ascii="Times New Roman" w:hAnsi="Times New Roman" w:cs="Times New Roman"/>
          <w:b w:val="0"/>
          <w:bCs w:val="0"/>
          <w:sz w:val="22"/>
          <w:szCs w:val="22"/>
        </w:rPr>
        <w:t>Thousands JD</w:t>
      </w:r>
    </w:p>
    <w:tbl>
      <w:tblPr>
        <w:tblStyle w:val="TableGrid"/>
        <w:tblW w:w="0" w:type="auto"/>
        <w:tblInd w:w="720" w:type="dxa"/>
        <w:tblLook w:val="04A0" w:firstRow="1" w:lastRow="0" w:firstColumn="1" w:lastColumn="0" w:noHBand="0" w:noVBand="1"/>
      </w:tblPr>
      <w:tblGrid>
        <w:gridCol w:w="1685"/>
        <w:gridCol w:w="1692"/>
        <w:gridCol w:w="1692"/>
        <w:gridCol w:w="1303"/>
        <w:gridCol w:w="1303"/>
      </w:tblGrid>
      <w:tr w:rsidR="00997B8F" w:rsidRPr="00997B8F" w:rsidTr="00C756C8">
        <w:tc>
          <w:tcPr>
            <w:tcW w:w="1685" w:type="dxa"/>
            <w:shd w:val="clear" w:color="auto" w:fill="C9C9C9" w:themeFill="accent3" w:themeFillTint="99"/>
            <w:vAlign w:val="center"/>
          </w:tcPr>
          <w:p w:rsidR="00997B8F" w:rsidRPr="00997B8F" w:rsidRDefault="00997B8F" w:rsidP="00997B8F">
            <w:pPr>
              <w:pStyle w:val="ListParagraph"/>
              <w:bidi w:val="0"/>
              <w:ind w:left="0"/>
              <w:jc w:val="center"/>
              <w:rPr>
                <w:rFonts w:ascii="Times New Roman" w:hAnsi="Times New Roman" w:cs="Times New Roman"/>
                <w:color w:val="202124"/>
                <w:sz w:val="24"/>
                <w:szCs w:val="24"/>
                <w:lang w:val="en"/>
              </w:rPr>
            </w:pPr>
            <w:r w:rsidRPr="00997B8F">
              <w:rPr>
                <w:rFonts w:ascii="Times New Roman" w:hAnsi="Times New Roman" w:cs="Times New Roman"/>
                <w:color w:val="202124"/>
                <w:sz w:val="24"/>
                <w:szCs w:val="24"/>
                <w:lang w:val="en"/>
              </w:rPr>
              <w:t>The position</w:t>
            </w:r>
          </w:p>
        </w:tc>
        <w:tc>
          <w:tcPr>
            <w:tcW w:w="1692" w:type="dxa"/>
            <w:shd w:val="clear" w:color="auto" w:fill="C9C9C9" w:themeFill="accent3" w:themeFillTint="99"/>
            <w:vAlign w:val="center"/>
          </w:tcPr>
          <w:p w:rsidR="00997B8F" w:rsidRPr="00997B8F" w:rsidRDefault="00997B8F" w:rsidP="00997B8F">
            <w:pPr>
              <w:pStyle w:val="ListParagraph"/>
              <w:bidi w:val="0"/>
              <w:ind w:left="0"/>
              <w:jc w:val="center"/>
              <w:rPr>
                <w:rFonts w:ascii="Times New Roman" w:hAnsi="Times New Roman" w:cs="Times New Roman"/>
                <w:color w:val="202124"/>
                <w:sz w:val="24"/>
                <w:szCs w:val="24"/>
                <w:lang w:val="en"/>
              </w:rPr>
            </w:pPr>
            <w:r w:rsidRPr="00997B8F">
              <w:rPr>
                <w:rFonts w:ascii="Times New Roman" w:hAnsi="Times New Roman" w:cs="Times New Roman"/>
                <w:color w:val="202124"/>
                <w:sz w:val="24"/>
                <w:szCs w:val="24"/>
                <w:lang w:val="en"/>
              </w:rPr>
              <w:t>Position value (1)</w:t>
            </w:r>
          </w:p>
        </w:tc>
        <w:tc>
          <w:tcPr>
            <w:tcW w:w="1692" w:type="dxa"/>
            <w:shd w:val="clear" w:color="auto" w:fill="C9C9C9" w:themeFill="accent3" w:themeFillTint="99"/>
            <w:vAlign w:val="center"/>
          </w:tcPr>
          <w:p w:rsidR="00997B8F" w:rsidRPr="00997B8F" w:rsidRDefault="00997B8F" w:rsidP="00997B8F">
            <w:pPr>
              <w:pStyle w:val="ListParagraph"/>
              <w:bidi w:val="0"/>
              <w:ind w:left="0"/>
              <w:jc w:val="center"/>
              <w:rPr>
                <w:rFonts w:ascii="Times New Roman" w:hAnsi="Times New Roman" w:cs="Times New Roman"/>
                <w:color w:val="202124"/>
                <w:sz w:val="24"/>
                <w:szCs w:val="24"/>
                <w:lang w:val="en"/>
              </w:rPr>
            </w:pPr>
            <w:r w:rsidRPr="00997B8F">
              <w:rPr>
                <w:rFonts w:ascii="Times New Roman" w:hAnsi="Times New Roman" w:cs="Times New Roman"/>
                <w:color w:val="202124"/>
                <w:sz w:val="24"/>
                <w:szCs w:val="24"/>
                <w:lang w:val="en"/>
              </w:rPr>
              <w:t>Position value * 16%</w:t>
            </w:r>
          </w:p>
        </w:tc>
        <w:tc>
          <w:tcPr>
            <w:tcW w:w="1303" w:type="dxa"/>
            <w:shd w:val="clear" w:color="auto" w:fill="C9C9C9" w:themeFill="accent3" w:themeFillTint="99"/>
            <w:vAlign w:val="center"/>
          </w:tcPr>
          <w:p w:rsidR="00997B8F" w:rsidRPr="00997B8F" w:rsidRDefault="00C756C8" w:rsidP="00997B8F">
            <w:pPr>
              <w:pStyle w:val="ListParagraph"/>
              <w:bidi w:val="0"/>
              <w:ind w:left="0"/>
              <w:jc w:val="center"/>
              <w:rPr>
                <w:rFonts w:ascii="Times New Roman" w:hAnsi="Times New Roman" w:cs="Times New Roman"/>
                <w:color w:val="202124"/>
                <w:sz w:val="24"/>
                <w:szCs w:val="24"/>
                <w:lang w:val="en"/>
              </w:rPr>
            </w:pPr>
            <w:r w:rsidRPr="00997B8F">
              <w:rPr>
                <w:rFonts w:ascii="Times New Roman" w:hAnsi="Times New Roman" w:cs="Times New Roman"/>
                <w:color w:val="202124"/>
                <w:sz w:val="24"/>
                <w:szCs w:val="24"/>
                <w:lang w:val="en"/>
              </w:rPr>
              <w:t>I</w:t>
            </w:r>
            <w:r w:rsidR="00997B8F" w:rsidRPr="00997B8F">
              <w:rPr>
                <w:rFonts w:ascii="Times New Roman" w:hAnsi="Times New Roman" w:cs="Times New Roman"/>
                <w:color w:val="202124"/>
                <w:sz w:val="24"/>
                <w:szCs w:val="24"/>
                <w:lang w:val="en"/>
              </w:rPr>
              <w:t>n</w:t>
            </w:r>
            <w:r>
              <w:rPr>
                <w:rFonts w:ascii="Times New Roman" w:hAnsi="Times New Roman" w:cs="Times New Roman"/>
                <w:color w:val="202124"/>
                <w:sz w:val="24"/>
                <w:szCs w:val="24"/>
                <w:lang w:val="en"/>
              </w:rPr>
              <w:t xml:space="preserve"> the</w:t>
            </w:r>
            <w:r w:rsidR="00997B8F" w:rsidRPr="00997B8F">
              <w:rPr>
                <w:rFonts w:ascii="Times New Roman" w:hAnsi="Times New Roman" w:cs="Times New Roman"/>
                <w:color w:val="202124"/>
                <w:sz w:val="24"/>
                <w:szCs w:val="24"/>
                <w:lang w:val="en"/>
              </w:rPr>
              <w:t xml:space="preserve"> money</w:t>
            </w:r>
          </w:p>
        </w:tc>
        <w:tc>
          <w:tcPr>
            <w:tcW w:w="1303" w:type="dxa"/>
            <w:shd w:val="clear" w:color="auto" w:fill="C9C9C9" w:themeFill="accent3" w:themeFillTint="99"/>
            <w:vAlign w:val="center"/>
          </w:tcPr>
          <w:p w:rsidR="00997B8F" w:rsidRPr="00997B8F" w:rsidRDefault="00997B8F" w:rsidP="00997B8F">
            <w:pPr>
              <w:pStyle w:val="ListParagraph"/>
              <w:bidi w:val="0"/>
              <w:ind w:left="0"/>
              <w:jc w:val="center"/>
              <w:rPr>
                <w:rFonts w:ascii="Times New Roman" w:hAnsi="Times New Roman" w:cs="Times New Roman"/>
                <w:color w:val="202124"/>
                <w:sz w:val="24"/>
                <w:szCs w:val="24"/>
                <w:lang w:val="en"/>
              </w:rPr>
            </w:pPr>
            <w:r w:rsidRPr="00997B8F">
              <w:rPr>
                <w:rFonts w:ascii="Times New Roman" w:hAnsi="Times New Roman" w:cs="Times New Roman"/>
                <w:color w:val="202124"/>
                <w:sz w:val="24"/>
                <w:szCs w:val="24"/>
                <w:lang w:val="en"/>
              </w:rPr>
              <w:t>Capital charge</w:t>
            </w:r>
          </w:p>
        </w:tc>
      </w:tr>
      <w:tr w:rsidR="00997B8F" w:rsidRPr="00997B8F" w:rsidTr="00C756C8">
        <w:tc>
          <w:tcPr>
            <w:tcW w:w="1685" w:type="dxa"/>
          </w:tcPr>
          <w:p w:rsidR="00997B8F" w:rsidRPr="00997B8F" w:rsidRDefault="00997B8F" w:rsidP="00997B8F">
            <w:pPr>
              <w:pStyle w:val="ListParagraph"/>
              <w:bidi w:val="0"/>
              <w:ind w:left="0"/>
              <w:jc w:val="center"/>
              <w:rPr>
                <w:rFonts w:asciiTheme="majorBidi" w:hAnsiTheme="majorBidi" w:cstheme="majorBidi"/>
                <w:b w:val="0"/>
                <w:bCs w:val="0"/>
                <w:color w:val="202124"/>
                <w:sz w:val="24"/>
                <w:szCs w:val="24"/>
                <w:lang w:val="en"/>
              </w:rPr>
            </w:pPr>
            <w:r w:rsidRPr="00997B8F">
              <w:rPr>
                <w:rFonts w:asciiTheme="majorBidi" w:hAnsiTheme="majorBidi" w:cstheme="majorBidi"/>
                <w:b w:val="0"/>
                <w:bCs w:val="0"/>
                <w:color w:val="202124"/>
                <w:sz w:val="24"/>
                <w:szCs w:val="24"/>
                <w:lang w:val="en"/>
              </w:rPr>
              <w:t>9</w:t>
            </w:r>
          </w:p>
        </w:tc>
        <w:tc>
          <w:tcPr>
            <w:tcW w:w="1692" w:type="dxa"/>
            <w:vAlign w:val="center"/>
          </w:tcPr>
          <w:p w:rsidR="00997B8F" w:rsidRPr="00997B8F" w:rsidRDefault="00997B8F" w:rsidP="00997B8F">
            <w:pPr>
              <w:pStyle w:val="ListParagraph"/>
              <w:bidi w:val="0"/>
              <w:ind w:left="0"/>
              <w:jc w:val="center"/>
              <w:rPr>
                <w:rFonts w:asciiTheme="majorBidi" w:hAnsiTheme="majorBidi" w:cstheme="majorBidi"/>
                <w:b w:val="0"/>
                <w:bCs w:val="0"/>
                <w:color w:val="202124"/>
                <w:sz w:val="24"/>
                <w:szCs w:val="24"/>
                <w:lang w:val="en"/>
              </w:rPr>
            </w:pPr>
          </w:p>
        </w:tc>
        <w:tc>
          <w:tcPr>
            <w:tcW w:w="1692" w:type="dxa"/>
            <w:vAlign w:val="center"/>
          </w:tcPr>
          <w:p w:rsidR="00997B8F" w:rsidRPr="00997B8F" w:rsidRDefault="00997B8F" w:rsidP="00997B8F">
            <w:pPr>
              <w:pStyle w:val="ListParagraph"/>
              <w:bidi w:val="0"/>
              <w:ind w:left="0"/>
              <w:jc w:val="center"/>
              <w:rPr>
                <w:rFonts w:asciiTheme="majorBidi" w:hAnsiTheme="majorBidi" w:cstheme="majorBidi"/>
                <w:b w:val="0"/>
                <w:bCs w:val="0"/>
                <w:color w:val="202124"/>
                <w:sz w:val="24"/>
                <w:szCs w:val="24"/>
                <w:lang w:val="en"/>
              </w:rPr>
            </w:pPr>
            <w:r w:rsidRPr="00997B8F">
              <w:rPr>
                <w:rFonts w:asciiTheme="majorBidi" w:hAnsiTheme="majorBidi" w:cstheme="majorBidi"/>
                <w:b w:val="0"/>
                <w:bCs w:val="0"/>
                <w:color w:val="202124"/>
                <w:sz w:val="24"/>
                <w:szCs w:val="24"/>
                <w:lang w:val="en"/>
              </w:rPr>
              <w:t>0</w:t>
            </w:r>
          </w:p>
        </w:tc>
        <w:tc>
          <w:tcPr>
            <w:tcW w:w="1303" w:type="dxa"/>
            <w:vAlign w:val="center"/>
          </w:tcPr>
          <w:p w:rsidR="00997B8F" w:rsidRPr="00997B8F" w:rsidRDefault="00997B8F" w:rsidP="00997B8F">
            <w:pPr>
              <w:pStyle w:val="ListParagraph"/>
              <w:bidi w:val="0"/>
              <w:ind w:left="0"/>
              <w:jc w:val="center"/>
              <w:rPr>
                <w:rFonts w:asciiTheme="majorBidi" w:hAnsiTheme="majorBidi" w:cstheme="majorBidi"/>
                <w:b w:val="0"/>
                <w:bCs w:val="0"/>
                <w:color w:val="202124"/>
                <w:sz w:val="24"/>
                <w:szCs w:val="24"/>
                <w:lang w:val="en"/>
              </w:rPr>
            </w:pPr>
          </w:p>
        </w:tc>
        <w:tc>
          <w:tcPr>
            <w:tcW w:w="1303" w:type="dxa"/>
            <w:vAlign w:val="center"/>
          </w:tcPr>
          <w:p w:rsidR="00997B8F" w:rsidRPr="00997B8F" w:rsidRDefault="00997B8F" w:rsidP="00997B8F">
            <w:pPr>
              <w:pStyle w:val="ListParagraph"/>
              <w:bidi w:val="0"/>
              <w:ind w:left="0"/>
              <w:jc w:val="center"/>
              <w:rPr>
                <w:rFonts w:asciiTheme="majorBidi" w:hAnsiTheme="majorBidi" w:cstheme="majorBidi"/>
                <w:b w:val="0"/>
                <w:bCs w:val="0"/>
                <w:color w:val="202124"/>
                <w:sz w:val="24"/>
                <w:szCs w:val="24"/>
                <w:lang w:val="en"/>
              </w:rPr>
            </w:pPr>
            <w:r w:rsidRPr="00997B8F">
              <w:rPr>
                <w:rFonts w:asciiTheme="majorBidi" w:hAnsiTheme="majorBidi" w:cstheme="majorBidi"/>
                <w:b w:val="0"/>
                <w:bCs w:val="0"/>
                <w:color w:val="202124"/>
                <w:sz w:val="24"/>
                <w:szCs w:val="24"/>
                <w:lang w:val="en"/>
              </w:rPr>
              <w:t>0</w:t>
            </w:r>
          </w:p>
        </w:tc>
      </w:tr>
      <w:tr w:rsidR="00997B8F" w:rsidRPr="00997B8F" w:rsidTr="00C756C8">
        <w:tc>
          <w:tcPr>
            <w:tcW w:w="1685" w:type="dxa"/>
          </w:tcPr>
          <w:p w:rsidR="00997B8F" w:rsidRPr="00997B8F" w:rsidRDefault="00997B8F" w:rsidP="00997B8F">
            <w:pPr>
              <w:bidi w:val="0"/>
              <w:jc w:val="center"/>
              <w:rPr>
                <w:rFonts w:asciiTheme="majorBidi" w:hAnsiTheme="majorBidi" w:cstheme="majorBidi"/>
                <w:b w:val="0"/>
                <w:bCs w:val="0"/>
                <w:sz w:val="24"/>
                <w:szCs w:val="24"/>
                <w:lang w:bidi="ar-JO"/>
              </w:rPr>
            </w:pPr>
            <w:r w:rsidRPr="00997B8F">
              <w:rPr>
                <w:rFonts w:asciiTheme="majorBidi" w:hAnsiTheme="majorBidi" w:cstheme="majorBidi"/>
                <w:b w:val="0"/>
                <w:bCs w:val="0"/>
                <w:color w:val="202124"/>
                <w:sz w:val="24"/>
                <w:szCs w:val="24"/>
                <w:lang w:val="en"/>
              </w:rPr>
              <w:t xml:space="preserve">Maintaining positions with the right </w:t>
            </w:r>
            <w:r w:rsidR="00C756C8">
              <w:rPr>
                <w:rFonts w:asciiTheme="majorBidi" w:hAnsiTheme="majorBidi" w:cstheme="majorBidi"/>
                <w:b w:val="0"/>
                <w:bCs w:val="0"/>
                <w:color w:val="202124"/>
                <w:sz w:val="24"/>
                <w:szCs w:val="24"/>
                <w:lang w:val="en"/>
              </w:rPr>
              <w:t xml:space="preserve">of </w:t>
            </w:r>
            <w:r w:rsidRPr="00997B8F">
              <w:rPr>
                <w:rFonts w:asciiTheme="majorBidi" w:hAnsiTheme="majorBidi" w:cstheme="majorBidi"/>
                <w:b w:val="0"/>
                <w:bCs w:val="0"/>
                <w:color w:val="202124"/>
                <w:sz w:val="24"/>
                <w:szCs w:val="24"/>
                <w:lang w:val="en"/>
              </w:rPr>
              <w:t>call-put</w:t>
            </w:r>
          </w:p>
        </w:tc>
        <w:tc>
          <w:tcPr>
            <w:tcW w:w="1692" w:type="dxa"/>
            <w:vAlign w:val="center"/>
          </w:tcPr>
          <w:p w:rsidR="00997B8F" w:rsidRPr="00997B8F" w:rsidRDefault="00997B8F" w:rsidP="00997B8F">
            <w:pPr>
              <w:pStyle w:val="ListParagraph"/>
              <w:bidi w:val="0"/>
              <w:ind w:left="0"/>
              <w:jc w:val="center"/>
              <w:rPr>
                <w:rFonts w:asciiTheme="majorBidi" w:hAnsiTheme="majorBidi" w:cstheme="majorBidi"/>
                <w:b w:val="0"/>
                <w:bCs w:val="0"/>
                <w:color w:val="202124"/>
                <w:sz w:val="24"/>
                <w:szCs w:val="24"/>
                <w:lang w:val="en"/>
              </w:rPr>
            </w:pPr>
          </w:p>
        </w:tc>
        <w:tc>
          <w:tcPr>
            <w:tcW w:w="1692" w:type="dxa"/>
            <w:vAlign w:val="center"/>
          </w:tcPr>
          <w:p w:rsidR="00997B8F" w:rsidRPr="00997B8F" w:rsidRDefault="00997B8F" w:rsidP="00997B8F">
            <w:pPr>
              <w:pStyle w:val="ListParagraph"/>
              <w:bidi w:val="0"/>
              <w:ind w:left="0"/>
              <w:jc w:val="center"/>
              <w:rPr>
                <w:rFonts w:asciiTheme="majorBidi" w:hAnsiTheme="majorBidi" w:cstheme="majorBidi"/>
                <w:b w:val="0"/>
                <w:bCs w:val="0"/>
                <w:color w:val="202124"/>
                <w:sz w:val="24"/>
                <w:szCs w:val="24"/>
                <w:lang w:val="en"/>
              </w:rPr>
            </w:pPr>
            <w:r w:rsidRPr="00997B8F">
              <w:rPr>
                <w:rFonts w:asciiTheme="majorBidi" w:hAnsiTheme="majorBidi" w:cstheme="majorBidi"/>
                <w:b w:val="0"/>
                <w:bCs w:val="0"/>
                <w:color w:val="202124"/>
                <w:sz w:val="24"/>
                <w:szCs w:val="24"/>
                <w:lang w:val="en"/>
              </w:rPr>
              <w:t>0</w:t>
            </w:r>
          </w:p>
        </w:tc>
        <w:tc>
          <w:tcPr>
            <w:tcW w:w="1303" w:type="dxa"/>
            <w:vAlign w:val="center"/>
          </w:tcPr>
          <w:p w:rsidR="00997B8F" w:rsidRPr="00997B8F" w:rsidRDefault="00997B8F" w:rsidP="00997B8F">
            <w:pPr>
              <w:pStyle w:val="ListParagraph"/>
              <w:bidi w:val="0"/>
              <w:ind w:left="0"/>
              <w:jc w:val="center"/>
              <w:rPr>
                <w:rFonts w:asciiTheme="majorBidi" w:hAnsiTheme="majorBidi" w:cstheme="majorBidi"/>
                <w:b w:val="0"/>
                <w:bCs w:val="0"/>
                <w:color w:val="202124"/>
                <w:sz w:val="24"/>
                <w:szCs w:val="24"/>
                <w:lang w:val="en"/>
              </w:rPr>
            </w:pPr>
          </w:p>
        </w:tc>
        <w:tc>
          <w:tcPr>
            <w:tcW w:w="1303" w:type="dxa"/>
            <w:vAlign w:val="center"/>
          </w:tcPr>
          <w:p w:rsidR="00997B8F" w:rsidRPr="00997B8F" w:rsidRDefault="00997B8F" w:rsidP="00997B8F">
            <w:pPr>
              <w:pStyle w:val="ListParagraph"/>
              <w:bidi w:val="0"/>
              <w:ind w:left="0"/>
              <w:jc w:val="center"/>
              <w:rPr>
                <w:rFonts w:asciiTheme="majorBidi" w:hAnsiTheme="majorBidi" w:cstheme="majorBidi"/>
                <w:b w:val="0"/>
                <w:bCs w:val="0"/>
                <w:color w:val="202124"/>
                <w:sz w:val="24"/>
                <w:szCs w:val="24"/>
                <w:lang w:val="en"/>
              </w:rPr>
            </w:pPr>
            <w:r w:rsidRPr="00997B8F">
              <w:rPr>
                <w:rFonts w:asciiTheme="majorBidi" w:hAnsiTheme="majorBidi" w:cstheme="majorBidi"/>
                <w:b w:val="0"/>
                <w:bCs w:val="0"/>
                <w:color w:val="202124"/>
                <w:sz w:val="24"/>
                <w:szCs w:val="24"/>
                <w:lang w:val="en"/>
              </w:rPr>
              <w:t>0</w:t>
            </w:r>
          </w:p>
        </w:tc>
      </w:tr>
      <w:tr w:rsidR="00997B8F" w:rsidRPr="00997B8F" w:rsidTr="00C756C8">
        <w:tc>
          <w:tcPr>
            <w:tcW w:w="1685" w:type="dxa"/>
          </w:tcPr>
          <w:p w:rsidR="00997B8F" w:rsidRPr="00997B8F" w:rsidRDefault="00997B8F" w:rsidP="00997B8F">
            <w:pPr>
              <w:bidi w:val="0"/>
              <w:jc w:val="center"/>
              <w:rPr>
                <w:rFonts w:asciiTheme="majorBidi" w:hAnsiTheme="majorBidi" w:cstheme="majorBidi"/>
                <w:b w:val="0"/>
                <w:bCs w:val="0"/>
                <w:color w:val="202124"/>
                <w:sz w:val="24"/>
                <w:szCs w:val="24"/>
                <w:lang w:val="en"/>
              </w:rPr>
            </w:pPr>
            <w:r w:rsidRPr="00997B8F">
              <w:rPr>
                <w:rFonts w:asciiTheme="majorBidi" w:hAnsiTheme="majorBidi" w:cstheme="majorBidi"/>
                <w:b w:val="0"/>
                <w:bCs w:val="0"/>
                <w:color w:val="202124"/>
                <w:sz w:val="24"/>
                <w:szCs w:val="24"/>
                <w:lang w:val="en"/>
              </w:rPr>
              <w:t>Total of (A)</w:t>
            </w:r>
          </w:p>
        </w:tc>
        <w:tc>
          <w:tcPr>
            <w:tcW w:w="1692" w:type="dxa"/>
            <w:vAlign w:val="center"/>
          </w:tcPr>
          <w:p w:rsidR="00997B8F" w:rsidRPr="00997B8F" w:rsidRDefault="00997B8F" w:rsidP="00997B8F">
            <w:pPr>
              <w:pStyle w:val="ListParagraph"/>
              <w:bidi w:val="0"/>
              <w:ind w:left="0"/>
              <w:jc w:val="center"/>
              <w:rPr>
                <w:rFonts w:asciiTheme="majorBidi" w:hAnsiTheme="majorBidi" w:cstheme="majorBidi"/>
                <w:b w:val="0"/>
                <w:bCs w:val="0"/>
                <w:color w:val="202124"/>
                <w:sz w:val="24"/>
                <w:szCs w:val="24"/>
                <w:lang w:val="en"/>
              </w:rPr>
            </w:pPr>
            <w:r w:rsidRPr="00997B8F">
              <w:rPr>
                <w:rFonts w:asciiTheme="majorBidi" w:hAnsiTheme="majorBidi" w:cstheme="majorBidi"/>
                <w:b w:val="0"/>
                <w:bCs w:val="0"/>
                <w:color w:val="202124"/>
                <w:sz w:val="24"/>
                <w:szCs w:val="24"/>
                <w:lang w:val="en"/>
              </w:rPr>
              <w:t>0</w:t>
            </w:r>
          </w:p>
        </w:tc>
        <w:tc>
          <w:tcPr>
            <w:tcW w:w="1692" w:type="dxa"/>
            <w:vAlign w:val="center"/>
          </w:tcPr>
          <w:p w:rsidR="00997B8F" w:rsidRPr="00997B8F" w:rsidRDefault="00997B8F" w:rsidP="00997B8F">
            <w:pPr>
              <w:pStyle w:val="ListParagraph"/>
              <w:bidi w:val="0"/>
              <w:ind w:left="0"/>
              <w:jc w:val="center"/>
              <w:rPr>
                <w:rFonts w:asciiTheme="majorBidi" w:hAnsiTheme="majorBidi" w:cstheme="majorBidi"/>
                <w:b w:val="0"/>
                <w:bCs w:val="0"/>
                <w:color w:val="202124"/>
                <w:sz w:val="24"/>
                <w:szCs w:val="24"/>
                <w:lang w:val="en"/>
              </w:rPr>
            </w:pPr>
            <w:r w:rsidRPr="00997B8F">
              <w:rPr>
                <w:rFonts w:asciiTheme="majorBidi" w:hAnsiTheme="majorBidi" w:cstheme="majorBidi"/>
                <w:b w:val="0"/>
                <w:bCs w:val="0"/>
                <w:color w:val="202124"/>
                <w:sz w:val="24"/>
                <w:szCs w:val="24"/>
                <w:lang w:val="en"/>
              </w:rPr>
              <w:t>0</w:t>
            </w:r>
          </w:p>
        </w:tc>
        <w:tc>
          <w:tcPr>
            <w:tcW w:w="1303" w:type="dxa"/>
            <w:vAlign w:val="center"/>
          </w:tcPr>
          <w:p w:rsidR="00997B8F" w:rsidRPr="00997B8F" w:rsidRDefault="00997B8F" w:rsidP="00997B8F">
            <w:pPr>
              <w:pStyle w:val="ListParagraph"/>
              <w:bidi w:val="0"/>
              <w:ind w:left="0"/>
              <w:jc w:val="center"/>
              <w:rPr>
                <w:rFonts w:asciiTheme="majorBidi" w:hAnsiTheme="majorBidi" w:cstheme="majorBidi"/>
                <w:b w:val="0"/>
                <w:bCs w:val="0"/>
                <w:color w:val="202124"/>
                <w:sz w:val="24"/>
                <w:szCs w:val="24"/>
                <w:lang w:val="en"/>
              </w:rPr>
            </w:pPr>
            <w:r w:rsidRPr="00997B8F">
              <w:rPr>
                <w:rFonts w:asciiTheme="majorBidi" w:hAnsiTheme="majorBidi" w:cstheme="majorBidi"/>
                <w:b w:val="0"/>
                <w:bCs w:val="0"/>
                <w:color w:val="202124"/>
                <w:sz w:val="24"/>
                <w:szCs w:val="24"/>
                <w:lang w:val="en"/>
              </w:rPr>
              <w:t>0</w:t>
            </w:r>
          </w:p>
        </w:tc>
        <w:tc>
          <w:tcPr>
            <w:tcW w:w="1303" w:type="dxa"/>
            <w:vAlign w:val="center"/>
          </w:tcPr>
          <w:p w:rsidR="00997B8F" w:rsidRPr="00997B8F" w:rsidRDefault="00997B8F" w:rsidP="00997B8F">
            <w:pPr>
              <w:pStyle w:val="ListParagraph"/>
              <w:bidi w:val="0"/>
              <w:ind w:left="0"/>
              <w:jc w:val="center"/>
              <w:rPr>
                <w:rFonts w:asciiTheme="majorBidi" w:hAnsiTheme="majorBidi" w:cstheme="majorBidi"/>
                <w:b w:val="0"/>
                <w:bCs w:val="0"/>
                <w:color w:val="202124"/>
                <w:sz w:val="24"/>
                <w:szCs w:val="24"/>
                <w:lang w:val="en"/>
              </w:rPr>
            </w:pPr>
            <w:r w:rsidRPr="00997B8F">
              <w:rPr>
                <w:rFonts w:asciiTheme="majorBidi" w:hAnsiTheme="majorBidi" w:cstheme="majorBidi"/>
                <w:b w:val="0"/>
                <w:bCs w:val="0"/>
                <w:color w:val="202124"/>
                <w:sz w:val="24"/>
                <w:szCs w:val="24"/>
                <w:lang w:val="en"/>
              </w:rPr>
              <w:t>0</w:t>
            </w:r>
          </w:p>
        </w:tc>
      </w:tr>
    </w:tbl>
    <w:p w:rsidR="006379F7" w:rsidRDefault="00997B8F" w:rsidP="00997B8F">
      <w:pPr>
        <w:pStyle w:val="ListParagraph"/>
        <w:bidi w:val="0"/>
        <w:jc w:val="left"/>
        <w:rPr>
          <w:lang w:bidi="ar-JO"/>
        </w:rPr>
      </w:pPr>
      <w:r>
        <w:rPr>
          <w:color w:val="202124"/>
          <w:lang w:val="en"/>
        </w:rPr>
        <w:t xml:space="preserve"> </w:t>
      </w:r>
    </w:p>
    <w:p w:rsidR="007362A2" w:rsidRPr="00997B8F" w:rsidRDefault="00997B8F" w:rsidP="00997B8F">
      <w:pPr>
        <w:pStyle w:val="ListParagraph"/>
        <w:numPr>
          <w:ilvl w:val="0"/>
          <w:numId w:val="41"/>
        </w:numPr>
        <w:bidi w:val="0"/>
        <w:jc w:val="left"/>
        <w:rPr>
          <w:lang w:bidi="ar-JO"/>
        </w:rPr>
      </w:pPr>
      <w:r>
        <w:rPr>
          <w:rFonts w:ascii="Times New Roman" w:hAnsi="Times New Roman" w:cs="Times New Roman"/>
          <w:lang w:bidi="ar-JO"/>
        </w:rPr>
        <w:t>Maintaining derivative contracts for trading</w:t>
      </w:r>
    </w:p>
    <w:p w:rsidR="00997B8F" w:rsidRPr="00997B8F" w:rsidRDefault="00997B8F" w:rsidP="00997B8F">
      <w:pPr>
        <w:pStyle w:val="ListParagraph"/>
        <w:bidi w:val="0"/>
        <w:jc w:val="right"/>
        <w:rPr>
          <w:rFonts w:ascii="Times New Roman" w:hAnsi="Times New Roman" w:cs="Times New Roman"/>
          <w:b w:val="0"/>
          <w:bCs w:val="0"/>
          <w:sz w:val="22"/>
          <w:szCs w:val="22"/>
        </w:rPr>
      </w:pPr>
      <w:r w:rsidRPr="00997B8F">
        <w:rPr>
          <w:rFonts w:ascii="Times New Roman" w:hAnsi="Times New Roman" w:cs="Times New Roman"/>
          <w:b w:val="0"/>
          <w:bCs w:val="0"/>
          <w:sz w:val="22"/>
          <w:szCs w:val="22"/>
        </w:rPr>
        <w:t>Thousands JD</w:t>
      </w:r>
    </w:p>
    <w:tbl>
      <w:tblPr>
        <w:tblStyle w:val="TableGrid"/>
        <w:tblW w:w="0" w:type="auto"/>
        <w:tblLook w:val="04A0" w:firstRow="1" w:lastRow="0" w:firstColumn="1" w:lastColumn="0" w:noHBand="0" w:noVBand="1"/>
      </w:tblPr>
      <w:tblGrid>
        <w:gridCol w:w="1282"/>
        <w:gridCol w:w="1016"/>
        <w:gridCol w:w="953"/>
        <w:gridCol w:w="1266"/>
        <w:gridCol w:w="362"/>
        <w:gridCol w:w="1324"/>
        <w:gridCol w:w="1224"/>
        <w:gridCol w:w="968"/>
      </w:tblGrid>
      <w:tr w:rsidR="00206D79" w:rsidTr="00C756C8">
        <w:tc>
          <w:tcPr>
            <w:tcW w:w="1282" w:type="dxa"/>
            <w:shd w:val="clear" w:color="auto" w:fill="DBDBDB" w:themeFill="accent3" w:themeFillTint="66"/>
            <w:vAlign w:val="center"/>
          </w:tcPr>
          <w:p w:rsidR="00997B8F" w:rsidRPr="00206D79" w:rsidRDefault="00997B8F" w:rsidP="00C756C8">
            <w:pPr>
              <w:bidi w:val="0"/>
              <w:spacing w:after="0"/>
              <w:jc w:val="center"/>
              <w:rPr>
                <w:rFonts w:ascii="Times New Roman" w:hAnsi="Times New Roman" w:cs="Times New Roman"/>
                <w:b w:val="0"/>
                <w:bCs w:val="0"/>
                <w:sz w:val="22"/>
                <w:szCs w:val="22"/>
                <w:lang w:bidi="ar-JO"/>
              </w:rPr>
            </w:pPr>
            <w:r w:rsidRPr="00206D79">
              <w:rPr>
                <w:rFonts w:ascii="Times New Roman" w:hAnsi="Times New Roman" w:cs="Times New Roman"/>
                <w:b w:val="0"/>
                <w:bCs w:val="0"/>
                <w:sz w:val="22"/>
                <w:szCs w:val="22"/>
                <w:lang w:bidi="ar-JO"/>
              </w:rPr>
              <w:t>derivative contracts</w:t>
            </w:r>
          </w:p>
        </w:tc>
        <w:tc>
          <w:tcPr>
            <w:tcW w:w="1016" w:type="dxa"/>
            <w:shd w:val="clear" w:color="auto" w:fill="DBDBDB" w:themeFill="accent3" w:themeFillTint="66"/>
            <w:vAlign w:val="center"/>
          </w:tcPr>
          <w:p w:rsidR="00997B8F" w:rsidRPr="00206D79" w:rsidRDefault="00997B8F" w:rsidP="00C756C8">
            <w:pPr>
              <w:bidi w:val="0"/>
              <w:spacing w:after="0"/>
              <w:jc w:val="center"/>
              <w:rPr>
                <w:rFonts w:ascii="Times New Roman" w:hAnsi="Times New Roman" w:cs="Times New Roman"/>
                <w:b w:val="0"/>
                <w:bCs w:val="0"/>
                <w:sz w:val="22"/>
                <w:szCs w:val="22"/>
                <w:lang w:bidi="ar-JO"/>
              </w:rPr>
            </w:pPr>
            <w:r w:rsidRPr="00206D79">
              <w:rPr>
                <w:rFonts w:ascii="Times New Roman" w:hAnsi="Times New Roman" w:cs="Times New Roman"/>
                <w:b w:val="0"/>
                <w:bCs w:val="0"/>
                <w:sz w:val="22"/>
                <w:szCs w:val="22"/>
                <w:lang w:bidi="ar-JO"/>
              </w:rPr>
              <w:t>No. of shares/ bonds</w:t>
            </w:r>
          </w:p>
        </w:tc>
        <w:tc>
          <w:tcPr>
            <w:tcW w:w="953" w:type="dxa"/>
            <w:shd w:val="clear" w:color="auto" w:fill="DBDBDB" w:themeFill="accent3" w:themeFillTint="66"/>
            <w:vAlign w:val="center"/>
          </w:tcPr>
          <w:p w:rsidR="00997B8F" w:rsidRPr="00206D79" w:rsidRDefault="00997B8F" w:rsidP="00C756C8">
            <w:pPr>
              <w:bidi w:val="0"/>
              <w:spacing w:after="0"/>
              <w:jc w:val="center"/>
              <w:rPr>
                <w:rFonts w:ascii="Times New Roman" w:hAnsi="Times New Roman" w:cs="Times New Roman"/>
                <w:b w:val="0"/>
                <w:bCs w:val="0"/>
                <w:sz w:val="22"/>
                <w:szCs w:val="22"/>
                <w:lang w:bidi="ar-JO"/>
              </w:rPr>
            </w:pPr>
            <w:r w:rsidRPr="00206D79">
              <w:rPr>
                <w:rFonts w:ascii="Times New Roman" w:hAnsi="Times New Roman" w:cs="Times New Roman"/>
                <w:b w:val="0"/>
                <w:bCs w:val="0"/>
                <w:color w:val="202124"/>
                <w:sz w:val="22"/>
                <w:szCs w:val="22"/>
                <w:lang w:val="en"/>
              </w:rPr>
              <w:t>market price of the shares / bond</w:t>
            </w:r>
          </w:p>
        </w:tc>
        <w:tc>
          <w:tcPr>
            <w:tcW w:w="1266" w:type="dxa"/>
            <w:shd w:val="clear" w:color="auto" w:fill="DBDBDB" w:themeFill="accent3" w:themeFillTint="66"/>
            <w:vAlign w:val="center"/>
          </w:tcPr>
          <w:p w:rsidR="00997B8F" w:rsidRPr="00206D79" w:rsidRDefault="00997B8F" w:rsidP="00C756C8">
            <w:pPr>
              <w:bidi w:val="0"/>
              <w:spacing w:after="0"/>
              <w:jc w:val="center"/>
              <w:rPr>
                <w:rFonts w:ascii="Times New Roman" w:hAnsi="Times New Roman" w:cs="Times New Roman"/>
                <w:b w:val="0"/>
                <w:bCs w:val="0"/>
                <w:sz w:val="22"/>
                <w:szCs w:val="22"/>
                <w:lang w:bidi="ar-JO"/>
              </w:rPr>
            </w:pPr>
            <w:r w:rsidRPr="00206D79">
              <w:rPr>
                <w:rFonts w:ascii="Times New Roman" w:hAnsi="Times New Roman" w:cs="Times New Roman"/>
                <w:b w:val="0"/>
                <w:bCs w:val="0"/>
                <w:color w:val="202124"/>
                <w:sz w:val="22"/>
                <w:szCs w:val="22"/>
                <w:lang w:val="en"/>
              </w:rPr>
              <w:t>market value of the asset based on the derivative</w:t>
            </w:r>
          </w:p>
        </w:tc>
        <w:tc>
          <w:tcPr>
            <w:tcW w:w="362" w:type="dxa"/>
            <w:shd w:val="clear" w:color="auto" w:fill="DBDBDB" w:themeFill="accent3" w:themeFillTint="66"/>
            <w:vAlign w:val="center"/>
          </w:tcPr>
          <w:p w:rsidR="00997B8F" w:rsidRPr="00206D79" w:rsidRDefault="00997B8F" w:rsidP="00C756C8">
            <w:pPr>
              <w:bidi w:val="0"/>
              <w:spacing w:after="0"/>
              <w:jc w:val="center"/>
              <w:rPr>
                <w:rFonts w:ascii="Times New Roman" w:hAnsi="Times New Roman" w:cs="Times New Roman"/>
                <w:b w:val="0"/>
                <w:bCs w:val="0"/>
                <w:sz w:val="22"/>
                <w:szCs w:val="22"/>
                <w:lang w:bidi="ar-JO"/>
              </w:rPr>
            </w:pPr>
          </w:p>
        </w:tc>
        <w:tc>
          <w:tcPr>
            <w:tcW w:w="1324" w:type="dxa"/>
            <w:shd w:val="clear" w:color="auto" w:fill="DBDBDB" w:themeFill="accent3" w:themeFillTint="66"/>
            <w:vAlign w:val="center"/>
          </w:tcPr>
          <w:p w:rsidR="00997B8F" w:rsidRPr="00206D79" w:rsidRDefault="00206D79" w:rsidP="00C756C8">
            <w:pPr>
              <w:bidi w:val="0"/>
              <w:spacing w:after="0"/>
              <w:jc w:val="center"/>
              <w:rPr>
                <w:rFonts w:ascii="Times New Roman" w:hAnsi="Times New Roman" w:cs="Times New Roman"/>
                <w:b w:val="0"/>
                <w:bCs w:val="0"/>
                <w:sz w:val="22"/>
                <w:szCs w:val="22"/>
                <w:lang w:bidi="ar-JO"/>
              </w:rPr>
            </w:pPr>
            <w:r w:rsidRPr="00206D79">
              <w:rPr>
                <w:rFonts w:ascii="Times New Roman" w:hAnsi="Times New Roman" w:cs="Times New Roman"/>
                <w:b w:val="0"/>
                <w:bCs w:val="0"/>
                <w:color w:val="202124"/>
                <w:sz w:val="22"/>
                <w:szCs w:val="22"/>
                <w:lang w:val="en"/>
              </w:rPr>
              <w:t>market value of the derivative (Premium)</w:t>
            </w:r>
          </w:p>
        </w:tc>
        <w:tc>
          <w:tcPr>
            <w:tcW w:w="1224" w:type="dxa"/>
            <w:shd w:val="clear" w:color="auto" w:fill="DBDBDB" w:themeFill="accent3" w:themeFillTint="66"/>
            <w:vAlign w:val="center"/>
          </w:tcPr>
          <w:p w:rsidR="00997B8F" w:rsidRPr="00206D79" w:rsidRDefault="00206D79" w:rsidP="00C756C8">
            <w:pPr>
              <w:bidi w:val="0"/>
              <w:spacing w:after="0"/>
              <w:jc w:val="center"/>
              <w:rPr>
                <w:rFonts w:ascii="Times New Roman" w:hAnsi="Times New Roman" w:cs="Times New Roman"/>
                <w:b w:val="0"/>
                <w:bCs w:val="0"/>
                <w:sz w:val="22"/>
                <w:szCs w:val="22"/>
                <w:lang w:bidi="ar-JO"/>
              </w:rPr>
            </w:pPr>
            <w:r>
              <w:rPr>
                <w:rFonts w:ascii="Times New Roman" w:hAnsi="Times New Roman" w:cs="Times New Roman"/>
                <w:b w:val="0"/>
                <w:bCs w:val="0"/>
                <w:color w:val="202124"/>
                <w:sz w:val="22"/>
                <w:szCs w:val="22"/>
                <w:lang w:val="en"/>
              </w:rPr>
              <w:t>(3)</w:t>
            </w:r>
            <w:r w:rsidRPr="00206D79">
              <w:rPr>
                <w:rFonts w:ascii="Times New Roman" w:hAnsi="Times New Roman" w:cs="Times New Roman"/>
                <w:b w:val="0"/>
                <w:bCs w:val="0"/>
                <w:color w:val="202124"/>
                <w:sz w:val="22"/>
                <w:szCs w:val="22"/>
                <w:lang w:val="en"/>
              </w:rPr>
              <w:t xml:space="preserve"> * 8%</w:t>
            </w:r>
          </w:p>
        </w:tc>
        <w:tc>
          <w:tcPr>
            <w:tcW w:w="968" w:type="dxa"/>
            <w:shd w:val="clear" w:color="auto" w:fill="DBDBDB" w:themeFill="accent3" w:themeFillTint="66"/>
            <w:vAlign w:val="center"/>
          </w:tcPr>
          <w:p w:rsidR="00997B8F" w:rsidRPr="00206D79" w:rsidRDefault="00206D79" w:rsidP="00C756C8">
            <w:pPr>
              <w:bidi w:val="0"/>
              <w:spacing w:after="0"/>
              <w:jc w:val="center"/>
              <w:rPr>
                <w:rFonts w:ascii="Times New Roman" w:hAnsi="Times New Roman" w:cs="Times New Roman"/>
                <w:b w:val="0"/>
                <w:bCs w:val="0"/>
                <w:sz w:val="22"/>
                <w:szCs w:val="22"/>
                <w:lang w:bidi="ar-JO"/>
              </w:rPr>
            </w:pPr>
            <w:r w:rsidRPr="00206D79">
              <w:rPr>
                <w:rFonts w:ascii="Times New Roman" w:hAnsi="Times New Roman" w:cs="Times New Roman"/>
                <w:b w:val="0"/>
                <w:bCs w:val="0"/>
                <w:sz w:val="22"/>
                <w:szCs w:val="22"/>
                <w:lang w:bidi="ar-JO"/>
              </w:rPr>
              <w:t>Capital charge = the lesser of</w:t>
            </w:r>
            <w:r>
              <w:rPr>
                <w:rFonts w:ascii="Times New Roman" w:hAnsi="Times New Roman" w:cs="Times New Roman"/>
                <w:b w:val="0"/>
                <w:bCs w:val="0"/>
                <w:sz w:val="22"/>
                <w:szCs w:val="22"/>
                <w:lang w:bidi="ar-JO"/>
              </w:rPr>
              <w:t xml:space="preserve"> </w:t>
            </w:r>
            <w:r w:rsidR="00C756C8">
              <w:rPr>
                <w:rFonts w:ascii="Times New Roman" w:hAnsi="Times New Roman" w:cs="Times New Roman"/>
                <w:b w:val="0"/>
                <w:bCs w:val="0"/>
                <w:sz w:val="22"/>
                <w:szCs w:val="22"/>
                <w:lang w:bidi="ar-JO"/>
              </w:rPr>
              <w:t>(6)</w:t>
            </w:r>
            <w:r>
              <w:rPr>
                <w:rFonts w:ascii="Times New Roman" w:hAnsi="Times New Roman" w:cs="Times New Roman"/>
                <w:b w:val="0"/>
                <w:bCs w:val="0"/>
                <w:sz w:val="22"/>
                <w:szCs w:val="22"/>
                <w:lang w:bidi="ar-JO"/>
              </w:rPr>
              <w:t xml:space="preserve"> or (5)</w:t>
            </w:r>
          </w:p>
        </w:tc>
      </w:tr>
      <w:tr w:rsidR="00206D79" w:rsidTr="00C756C8">
        <w:tc>
          <w:tcPr>
            <w:tcW w:w="1282" w:type="dxa"/>
            <w:shd w:val="clear" w:color="auto" w:fill="DBDBDB" w:themeFill="accent3" w:themeFillTint="66"/>
          </w:tcPr>
          <w:p w:rsidR="00997B8F" w:rsidRPr="00C756C8" w:rsidRDefault="00997B8F" w:rsidP="004E2C3A">
            <w:pPr>
              <w:bidi w:val="0"/>
              <w:spacing w:after="0"/>
              <w:jc w:val="center"/>
              <w:rPr>
                <w:rFonts w:ascii="Times New Roman" w:hAnsi="Times New Roman" w:cs="Times New Roman"/>
                <w:sz w:val="22"/>
                <w:szCs w:val="22"/>
                <w:lang w:bidi="ar-JO"/>
              </w:rPr>
            </w:pPr>
          </w:p>
        </w:tc>
        <w:tc>
          <w:tcPr>
            <w:tcW w:w="1016" w:type="dxa"/>
            <w:shd w:val="clear" w:color="auto" w:fill="DBDBDB" w:themeFill="accent3" w:themeFillTint="66"/>
          </w:tcPr>
          <w:p w:rsidR="00997B8F" w:rsidRPr="00C756C8" w:rsidRDefault="00206D79" w:rsidP="004E2C3A">
            <w:pPr>
              <w:bidi w:val="0"/>
              <w:spacing w:after="0"/>
              <w:jc w:val="center"/>
              <w:rPr>
                <w:rFonts w:ascii="Times New Roman" w:hAnsi="Times New Roman" w:cs="Times New Roman"/>
                <w:sz w:val="22"/>
                <w:szCs w:val="22"/>
                <w:lang w:bidi="ar-JO"/>
              </w:rPr>
            </w:pPr>
            <w:r w:rsidRPr="00C756C8">
              <w:rPr>
                <w:rFonts w:ascii="Times New Roman" w:hAnsi="Times New Roman" w:cs="Times New Roman"/>
                <w:sz w:val="22"/>
                <w:szCs w:val="22"/>
                <w:lang w:bidi="ar-JO"/>
              </w:rPr>
              <w:t>1</w:t>
            </w:r>
          </w:p>
        </w:tc>
        <w:tc>
          <w:tcPr>
            <w:tcW w:w="953" w:type="dxa"/>
            <w:shd w:val="clear" w:color="auto" w:fill="DBDBDB" w:themeFill="accent3" w:themeFillTint="66"/>
          </w:tcPr>
          <w:p w:rsidR="00997B8F" w:rsidRPr="00C756C8" w:rsidRDefault="00206D79" w:rsidP="004E2C3A">
            <w:pPr>
              <w:bidi w:val="0"/>
              <w:spacing w:after="0"/>
              <w:jc w:val="center"/>
              <w:rPr>
                <w:rFonts w:ascii="Times New Roman" w:hAnsi="Times New Roman" w:cs="Times New Roman"/>
                <w:sz w:val="22"/>
                <w:szCs w:val="22"/>
                <w:lang w:bidi="ar-JO"/>
              </w:rPr>
            </w:pPr>
            <w:r w:rsidRPr="00C756C8">
              <w:rPr>
                <w:rFonts w:ascii="Times New Roman" w:hAnsi="Times New Roman" w:cs="Times New Roman"/>
                <w:sz w:val="22"/>
                <w:szCs w:val="22"/>
                <w:lang w:bidi="ar-JO"/>
              </w:rPr>
              <w:t>2</w:t>
            </w:r>
          </w:p>
        </w:tc>
        <w:tc>
          <w:tcPr>
            <w:tcW w:w="1266" w:type="dxa"/>
            <w:shd w:val="clear" w:color="auto" w:fill="DBDBDB" w:themeFill="accent3" w:themeFillTint="66"/>
          </w:tcPr>
          <w:p w:rsidR="00997B8F" w:rsidRPr="00C756C8" w:rsidRDefault="00206D79" w:rsidP="004E2C3A">
            <w:pPr>
              <w:bidi w:val="0"/>
              <w:spacing w:after="0"/>
              <w:jc w:val="center"/>
              <w:rPr>
                <w:rFonts w:ascii="Times New Roman" w:hAnsi="Times New Roman" w:cs="Times New Roman"/>
                <w:sz w:val="22"/>
                <w:szCs w:val="22"/>
                <w:lang w:bidi="ar-JO"/>
              </w:rPr>
            </w:pPr>
            <w:r w:rsidRPr="00C756C8">
              <w:rPr>
                <w:rFonts w:ascii="Times New Roman" w:hAnsi="Times New Roman" w:cs="Times New Roman"/>
                <w:sz w:val="22"/>
                <w:szCs w:val="22"/>
                <w:lang w:bidi="ar-JO"/>
              </w:rPr>
              <w:t>3</w:t>
            </w:r>
          </w:p>
        </w:tc>
        <w:tc>
          <w:tcPr>
            <w:tcW w:w="362" w:type="dxa"/>
            <w:shd w:val="clear" w:color="auto" w:fill="DBDBDB" w:themeFill="accent3" w:themeFillTint="66"/>
          </w:tcPr>
          <w:p w:rsidR="00997B8F" w:rsidRPr="00C756C8" w:rsidRDefault="00206D79" w:rsidP="004E2C3A">
            <w:pPr>
              <w:bidi w:val="0"/>
              <w:spacing w:after="0"/>
              <w:jc w:val="center"/>
              <w:rPr>
                <w:rFonts w:ascii="Times New Roman" w:hAnsi="Times New Roman" w:cs="Times New Roman"/>
                <w:sz w:val="22"/>
                <w:szCs w:val="22"/>
                <w:lang w:bidi="ar-JO"/>
              </w:rPr>
            </w:pPr>
            <w:r w:rsidRPr="00C756C8">
              <w:rPr>
                <w:rFonts w:ascii="Times New Roman" w:hAnsi="Times New Roman" w:cs="Times New Roman"/>
                <w:sz w:val="22"/>
                <w:szCs w:val="22"/>
                <w:lang w:bidi="ar-JO"/>
              </w:rPr>
              <w:t>4</w:t>
            </w:r>
          </w:p>
        </w:tc>
        <w:tc>
          <w:tcPr>
            <w:tcW w:w="1324" w:type="dxa"/>
            <w:shd w:val="clear" w:color="auto" w:fill="DBDBDB" w:themeFill="accent3" w:themeFillTint="66"/>
          </w:tcPr>
          <w:p w:rsidR="00997B8F" w:rsidRPr="00C756C8" w:rsidRDefault="00206D79" w:rsidP="004E2C3A">
            <w:pPr>
              <w:bidi w:val="0"/>
              <w:spacing w:after="0"/>
              <w:jc w:val="center"/>
              <w:rPr>
                <w:rFonts w:ascii="Times New Roman" w:hAnsi="Times New Roman" w:cs="Times New Roman"/>
                <w:sz w:val="22"/>
                <w:szCs w:val="22"/>
                <w:lang w:bidi="ar-JO"/>
              </w:rPr>
            </w:pPr>
            <w:r w:rsidRPr="00C756C8">
              <w:rPr>
                <w:rFonts w:ascii="Times New Roman" w:hAnsi="Times New Roman" w:cs="Times New Roman"/>
                <w:sz w:val="22"/>
                <w:szCs w:val="22"/>
                <w:lang w:bidi="ar-JO"/>
              </w:rPr>
              <w:t>5</w:t>
            </w:r>
          </w:p>
        </w:tc>
        <w:tc>
          <w:tcPr>
            <w:tcW w:w="1224" w:type="dxa"/>
            <w:shd w:val="clear" w:color="auto" w:fill="DBDBDB" w:themeFill="accent3" w:themeFillTint="66"/>
          </w:tcPr>
          <w:p w:rsidR="00997B8F" w:rsidRPr="00C756C8" w:rsidRDefault="00206D79" w:rsidP="004E2C3A">
            <w:pPr>
              <w:bidi w:val="0"/>
              <w:spacing w:after="0"/>
              <w:jc w:val="center"/>
              <w:rPr>
                <w:rFonts w:ascii="Times New Roman" w:hAnsi="Times New Roman" w:cs="Times New Roman"/>
                <w:sz w:val="22"/>
                <w:szCs w:val="22"/>
                <w:lang w:bidi="ar-JO"/>
              </w:rPr>
            </w:pPr>
            <w:r w:rsidRPr="00C756C8">
              <w:rPr>
                <w:rFonts w:ascii="Times New Roman" w:hAnsi="Times New Roman" w:cs="Times New Roman"/>
                <w:sz w:val="22"/>
                <w:szCs w:val="22"/>
                <w:lang w:bidi="ar-JO"/>
              </w:rPr>
              <w:t>6</w:t>
            </w:r>
          </w:p>
        </w:tc>
        <w:tc>
          <w:tcPr>
            <w:tcW w:w="968" w:type="dxa"/>
            <w:shd w:val="clear" w:color="auto" w:fill="DBDBDB" w:themeFill="accent3" w:themeFillTint="66"/>
          </w:tcPr>
          <w:p w:rsidR="00997B8F" w:rsidRPr="00C756C8" w:rsidRDefault="00206D79" w:rsidP="004E2C3A">
            <w:pPr>
              <w:bidi w:val="0"/>
              <w:spacing w:after="0"/>
              <w:jc w:val="center"/>
              <w:rPr>
                <w:rFonts w:ascii="Times New Roman" w:hAnsi="Times New Roman" w:cs="Times New Roman"/>
                <w:sz w:val="22"/>
                <w:szCs w:val="22"/>
                <w:lang w:bidi="ar-JO"/>
              </w:rPr>
            </w:pPr>
            <w:r w:rsidRPr="00C756C8">
              <w:rPr>
                <w:rFonts w:ascii="Times New Roman" w:hAnsi="Times New Roman" w:cs="Times New Roman"/>
                <w:sz w:val="22"/>
                <w:szCs w:val="22"/>
                <w:lang w:bidi="ar-JO"/>
              </w:rPr>
              <w:t>7</w:t>
            </w:r>
          </w:p>
        </w:tc>
      </w:tr>
      <w:tr w:rsidR="00206D79" w:rsidTr="00206D79">
        <w:tc>
          <w:tcPr>
            <w:tcW w:w="1282" w:type="dxa"/>
          </w:tcPr>
          <w:p w:rsidR="00997B8F" w:rsidRPr="004E2C3A" w:rsidRDefault="00206D79" w:rsidP="004E2C3A">
            <w:pPr>
              <w:bidi w:val="0"/>
              <w:spacing w:after="0"/>
              <w:jc w:val="center"/>
              <w:rPr>
                <w:rFonts w:ascii="Times New Roman" w:hAnsi="Times New Roman" w:cs="Times New Roman"/>
                <w:b w:val="0"/>
                <w:bCs w:val="0"/>
                <w:sz w:val="22"/>
                <w:szCs w:val="22"/>
                <w:lang w:bidi="ar-JO"/>
              </w:rPr>
            </w:pPr>
            <w:r w:rsidRPr="004E2C3A">
              <w:rPr>
                <w:rFonts w:ascii="Times New Roman" w:hAnsi="Times New Roman" w:cs="Times New Roman"/>
                <w:b w:val="0"/>
                <w:bCs w:val="0"/>
                <w:sz w:val="22"/>
                <w:szCs w:val="22"/>
                <w:lang w:bidi="ar-JO"/>
              </w:rPr>
              <w:t>Call</w:t>
            </w:r>
          </w:p>
        </w:tc>
        <w:tc>
          <w:tcPr>
            <w:tcW w:w="1016" w:type="dxa"/>
          </w:tcPr>
          <w:p w:rsidR="00997B8F" w:rsidRPr="004E2C3A" w:rsidRDefault="00997B8F" w:rsidP="004E2C3A">
            <w:pPr>
              <w:bidi w:val="0"/>
              <w:spacing w:after="0"/>
              <w:jc w:val="center"/>
              <w:rPr>
                <w:rFonts w:ascii="Times New Roman" w:hAnsi="Times New Roman" w:cs="Times New Roman"/>
                <w:b w:val="0"/>
                <w:bCs w:val="0"/>
                <w:sz w:val="22"/>
                <w:szCs w:val="22"/>
                <w:lang w:bidi="ar-JO"/>
              </w:rPr>
            </w:pPr>
          </w:p>
        </w:tc>
        <w:tc>
          <w:tcPr>
            <w:tcW w:w="953" w:type="dxa"/>
          </w:tcPr>
          <w:p w:rsidR="00997B8F" w:rsidRPr="004E2C3A" w:rsidRDefault="00997B8F" w:rsidP="004E2C3A">
            <w:pPr>
              <w:bidi w:val="0"/>
              <w:spacing w:after="0"/>
              <w:jc w:val="center"/>
              <w:rPr>
                <w:rFonts w:ascii="Times New Roman" w:hAnsi="Times New Roman" w:cs="Times New Roman"/>
                <w:b w:val="0"/>
                <w:bCs w:val="0"/>
                <w:sz w:val="22"/>
                <w:szCs w:val="22"/>
                <w:lang w:bidi="ar-JO"/>
              </w:rPr>
            </w:pPr>
          </w:p>
        </w:tc>
        <w:tc>
          <w:tcPr>
            <w:tcW w:w="1266" w:type="dxa"/>
          </w:tcPr>
          <w:p w:rsidR="00997B8F" w:rsidRPr="004E2C3A" w:rsidRDefault="00206D79" w:rsidP="004E2C3A">
            <w:pPr>
              <w:bidi w:val="0"/>
              <w:spacing w:after="0"/>
              <w:jc w:val="center"/>
              <w:rPr>
                <w:rFonts w:ascii="Times New Roman" w:hAnsi="Times New Roman" w:cs="Times New Roman"/>
                <w:b w:val="0"/>
                <w:bCs w:val="0"/>
                <w:sz w:val="22"/>
                <w:szCs w:val="22"/>
                <w:lang w:bidi="ar-JO"/>
              </w:rPr>
            </w:pPr>
            <w:r w:rsidRPr="004E2C3A">
              <w:rPr>
                <w:rFonts w:ascii="Times New Roman" w:hAnsi="Times New Roman" w:cs="Times New Roman"/>
                <w:b w:val="0"/>
                <w:bCs w:val="0"/>
                <w:sz w:val="22"/>
                <w:szCs w:val="22"/>
                <w:lang w:bidi="ar-JO"/>
              </w:rPr>
              <w:t>0</w:t>
            </w:r>
          </w:p>
        </w:tc>
        <w:tc>
          <w:tcPr>
            <w:tcW w:w="362" w:type="dxa"/>
          </w:tcPr>
          <w:p w:rsidR="00997B8F" w:rsidRPr="004E2C3A" w:rsidRDefault="00997B8F" w:rsidP="004E2C3A">
            <w:pPr>
              <w:bidi w:val="0"/>
              <w:spacing w:after="0"/>
              <w:jc w:val="center"/>
              <w:rPr>
                <w:rFonts w:ascii="Times New Roman" w:hAnsi="Times New Roman" w:cs="Times New Roman"/>
                <w:b w:val="0"/>
                <w:bCs w:val="0"/>
                <w:sz w:val="22"/>
                <w:szCs w:val="22"/>
                <w:lang w:bidi="ar-JO"/>
              </w:rPr>
            </w:pPr>
          </w:p>
        </w:tc>
        <w:tc>
          <w:tcPr>
            <w:tcW w:w="1324" w:type="dxa"/>
          </w:tcPr>
          <w:p w:rsidR="00997B8F" w:rsidRPr="004E2C3A" w:rsidRDefault="00997B8F" w:rsidP="004E2C3A">
            <w:pPr>
              <w:bidi w:val="0"/>
              <w:spacing w:after="0"/>
              <w:jc w:val="center"/>
              <w:rPr>
                <w:rFonts w:ascii="Times New Roman" w:hAnsi="Times New Roman" w:cs="Times New Roman"/>
                <w:b w:val="0"/>
                <w:bCs w:val="0"/>
                <w:sz w:val="22"/>
                <w:szCs w:val="22"/>
                <w:lang w:bidi="ar-JO"/>
              </w:rPr>
            </w:pPr>
          </w:p>
        </w:tc>
        <w:tc>
          <w:tcPr>
            <w:tcW w:w="1224" w:type="dxa"/>
          </w:tcPr>
          <w:p w:rsidR="00997B8F" w:rsidRPr="004E2C3A" w:rsidRDefault="00206D79" w:rsidP="004E2C3A">
            <w:pPr>
              <w:bidi w:val="0"/>
              <w:spacing w:after="0"/>
              <w:jc w:val="center"/>
              <w:rPr>
                <w:rFonts w:ascii="Times New Roman" w:hAnsi="Times New Roman" w:cs="Times New Roman"/>
                <w:b w:val="0"/>
                <w:bCs w:val="0"/>
                <w:sz w:val="22"/>
                <w:szCs w:val="22"/>
                <w:lang w:bidi="ar-JO"/>
              </w:rPr>
            </w:pPr>
            <w:r w:rsidRPr="004E2C3A">
              <w:rPr>
                <w:rFonts w:ascii="Times New Roman" w:hAnsi="Times New Roman" w:cs="Times New Roman"/>
                <w:b w:val="0"/>
                <w:bCs w:val="0"/>
                <w:sz w:val="22"/>
                <w:szCs w:val="22"/>
                <w:lang w:bidi="ar-JO"/>
              </w:rPr>
              <w:t>0</w:t>
            </w:r>
          </w:p>
        </w:tc>
        <w:tc>
          <w:tcPr>
            <w:tcW w:w="968" w:type="dxa"/>
          </w:tcPr>
          <w:p w:rsidR="00997B8F" w:rsidRPr="004E2C3A" w:rsidRDefault="00206D79" w:rsidP="004E2C3A">
            <w:pPr>
              <w:bidi w:val="0"/>
              <w:spacing w:after="0"/>
              <w:jc w:val="center"/>
              <w:rPr>
                <w:rFonts w:ascii="Times New Roman" w:hAnsi="Times New Roman" w:cs="Times New Roman"/>
                <w:b w:val="0"/>
                <w:bCs w:val="0"/>
                <w:sz w:val="22"/>
                <w:szCs w:val="22"/>
                <w:lang w:bidi="ar-JO"/>
              </w:rPr>
            </w:pPr>
            <w:r w:rsidRPr="004E2C3A">
              <w:rPr>
                <w:rFonts w:ascii="Times New Roman" w:hAnsi="Times New Roman" w:cs="Times New Roman"/>
                <w:b w:val="0"/>
                <w:bCs w:val="0"/>
                <w:sz w:val="22"/>
                <w:szCs w:val="22"/>
                <w:lang w:bidi="ar-JO"/>
              </w:rPr>
              <w:t>0</w:t>
            </w:r>
          </w:p>
        </w:tc>
      </w:tr>
      <w:tr w:rsidR="00206D79" w:rsidTr="00206D79">
        <w:tc>
          <w:tcPr>
            <w:tcW w:w="1282" w:type="dxa"/>
          </w:tcPr>
          <w:p w:rsidR="00206D79" w:rsidRPr="004E2C3A" w:rsidRDefault="00206D79" w:rsidP="004E2C3A">
            <w:pPr>
              <w:bidi w:val="0"/>
              <w:spacing w:after="0"/>
              <w:jc w:val="center"/>
              <w:rPr>
                <w:rFonts w:ascii="Times New Roman" w:hAnsi="Times New Roman" w:cs="Times New Roman"/>
                <w:b w:val="0"/>
                <w:bCs w:val="0"/>
                <w:sz w:val="22"/>
                <w:szCs w:val="22"/>
                <w:lang w:bidi="ar-JO"/>
              </w:rPr>
            </w:pPr>
            <w:r w:rsidRPr="004E2C3A">
              <w:rPr>
                <w:rFonts w:ascii="Times New Roman" w:hAnsi="Times New Roman" w:cs="Times New Roman"/>
                <w:b w:val="0"/>
                <w:bCs w:val="0"/>
                <w:sz w:val="22"/>
                <w:szCs w:val="22"/>
                <w:lang w:bidi="ar-JO"/>
              </w:rPr>
              <w:t>Put</w:t>
            </w:r>
          </w:p>
        </w:tc>
        <w:tc>
          <w:tcPr>
            <w:tcW w:w="1016" w:type="dxa"/>
          </w:tcPr>
          <w:p w:rsidR="00206D79" w:rsidRPr="004E2C3A" w:rsidRDefault="00206D79" w:rsidP="004E2C3A">
            <w:pPr>
              <w:bidi w:val="0"/>
              <w:spacing w:after="0"/>
              <w:jc w:val="center"/>
              <w:rPr>
                <w:rFonts w:ascii="Times New Roman" w:hAnsi="Times New Roman" w:cs="Times New Roman"/>
                <w:b w:val="0"/>
                <w:bCs w:val="0"/>
                <w:sz w:val="22"/>
                <w:szCs w:val="22"/>
                <w:lang w:bidi="ar-JO"/>
              </w:rPr>
            </w:pPr>
          </w:p>
        </w:tc>
        <w:tc>
          <w:tcPr>
            <w:tcW w:w="953" w:type="dxa"/>
          </w:tcPr>
          <w:p w:rsidR="00206D79" w:rsidRPr="004E2C3A" w:rsidRDefault="00206D79" w:rsidP="004E2C3A">
            <w:pPr>
              <w:bidi w:val="0"/>
              <w:spacing w:after="0"/>
              <w:jc w:val="center"/>
              <w:rPr>
                <w:rFonts w:ascii="Times New Roman" w:hAnsi="Times New Roman" w:cs="Times New Roman"/>
                <w:b w:val="0"/>
                <w:bCs w:val="0"/>
                <w:sz w:val="22"/>
                <w:szCs w:val="22"/>
                <w:lang w:bidi="ar-JO"/>
              </w:rPr>
            </w:pPr>
          </w:p>
        </w:tc>
        <w:tc>
          <w:tcPr>
            <w:tcW w:w="1266" w:type="dxa"/>
          </w:tcPr>
          <w:p w:rsidR="00206D79" w:rsidRPr="004E2C3A" w:rsidRDefault="00206D79" w:rsidP="004E2C3A">
            <w:pPr>
              <w:bidi w:val="0"/>
              <w:spacing w:after="0"/>
              <w:jc w:val="center"/>
              <w:rPr>
                <w:rFonts w:ascii="Times New Roman" w:hAnsi="Times New Roman" w:cs="Times New Roman"/>
                <w:b w:val="0"/>
                <w:bCs w:val="0"/>
                <w:sz w:val="22"/>
                <w:szCs w:val="22"/>
                <w:lang w:bidi="ar-JO"/>
              </w:rPr>
            </w:pPr>
            <w:r w:rsidRPr="004E2C3A">
              <w:rPr>
                <w:rFonts w:ascii="Times New Roman" w:hAnsi="Times New Roman" w:cs="Times New Roman"/>
                <w:b w:val="0"/>
                <w:bCs w:val="0"/>
                <w:sz w:val="22"/>
                <w:szCs w:val="22"/>
                <w:lang w:bidi="ar-JO"/>
              </w:rPr>
              <w:t>0</w:t>
            </w:r>
          </w:p>
        </w:tc>
        <w:tc>
          <w:tcPr>
            <w:tcW w:w="362" w:type="dxa"/>
          </w:tcPr>
          <w:p w:rsidR="00206D79" w:rsidRPr="004E2C3A" w:rsidRDefault="00206D79" w:rsidP="004E2C3A">
            <w:pPr>
              <w:bidi w:val="0"/>
              <w:spacing w:after="0"/>
              <w:jc w:val="center"/>
              <w:rPr>
                <w:rFonts w:ascii="Times New Roman" w:hAnsi="Times New Roman" w:cs="Times New Roman"/>
                <w:b w:val="0"/>
                <w:bCs w:val="0"/>
                <w:sz w:val="22"/>
                <w:szCs w:val="22"/>
                <w:lang w:bidi="ar-JO"/>
              </w:rPr>
            </w:pPr>
          </w:p>
        </w:tc>
        <w:tc>
          <w:tcPr>
            <w:tcW w:w="1324" w:type="dxa"/>
          </w:tcPr>
          <w:p w:rsidR="00206D79" w:rsidRPr="004E2C3A" w:rsidRDefault="00206D79" w:rsidP="004E2C3A">
            <w:pPr>
              <w:bidi w:val="0"/>
              <w:spacing w:after="0"/>
              <w:jc w:val="center"/>
              <w:rPr>
                <w:rFonts w:ascii="Times New Roman" w:hAnsi="Times New Roman" w:cs="Times New Roman"/>
                <w:b w:val="0"/>
                <w:bCs w:val="0"/>
                <w:sz w:val="22"/>
                <w:szCs w:val="22"/>
                <w:lang w:bidi="ar-JO"/>
              </w:rPr>
            </w:pPr>
          </w:p>
        </w:tc>
        <w:tc>
          <w:tcPr>
            <w:tcW w:w="1224" w:type="dxa"/>
          </w:tcPr>
          <w:p w:rsidR="00206D79" w:rsidRPr="004E2C3A" w:rsidRDefault="00206D79" w:rsidP="004E2C3A">
            <w:pPr>
              <w:bidi w:val="0"/>
              <w:spacing w:after="0"/>
              <w:jc w:val="center"/>
              <w:rPr>
                <w:rFonts w:ascii="Times New Roman" w:hAnsi="Times New Roman" w:cs="Times New Roman"/>
                <w:b w:val="0"/>
                <w:bCs w:val="0"/>
                <w:sz w:val="22"/>
                <w:szCs w:val="22"/>
                <w:lang w:bidi="ar-JO"/>
              </w:rPr>
            </w:pPr>
            <w:r w:rsidRPr="004E2C3A">
              <w:rPr>
                <w:rFonts w:ascii="Times New Roman" w:hAnsi="Times New Roman" w:cs="Times New Roman"/>
                <w:b w:val="0"/>
                <w:bCs w:val="0"/>
                <w:sz w:val="22"/>
                <w:szCs w:val="22"/>
                <w:lang w:bidi="ar-JO"/>
              </w:rPr>
              <w:t>0</w:t>
            </w:r>
          </w:p>
        </w:tc>
        <w:tc>
          <w:tcPr>
            <w:tcW w:w="968" w:type="dxa"/>
          </w:tcPr>
          <w:p w:rsidR="00206D79" w:rsidRPr="004E2C3A" w:rsidRDefault="00206D79" w:rsidP="004E2C3A">
            <w:pPr>
              <w:bidi w:val="0"/>
              <w:spacing w:after="0"/>
              <w:jc w:val="center"/>
              <w:rPr>
                <w:rFonts w:ascii="Times New Roman" w:hAnsi="Times New Roman" w:cs="Times New Roman"/>
                <w:b w:val="0"/>
                <w:bCs w:val="0"/>
                <w:sz w:val="22"/>
                <w:szCs w:val="22"/>
                <w:lang w:bidi="ar-JO"/>
              </w:rPr>
            </w:pPr>
            <w:r w:rsidRPr="004E2C3A">
              <w:rPr>
                <w:rFonts w:ascii="Times New Roman" w:hAnsi="Times New Roman" w:cs="Times New Roman"/>
                <w:b w:val="0"/>
                <w:bCs w:val="0"/>
                <w:sz w:val="22"/>
                <w:szCs w:val="22"/>
                <w:lang w:bidi="ar-JO"/>
              </w:rPr>
              <w:t>0</w:t>
            </w:r>
          </w:p>
        </w:tc>
      </w:tr>
      <w:tr w:rsidR="00206D79" w:rsidTr="00206D79">
        <w:tc>
          <w:tcPr>
            <w:tcW w:w="1282" w:type="dxa"/>
          </w:tcPr>
          <w:p w:rsidR="00206D79" w:rsidRPr="004E2C3A" w:rsidRDefault="00206D79" w:rsidP="004E2C3A">
            <w:pPr>
              <w:bidi w:val="0"/>
              <w:spacing w:after="0"/>
              <w:jc w:val="center"/>
              <w:rPr>
                <w:rFonts w:ascii="Times New Roman" w:hAnsi="Times New Roman" w:cs="Times New Roman"/>
                <w:b w:val="0"/>
                <w:bCs w:val="0"/>
                <w:sz w:val="22"/>
                <w:szCs w:val="22"/>
                <w:lang w:bidi="ar-JO"/>
              </w:rPr>
            </w:pPr>
            <w:r w:rsidRPr="004E2C3A">
              <w:rPr>
                <w:rFonts w:ascii="Times New Roman" w:hAnsi="Times New Roman" w:cs="Times New Roman"/>
                <w:b w:val="0"/>
                <w:bCs w:val="0"/>
                <w:sz w:val="22"/>
                <w:szCs w:val="22"/>
                <w:lang w:bidi="ar-JO"/>
              </w:rPr>
              <w:t>Total of (b)</w:t>
            </w:r>
          </w:p>
        </w:tc>
        <w:tc>
          <w:tcPr>
            <w:tcW w:w="1016" w:type="dxa"/>
          </w:tcPr>
          <w:p w:rsidR="00206D79" w:rsidRPr="004E2C3A" w:rsidRDefault="00206D79" w:rsidP="004E2C3A">
            <w:pPr>
              <w:bidi w:val="0"/>
              <w:spacing w:after="0"/>
              <w:jc w:val="center"/>
              <w:rPr>
                <w:rFonts w:ascii="Times New Roman" w:hAnsi="Times New Roman" w:cs="Times New Roman"/>
                <w:b w:val="0"/>
                <w:bCs w:val="0"/>
                <w:sz w:val="22"/>
                <w:szCs w:val="22"/>
                <w:lang w:bidi="ar-JO"/>
              </w:rPr>
            </w:pPr>
            <w:r w:rsidRPr="004E2C3A">
              <w:rPr>
                <w:rFonts w:ascii="Times New Roman" w:hAnsi="Times New Roman" w:cs="Times New Roman"/>
                <w:b w:val="0"/>
                <w:bCs w:val="0"/>
                <w:sz w:val="22"/>
                <w:szCs w:val="22"/>
                <w:lang w:bidi="ar-JO"/>
              </w:rPr>
              <w:t>0</w:t>
            </w:r>
          </w:p>
        </w:tc>
        <w:tc>
          <w:tcPr>
            <w:tcW w:w="953" w:type="dxa"/>
          </w:tcPr>
          <w:p w:rsidR="00206D79" w:rsidRPr="004E2C3A" w:rsidRDefault="00206D79" w:rsidP="004E2C3A">
            <w:pPr>
              <w:bidi w:val="0"/>
              <w:spacing w:after="0"/>
              <w:jc w:val="center"/>
              <w:rPr>
                <w:rFonts w:ascii="Times New Roman" w:hAnsi="Times New Roman" w:cs="Times New Roman"/>
                <w:b w:val="0"/>
                <w:bCs w:val="0"/>
                <w:sz w:val="22"/>
                <w:szCs w:val="22"/>
                <w:lang w:bidi="ar-JO"/>
              </w:rPr>
            </w:pPr>
            <w:r w:rsidRPr="004E2C3A">
              <w:rPr>
                <w:rFonts w:ascii="Times New Roman" w:hAnsi="Times New Roman" w:cs="Times New Roman"/>
                <w:b w:val="0"/>
                <w:bCs w:val="0"/>
                <w:sz w:val="22"/>
                <w:szCs w:val="22"/>
                <w:lang w:bidi="ar-JO"/>
              </w:rPr>
              <w:t>0</w:t>
            </w:r>
          </w:p>
        </w:tc>
        <w:tc>
          <w:tcPr>
            <w:tcW w:w="1266" w:type="dxa"/>
          </w:tcPr>
          <w:p w:rsidR="00206D79" w:rsidRPr="004E2C3A" w:rsidRDefault="00206D79" w:rsidP="004E2C3A">
            <w:pPr>
              <w:bidi w:val="0"/>
              <w:spacing w:after="0"/>
              <w:jc w:val="center"/>
              <w:rPr>
                <w:rFonts w:ascii="Times New Roman" w:hAnsi="Times New Roman" w:cs="Times New Roman"/>
                <w:b w:val="0"/>
                <w:bCs w:val="0"/>
                <w:sz w:val="22"/>
                <w:szCs w:val="22"/>
                <w:lang w:bidi="ar-JO"/>
              </w:rPr>
            </w:pPr>
            <w:r w:rsidRPr="004E2C3A">
              <w:rPr>
                <w:rFonts w:ascii="Times New Roman" w:hAnsi="Times New Roman" w:cs="Times New Roman"/>
                <w:b w:val="0"/>
                <w:bCs w:val="0"/>
                <w:sz w:val="22"/>
                <w:szCs w:val="22"/>
                <w:lang w:bidi="ar-JO"/>
              </w:rPr>
              <w:t>0</w:t>
            </w:r>
          </w:p>
        </w:tc>
        <w:tc>
          <w:tcPr>
            <w:tcW w:w="362" w:type="dxa"/>
          </w:tcPr>
          <w:p w:rsidR="00206D79" w:rsidRPr="004E2C3A" w:rsidRDefault="00206D79" w:rsidP="004E2C3A">
            <w:pPr>
              <w:bidi w:val="0"/>
              <w:spacing w:after="0"/>
              <w:jc w:val="center"/>
              <w:rPr>
                <w:rFonts w:ascii="Times New Roman" w:hAnsi="Times New Roman" w:cs="Times New Roman"/>
                <w:b w:val="0"/>
                <w:bCs w:val="0"/>
                <w:sz w:val="22"/>
                <w:szCs w:val="22"/>
                <w:lang w:bidi="ar-JO"/>
              </w:rPr>
            </w:pPr>
            <w:r w:rsidRPr="004E2C3A">
              <w:rPr>
                <w:rFonts w:ascii="Times New Roman" w:hAnsi="Times New Roman" w:cs="Times New Roman"/>
                <w:b w:val="0"/>
                <w:bCs w:val="0"/>
                <w:sz w:val="22"/>
                <w:szCs w:val="22"/>
                <w:lang w:bidi="ar-JO"/>
              </w:rPr>
              <w:t>0</w:t>
            </w:r>
          </w:p>
        </w:tc>
        <w:tc>
          <w:tcPr>
            <w:tcW w:w="1324" w:type="dxa"/>
          </w:tcPr>
          <w:p w:rsidR="00206D79" w:rsidRPr="004E2C3A" w:rsidRDefault="00206D79" w:rsidP="004E2C3A">
            <w:pPr>
              <w:bidi w:val="0"/>
              <w:spacing w:after="0"/>
              <w:jc w:val="center"/>
              <w:rPr>
                <w:rFonts w:ascii="Times New Roman" w:hAnsi="Times New Roman" w:cs="Times New Roman"/>
                <w:b w:val="0"/>
                <w:bCs w:val="0"/>
                <w:sz w:val="22"/>
                <w:szCs w:val="22"/>
                <w:lang w:bidi="ar-JO"/>
              </w:rPr>
            </w:pPr>
            <w:r w:rsidRPr="004E2C3A">
              <w:rPr>
                <w:rFonts w:ascii="Times New Roman" w:hAnsi="Times New Roman" w:cs="Times New Roman"/>
                <w:b w:val="0"/>
                <w:bCs w:val="0"/>
                <w:sz w:val="22"/>
                <w:szCs w:val="22"/>
                <w:lang w:bidi="ar-JO"/>
              </w:rPr>
              <w:t>0</w:t>
            </w:r>
          </w:p>
        </w:tc>
        <w:tc>
          <w:tcPr>
            <w:tcW w:w="1224" w:type="dxa"/>
          </w:tcPr>
          <w:p w:rsidR="00206D79" w:rsidRPr="004E2C3A" w:rsidRDefault="00206D79" w:rsidP="004E2C3A">
            <w:pPr>
              <w:bidi w:val="0"/>
              <w:spacing w:after="0"/>
              <w:jc w:val="center"/>
              <w:rPr>
                <w:rFonts w:ascii="Times New Roman" w:hAnsi="Times New Roman" w:cs="Times New Roman"/>
                <w:b w:val="0"/>
                <w:bCs w:val="0"/>
                <w:sz w:val="22"/>
                <w:szCs w:val="22"/>
                <w:lang w:bidi="ar-JO"/>
              </w:rPr>
            </w:pPr>
            <w:r w:rsidRPr="004E2C3A">
              <w:rPr>
                <w:rFonts w:ascii="Times New Roman" w:hAnsi="Times New Roman" w:cs="Times New Roman"/>
                <w:b w:val="0"/>
                <w:bCs w:val="0"/>
                <w:sz w:val="22"/>
                <w:szCs w:val="22"/>
                <w:lang w:bidi="ar-JO"/>
              </w:rPr>
              <w:t>0</w:t>
            </w:r>
          </w:p>
        </w:tc>
        <w:tc>
          <w:tcPr>
            <w:tcW w:w="968" w:type="dxa"/>
          </w:tcPr>
          <w:p w:rsidR="00206D79" w:rsidRPr="004E2C3A" w:rsidRDefault="00206D79" w:rsidP="004E2C3A">
            <w:pPr>
              <w:bidi w:val="0"/>
              <w:spacing w:after="0"/>
              <w:jc w:val="center"/>
              <w:rPr>
                <w:rFonts w:ascii="Times New Roman" w:hAnsi="Times New Roman" w:cs="Times New Roman"/>
                <w:b w:val="0"/>
                <w:bCs w:val="0"/>
                <w:sz w:val="22"/>
                <w:szCs w:val="22"/>
                <w:lang w:bidi="ar-JO"/>
              </w:rPr>
            </w:pPr>
            <w:r w:rsidRPr="004E2C3A">
              <w:rPr>
                <w:rFonts w:ascii="Times New Roman" w:hAnsi="Times New Roman" w:cs="Times New Roman"/>
                <w:b w:val="0"/>
                <w:bCs w:val="0"/>
                <w:sz w:val="22"/>
                <w:szCs w:val="22"/>
                <w:lang w:bidi="ar-JO"/>
              </w:rPr>
              <w:t>0</w:t>
            </w:r>
          </w:p>
        </w:tc>
      </w:tr>
      <w:tr w:rsidR="00206D79" w:rsidTr="00206D79">
        <w:tc>
          <w:tcPr>
            <w:tcW w:w="7427" w:type="dxa"/>
            <w:gridSpan w:val="7"/>
          </w:tcPr>
          <w:p w:rsidR="00206D79" w:rsidRPr="004E2C3A" w:rsidRDefault="00206D79" w:rsidP="004E2C3A">
            <w:pPr>
              <w:bidi w:val="0"/>
              <w:spacing w:after="0"/>
              <w:jc w:val="left"/>
              <w:rPr>
                <w:rFonts w:ascii="Times New Roman" w:hAnsi="Times New Roman" w:cs="Times New Roman"/>
                <w:b w:val="0"/>
                <w:bCs w:val="0"/>
                <w:sz w:val="22"/>
                <w:szCs w:val="22"/>
                <w:lang w:bidi="ar-JO"/>
              </w:rPr>
            </w:pPr>
            <w:r w:rsidRPr="004E2C3A">
              <w:rPr>
                <w:rFonts w:ascii="Times New Roman" w:hAnsi="Times New Roman" w:cs="Times New Roman"/>
                <w:b w:val="0"/>
                <w:bCs w:val="0"/>
                <w:sz w:val="22"/>
                <w:szCs w:val="22"/>
                <w:lang w:bidi="ar-JO"/>
              </w:rPr>
              <w:t xml:space="preserve">Capital charge for market risk = </w:t>
            </w:r>
            <w:proofErr w:type="spellStart"/>
            <w:r w:rsidRPr="004E2C3A">
              <w:rPr>
                <w:rFonts w:ascii="Times New Roman" w:hAnsi="Times New Roman" w:cs="Times New Roman"/>
                <w:b w:val="0"/>
                <w:bCs w:val="0"/>
                <w:sz w:val="22"/>
                <w:szCs w:val="22"/>
                <w:lang w:bidi="ar-JO"/>
              </w:rPr>
              <w:t>a+b</w:t>
            </w:r>
            <w:proofErr w:type="spellEnd"/>
          </w:p>
        </w:tc>
        <w:tc>
          <w:tcPr>
            <w:tcW w:w="968" w:type="dxa"/>
          </w:tcPr>
          <w:p w:rsidR="00206D79" w:rsidRPr="004E2C3A" w:rsidRDefault="00206D79" w:rsidP="004E2C3A">
            <w:pPr>
              <w:bidi w:val="0"/>
              <w:spacing w:after="0"/>
              <w:jc w:val="center"/>
              <w:rPr>
                <w:rFonts w:ascii="Times New Roman" w:hAnsi="Times New Roman" w:cs="Times New Roman"/>
                <w:b w:val="0"/>
                <w:bCs w:val="0"/>
                <w:sz w:val="22"/>
                <w:szCs w:val="22"/>
                <w:lang w:bidi="ar-JO"/>
              </w:rPr>
            </w:pPr>
            <w:r w:rsidRPr="004E2C3A">
              <w:rPr>
                <w:rFonts w:ascii="Times New Roman" w:hAnsi="Times New Roman" w:cs="Times New Roman"/>
                <w:b w:val="0"/>
                <w:bCs w:val="0"/>
                <w:sz w:val="22"/>
                <w:szCs w:val="22"/>
                <w:lang w:bidi="ar-JO"/>
              </w:rPr>
              <w:t>0</w:t>
            </w:r>
          </w:p>
        </w:tc>
      </w:tr>
      <w:tr w:rsidR="00206D79" w:rsidTr="00206D79">
        <w:tc>
          <w:tcPr>
            <w:tcW w:w="7427" w:type="dxa"/>
            <w:gridSpan w:val="7"/>
          </w:tcPr>
          <w:p w:rsidR="00206D79" w:rsidRPr="004E2C3A" w:rsidRDefault="003A5DE7" w:rsidP="004E2C3A">
            <w:pPr>
              <w:bidi w:val="0"/>
              <w:spacing w:after="0"/>
              <w:jc w:val="left"/>
              <w:rPr>
                <w:rFonts w:ascii="Times New Roman" w:hAnsi="Times New Roman" w:cs="Times New Roman"/>
                <w:b w:val="0"/>
                <w:bCs w:val="0"/>
                <w:sz w:val="22"/>
                <w:szCs w:val="22"/>
                <w:lang w:bidi="ar-JO"/>
              </w:rPr>
            </w:pPr>
            <w:r w:rsidRPr="004E2C3A">
              <w:rPr>
                <w:rFonts w:ascii="Times New Roman" w:hAnsi="Times New Roman" w:cs="Times New Roman"/>
                <w:b w:val="0"/>
                <w:bCs w:val="0"/>
                <w:sz w:val="22"/>
                <w:szCs w:val="22"/>
                <w:lang w:bidi="ar-JO"/>
              </w:rPr>
              <w:t>Capital charge for derivatives= total Capital charge for derivatives *12.5</w:t>
            </w:r>
          </w:p>
        </w:tc>
        <w:tc>
          <w:tcPr>
            <w:tcW w:w="968" w:type="dxa"/>
          </w:tcPr>
          <w:p w:rsidR="00206D79" w:rsidRPr="004E2C3A" w:rsidRDefault="003A5DE7" w:rsidP="004E2C3A">
            <w:pPr>
              <w:bidi w:val="0"/>
              <w:spacing w:after="0"/>
              <w:jc w:val="center"/>
              <w:rPr>
                <w:rFonts w:ascii="Times New Roman" w:hAnsi="Times New Roman" w:cs="Times New Roman"/>
                <w:b w:val="0"/>
                <w:bCs w:val="0"/>
                <w:sz w:val="22"/>
                <w:szCs w:val="22"/>
                <w:lang w:bidi="ar-JO"/>
              </w:rPr>
            </w:pPr>
            <w:r w:rsidRPr="004E2C3A">
              <w:rPr>
                <w:rFonts w:ascii="Times New Roman" w:hAnsi="Times New Roman" w:cs="Times New Roman"/>
                <w:b w:val="0"/>
                <w:bCs w:val="0"/>
                <w:sz w:val="22"/>
                <w:szCs w:val="22"/>
                <w:lang w:bidi="ar-JO"/>
              </w:rPr>
              <w:t>0</w:t>
            </w:r>
          </w:p>
        </w:tc>
      </w:tr>
    </w:tbl>
    <w:p w:rsidR="004E2C3A" w:rsidRDefault="004E2C3A" w:rsidP="004E2C3A">
      <w:pPr>
        <w:bidi w:val="0"/>
        <w:jc w:val="left"/>
        <w:rPr>
          <w:color w:val="202124"/>
          <w:lang w:val="en"/>
        </w:rPr>
      </w:pPr>
    </w:p>
    <w:p w:rsidR="00997B8F" w:rsidRPr="00563636" w:rsidRDefault="004E2C3A" w:rsidP="004E2C3A">
      <w:pPr>
        <w:bidi w:val="0"/>
        <w:jc w:val="left"/>
        <w:rPr>
          <w:rFonts w:ascii="Times New Roman" w:hAnsi="Times New Roman" w:cs="Times New Roman"/>
          <w:b w:val="0"/>
          <w:bCs w:val="0"/>
          <w:color w:val="202124"/>
          <w:lang w:val="en"/>
        </w:rPr>
      </w:pPr>
      <w:r w:rsidRPr="00563636">
        <w:rPr>
          <w:rFonts w:ascii="Times New Roman" w:hAnsi="Times New Roman" w:cs="Times New Roman"/>
          <w:b w:val="0"/>
          <w:bCs w:val="0"/>
          <w:color w:val="202124"/>
          <w:lang w:val="en"/>
        </w:rPr>
        <w:t>The value of the derivative (In the Money) is profit in the following cases:</w:t>
      </w:r>
    </w:p>
    <w:p w:rsidR="004E2C3A" w:rsidRPr="00563636" w:rsidRDefault="004E2C3A" w:rsidP="00563636">
      <w:pPr>
        <w:pStyle w:val="ListParagraph"/>
        <w:numPr>
          <w:ilvl w:val="0"/>
          <w:numId w:val="46"/>
        </w:numPr>
        <w:bidi w:val="0"/>
        <w:ind w:left="709" w:hanging="425"/>
        <w:jc w:val="left"/>
        <w:rPr>
          <w:rFonts w:ascii="Times New Roman" w:hAnsi="Times New Roman" w:cs="Times New Roman"/>
          <w:b w:val="0"/>
          <w:bCs w:val="0"/>
          <w:color w:val="202124"/>
          <w:lang w:val="en"/>
        </w:rPr>
      </w:pPr>
      <w:r w:rsidRPr="00563636">
        <w:rPr>
          <w:rFonts w:ascii="Times New Roman" w:hAnsi="Times New Roman" w:cs="Times New Roman"/>
          <w:b w:val="0"/>
          <w:bCs w:val="0"/>
          <w:color w:val="202124"/>
          <w:lang w:val="en"/>
        </w:rPr>
        <w:t xml:space="preserve">Call: When the </w:t>
      </w:r>
      <w:r w:rsidR="00563636" w:rsidRPr="00563636">
        <w:rPr>
          <w:rFonts w:ascii="Times New Roman" w:hAnsi="Times New Roman" w:cs="Times New Roman"/>
          <w:b w:val="0"/>
          <w:bCs w:val="0"/>
          <w:color w:val="202124"/>
          <w:lang w:val="en"/>
        </w:rPr>
        <w:t>strike</w:t>
      </w:r>
      <w:r w:rsidRPr="00563636">
        <w:rPr>
          <w:rFonts w:ascii="Times New Roman" w:hAnsi="Times New Roman" w:cs="Times New Roman"/>
          <w:b w:val="0"/>
          <w:bCs w:val="0"/>
          <w:color w:val="202124"/>
          <w:lang w:val="en"/>
        </w:rPr>
        <w:t xml:space="preserve"> price is less than the actual market.</w:t>
      </w:r>
    </w:p>
    <w:p w:rsidR="004E2C3A" w:rsidRPr="00563636" w:rsidRDefault="004E2C3A" w:rsidP="00563636">
      <w:pPr>
        <w:pStyle w:val="ListParagraph"/>
        <w:numPr>
          <w:ilvl w:val="0"/>
          <w:numId w:val="46"/>
        </w:numPr>
        <w:bidi w:val="0"/>
        <w:ind w:left="709" w:hanging="425"/>
        <w:jc w:val="left"/>
        <w:rPr>
          <w:rFonts w:ascii="Times New Roman" w:hAnsi="Times New Roman" w:cs="Times New Roman"/>
          <w:b w:val="0"/>
          <w:bCs w:val="0"/>
          <w:color w:val="202124"/>
          <w:lang w:val="en"/>
        </w:rPr>
      </w:pPr>
      <w:r w:rsidRPr="00563636">
        <w:rPr>
          <w:rFonts w:ascii="Times New Roman" w:hAnsi="Times New Roman" w:cs="Times New Roman"/>
          <w:b w:val="0"/>
          <w:bCs w:val="0"/>
          <w:color w:val="202124"/>
          <w:lang w:val="en"/>
        </w:rPr>
        <w:t xml:space="preserve">Put: When the </w:t>
      </w:r>
      <w:r w:rsidR="00563636" w:rsidRPr="00563636">
        <w:rPr>
          <w:rFonts w:ascii="Times New Roman" w:hAnsi="Times New Roman" w:cs="Times New Roman"/>
          <w:b w:val="0"/>
          <w:bCs w:val="0"/>
          <w:color w:val="202124"/>
          <w:lang w:val="en"/>
        </w:rPr>
        <w:t xml:space="preserve">strike </w:t>
      </w:r>
      <w:r w:rsidRPr="00563636">
        <w:rPr>
          <w:rFonts w:ascii="Times New Roman" w:hAnsi="Times New Roman" w:cs="Times New Roman"/>
          <w:b w:val="0"/>
          <w:bCs w:val="0"/>
          <w:color w:val="202124"/>
          <w:lang w:val="en"/>
        </w:rPr>
        <w:t>price is greater than the actual market.</w:t>
      </w:r>
    </w:p>
    <w:p w:rsidR="004E2C3A" w:rsidRDefault="004E2C3A" w:rsidP="004E2C3A">
      <w:pPr>
        <w:pStyle w:val="ListParagraph"/>
        <w:bidi w:val="0"/>
        <w:ind w:left="1835"/>
        <w:jc w:val="left"/>
        <w:rPr>
          <w:lang w:bidi="ar-JO"/>
        </w:rPr>
      </w:pPr>
    </w:p>
    <w:p w:rsidR="004E2C3A" w:rsidRDefault="004E2C3A" w:rsidP="004E2C3A">
      <w:pPr>
        <w:bidi w:val="0"/>
        <w:jc w:val="left"/>
        <w:rPr>
          <w:lang w:bidi="ar-JO"/>
        </w:rPr>
      </w:pPr>
    </w:p>
    <w:p w:rsidR="00C321FD" w:rsidRDefault="00C321FD" w:rsidP="00C321FD">
      <w:pPr>
        <w:bidi w:val="0"/>
        <w:jc w:val="left"/>
        <w:rPr>
          <w:lang w:bidi="ar-JO"/>
        </w:rPr>
      </w:pPr>
    </w:p>
    <w:p w:rsidR="00C321FD" w:rsidRDefault="00C321FD" w:rsidP="00C321FD">
      <w:pPr>
        <w:bidi w:val="0"/>
        <w:jc w:val="left"/>
        <w:rPr>
          <w:lang w:bidi="ar-JO"/>
        </w:rPr>
      </w:pPr>
    </w:p>
    <w:p w:rsidR="00B66B27" w:rsidRDefault="00B66B27" w:rsidP="00B66B27">
      <w:pPr>
        <w:bidi w:val="0"/>
        <w:jc w:val="left"/>
        <w:rPr>
          <w:lang w:bidi="ar-JO"/>
        </w:rPr>
      </w:pPr>
    </w:p>
    <w:p w:rsidR="00C321FD" w:rsidRPr="00D036DF" w:rsidRDefault="00C321FD" w:rsidP="00B66B27">
      <w:pPr>
        <w:pStyle w:val="Heading1"/>
        <w:pBdr>
          <w:bottom w:val="single" w:sz="4" w:space="1" w:color="auto"/>
        </w:pBdr>
        <w:bidi w:val="0"/>
        <w:jc w:val="center"/>
        <w:rPr>
          <w:rFonts w:asciiTheme="majorBidi" w:hAnsiTheme="majorBidi" w:cstheme="majorBidi"/>
          <w:b/>
          <w:bCs/>
        </w:rPr>
      </w:pPr>
      <w:bookmarkStart w:id="95" w:name="_Toc65354431"/>
      <w:r w:rsidRPr="00D036DF">
        <w:rPr>
          <w:rFonts w:asciiTheme="majorBidi" w:hAnsiTheme="majorBidi" w:cstheme="majorBidi"/>
          <w:b/>
          <w:bCs/>
        </w:rPr>
        <w:lastRenderedPageBreak/>
        <w:t>Annex (</w:t>
      </w:r>
      <w:r w:rsidR="0001223F" w:rsidRPr="00D036DF">
        <w:rPr>
          <w:rFonts w:asciiTheme="majorBidi" w:hAnsiTheme="majorBidi" w:cstheme="majorBidi"/>
          <w:b/>
          <w:bCs/>
        </w:rPr>
        <w:t>22</w:t>
      </w:r>
      <w:r w:rsidRPr="00D036DF">
        <w:rPr>
          <w:rFonts w:asciiTheme="majorBidi" w:hAnsiTheme="majorBidi" w:cstheme="majorBidi"/>
          <w:b/>
          <w:bCs/>
        </w:rPr>
        <w:t>)</w:t>
      </w:r>
      <w:r w:rsidR="00B66B27">
        <w:rPr>
          <w:rFonts w:asciiTheme="majorBidi" w:hAnsiTheme="majorBidi" w:cstheme="majorBidi"/>
          <w:b/>
          <w:bCs/>
        </w:rPr>
        <w:t xml:space="preserve"> </w:t>
      </w:r>
      <w:r w:rsidRPr="00563636">
        <w:rPr>
          <w:rFonts w:asciiTheme="majorBidi" w:hAnsiTheme="majorBidi" w:cstheme="majorBidi"/>
          <w:b/>
          <w:bCs/>
        </w:rPr>
        <w:t xml:space="preserve">The counterparty risks for repurchase, reverse repurchase, </w:t>
      </w:r>
      <w:r w:rsidR="009A424F" w:rsidRPr="00563636">
        <w:rPr>
          <w:rFonts w:asciiTheme="majorBidi" w:hAnsiTheme="majorBidi" w:cstheme="majorBidi"/>
          <w:b/>
          <w:bCs/>
        </w:rPr>
        <w:t>securities lending and borrowing agreements</w:t>
      </w:r>
      <w:bookmarkEnd w:id="95"/>
      <w:r w:rsidRPr="00D036DF">
        <w:rPr>
          <w:rFonts w:asciiTheme="majorBidi" w:hAnsiTheme="majorBidi" w:cstheme="majorBidi"/>
          <w:b/>
          <w:bCs/>
        </w:rPr>
        <w:t xml:space="preserve"> </w:t>
      </w:r>
    </w:p>
    <w:p w:rsidR="009A424F" w:rsidRPr="004A29F5" w:rsidRDefault="009A424F" w:rsidP="009A424F">
      <w:pPr>
        <w:bidi w:val="0"/>
        <w:jc w:val="center"/>
        <w:rPr>
          <w:sz w:val="14"/>
          <w:szCs w:val="14"/>
          <w:lang w:bidi="ar-JO"/>
        </w:rPr>
      </w:pPr>
    </w:p>
    <w:p w:rsidR="009A424F" w:rsidRPr="0001223F" w:rsidRDefault="004A29F5" w:rsidP="009A424F">
      <w:pPr>
        <w:bidi w:val="0"/>
        <w:jc w:val="left"/>
        <w:rPr>
          <w:rFonts w:ascii="Times New Roman" w:hAnsi="Times New Roman" w:cs="Times New Roman"/>
          <w:sz w:val="24"/>
          <w:szCs w:val="24"/>
          <w:lang w:bidi="ar-JO"/>
        </w:rPr>
      </w:pPr>
      <w:r w:rsidRPr="0001223F">
        <w:rPr>
          <w:rFonts w:ascii="Times New Roman" w:hAnsi="Times New Roman" w:cs="Times New Roman"/>
          <w:sz w:val="24"/>
          <w:szCs w:val="24"/>
          <w:lang w:bidi="ar-JO"/>
        </w:rPr>
        <w:t>A</w:t>
      </w:r>
      <w:r w:rsidR="009A424F" w:rsidRPr="0001223F">
        <w:rPr>
          <w:rFonts w:ascii="Times New Roman" w:hAnsi="Times New Roman" w:cs="Times New Roman"/>
          <w:sz w:val="24"/>
          <w:szCs w:val="24"/>
          <w:lang w:bidi="ar-JO"/>
        </w:rPr>
        <w:t>/1</w:t>
      </w:r>
      <w:r w:rsidR="009A424F" w:rsidRPr="0001223F">
        <w:rPr>
          <w:rFonts w:ascii="Times New Roman" w:hAnsi="Times New Roman" w:cs="Times New Roman"/>
          <w:sz w:val="24"/>
          <w:szCs w:val="24"/>
          <w:lang w:bidi="ar-JO"/>
        </w:rPr>
        <w:tab/>
        <w:t>Repurchase and securities lending agreements:</w:t>
      </w:r>
    </w:p>
    <w:tbl>
      <w:tblPr>
        <w:tblStyle w:val="TableGrid"/>
        <w:tblW w:w="8931" w:type="dxa"/>
        <w:tblInd w:w="-431" w:type="dxa"/>
        <w:tblLook w:val="04A0" w:firstRow="1" w:lastRow="0" w:firstColumn="1" w:lastColumn="0" w:noHBand="0" w:noVBand="1"/>
      </w:tblPr>
      <w:tblGrid>
        <w:gridCol w:w="1552"/>
        <w:gridCol w:w="1328"/>
        <w:gridCol w:w="1090"/>
        <w:gridCol w:w="1410"/>
        <w:gridCol w:w="1290"/>
        <w:gridCol w:w="1055"/>
        <w:gridCol w:w="1206"/>
      </w:tblGrid>
      <w:tr w:rsidR="004A29F5" w:rsidTr="00C756C8">
        <w:tc>
          <w:tcPr>
            <w:tcW w:w="1552" w:type="dxa"/>
            <w:shd w:val="clear" w:color="auto" w:fill="EDEDED" w:themeFill="accent3" w:themeFillTint="33"/>
            <w:vAlign w:val="center"/>
          </w:tcPr>
          <w:p w:rsidR="00914954" w:rsidRPr="00563636" w:rsidRDefault="00914954" w:rsidP="004A29F5">
            <w:pPr>
              <w:bidi w:val="0"/>
              <w:spacing w:after="0"/>
              <w:jc w:val="center"/>
              <w:rPr>
                <w:rFonts w:ascii="Times New Roman" w:hAnsi="Times New Roman" w:cs="Times New Roman"/>
                <w:b w:val="0"/>
                <w:bCs w:val="0"/>
                <w:sz w:val="22"/>
                <w:szCs w:val="22"/>
                <w:lang w:bidi="ar-JO"/>
              </w:rPr>
            </w:pPr>
            <w:r w:rsidRPr="00563636">
              <w:rPr>
                <w:rFonts w:ascii="Times New Roman" w:hAnsi="Times New Roman" w:cs="Times New Roman"/>
                <w:b w:val="0"/>
                <w:bCs w:val="0"/>
                <w:sz w:val="22"/>
                <w:szCs w:val="22"/>
                <w:lang w:bidi="ar-JO"/>
              </w:rPr>
              <w:t>The counterparty raring</w:t>
            </w:r>
          </w:p>
        </w:tc>
        <w:tc>
          <w:tcPr>
            <w:tcW w:w="1328" w:type="dxa"/>
            <w:shd w:val="clear" w:color="auto" w:fill="EDEDED" w:themeFill="accent3" w:themeFillTint="33"/>
            <w:vAlign w:val="center"/>
          </w:tcPr>
          <w:p w:rsidR="00914954" w:rsidRPr="00563636" w:rsidRDefault="00914954" w:rsidP="004A29F5">
            <w:pPr>
              <w:bidi w:val="0"/>
              <w:spacing w:after="0"/>
              <w:jc w:val="center"/>
              <w:rPr>
                <w:rFonts w:ascii="Times New Roman" w:hAnsi="Times New Roman" w:cs="Times New Roman"/>
                <w:b w:val="0"/>
                <w:bCs w:val="0"/>
                <w:sz w:val="22"/>
                <w:szCs w:val="22"/>
                <w:lang w:bidi="ar-JO"/>
              </w:rPr>
            </w:pPr>
            <w:r w:rsidRPr="00563636">
              <w:rPr>
                <w:rFonts w:ascii="Times New Roman" w:hAnsi="Times New Roman" w:cs="Times New Roman"/>
                <w:b w:val="0"/>
                <w:bCs w:val="0"/>
                <w:sz w:val="22"/>
                <w:szCs w:val="22"/>
                <w:lang w:bidi="ar-JO"/>
              </w:rPr>
              <w:t>The counterparty weight</w:t>
            </w:r>
          </w:p>
        </w:tc>
        <w:tc>
          <w:tcPr>
            <w:tcW w:w="1090" w:type="dxa"/>
            <w:shd w:val="clear" w:color="auto" w:fill="EDEDED" w:themeFill="accent3" w:themeFillTint="33"/>
            <w:vAlign w:val="center"/>
          </w:tcPr>
          <w:p w:rsidR="00914954" w:rsidRPr="00563636" w:rsidRDefault="00914954" w:rsidP="004A29F5">
            <w:pPr>
              <w:bidi w:val="0"/>
              <w:spacing w:after="0"/>
              <w:jc w:val="center"/>
              <w:rPr>
                <w:rFonts w:ascii="Times New Roman" w:hAnsi="Times New Roman" w:cs="Times New Roman"/>
                <w:b w:val="0"/>
                <w:bCs w:val="0"/>
                <w:sz w:val="22"/>
                <w:szCs w:val="22"/>
                <w:lang w:bidi="ar-JO"/>
              </w:rPr>
            </w:pPr>
            <w:r w:rsidRPr="00563636">
              <w:rPr>
                <w:rFonts w:ascii="Times New Roman" w:hAnsi="Times New Roman" w:cs="Times New Roman"/>
                <w:b w:val="0"/>
                <w:bCs w:val="0"/>
                <w:color w:val="202124"/>
                <w:sz w:val="22"/>
                <w:szCs w:val="22"/>
                <w:lang w:val="en"/>
              </w:rPr>
              <w:t>The market value of sold or</w:t>
            </w:r>
            <w:r w:rsidRPr="00563636">
              <w:rPr>
                <w:rFonts w:ascii="Times New Roman" w:hAnsi="Times New Roman" w:cs="Times New Roman"/>
                <w:b w:val="0"/>
                <w:bCs w:val="0"/>
                <w:sz w:val="22"/>
                <w:szCs w:val="22"/>
                <w:lang w:bidi="ar-JO"/>
              </w:rPr>
              <w:t xml:space="preserve"> lending securities</w:t>
            </w:r>
          </w:p>
        </w:tc>
        <w:tc>
          <w:tcPr>
            <w:tcW w:w="1410" w:type="dxa"/>
            <w:shd w:val="clear" w:color="auto" w:fill="EDEDED" w:themeFill="accent3" w:themeFillTint="33"/>
            <w:vAlign w:val="center"/>
          </w:tcPr>
          <w:p w:rsidR="00914954" w:rsidRPr="00563636" w:rsidRDefault="00914954" w:rsidP="004A29F5">
            <w:pPr>
              <w:bidi w:val="0"/>
              <w:spacing w:after="0"/>
              <w:jc w:val="center"/>
              <w:rPr>
                <w:rFonts w:ascii="Times New Roman" w:hAnsi="Times New Roman" w:cs="Times New Roman"/>
                <w:b w:val="0"/>
                <w:bCs w:val="0"/>
                <w:color w:val="202124"/>
                <w:sz w:val="22"/>
                <w:szCs w:val="22"/>
                <w:lang w:val="en"/>
              </w:rPr>
            </w:pPr>
            <w:r w:rsidRPr="00563636">
              <w:rPr>
                <w:rFonts w:ascii="Times New Roman" w:hAnsi="Times New Roman" w:cs="Times New Roman"/>
                <w:b w:val="0"/>
                <w:bCs w:val="0"/>
                <w:color w:val="202124"/>
                <w:sz w:val="22"/>
                <w:szCs w:val="22"/>
                <w:lang w:val="en"/>
              </w:rPr>
              <w:t xml:space="preserve">The </w:t>
            </w:r>
            <w:r w:rsidR="004A29F5" w:rsidRPr="00563636">
              <w:rPr>
                <w:rFonts w:ascii="Times New Roman" w:hAnsi="Times New Roman" w:cs="Times New Roman"/>
                <w:b w:val="0"/>
                <w:bCs w:val="0"/>
                <w:color w:val="202124"/>
                <w:sz w:val="22"/>
                <w:szCs w:val="22"/>
                <w:lang w:val="en"/>
              </w:rPr>
              <w:t xml:space="preserve">borrowed </w:t>
            </w:r>
            <w:r w:rsidRPr="00563636">
              <w:rPr>
                <w:rFonts w:ascii="Times New Roman" w:hAnsi="Times New Roman" w:cs="Times New Roman"/>
                <w:b w:val="0"/>
                <w:bCs w:val="0"/>
                <w:color w:val="202124"/>
                <w:sz w:val="22"/>
                <w:szCs w:val="22"/>
                <w:lang w:val="en"/>
              </w:rPr>
              <w:t xml:space="preserve">amounts or the market value of the </w:t>
            </w:r>
            <w:r w:rsidR="004A29F5" w:rsidRPr="00563636">
              <w:rPr>
                <w:rFonts w:ascii="Times New Roman" w:hAnsi="Times New Roman" w:cs="Times New Roman"/>
                <w:b w:val="0"/>
                <w:bCs w:val="0"/>
                <w:color w:val="202124"/>
                <w:sz w:val="22"/>
                <w:szCs w:val="22"/>
                <w:lang w:val="en"/>
              </w:rPr>
              <w:t>taken guarantee</w:t>
            </w:r>
          </w:p>
        </w:tc>
        <w:tc>
          <w:tcPr>
            <w:tcW w:w="1290" w:type="dxa"/>
            <w:shd w:val="clear" w:color="auto" w:fill="EDEDED" w:themeFill="accent3" w:themeFillTint="33"/>
            <w:vAlign w:val="center"/>
          </w:tcPr>
          <w:p w:rsidR="00914954" w:rsidRPr="00563636" w:rsidRDefault="00914954" w:rsidP="004A29F5">
            <w:pPr>
              <w:bidi w:val="0"/>
              <w:spacing w:after="0"/>
              <w:jc w:val="center"/>
              <w:rPr>
                <w:rFonts w:ascii="Times New Roman" w:hAnsi="Times New Roman" w:cs="Times New Roman"/>
                <w:b w:val="0"/>
                <w:bCs w:val="0"/>
                <w:sz w:val="22"/>
                <w:szCs w:val="22"/>
                <w:lang w:bidi="ar-JO"/>
              </w:rPr>
            </w:pPr>
            <w:r w:rsidRPr="00563636">
              <w:rPr>
                <w:rFonts w:ascii="Times New Roman" w:hAnsi="Times New Roman" w:cs="Times New Roman"/>
                <w:b w:val="0"/>
                <w:bCs w:val="0"/>
                <w:sz w:val="22"/>
                <w:szCs w:val="22"/>
                <w:lang w:bidi="ar-JO"/>
              </w:rPr>
              <w:t>Positive difference *</w:t>
            </w:r>
          </w:p>
        </w:tc>
        <w:tc>
          <w:tcPr>
            <w:tcW w:w="1055" w:type="dxa"/>
            <w:shd w:val="clear" w:color="auto" w:fill="EDEDED" w:themeFill="accent3" w:themeFillTint="33"/>
            <w:vAlign w:val="center"/>
          </w:tcPr>
          <w:p w:rsidR="00914954" w:rsidRPr="00563636" w:rsidRDefault="00914954" w:rsidP="004A29F5">
            <w:pPr>
              <w:bidi w:val="0"/>
              <w:spacing w:after="0"/>
              <w:jc w:val="center"/>
              <w:rPr>
                <w:rFonts w:ascii="Times New Roman" w:hAnsi="Times New Roman" w:cs="Times New Roman"/>
                <w:b w:val="0"/>
                <w:bCs w:val="0"/>
                <w:color w:val="202124"/>
                <w:sz w:val="22"/>
                <w:szCs w:val="22"/>
                <w:lang w:val="en"/>
              </w:rPr>
            </w:pPr>
            <w:r w:rsidRPr="00563636">
              <w:rPr>
                <w:rFonts w:ascii="Times New Roman" w:hAnsi="Times New Roman" w:cs="Times New Roman"/>
                <w:b w:val="0"/>
                <w:bCs w:val="0"/>
                <w:color w:val="202124"/>
                <w:sz w:val="22"/>
                <w:szCs w:val="22"/>
                <w:lang w:val="en"/>
              </w:rPr>
              <w:t>The ratio of the required capital</w:t>
            </w:r>
          </w:p>
        </w:tc>
        <w:tc>
          <w:tcPr>
            <w:tcW w:w="1206" w:type="dxa"/>
            <w:shd w:val="clear" w:color="auto" w:fill="EDEDED" w:themeFill="accent3" w:themeFillTint="33"/>
            <w:vAlign w:val="center"/>
          </w:tcPr>
          <w:p w:rsidR="00914954" w:rsidRPr="00563636" w:rsidRDefault="00914954" w:rsidP="004A29F5">
            <w:pPr>
              <w:bidi w:val="0"/>
              <w:spacing w:after="0"/>
              <w:jc w:val="center"/>
              <w:rPr>
                <w:rFonts w:ascii="Times New Roman" w:hAnsi="Times New Roman" w:cs="Times New Roman"/>
                <w:b w:val="0"/>
                <w:bCs w:val="0"/>
                <w:color w:val="202124"/>
                <w:sz w:val="22"/>
                <w:szCs w:val="22"/>
                <w:lang w:val="en"/>
              </w:rPr>
            </w:pPr>
            <w:r w:rsidRPr="00563636">
              <w:rPr>
                <w:rFonts w:ascii="Times New Roman" w:hAnsi="Times New Roman" w:cs="Times New Roman"/>
                <w:b w:val="0"/>
                <w:bCs w:val="0"/>
                <w:color w:val="202124"/>
                <w:sz w:val="22"/>
                <w:szCs w:val="22"/>
                <w:lang w:val="en"/>
              </w:rPr>
              <w:t>The required capital</w:t>
            </w:r>
          </w:p>
        </w:tc>
      </w:tr>
      <w:tr w:rsidR="004A29F5" w:rsidTr="004A29F5">
        <w:tc>
          <w:tcPr>
            <w:tcW w:w="1552" w:type="dxa"/>
            <w:shd w:val="clear" w:color="auto" w:fill="C9C9C9" w:themeFill="accent3" w:themeFillTint="99"/>
          </w:tcPr>
          <w:p w:rsidR="00914954" w:rsidRPr="00914954" w:rsidRDefault="00914954" w:rsidP="00914954">
            <w:pPr>
              <w:bidi w:val="0"/>
              <w:spacing w:after="0"/>
              <w:jc w:val="left"/>
              <w:rPr>
                <w:rFonts w:ascii="Times New Roman" w:hAnsi="Times New Roman" w:cs="Times New Roman"/>
                <w:b w:val="0"/>
                <w:bCs w:val="0"/>
                <w:sz w:val="22"/>
                <w:szCs w:val="22"/>
                <w:lang w:bidi="ar-JO"/>
              </w:rPr>
            </w:pPr>
          </w:p>
        </w:tc>
        <w:tc>
          <w:tcPr>
            <w:tcW w:w="1328" w:type="dxa"/>
            <w:shd w:val="clear" w:color="auto" w:fill="C9C9C9" w:themeFill="accent3" w:themeFillTint="99"/>
            <w:vAlign w:val="center"/>
          </w:tcPr>
          <w:p w:rsidR="00914954" w:rsidRPr="00914954" w:rsidRDefault="00914954" w:rsidP="004A29F5">
            <w:pPr>
              <w:bidi w:val="0"/>
              <w:spacing w:after="0"/>
              <w:jc w:val="center"/>
              <w:rPr>
                <w:rFonts w:ascii="Times New Roman" w:hAnsi="Times New Roman" w:cs="Times New Roman"/>
                <w:b w:val="0"/>
                <w:bCs w:val="0"/>
                <w:sz w:val="22"/>
                <w:szCs w:val="22"/>
                <w:lang w:bidi="ar-JO"/>
              </w:rPr>
            </w:pPr>
          </w:p>
        </w:tc>
        <w:tc>
          <w:tcPr>
            <w:tcW w:w="1090" w:type="dxa"/>
            <w:shd w:val="clear" w:color="auto" w:fill="C9C9C9" w:themeFill="accent3" w:themeFillTint="99"/>
            <w:vAlign w:val="center"/>
          </w:tcPr>
          <w:p w:rsidR="00914954" w:rsidRPr="00914954" w:rsidRDefault="00914954" w:rsidP="004A29F5">
            <w:pPr>
              <w:bidi w:val="0"/>
              <w:spacing w:after="0"/>
              <w:jc w:val="center"/>
              <w:rPr>
                <w:rFonts w:ascii="Times New Roman" w:hAnsi="Times New Roman" w:cs="Times New Roman"/>
                <w:b w:val="0"/>
                <w:bCs w:val="0"/>
                <w:sz w:val="22"/>
                <w:szCs w:val="22"/>
                <w:lang w:bidi="ar-JO"/>
              </w:rPr>
            </w:pPr>
          </w:p>
        </w:tc>
        <w:tc>
          <w:tcPr>
            <w:tcW w:w="1410" w:type="dxa"/>
            <w:shd w:val="clear" w:color="auto" w:fill="C9C9C9" w:themeFill="accent3" w:themeFillTint="99"/>
            <w:vAlign w:val="center"/>
          </w:tcPr>
          <w:p w:rsidR="00914954" w:rsidRPr="00914954" w:rsidRDefault="00914954" w:rsidP="004A29F5">
            <w:pPr>
              <w:bidi w:val="0"/>
              <w:spacing w:after="0"/>
              <w:jc w:val="center"/>
              <w:rPr>
                <w:rFonts w:ascii="Times New Roman" w:hAnsi="Times New Roman" w:cs="Times New Roman"/>
                <w:b w:val="0"/>
                <w:bCs w:val="0"/>
                <w:sz w:val="22"/>
                <w:szCs w:val="22"/>
                <w:lang w:bidi="ar-JO"/>
              </w:rPr>
            </w:pPr>
          </w:p>
        </w:tc>
        <w:tc>
          <w:tcPr>
            <w:tcW w:w="1290" w:type="dxa"/>
            <w:shd w:val="clear" w:color="auto" w:fill="C9C9C9" w:themeFill="accent3" w:themeFillTint="99"/>
            <w:vAlign w:val="center"/>
          </w:tcPr>
          <w:p w:rsidR="00914954" w:rsidRPr="00914954" w:rsidRDefault="00914954" w:rsidP="004A29F5">
            <w:pPr>
              <w:bidi w:val="0"/>
              <w:spacing w:after="0"/>
              <w:jc w:val="center"/>
              <w:rPr>
                <w:rFonts w:ascii="Times New Roman" w:hAnsi="Times New Roman" w:cs="Times New Roman"/>
                <w:b w:val="0"/>
                <w:bCs w:val="0"/>
                <w:sz w:val="22"/>
                <w:szCs w:val="22"/>
                <w:lang w:bidi="ar-JO"/>
              </w:rPr>
            </w:pPr>
            <w:r w:rsidRPr="00914954">
              <w:rPr>
                <w:rFonts w:ascii="Times New Roman" w:hAnsi="Times New Roman" w:cs="Times New Roman"/>
                <w:b w:val="0"/>
                <w:bCs w:val="0"/>
                <w:sz w:val="22"/>
                <w:szCs w:val="22"/>
                <w:lang w:bidi="ar-JO"/>
              </w:rPr>
              <w:t>(2) – (3)</w:t>
            </w:r>
          </w:p>
        </w:tc>
        <w:tc>
          <w:tcPr>
            <w:tcW w:w="1055" w:type="dxa"/>
            <w:shd w:val="clear" w:color="auto" w:fill="C9C9C9" w:themeFill="accent3" w:themeFillTint="99"/>
            <w:vAlign w:val="center"/>
          </w:tcPr>
          <w:p w:rsidR="00914954" w:rsidRPr="00914954" w:rsidRDefault="00914954" w:rsidP="004A29F5">
            <w:pPr>
              <w:bidi w:val="0"/>
              <w:spacing w:after="0"/>
              <w:jc w:val="center"/>
              <w:rPr>
                <w:rFonts w:ascii="Times New Roman" w:hAnsi="Times New Roman" w:cs="Times New Roman"/>
                <w:b w:val="0"/>
                <w:bCs w:val="0"/>
                <w:sz w:val="22"/>
                <w:szCs w:val="22"/>
                <w:lang w:bidi="ar-JO"/>
              </w:rPr>
            </w:pPr>
          </w:p>
        </w:tc>
        <w:tc>
          <w:tcPr>
            <w:tcW w:w="1206" w:type="dxa"/>
            <w:shd w:val="clear" w:color="auto" w:fill="C9C9C9" w:themeFill="accent3" w:themeFillTint="99"/>
            <w:vAlign w:val="center"/>
          </w:tcPr>
          <w:p w:rsidR="00914954" w:rsidRPr="00914954" w:rsidRDefault="00914954" w:rsidP="004A29F5">
            <w:pPr>
              <w:bidi w:val="0"/>
              <w:spacing w:after="0"/>
              <w:jc w:val="center"/>
              <w:rPr>
                <w:rFonts w:ascii="Times New Roman" w:hAnsi="Times New Roman" w:cs="Times New Roman"/>
                <w:b w:val="0"/>
                <w:bCs w:val="0"/>
                <w:sz w:val="22"/>
                <w:szCs w:val="22"/>
                <w:lang w:bidi="ar-JO"/>
              </w:rPr>
            </w:pPr>
            <w:r w:rsidRPr="00914954">
              <w:rPr>
                <w:rFonts w:ascii="Times New Roman" w:hAnsi="Times New Roman" w:cs="Times New Roman"/>
                <w:b w:val="0"/>
                <w:bCs w:val="0"/>
                <w:sz w:val="22"/>
                <w:szCs w:val="22"/>
                <w:lang w:bidi="ar-JO"/>
              </w:rPr>
              <w:t>(1)*(4)*(5)</w:t>
            </w:r>
          </w:p>
        </w:tc>
      </w:tr>
      <w:tr w:rsidR="004A29F5" w:rsidTr="004A29F5">
        <w:tc>
          <w:tcPr>
            <w:tcW w:w="1552" w:type="dxa"/>
            <w:shd w:val="clear" w:color="auto" w:fill="EDEDED" w:themeFill="accent3" w:themeFillTint="33"/>
          </w:tcPr>
          <w:p w:rsidR="00914954" w:rsidRPr="00914954" w:rsidRDefault="00914954" w:rsidP="00914954">
            <w:pPr>
              <w:bidi w:val="0"/>
              <w:spacing w:after="0"/>
              <w:jc w:val="left"/>
              <w:rPr>
                <w:rFonts w:ascii="Times New Roman" w:hAnsi="Times New Roman" w:cs="Times New Roman"/>
                <w:b w:val="0"/>
                <w:bCs w:val="0"/>
                <w:sz w:val="22"/>
                <w:szCs w:val="22"/>
                <w:lang w:bidi="ar-JO"/>
              </w:rPr>
            </w:pPr>
          </w:p>
        </w:tc>
        <w:tc>
          <w:tcPr>
            <w:tcW w:w="1328" w:type="dxa"/>
            <w:shd w:val="clear" w:color="auto" w:fill="EDEDED" w:themeFill="accent3" w:themeFillTint="33"/>
            <w:vAlign w:val="center"/>
          </w:tcPr>
          <w:p w:rsidR="00914954" w:rsidRPr="00914954" w:rsidRDefault="00914954" w:rsidP="004A29F5">
            <w:pPr>
              <w:bidi w:val="0"/>
              <w:spacing w:after="0"/>
              <w:jc w:val="center"/>
              <w:rPr>
                <w:rFonts w:ascii="Times New Roman" w:hAnsi="Times New Roman" w:cs="Times New Roman"/>
                <w:b w:val="0"/>
                <w:bCs w:val="0"/>
                <w:sz w:val="22"/>
                <w:szCs w:val="22"/>
                <w:lang w:bidi="ar-JO"/>
              </w:rPr>
            </w:pPr>
            <w:r w:rsidRPr="00914954">
              <w:rPr>
                <w:rFonts w:ascii="Times New Roman" w:hAnsi="Times New Roman" w:cs="Times New Roman"/>
                <w:b w:val="0"/>
                <w:bCs w:val="0"/>
                <w:sz w:val="22"/>
                <w:szCs w:val="22"/>
                <w:lang w:bidi="ar-JO"/>
              </w:rPr>
              <w:t>1</w:t>
            </w:r>
          </w:p>
        </w:tc>
        <w:tc>
          <w:tcPr>
            <w:tcW w:w="1090" w:type="dxa"/>
            <w:shd w:val="clear" w:color="auto" w:fill="EDEDED" w:themeFill="accent3" w:themeFillTint="33"/>
            <w:vAlign w:val="center"/>
          </w:tcPr>
          <w:p w:rsidR="00914954" w:rsidRPr="00914954" w:rsidRDefault="00914954" w:rsidP="004A29F5">
            <w:pPr>
              <w:bidi w:val="0"/>
              <w:spacing w:after="0"/>
              <w:jc w:val="center"/>
              <w:rPr>
                <w:rFonts w:ascii="Times New Roman" w:hAnsi="Times New Roman" w:cs="Times New Roman"/>
                <w:b w:val="0"/>
                <w:bCs w:val="0"/>
                <w:sz w:val="22"/>
                <w:szCs w:val="22"/>
                <w:lang w:bidi="ar-JO"/>
              </w:rPr>
            </w:pPr>
            <w:r w:rsidRPr="00914954">
              <w:rPr>
                <w:rFonts w:ascii="Times New Roman" w:hAnsi="Times New Roman" w:cs="Times New Roman"/>
                <w:b w:val="0"/>
                <w:bCs w:val="0"/>
                <w:sz w:val="22"/>
                <w:szCs w:val="22"/>
                <w:lang w:bidi="ar-JO"/>
              </w:rPr>
              <w:t>2</w:t>
            </w:r>
          </w:p>
        </w:tc>
        <w:tc>
          <w:tcPr>
            <w:tcW w:w="1410" w:type="dxa"/>
            <w:shd w:val="clear" w:color="auto" w:fill="EDEDED" w:themeFill="accent3" w:themeFillTint="33"/>
            <w:vAlign w:val="center"/>
          </w:tcPr>
          <w:p w:rsidR="00914954" w:rsidRPr="00914954" w:rsidRDefault="00914954" w:rsidP="004A29F5">
            <w:pPr>
              <w:bidi w:val="0"/>
              <w:spacing w:after="0"/>
              <w:jc w:val="center"/>
              <w:rPr>
                <w:rFonts w:ascii="Times New Roman" w:hAnsi="Times New Roman" w:cs="Times New Roman"/>
                <w:b w:val="0"/>
                <w:bCs w:val="0"/>
                <w:sz w:val="22"/>
                <w:szCs w:val="22"/>
                <w:lang w:bidi="ar-JO"/>
              </w:rPr>
            </w:pPr>
            <w:r w:rsidRPr="00914954">
              <w:rPr>
                <w:rFonts w:ascii="Times New Roman" w:hAnsi="Times New Roman" w:cs="Times New Roman"/>
                <w:b w:val="0"/>
                <w:bCs w:val="0"/>
                <w:sz w:val="22"/>
                <w:szCs w:val="22"/>
                <w:lang w:bidi="ar-JO"/>
              </w:rPr>
              <w:t>3</w:t>
            </w:r>
          </w:p>
        </w:tc>
        <w:tc>
          <w:tcPr>
            <w:tcW w:w="1290" w:type="dxa"/>
            <w:shd w:val="clear" w:color="auto" w:fill="EDEDED" w:themeFill="accent3" w:themeFillTint="33"/>
            <w:vAlign w:val="center"/>
          </w:tcPr>
          <w:p w:rsidR="00914954" w:rsidRPr="00914954" w:rsidRDefault="00914954" w:rsidP="004A29F5">
            <w:pPr>
              <w:bidi w:val="0"/>
              <w:spacing w:after="0"/>
              <w:jc w:val="center"/>
              <w:rPr>
                <w:rFonts w:ascii="Times New Roman" w:hAnsi="Times New Roman" w:cs="Times New Roman"/>
                <w:b w:val="0"/>
                <w:bCs w:val="0"/>
                <w:sz w:val="22"/>
                <w:szCs w:val="22"/>
                <w:lang w:bidi="ar-JO"/>
              </w:rPr>
            </w:pPr>
            <w:r w:rsidRPr="00914954">
              <w:rPr>
                <w:rFonts w:ascii="Times New Roman" w:hAnsi="Times New Roman" w:cs="Times New Roman"/>
                <w:b w:val="0"/>
                <w:bCs w:val="0"/>
                <w:sz w:val="22"/>
                <w:szCs w:val="22"/>
                <w:lang w:bidi="ar-JO"/>
              </w:rPr>
              <w:t>4</w:t>
            </w:r>
          </w:p>
        </w:tc>
        <w:tc>
          <w:tcPr>
            <w:tcW w:w="1055" w:type="dxa"/>
            <w:shd w:val="clear" w:color="auto" w:fill="EDEDED" w:themeFill="accent3" w:themeFillTint="33"/>
            <w:vAlign w:val="center"/>
          </w:tcPr>
          <w:p w:rsidR="00914954" w:rsidRPr="00914954" w:rsidRDefault="00914954" w:rsidP="004A29F5">
            <w:pPr>
              <w:bidi w:val="0"/>
              <w:spacing w:after="0"/>
              <w:jc w:val="center"/>
              <w:rPr>
                <w:rFonts w:ascii="Times New Roman" w:hAnsi="Times New Roman" w:cs="Times New Roman"/>
                <w:b w:val="0"/>
                <w:bCs w:val="0"/>
                <w:sz w:val="22"/>
                <w:szCs w:val="22"/>
                <w:lang w:bidi="ar-JO"/>
              </w:rPr>
            </w:pPr>
            <w:r w:rsidRPr="00914954">
              <w:rPr>
                <w:rFonts w:ascii="Times New Roman" w:hAnsi="Times New Roman" w:cs="Times New Roman"/>
                <w:b w:val="0"/>
                <w:bCs w:val="0"/>
                <w:sz w:val="22"/>
                <w:szCs w:val="22"/>
                <w:lang w:bidi="ar-JO"/>
              </w:rPr>
              <w:t>5</w:t>
            </w:r>
          </w:p>
        </w:tc>
        <w:tc>
          <w:tcPr>
            <w:tcW w:w="1206" w:type="dxa"/>
            <w:shd w:val="clear" w:color="auto" w:fill="EDEDED" w:themeFill="accent3" w:themeFillTint="33"/>
            <w:vAlign w:val="center"/>
          </w:tcPr>
          <w:p w:rsidR="00914954" w:rsidRPr="00914954" w:rsidRDefault="00914954" w:rsidP="004A29F5">
            <w:pPr>
              <w:bidi w:val="0"/>
              <w:spacing w:after="0"/>
              <w:jc w:val="center"/>
              <w:rPr>
                <w:rFonts w:ascii="Times New Roman" w:hAnsi="Times New Roman" w:cs="Times New Roman"/>
                <w:b w:val="0"/>
                <w:bCs w:val="0"/>
                <w:sz w:val="22"/>
                <w:szCs w:val="22"/>
                <w:lang w:bidi="ar-JO"/>
              </w:rPr>
            </w:pPr>
            <w:r w:rsidRPr="00914954">
              <w:rPr>
                <w:rFonts w:ascii="Times New Roman" w:hAnsi="Times New Roman" w:cs="Times New Roman"/>
                <w:b w:val="0"/>
                <w:bCs w:val="0"/>
                <w:sz w:val="22"/>
                <w:szCs w:val="22"/>
                <w:lang w:bidi="ar-JO"/>
              </w:rPr>
              <w:t>6</w:t>
            </w:r>
          </w:p>
        </w:tc>
      </w:tr>
      <w:tr w:rsidR="004A29F5" w:rsidTr="004A29F5">
        <w:tc>
          <w:tcPr>
            <w:tcW w:w="1552" w:type="dxa"/>
          </w:tcPr>
          <w:p w:rsidR="00914954" w:rsidRPr="00914954" w:rsidRDefault="00914954" w:rsidP="00914954">
            <w:pPr>
              <w:bidi w:val="0"/>
              <w:spacing w:after="0"/>
              <w:jc w:val="left"/>
              <w:rPr>
                <w:rFonts w:ascii="Times New Roman" w:hAnsi="Times New Roman" w:cs="Times New Roman"/>
                <w:b w:val="0"/>
                <w:bCs w:val="0"/>
                <w:sz w:val="22"/>
                <w:szCs w:val="22"/>
                <w:lang w:bidi="ar-JO"/>
              </w:rPr>
            </w:pPr>
            <w:r w:rsidRPr="00914954">
              <w:rPr>
                <w:rFonts w:ascii="Times New Roman" w:hAnsi="Times New Roman" w:cs="Times New Roman"/>
                <w:b w:val="0"/>
                <w:bCs w:val="0"/>
                <w:sz w:val="22"/>
                <w:szCs w:val="22"/>
                <w:lang w:bidi="ar-JO"/>
              </w:rPr>
              <w:t>(AAA,AA-)</w:t>
            </w:r>
          </w:p>
        </w:tc>
        <w:tc>
          <w:tcPr>
            <w:tcW w:w="1328" w:type="dxa"/>
            <w:vAlign w:val="center"/>
          </w:tcPr>
          <w:p w:rsidR="00914954" w:rsidRPr="00914954" w:rsidRDefault="004A29F5" w:rsidP="004A29F5">
            <w:pPr>
              <w:bidi w:val="0"/>
              <w:spacing w:after="0"/>
              <w:jc w:val="center"/>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0%</w:t>
            </w:r>
          </w:p>
        </w:tc>
        <w:tc>
          <w:tcPr>
            <w:tcW w:w="1090" w:type="dxa"/>
            <w:vAlign w:val="center"/>
          </w:tcPr>
          <w:p w:rsidR="00914954" w:rsidRPr="00914954" w:rsidRDefault="00914954" w:rsidP="004A29F5">
            <w:pPr>
              <w:bidi w:val="0"/>
              <w:spacing w:after="0"/>
              <w:jc w:val="center"/>
              <w:rPr>
                <w:rFonts w:ascii="Times New Roman" w:hAnsi="Times New Roman" w:cs="Times New Roman"/>
                <w:b w:val="0"/>
                <w:bCs w:val="0"/>
                <w:sz w:val="22"/>
                <w:szCs w:val="22"/>
                <w:lang w:bidi="ar-JO"/>
              </w:rPr>
            </w:pPr>
          </w:p>
        </w:tc>
        <w:tc>
          <w:tcPr>
            <w:tcW w:w="1410" w:type="dxa"/>
            <w:vAlign w:val="center"/>
          </w:tcPr>
          <w:p w:rsidR="00914954" w:rsidRPr="00914954" w:rsidRDefault="00914954" w:rsidP="004A29F5">
            <w:pPr>
              <w:bidi w:val="0"/>
              <w:spacing w:after="0"/>
              <w:jc w:val="center"/>
              <w:rPr>
                <w:rFonts w:ascii="Times New Roman" w:hAnsi="Times New Roman" w:cs="Times New Roman"/>
                <w:b w:val="0"/>
                <w:bCs w:val="0"/>
                <w:sz w:val="22"/>
                <w:szCs w:val="22"/>
                <w:lang w:bidi="ar-JO"/>
              </w:rPr>
            </w:pPr>
          </w:p>
        </w:tc>
        <w:tc>
          <w:tcPr>
            <w:tcW w:w="1290" w:type="dxa"/>
            <w:vAlign w:val="center"/>
          </w:tcPr>
          <w:p w:rsidR="00914954" w:rsidRPr="00914954" w:rsidRDefault="004A29F5" w:rsidP="004A29F5">
            <w:pPr>
              <w:bidi w:val="0"/>
              <w:spacing w:after="0"/>
              <w:jc w:val="center"/>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0</w:t>
            </w:r>
          </w:p>
        </w:tc>
        <w:tc>
          <w:tcPr>
            <w:tcW w:w="1055" w:type="dxa"/>
            <w:vAlign w:val="center"/>
          </w:tcPr>
          <w:p w:rsidR="00914954" w:rsidRPr="00914954" w:rsidRDefault="004A29F5" w:rsidP="004A29F5">
            <w:pPr>
              <w:bidi w:val="0"/>
              <w:spacing w:after="0"/>
              <w:jc w:val="center"/>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8%</w:t>
            </w:r>
          </w:p>
        </w:tc>
        <w:tc>
          <w:tcPr>
            <w:tcW w:w="1206" w:type="dxa"/>
            <w:vAlign w:val="center"/>
          </w:tcPr>
          <w:p w:rsidR="00914954" w:rsidRPr="00914954" w:rsidRDefault="004A29F5" w:rsidP="004A29F5">
            <w:pPr>
              <w:bidi w:val="0"/>
              <w:spacing w:after="0"/>
              <w:jc w:val="center"/>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0</w:t>
            </w:r>
          </w:p>
        </w:tc>
      </w:tr>
      <w:tr w:rsidR="004A29F5" w:rsidTr="004A29F5">
        <w:tc>
          <w:tcPr>
            <w:tcW w:w="1552" w:type="dxa"/>
          </w:tcPr>
          <w:p w:rsidR="00914954" w:rsidRPr="00914954" w:rsidRDefault="00914954" w:rsidP="00914954">
            <w:pPr>
              <w:bidi w:val="0"/>
              <w:spacing w:after="0"/>
              <w:jc w:val="left"/>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(A+ , A-)</w:t>
            </w:r>
          </w:p>
        </w:tc>
        <w:tc>
          <w:tcPr>
            <w:tcW w:w="1328" w:type="dxa"/>
            <w:vAlign w:val="center"/>
          </w:tcPr>
          <w:p w:rsidR="00914954" w:rsidRPr="00914954" w:rsidRDefault="004A29F5" w:rsidP="004A29F5">
            <w:pPr>
              <w:bidi w:val="0"/>
              <w:spacing w:after="0"/>
              <w:jc w:val="center"/>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20%</w:t>
            </w:r>
          </w:p>
        </w:tc>
        <w:tc>
          <w:tcPr>
            <w:tcW w:w="1090" w:type="dxa"/>
            <w:vAlign w:val="center"/>
          </w:tcPr>
          <w:p w:rsidR="00914954" w:rsidRPr="00914954" w:rsidRDefault="004A29F5" w:rsidP="004A29F5">
            <w:pPr>
              <w:bidi w:val="0"/>
              <w:spacing w:after="0"/>
              <w:jc w:val="center"/>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1200</w:t>
            </w:r>
          </w:p>
        </w:tc>
        <w:tc>
          <w:tcPr>
            <w:tcW w:w="1410" w:type="dxa"/>
            <w:vAlign w:val="center"/>
          </w:tcPr>
          <w:p w:rsidR="00914954" w:rsidRPr="00914954" w:rsidRDefault="004A29F5" w:rsidP="004A29F5">
            <w:pPr>
              <w:bidi w:val="0"/>
              <w:spacing w:after="0"/>
              <w:jc w:val="center"/>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600</w:t>
            </w:r>
          </w:p>
        </w:tc>
        <w:tc>
          <w:tcPr>
            <w:tcW w:w="1290" w:type="dxa"/>
            <w:vAlign w:val="center"/>
          </w:tcPr>
          <w:p w:rsidR="00914954" w:rsidRPr="00914954" w:rsidRDefault="004A29F5" w:rsidP="004A29F5">
            <w:pPr>
              <w:bidi w:val="0"/>
              <w:spacing w:after="0"/>
              <w:jc w:val="center"/>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600</w:t>
            </w:r>
          </w:p>
        </w:tc>
        <w:tc>
          <w:tcPr>
            <w:tcW w:w="1055" w:type="dxa"/>
            <w:vAlign w:val="center"/>
          </w:tcPr>
          <w:p w:rsidR="00914954" w:rsidRPr="00914954" w:rsidRDefault="004A29F5" w:rsidP="004A29F5">
            <w:pPr>
              <w:bidi w:val="0"/>
              <w:spacing w:after="0"/>
              <w:jc w:val="center"/>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8%</w:t>
            </w:r>
          </w:p>
        </w:tc>
        <w:tc>
          <w:tcPr>
            <w:tcW w:w="1206" w:type="dxa"/>
            <w:vAlign w:val="center"/>
          </w:tcPr>
          <w:p w:rsidR="00914954" w:rsidRPr="00914954" w:rsidRDefault="004A29F5" w:rsidP="004A29F5">
            <w:pPr>
              <w:bidi w:val="0"/>
              <w:spacing w:after="0"/>
              <w:jc w:val="center"/>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9.6</w:t>
            </w:r>
          </w:p>
        </w:tc>
      </w:tr>
      <w:tr w:rsidR="004A29F5" w:rsidTr="004A29F5">
        <w:tc>
          <w:tcPr>
            <w:tcW w:w="1552" w:type="dxa"/>
          </w:tcPr>
          <w:p w:rsidR="00914954" w:rsidRPr="00914954" w:rsidRDefault="00914954" w:rsidP="00914954">
            <w:pPr>
              <w:bidi w:val="0"/>
              <w:spacing w:after="0"/>
              <w:jc w:val="left"/>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(BBB+,BBB-)</w:t>
            </w:r>
          </w:p>
        </w:tc>
        <w:tc>
          <w:tcPr>
            <w:tcW w:w="1328" w:type="dxa"/>
            <w:vAlign w:val="center"/>
          </w:tcPr>
          <w:p w:rsidR="00914954" w:rsidRPr="00914954" w:rsidRDefault="004A29F5" w:rsidP="004A29F5">
            <w:pPr>
              <w:bidi w:val="0"/>
              <w:spacing w:after="0"/>
              <w:jc w:val="center"/>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50%</w:t>
            </w:r>
          </w:p>
        </w:tc>
        <w:tc>
          <w:tcPr>
            <w:tcW w:w="1090" w:type="dxa"/>
            <w:vAlign w:val="center"/>
          </w:tcPr>
          <w:p w:rsidR="00914954" w:rsidRPr="00914954" w:rsidRDefault="00914954" w:rsidP="004A29F5">
            <w:pPr>
              <w:bidi w:val="0"/>
              <w:spacing w:after="0"/>
              <w:jc w:val="center"/>
              <w:rPr>
                <w:rFonts w:ascii="Times New Roman" w:hAnsi="Times New Roman" w:cs="Times New Roman"/>
                <w:b w:val="0"/>
                <w:bCs w:val="0"/>
                <w:sz w:val="22"/>
                <w:szCs w:val="22"/>
                <w:lang w:bidi="ar-JO"/>
              </w:rPr>
            </w:pPr>
          </w:p>
        </w:tc>
        <w:tc>
          <w:tcPr>
            <w:tcW w:w="1410" w:type="dxa"/>
            <w:vAlign w:val="center"/>
          </w:tcPr>
          <w:p w:rsidR="00914954" w:rsidRPr="00914954" w:rsidRDefault="00914954" w:rsidP="004A29F5">
            <w:pPr>
              <w:bidi w:val="0"/>
              <w:spacing w:after="0"/>
              <w:jc w:val="center"/>
              <w:rPr>
                <w:rFonts w:ascii="Times New Roman" w:hAnsi="Times New Roman" w:cs="Times New Roman"/>
                <w:b w:val="0"/>
                <w:bCs w:val="0"/>
                <w:sz w:val="22"/>
                <w:szCs w:val="22"/>
                <w:lang w:bidi="ar-JO"/>
              </w:rPr>
            </w:pPr>
          </w:p>
        </w:tc>
        <w:tc>
          <w:tcPr>
            <w:tcW w:w="1290" w:type="dxa"/>
            <w:vAlign w:val="center"/>
          </w:tcPr>
          <w:p w:rsidR="00914954" w:rsidRPr="00914954" w:rsidRDefault="004A29F5" w:rsidP="004A29F5">
            <w:pPr>
              <w:bidi w:val="0"/>
              <w:spacing w:after="0"/>
              <w:jc w:val="center"/>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0</w:t>
            </w:r>
          </w:p>
        </w:tc>
        <w:tc>
          <w:tcPr>
            <w:tcW w:w="1055" w:type="dxa"/>
            <w:vAlign w:val="center"/>
          </w:tcPr>
          <w:p w:rsidR="00914954" w:rsidRPr="00914954" w:rsidRDefault="004A29F5" w:rsidP="004A29F5">
            <w:pPr>
              <w:bidi w:val="0"/>
              <w:spacing w:after="0"/>
              <w:jc w:val="center"/>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8%</w:t>
            </w:r>
          </w:p>
        </w:tc>
        <w:tc>
          <w:tcPr>
            <w:tcW w:w="1206" w:type="dxa"/>
            <w:vAlign w:val="center"/>
          </w:tcPr>
          <w:p w:rsidR="00914954" w:rsidRPr="00914954" w:rsidRDefault="004A29F5" w:rsidP="004A29F5">
            <w:pPr>
              <w:bidi w:val="0"/>
              <w:spacing w:after="0"/>
              <w:jc w:val="center"/>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0</w:t>
            </w:r>
          </w:p>
        </w:tc>
      </w:tr>
      <w:tr w:rsidR="004A29F5" w:rsidTr="004A29F5">
        <w:tc>
          <w:tcPr>
            <w:tcW w:w="1552" w:type="dxa"/>
          </w:tcPr>
          <w:p w:rsidR="00914954" w:rsidRPr="00914954" w:rsidRDefault="004A29F5" w:rsidP="00914954">
            <w:pPr>
              <w:bidi w:val="0"/>
              <w:spacing w:after="0"/>
              <w:jc w:val="left"/>
              <w:rPr>
                <w:rFonts w:ascii="Times New Roman" w:hAnsi="Times New Roman" w:cs="Times New Roman"/>
                <w:b w:val="0"/>
                <w:bCs w:val="0"/>
                <w:sz w:val="22"/>
                <w:szCs w:val="22"/>
                <w:lang w:bidi="ar-JO"/>
              </w:rPr>
            </w:pPr>
            <w:r w:rsidRPr="004A29F5">
              <w:rPr>
                <w:rFonts w:ascii="Times New Roman" w:hAnsi="Times New Roman" w:cs="Times New Roman"/>
                <w:b w:val="0"/>
                <w:bCs w:val="0"/>
                <w:sz w:val="22"/>
                <w:szCs w:val="22"/>
                <w:lang w:bidi="ar-JO"/>
              </w:rPr>
              <w:t>Less than the above rating or unrated</w:t>
            </w:r>
          </w:p>
        </w:tc>
        <w:tc>
          <w:tcPr>
            <w:tcW w:w="1328" w:type="dxa"/>
            <w:vAlign w:val="center"/>
          </w:tcPr>
          <w:p w:rsidR="00914954" w:rsidRPr="00914954" w:rsidRDefault="004A29F5" w:rsidP="004A29F5">
            <w:pPr>
              <w:bidi w:val="0"/>
              <w:spacing w:after="0"/>
              <w:jc w:val="center"/>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100%</w:t>
            </w:r>
          </w:p>
        </w:tc>
        <w:tc>
          <w:tcPr>
            <w:tcW w:w="1090" w:type="dxa"/>
            <w:vAlign w:val="center"/>
          </w:tcPr>
          <w:p w:rsidR="00914954" w:rsidRPr="00914954" w:rsidRDefault="00914954" w:rsidP="004A29F5">
            <w:pPr>
              <w:bidi w:val="0"/>
              <w:spacing w:after="0"/>
              <w:jc w:val="center"/>
              <w:rPr>
                <w:rFonts w:ascii="Times New Roman" w:hAnsi="Times New Roman" w:cs="Times New Roman"/>
                <w:b w:val="0"/>
                <w:bCs w:val="0"/>
                <w:sz w:val="22"/>
                <w:szCs w:val="22"/>
                <w:lang w:bidi="ar-JO"/>
              </w:rPr>
            </w:pPr>
          </w:p>
        </w:tc>
        <w:tc>
          <w:tcPr>
            <w:tcW w:w="1410" w:type="dxa"/>
            <w:vAlign w:val="center"/>
          </w:tcPr>
          <w:p w:rsidR="00914954" w:rsidRPr="00914954" w:rsidRDefault="00914954" w:rsidP="004A29F5">
            <w:pPr>
              <w:bidi w:val="0"/>
              <w:spacing w:after="0"/>
              <w:jc w:val="center"/>
              <w:rPr>
                <w:rFonts w:ascii="Times New Roman" w:hAnsi="Times New Roman" w:cs="Times New Roman"/>
                <w:b w:val="0"/>
                <w:bCs w:val="0"/>
                <w:sz w:val="22"/>
                <w:szCs w:val="22"/>
                <w:lang w:bidi="ar-JO"/>
              </w:rPr>
            </w:pPr>
          </w:p>
        </w:tc>
        <w:tc>
          <w:tcPr>
            <w:tcW w:w="1290" w:type="dxa"/>
            <w:vAlign w:val="center"/>
          </w:tcPr>
          <w:p w:rsidR="00914954" w:rsidRPr="00914954" w:rsidRDefault="004A29F5" w:rsidP="004A29F5">
            <w:pPr>
              <w:bidi w:val="0"/>
              <w:spacing w:after="0"/>
              <w:jc w:val="center"/>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0</w:t>
            </w:r>
          </w:p>
        </w:tc>
        <w:tc>
          <w:tcPr>
            <w:tcW w:w="1055" w:type="dxa"/>
            <w:vAlign w:val="center"/>
          </w:tcPr>
          <w:p w:rsidR="00914954" w:rsidRPr="00914954" w:rsidRDefault="004A29F5" w:rsidP="004A29F5">
            <w:pPr>
              <w:bidi w:val="0"/>
              <w:spacing w:after="0"/>
              <w:jc w:val="center"/>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8%</w:t>
            </w:r>
          </w:p>
        </w:tc>
        <w:tc>
          <w:tcPr>
            <w:tcW w:w="1206" w:type="dxa"/>
            <w:vAlign w:val="center"/>
          </w:tcPr>
          <w:p w:rsidR="00914954" w:rsidRPr="00914954" w:rsidRDefault="004A29F5" w:rsidP="004A29F5">
            <w:pPr>
              <w:bidi w:val="0"/>
              <w:spacing w:after="0"/>
              <w:jc w:val="center"/>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0</w:t>
            </w:r>
          </w:p>
        </w:tc>
      </w:tr>
      <w:tr w:rsidR="004A29F5" w:rsidTr="004A29F5">
        <w:tc>
          <w:tcPr>
            <w:tcW w:w="7725" w:type="dxa"/>
            <w:gridSpan w:val="6"/>
            <w:shd w:val="clear" w:color="auto" w:fill="EDEDED" w:themeFill="accent3" w:themeFillTint="33"/>
          </w:tcPr>
          <w:p w:rsidR="004A29F5" w:rsidRPr="004A29F5" w:rsidRDefault="004A29F5" w:rsidP="00914954">
            <w:pPr>
              <w:bidi w:val="0"/>
              <w:spacing w:after="0"/>
              <w:jc w:val="left"/>
              <w:rPr>
                <w:rFonts w:ascii="Times New Roman" w:hAnsi="Times New Roman" w:cs="Times New Roman"/>
                <w:b w:val="0"/>
                <w:bCs w:val="0"/>
                <w:sz w:val="22"/>
                <w:szCs w:val="22"/>
                <w:lang w:bidi="ar-JO"/>
              </w:rPr>
            </w:pPr>
            <w:r w:rsidRPr="004A29F5">
              <w:rPr>
                <w:rFonts w:ascii="Times New Roman" w:hAnsi="Times New Roman" w:cs="Times New Roman"/>
                <w:color w:val="202124"/>
                <w:sz w:val="22"/>
                <w:szCs w:val="22"/>
                <w:lang w:val="en"/>
              </w:rPr>
              <w:t>Total</w:t>
            </w:r>
          </w:p>
        </w:tc>
        <w:tc>
          <w:tcPr>
            <w:tcW w:w="1206" w:type="dxa"/>
            <w:shd w:val="clear" w:color="auto" w:fill="EDEDED" w:themeFill="accent3" w:themeFillTint="33"/>
          </w:tcPr>
          <w:p w:rsidR="004A29F5" w:rsidRDefault="004A29F5" w:rsidP="004A29F5">
            <w:pPr>
              <w:bidi w:val="0"/>
              <w:spacing w:after="0"/>
              <w:jc w:val="center"/>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9.6</w:t>
            </w:r>
          </w:p>
        </w:tc>
      </w:tr>
      <w:tr w:rsidR="004A29F5" w:rsidTr="004A29F5">
        <w:tc>
          <w:tcPr>
            <w:tcW w:w="7725" w:type="dxa"/>
            <w:gridSpan w:val="6"/>
            <w:shd w:val="clear" w:color="auto" w:fill="EDEDED" w:themeFill="accent3" w:themeFillTint="33"/>
          </w:tcPr>
          <w:p w:rsidR="004A29F5" w:rsidRPr="004A29F5" w:rsidRDefault="004A29F5" w:rsidP="00914954">
            <w:pPr>
              <w:bidi w:val="0"/>
              <w:spacing w:after="0"/>
              <w:jc w:val="left"/>
              <w:rPr>
                <w:rFonts w:ascii="Times New Roman" w:hAnsi="Times New Roman" w:cs="Times New Roman"/>
                <w:color w:val="202124"/>
                <w:sz w:val="22"/>
                <w:szCs w:val="22"/>
                <w:lang w:val="en"/>
              </w:rPr>
            </w:pPr>
            <w:r w:rsidRPr="004A29F5">
              <w:rPr>
                <w:rFonts w:ascii="Times New Roman" w:hAnsi="Times New Roman" w:cs="Times New Roman"/>
                <w:sz w:val="22"/>
                <w:szCs w:val="22"/>
                <w:lang w:bidi="ar-JO"/>
              </w:rPr>
              <w:t>The counterparty risks for repurchase agreements (Total *12.5)</w:t>
            </w:r>
          </w:p>
        </w:tc>
        <w:tc>
          <w:tcPr>
            <w:tcW w:w="1206" w:type="dxa"/>
            <w:shd w:val="clear" w:color="auto" w:fill="EDEDED" w:themeFill="accent3" w:themeFillTint="33"/>
          </w:tcPr>
          <w:p w:rsidR="004A29F5" w:rsidRDefault="004A29F5" w:rsidP="004A29F5">
            <w:pPr>
              <w:bidi w:val="0"/>
              <w:spacing w:after="0"/>
              <w:jc w:val="center"/>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120</w:t>
            </w:r>
          </w:p>
        </w:tc>
      </w:tr>
    </w:tbl>
    <w:p w:rsidR="009A424F" w:rsidRPr="004A29F5" w:rsidRDefault="009A424F" w:rsidP="009A424F">
      <w:pPr>
        <w:bidi w:val="0"/>
        <w:jc w:val="left"/>
        <w:rPr>
          <w:sz w:val="14"/>
          <w:szCs w:val="14"/>
          <w:lang w:bidi="ar-JO"/>
        </w:rPr>
      </w:pPr>
    </w:p>
    <w:p w:rsidR="004A29F5" w:rsidRDefault="004A29F5" w:rsidP="004A29F5">
      <w:pPr>
        <w:bidi w:val="0"/>
        <w:jc w:val="left"/>
        <w:rPr>
          <w:rFonts w:ascii="Times New Roman" w:hAnsi="Times New Roman" w:cs="Times New Roman"/>
          <w:sz w:val="24"/>
          <w:szCs w:val="24"/>
          <w:lang w:bidi="ar-JO"/>
        </w:rPr>
      </w:pPr>
      <w:r w:rsidRPr="004A29F5">
        <w:rPr>
          <w:rFonts w:ascii="Times New Roman" w:hAnsi="Times New Roman" w:cs="Times New Roman"/>
          <w:sz w:val="24"/>
          <w:szCs w:val="24"/>
          <w:lang w:bidi="ar-JO"/>
        </w:rPr>
        <w:t>A/2 Reverse repurchase and securities borrowing agreements:</w:t>
      </w:r>
    </w:p>
    <w:tbl>
      <w:tblPr>
        <w:tblStyle w:val="TableGrid"/>
        <w:tblW w:w="8931" w:type="dxa"/>
        <w:tblInd w:w="-431" w:type="dxa"/>
        <w:tblLook w:val="04A0" w:firstRow="1" w:lastRow="0" w:firstColumn="1" w:lastColumn="0" w:noHBand="0" w:noVBand="1"/>
      </w:tblPr>
      <w:tblGrid>
        <w:gridCol w:w="1552"/>
        <w:gridCol w:w="1328"/>
        <w:gridCol w:w="1090"/>
        <w:gridCol w:w="1410"/>
        <w:gridCol w:w="1290"/>
        <w:gridCol w:w="1055"/>
        <w:gridCol w:w="1206"/>
      </w:tblGrid>
      <w:tr w:rsidR="004A29F5" w:rsidTr="00A35516">
        <w:tc>
          <w:tcPr>
            <w:tcW w:w="1552" w:type="dxa"/>
            <w:shd w:val="clear" w:color="auto" w:fill="EDEDED" w:themeFill="accent3" w:themeFillTint="33"/>
            <w:vAlign w:val="center"/>
          </w:tcPr>
          <w:p w:rsidR="004A29F5" w:rsidRPr="00914954" w:rsidRDefault="004A29F5" w:rsidP="00F904B4">
            <w:pPr>
              <w:bidi w:val="0"/>
              <w:spacing w:after="0"/>
              <w:jc w:val="center"/>
              <w:rPr>
                <w:rFonts w:ascii="Times New Roman" w:hAnsi="Times New Roman" w:cs="Times New Roman"/>
                <w:b w:val="0"/>
                <w:bCs w:val="0"/>
                <w:sz w:val="22"/>
                <w:szCs w:val="22"/>
                <w:lang w:bidi="ar-JO"/>
              </w:rPr>
            </w:pPr>
            <w:r w:rsidRPr="00914954">
              <w:rPr>
                <w:rFonts w:ascii="Times New Roman" w:hAnsi="Times New Roman" w:cs="Times New Roman"/>
                <w:b w:val="0"/>
                <w:bCs w:val="0"/>
                <w:sz w:val="22"/>
                <w:szCs w:val="22"/>
                <w:lang w:bidi="ar-JO"/>
              </w:rPr>
              <w:t>The counterparty raring</w:t>
            </w:r>
          </w:p>
        </w:tc>
        <w:tc>
          <w:tcPr>
            <w:tcW w:w="1328" w:type="dxa"/>
            <w:shd w:val="clear" w:color="auto" w:fill="EDEDED" w:themeFill="accent3" w:themeFillTint="33"/>
            <w:vAlign w:val="center"/>
          </w:tcPr>
          <w:p w:rsidR="004A29F5" w:rsidRPr="00914954" w:rsidRDefault="004A29F5" w:rsidP="00F904B4">
            <w:pPr>
              <w:bidi w:val="0"/>
              <w:spacing w:after="0"/>
              <w:jc w:val="center"/>
              <w:rPr>
                <w:rFonts w:ascii="Times New Roman" w:hAnsi="Times New Roman" w:cs="Times New Roman"/>
                <w:b w:val="0"/>
                <w:bCs w:val="0"/>
                <w:sz w:val="22"/>
                <w:szCs w:val="22"/>
                <w:lang w:bidi="ar-JO"/>
              </w:rPr>
            </w:pPr>
            <w:r w:rsidRPr="00914954">
              <w:rPr>
                <w:rFonts w:ascii="Times New Roman" w:hAnsi="Times New Roman" w:cs="Times New Roman"/>
                <w:b w:val="0"/>
                <w:bCs w:val="0"/>
                <w:sz w:val="22"/>
                <w:szCs w:val="22"/>
                <w:lang w:bidi="ar-JO"/>
              </w:rPr>
              <w:t>The counterparty weight</w:t>
            </w:r>
          </w:p>
        </w:tc>
        <w:tc>
          <w:tcPr>
            <w:tcW w:w="1090" w:type="dxa"/>
            <w:shd w:val="clear" w:color="auto" w:fill="EDEDED" w:themeFill="accent3" w:themeFillTint="33"/>
            <w:vAlign w:val="center"/>
          </w:tcPr>
          <w:p w:rsidR="004A29F5" w:rsidRPr="00914954" w:rsidRDefault="004A29F5" w:rsidP="004A29F5">
            <w:pPr>
              <w:bidi w:val="0"/>
              <w:spacing w:after="0"/>
              <w:jc w:val="center"/>
              <w:rPr>
                <w:rFonts w:ascii="Times New Roman" w:hAnsi="Times New Roman" w:cs="Times New Roman"/>
                <w:b w:val="0"/>
                <w:bCs w:val="0"/>
                <w:sz w:val="22"/>
                <w:szCs w:val="22"/>
                <w:lang w:bidi="ar-JO"/>
              </w:rPr>
            </w:pPr>
            <w:r w:rsidRPr="004A29F5">
              <w:rPr>
                <w:rFonts w:ascii="Times New Roman" w:hAnsi="Times New Roman" w:cs="Times New Roman"/>
                <w:b w:val="0"/>
                <w:bCs w:val="0"/>
                <w:sz w:val="22"/>
                <w:szCs w:val="22"/>
                <w:lang w:bidi="ar-JO"/>
              </w:rPr>
              <w:t xml:space="preserve">The </w:t>
            </w:r>
            <w:r>
              <w:rPr>
                <w:rFonts w:ascii="Times New Roman" w:hAnsi="Times New Roman" w:cs="Times New Roman"/>
                <w:b w:val="0"/>
                <w:bCs w:val="0"/>
                <w:sz w:val="22"/>
                <w:szCs w:val="22"/>
                <w:lang w:bidi="ar-JO"/>
              </w:rPr>
              <w:t xml:space="preserve">loaned </w:t>
            </w:r>
            <w:r w:rsidRPr="004A29F5">
              <w:rPr>
                <w:rFonts w:ascii="Times New Roman" w:hAnsi="Times New Roman" w:cs="Times New Roman"/>
                <w:b w:val="0"/>
                <w:bCs w:val="0"/>
                <w:sz w:val="22"/>
                <w:szCs w:val="22"/>
                <w:lang w:bidi="ar-JO"/>
              </w:rPr>
              <w:t>amounts or the market value of the given</w:t>
            </w:r>
            <w:r w:rsidRPr="004A29F5">
              <w:rPr>
                <w:rFonts w:ascii="Times New Roman" w:hAnsi="Times New Roman" w:cs="Times New Roman"/>
                <w:b w:val="0"/>
                <w:bCs w:val="0"/>
                <w:color w:val="202124"/>
                <w:sz w:val="22"/>
                <w:szCs w:val="22"/>
                <w:lang w:val="en"/>
              </w:rPr>
              <w:t xml:space="preserve"> guarantee</w:t>
            </w:r>
            <w:r>
              <w:rPr>
                <w:rFonts w:ascii="Times New Roman" w:hAnsi="Times New Roman" w:cs="Times New Roman"/>
                <w:b w:val="0"/>
                <w:bCs w:val="0"/>
                <w:sz w:val="22"/>
                <w:szCs w:val="22"/>
                <w:lang w:bidi="ar-JO"/>
              </w:rPr>
              <w:t xml:space="preserve"> </w:t>
            </w:r>
          </w:p>
        </w:tc>
        <w:tc>
          <w:tcPr>
            <w:tcW w:w="1410" w:type="dxa"/>
            <w:shd w:val="clear" w:color="auto" w:fill="EDEDED" w:themeFill="accent3" w:themeFillTint="33"/>
            <w:vAlign w:val="center"/>
          </w:tcPr>
          <w:p w:rsidR="004A29F5" w:rsidRPr="004A29F5" w:rsidRDefault="004A29F5" w:rsidP="00C62362">
            <w:pPr>
              <w:bidi w:val="0"/>
              <w:spacing w:after="0"/>
              <w:jc w:val="center"/>
              <w:rPr>
                <w:rFonts w:ascii="Times New Roman" w:hAnsi="Times New Roman" w:cs="Times New Roman"/>
                <w:b w:val="0"/>
                <w:bCs w:val="0"/>
                <w:sz w:val="22"/>
                <w:szCs w:val="22"/>
                <w:lang w:bidi="ar-JO"/>
              </w:rPr>
            </w:pPr>
            <w:r w:rsidRPr="004A29F5">
              <w:rPr>
                <w:rFonts w:ascii="Times New Roman" w:hAnsi="Times New Roman" w:cs="Times New Roman"/>
                <w:b w:val="0"/>
                <w:bCs w:val="0"/>
                <w:sz w:val="22"/>
                <w:szCs w:val="22"/>
                <w:lang w:bidi="ar-JO"/>
              </w:rPr>
              <w:t>The market value of the purchased or borrowed</w:t>
            </w:r>
            <w:r w:rsidR="00C62362" w:rsidRPr="004A29F5">
              <w:rPr>
                <w:rFonts w:ascii="Times New Roman" w:hAnsi="Times New Roman" w:cs="Times New Roman"/>
                <w:b w:val="0"/>
                <w:bCs w:val="0"/>
                <w:sz w:val="22"/>
                <w:szCs w:val="22"/>
                <w:lang w:bidi="ar-JO"/>
              </w:rPr>
              <w:t xml:space="preserve"> securities</w:t>
            </w:r>
          </w:p>
        </w:tc>
        <w:tc>
          <w:tcPr>
            <w:tcW w:w="1290" w:type="dxa"/>
            <w:shd w:val="clear" w:color="auto" w:fill="EDEDED" w:themeFill="accent3" w:themeFillTint="33"/>
            <w:vAlign w:val="center"/>
          </w:tcPr>
          <w:p w:rsidR="004A29F5" w:rsidRPr="00914954" w:rsidRDefault="004A29F5" w:rsidP="00F904B4">
            <w:pPr>
              <w:bidi w:val="0"/>
              <w:spacing w:after="0"/>
              <w:jc w:val="center"/>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Positive difference *</w:t>
            </w:r>
          </w:p>
        </w:tc>
        <w:tc>
          <w:tcPr>
            <w:tcW w:w="1055" w:type="dxa"/>
            <w:shd w:val="clear" w:color="auto" w:fill="EDEDED" w:themeFill="accent3" w:themeFillTint="33"/>
            <w:vAlign w:val="center"/>
          </w:tcPr>
          <w:p w:rsidR="004A29F5" w:rsidRPr="00914954" w:rsidRDefault="004A29F5" w:rsidP="00F904B4">
            <w:pPr>
              <w:bidi w:val="0"/>
              <w:spacing w:after="0"/>
              <w:jc w:val="center"/>
              <w:rPr>
                <w:rFonts w:ascii="Times New Roman" w:hAnsi="Times New Roman" w:cs="Times New Roman"/>
                <w:b w:val="0"/>
                <w:bCs w:val="0"/>
                <w:color w:val="202124"/>
                <w:sz w:val="22"/>
                <w:szCs w:val="22"/>
                <w:lang w:val="en"/>
              </w:rPr>
            </w:pPr>
            <w:r w:rsidRPr="00914954">
              <w:rPr>
                <w:rFonts w:ascii="Times New Roman" w:hAnsi="Times New Roman" w:cs="Times New Roman"/>
                <w:b w:val="0"/>
                <w:bCs w:val="0"/>
                <w:color w:val="202124"/>
                <w:sz w:val="22"/>
                <w:szCs w:val="22"/>
                <w:lang w:val="en"/>
              </w:rPr>
              <w:t>The ratio of the required capital</w:t>
            </w:r>
          </w:p>
        </w:tc>
        <w:tc>
          <w:tcPr>
            <w:tcW w:w="1206" w:type="dxa"/>
            <w:shd w:val="clear" w:color="auto" w:fill="EDEDED" w:themeFill="accent3" w:themeFillTint="33"/>
            <w:vAlign w:val="center"/>
          </w:tcPr>
          <w:p w:rsidR="004A29F5" w:rsidRPr="00914954" w:rsidRDefault="004A29F5" w:rsidP="00F904B4">
            <w:pPr>
              <w:bidi w:val="0"/>
              <w:spacing w:after="0"/>
              <w:jc w:val="center"/>
              <w:rPr>
                <w:rFonts w:ascii="Times New Roman" w:hAnsi="Times New Roman" w:cs="Times New Roman"/>
                <w:b w:val="0"/>
                <w:bCs w:val="0"/>
                <w:color w:val="202124"/>
                <w:sz w:val="22"/>
                <w:szCs w:val="22"/>
                <w:lang w:val="en"/>
              </w:rPr>
            </w:pPr>
            <w:r w:rsidRPr="00914954">
              <w:rPr>
                <w:rFonts w:ascii="Times New Roman" w:hAnsi="Times New Roman" w:cs="Times New Roman"/>
                <w:b w:val="0"/>
                <w:bCs w:val="0"/>
                <w:color w:val="202124"/>
                <w:sz w:val="22"/>
                <w:szCs w:val="22"/>
                <w:lang w:val="en"/>
              </w:rPr>
              <w:t>The required capital</w:t>
            </w:r>
          </w:p>
        </w:tc>
      </w:tr>
      <w:tr w:rsidR="004A29F5" w:rsidTr="00F904B4">
        <w:tc>
          <w:tcPr>
            <w:tcW w:w="1552" w:type="dxa"/>
            <w:shd w:val="clear" w:color="auto" w:fill="C9C9C9" w:themeFill="accent3" w:themeFillTint="99"/>
          </w:tcPr>
          <w:p w:rsidR="004A29F5" w:rsidRPr="00914954" w:rsidRDefault="004A29F5" w:rsidP="00F904B4">
            <w:pPr>
              <w:bidi w:val="0"/>
              <w:spacing w:after="0"/>
              <w:jc w:val="left"/>
              <w:rPr>
                <w:rFonts w:ascii="Times New Roman" w:hAnsi="Times New Roman" w:cs="Times New Roman"/>
                <w:b w:val="0"/>
                <w:bCs w:val="0"/>
                <w:sz w:val="22"/>
                <w:szCs w:val="22"/>
                <w:lang w:bidi="ar-JO"/>
              </w:rPr>
            </w:pPr>
          </w:p>
        </w:tc>
        <w:tc>
          <w:tcPr>
            <w:tcW w:w="1328" w:type="dxa"/>
            <w:shd w:val="clear" w:color="auto" w:fill="C9C9C9" w:themeFill="accent3" w:themeFillTint="99"/>
            <w:vAlign w:val="center"/>
          </w:tcPr>
          <w:p w:rsidR="004A29F5" w:rsidRPr="00914954" w:rsidRDefault="004A29F5" w:rsidP="00F904B4">
            <w:pPr>
              <w:bidi w:val="0"/>
              <w:spacing w:after="0"/>
              <w:jc w:val="center"/>
              <w:rPr>
                <w:rFonts w:ascii="Times New Roman" w:hAnsi="Times New Roman" w:cs="Times New Roman"/>
                <w:b w:val="0"/>
                <w:bCs w:val="0"/>
                <w:sz w:val="22"/>
                <w:szCs w:val="22"/>
                <w:lang w:bidi="ar-JO"/>
              </w:rPr>
            </w:pPr>
          </w:p>
        </w:tc>
        <w:tc>
          <w:tcPr>
            <w:tcW w:w="1090" w:type="dxa"/>
            <w:shd w:val="clear" w:color="auto" w:fill="C9C9C9" w:themeFill="accent3" w:themeFillTint="99"/>
            <w:vAlign w:val="center"/>
          </w:tcPr>
          <w:p w:rsidR="004A29F5" w:rsidRPr="00914954" w:rsidRDefault="004A29F5" w:rsidP="00F904B4">
            <w:pPr>
              <w:bidi w:val="0"/>
              <w:spacing w:after="0"/>
              <w:jc w:val="center"/>
              <w:rPr>
                <w:rFonts w:ascii="Times New Roman" w:hAnsi="Times New Roman" w:cs="Times New Roman"/>
                <w:b w:val="0"/>
                <w:bCs w:val="0"/>
                <w:sz w:val="22"/>
                <w:szCs w:val="22"/>
                <w:lang w:bidi="ar-JO"/>
              </w:rPr>
            </w:pPr>
          </w:p>
        </w:tc>
        <w:tc>
          <w:tcPr>
            <w:tcW w:w="1410" w:type="dxa"/>
            <w:shd w:val="clear" w:color="auto" w:fill="C9C9C9" w:themeFill="accent3" w:themeFillTint="99"/>
            <w:vAlign w:val="center"/>
          </w:tcPr>
          <w:p w:rsidR="004A29F5" w:rsidRPr="00914954" w:rsidRDefault="004A29F5" w:rsidP="00F904B4">
            <w:pPr>
              <w:bidi w:val="0"/>
              <w:spacing w:after="0"/>
              <w:jc w:val="center"/>
              <w:rPr>
                <w:rFonts w:ascii="Times New Roman" w:hAnsi="Times New Roman" w:cs="Times New Roman"/>
                <w:b w:val="0"/>
                <w:bCs w:val="0"/>
                <w:sz w:val="22"/>
                <w:szCs w:val="22"/>
                <w:lang w:bidi="ar-JO"/>
              </w:rPr>
            </w:pPr>
          </w:p>
        </w:tc>
        <w:tc>
          <w:tcPr>
            <w:tcW w:w="1290" w:type="dxa"/>
            <w:shd w:val="clear" w:color="auto" w:fill="C9C9C9" w:themeFill="accent3" w:themeFillTint="99"/>
            <w:vAlign w:val="center"/>
          </w:tcPr>
          <w:p w:rsidR="004A29F5" w:rsidRPr="00914954" w:rsidRDefault="004A29F5" w:rsidP="00F904B4">
            <w:pPr>
              <w:bidi w:val="0"/>
              <w:spacing w:after="0"/>
              <w:jc w:val="center"/>
              <w:rPr>
                <w:rFonts w:ascii="Times New Roman" w:hAnsi="Times New Roman" w:cs="Times New Roman"/>
                <w:b w:val="0"/>
                <w:bCs w:val="0"/>
                <w:sz w:val="22"/>
                <w:szCs w:val="22"/>
                <w:lang w:bidi="ar-JO"/>
              </w:rPr>
            </w:pPr>
            <w:r w:rsidRPr="00914954">
              <w:rPr>
                <w:rFonts w:ascii="Times New Roman" w:hAnsi="Times New Roman" w:cs="Times New Roman"/>
                <w:b w:val="0"/>
                <w:bCs w:val="0"/>
                <w:sz w:val="22"/>
                <w:szCs w:val="22"/>
                <w:lang w:bidi="ar-JO"/>
              </w:rPr>
              <w:t>(2) – (3)</w:t>
            </w:r>
          </w:p>
        </w:tc>
        <w:tc>
          <w:tcPr>
            <w:tcW w:w="1055" w:type="dxa"/>
            <w:shd w:val="clear" w:color="auto" w:fill="C9C9C9" w:themeFill="accent3" w:themeFillTint="99"/>
            <w:vAlign w:val="center"/>
          </w:tcPr>
          <w:p w:rsidR="004A29F5" w:rsidRPr="00914954" w:rsidRDefault="004A29F5" w:rsidP="00F904B4">
            <w:pPr>
              <w:bidi w:val="0"/>
              <w:spacing w:after="0"/>
              <w:jc w:val="center"/>
              <w:rPr>
                <w:rFonts w:ascii="Times New Roman" w:hAnsi="Times New Roman" w:cs="Times New Roman"/>
                <w:b w:val="0"/>
                <w:bCs w:val="0"/>
                <w:sz w:val="22"/>
                <w:szCs w:val="22"/>
                <w:lang w:bidi="ar-JO"/>
              </w:rPr>
            </w:pPr>
          </w:p>
        </w:tc>
        <w:tc>
          <w:tcPr>
            <w:tcW w:w="1206" w:type="dxa"/>
            <w:shd w:val="clear" w:color="auto" w:fill="C9C9C9" w:themeFill="accent3" w:themeFillTint="99"/>
            <w:vAlign w:val="center"/>
          </w:tcPr>
          <w:p w:rsidR="004A29F5" w:rsidRPr="00914954" w:rsidRDefault="004A29F5" w:rsidP="00F904B4">
            <w:pPr>
              <w:bidi w:val="0"/>
              <w:spacing w:after="0"/>
              <w:jc w:val="center"/>
              <w:rPr>
                <w:rFonts w:ascii="Times New Roman" w:hAnsi="Times New Roman" w:cs="Times New Roman"/>
                <w:b w:val="0"/>
                <w:bCs w:val="0"/>
                <w:sz w:val="22"/>
                <w:szCs w:val="22"/>
                <w:lang w:bidi="ar-JO"/>
              </w:rPr>
            </w:pPr>
            <w:r w:rsidRPr="00914954">
              <w:rPr>
                <w:rFonts w:ascii="Times New Roman" w:hAnsi="Times New Roman" w:cs="Times New Roman"/>
                <w:b w:val="0"/>
                <w:bCs w:val="0"/>
                <w:sz w:val="22"/>
                <w:szCs w:val="22"/>
                <w:lang w:bidi="ar-JO"/>
              </w:rPr>
              <w:t>(1)*(4)*(5)</w:t>
            </w:r>
          </w:p>
        </w:tc>
      </w:tr>
      <w:tr w:rsidR="004A29F5" w:rsidTr="00F904B4">
        <w:tc>
          <w:tcPr>
            <w:tcW w:w="1552" w:type="dxa"/>
            <w:shd w:val="clear" w:color="auto" w:fill="EDEDED" w:themeFill="accent3" w:themeFillTint="33"/>
          </w:tcPr>
          <w:p w:rsidR="004A29F5" w:rsidRPr="00914954" w:rsidRDefault="004A29F5" w:rsidP="00F904B4">
            <w:pPr>
              <w:bidi w:val="0"/>
              <w:spacing w:after="0"/>
              <w:jc w:val="left"/>
              <w:rPr>
                <w:rFonts w:ascii="Times New Roman" w:hAnsi="Times New Roman" w:cs="Times New Roman"/>
                <w:b w:val="0"/>
                <w:bCs w:val="0"/>
                <w:sz w:val="22"/>
                <w:szCs w:val="22"/>
                <w:lang w:bidi="ar-JO"/>
              </w:rPr>
            </w:pPr>
          </w:p>
        </w:tc>
        <w:tc>
          <w:tcPr>
            <w:tcW w:w="1328" w:type="dxa"/>
            <w:shd w:val="clear" w:color="auto" w:fill="EDEDED" w:themeFill="accent3" w:themeFillTint="33"/>
            <w:vAlign w:val="center"/>
          </w:tcPr>
          <w:p w:rsidR="004A29F5" w:rsidRPr="00914954" w:rsidRDefault="004A29F5" w:rsidP="00F904B4">
            <w:pPr>
              <w:bidi w:val="0"/>
              <w:spacing w:after="0"/>
              <w:jc w:val="center"/>
              <w:rPr>
                <w:rFonts w:ascii="Times New Roman" w:hAnsi="Times New Roman" w:cs="Times New Roman"/>
                <w:b w:val="0"/>
                <w:bCs w:val="0"/>
                <w:sz w:val="22"/>
                <w:szCs w:val="22"/>
                <w:lang w:bidi="ar-JO"/>
              </w:rPr>
            </w:pPr>
            <w:r w:rsidRPr="00914954">
              <w:rPr>
                <w:rFonts w:ascii="Times New Roman" w:hAnsi="Times New Roman" w:cs="Times New Roman"/>
                <w:b w:val="0"/>
                <w:bCs w:val="0"/>
                <w:sz w:val="22"/>
                <w:szCs w:val="22"/>
                <w:lang w:bidi="ar-JO"/>
              </w:rPr>
              <w:t>1</w:t>
            </w:r>
          </w:p>
        </w:tc>
        <w:tc>
          <w:tcPr>
            <w:tcW w:w="1090" w:type="dxa"/>
            <w:shd w:val="clear" w:color="auto" w:fill="EDEDED" w:themeFill="accent3" w:themeFillTint="33"/>
            <w:vAlign w:val="center"/>
          </w:tcPr>
          <w:p w:rsidR="004A29F5" w:rsidRPr="00914954" w:rsidRDefault="004A29F5" w:rsidP="00F904B4">
            <w:pPr>
              <w:bidi w:val="0"/>
              <w:spacing w:after="0"/>
              <w:jc w:val="center"/>
              <w:rPr>
                <w:rFonts w:ascii="Times New Roman" w:hAnsi="Times New Roman" w:cs="Times New Roman"/>
                <w:b w:val="0"/>
                <w:bCs w:val="0"/>
                <w:sz w:val="22"/>
                <w:szCs w:val="22"/>
                <w:lang w:bidi="ar-JO"/>
              </w:rPr>
            </w:pPr>
            <w:r w:rsidRPr="00914954">
              <w:rPr>
                <w:rFonts w:ascii="Times New Roman" w:hAnsi="Times New Roman" w:cs="Times New Roman"/>
                <w:b w:val="0"/>
                <w:bCs w:val="0"/>
                <w:sz w:val="22"/>
                <w:szCs w:val="22"/>
                <w:lang w:bidi="ar-JO"/>
              </w:rPr>
              <w:t>2</w:t>
            </w:r>
          </w:p>
        </w:tc>
        <w:tc>
          <w:tcPr>
            <w:tcW w:w="1410" w:type="dxa"/>
            <w:shd w:val="clear" w:color="auto" w:fill="EDEDED" w:themeFill="accent3" w:themeFillTint="33"/>
            <w:vAlign w:val="center"/>
          </w:tcPr>
          <w:p w:rsidR="004A29F5" w:rsidRPr="00914954" w:rsidRDefault="004A29F5" w:rsidP="00F904B4">
            <w:pPr>
              <w:bidi w:val="0"/>
              <w:spacing w:after="0"/>
              <w:jc w:val="center"/>
              <w:rPr>
                <w:rFonts w:ascii="Times New Roman" w:hAnsi="Times New Roman" w:cs="Times New Roman"/>
                <w:b w:val="0"/>
                <w:bCs w:val="0"/>
                <w:sz w:val="22"/>
                <w:szCs w:val="22"/>
                <w:lang w:bidi="ar-JO"/>
              </w:rPr>
            </w:pPr>
            <w:r w:rsidRPr="00914954">
              <w:rPr>
                <w:rFonts w:ascii="Times New Roman" w:hAnsi="Times New Roman" w:cs="Times New Roman"/>
                <w:b w:val="0"/>
                <w:bCs w:val="0"/>
                <w:sz w:val="22"/>
                <w:szCs w:val="22"/>
                <w:lang w:bidi="ar-JO"/>
              </w:rPr>
              <w:t>3</w:t>
            </w:r>
          </w:p>
        </w:tc>
        <w:tc>
          <w:tcPr>
            <w:tcW w:w="1290" w:type="dxa"/>
            <w:shd w:val="clear" w:color="auto" w:fill="EDEDED" w:themeFill="accent3" w:themeFillTint="33"/>
            <w:vAlign w:val="center"/>
          </w:tcPr>
          <w:p w:rsidR="004A29F5" w:rsidRPr="00914954" w:rsidRDefault="004A29F5" w:rsidP="00F904B4">
            <w:pPr>
              <w:bidi w:val="0"/>
              <w:spacing w:after="0"/>
              <w:jc w:val="center"/>
              <w:rPr>
                <w:rFonts w:ascii="Times New Roman" w:hAnsi="Times New Roman" w:cs="Times New Roman"/>
                <w:b w:val="0"/>
                <w:bCs w:val="0"/>
                <w:sz w:val="22"/>
                <w:szCs w:val="22"/>
                <w:lang w:bidi="ar-JO"/>
              </w:rPr>
            </w:pPr>
            <w:r w:rsidRPr="00914954">
              <w:rPr>
                <w:rFonts w:ascii="Times New Roman" w:hAnsi="Times New Roman" w:cs="Times New Roman"/>
                <w:b w:val="0"/>
                <w:bCs w:val="0"/>
                <w:sz w:val="22"/>
                <w:szCs w:val="22"/>
                <w:lang w:bidi="ar-JO"/>
              </w:rPr>
              <w:t>4</w:t>
            </w:r>
          </w:p>
        </w:tc>
        <w:tc>
          <w:tcPr>
            <w:tcW w:w="1055" w:type="dxa"/>
            <w:shd w:val="clear" w:color="auto" w:fill="EDEDED" w:themeFill="accent3" w:themeFillTint="33"/>
            <w:vAlign w:val="center"/>
          </w:tcPr>
          <w:p w:rsidR="004A29F5" w:rsidRPr="00914954" w:rsidRDefault="004A29F5" w:rsidP="00F904B4">
            <w:pPr>
              <w:bidi w:val="0"/>
              <w:spacing w:after="0"/>
              <w:jc w:val="center"/>
              <w:rPr>
                <w:rFonts w:ascii="Times New Roman" w:hAnsi="Times New Roman" w:cs="Times New Roman"/>
                <w:b w:val="0"/>
                <w:bCs w:val="0"/>
                <w:sz w:val="22"/>
                <w:szCs w:val="22"/>
                <w:lang w:bidi="ar-JO"/>
              </w:rPr>
            </w:pPr>
            <w:r w:rsidRPr="00914954">
              <w:rPr>
                <w:rFonts w:ascii="Times New Roman" w:hAnsi="Times New Roman" w:cs="Times New Roman"/>
                <w:b w:val="0"/>
                <w:bCs w:val="0"/>
                <w:sz w:val="22"/>
                <w:szCs w:val="22"/>
                <w:lang w:bidi="ar-JO"/>
              </w:rPr>
              <w:t>5</w:t>
            </w:r>
          </w:p>
        </w:tc>
        <w:tc>
          <w:tcPr>
            <w:tcW w:w="1206" w:type="dxa"/>
            <w:shd w:val="clear" w:color="auto" w:fill="EDEDED" w:themeFill="accent3" w:themeFillTint="33"/>
            <w:vAlign w:val="center"/>
          </w:tcPr>
          <w:p w:rsidR="004A29F5" w:rsidRPr="00914954" w:rsidRDefault="004A29F5" w:rsidP="00F904B4">
            <w:pPr>
              <w:bidi w:val="0"/>
              <w:spacing w:after="0"/>
              <w:jc w:val="center"/>
              <w:rPr>
                <w:rFonts w:ascii="Times New Roman" w:hAnsi="Times New Roman" w:cs="Times New Roman"/>
                <w:b w:val="0"/>
                <w:bCs w:val="0"/>
                <w:sz w:val="22"/>
                <w:szCs w:val="22"/>
                <w:lang w:bidi="ar-JO"/>
              </w:rPr>
            </w:pPr>
            <w:r w:rsidRPr="00914954">
              <w:rPr>
                <w:rFonts w:ascii="Times New Roman" w:hAnsi="Times New Roman" w:cs="Times New Roman"/>
                <w:b w:val="0"/>
                <w:bCs w:val="0"/>
                <w:sz w:val="22"/>
                <w:szCs w:val="22"/>
                <w:lang w:bidi="ar-JO"/>
              </w:rPr>
              <w:t>6</w:t>
            </w:r>
          </w:p>
        </w:tc>
      </w:tr>
      <w:tr w:rsidR="004A29F5" w:rsidTr="00F904B4">
        <w:tc>
          <w:tcPr>
            <w:tcW w:w="1552" w:type="dxa"/>
          </w:tcPr>
          <w:p w:rsidR="004A29F5" w:rsidRPr="00914954" w:rsidRDefault="004A29F5" w:rsidP="00F904B4">
            <w:pPr>
              <w:bidi w:val="0"/>
              <w:spacing w:after="0"/>
              <w:jc w:val="left"/>
              <w:rPr>
                <w:rFonts w:ascii="Times New Roman" w:hAnsi="Times New Roman" w:cs="Times New Roman"/>
                <w:b w:val="0"/>
                <w:bCs w:val="0"/>
                <w:sz w:val="22"/>
                <w:szCs w:val="22"/>
                <w:lang w:bidi="ar-JO"/>
              </w:rPr>
            </w:pPr>
            <w:r w:rsidRPr="00914954">
              <w:rPr>
                <w:rFonts w:ascii="Times New Roman" w:hAnsi="Times New Roman" w:cs="Times New Roman"/>
                <w:b w:val="0"/>
                <w:bCs w:val="0"/>
                <w:sz w:val="22"/>
                <w:szCs w:val="22"/>
                <w:lang w:bidi="ar-JO"/>
              </w:rPr>
              <w:t>(AAA,AA-)</w:t>
            </w:r>
          </w:p>
        </w:tc>
        <w:tc>
          <w:tcPr>
            <w:tcW w:w="1328" w:type="dxa"/>
            <w:vAlign w:val="center"/>
          </w:tcPr>
          <w:p w:rsidR="004A29F5" w:rsidRPr="00914954" w:rsidRDefault="004A29F5" w:rsidP="00F904B4">
            <w:pPr>
              <w:bidi w:val="0"/>
              <w:spacing w:after="0"/>
              <w:jc w:val="center"/>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0%</w:t>
            </w:r>
          </w:p>
        </w:tc>
        <w:tc>
          <w:tcPr>
            <w:tcW w:w="1090" w:type="dxa"/>
            <w:vAlign w:val="center"/>
          </w:tcPr>
          <w:p w:rsidR="004A29F5" w:rsidRPr="00914954" w:rsidRDefault="004A29F5" w:rsidP="00F904B4">
            <w:pPr>
              <w:bidi w:val="0"/>
              <w:spacing w:after="0"/>
              <w:jc w:val="center"/>
              <w:rPr>
                <w:rFonts w:ascii="Times New Roman" w:hAnsi="Times New Roman" w:cs="Times New Roman"/>
                <w:b w:val="0"/>
                <w:bCs w:val="0"/>
                <w:sz w:val="22"/>
                <w:szCs w:val="22"/>
                <w:lang w:bidi="ar-JO"/>
              </w:rPr>
            </w:pPr>
          </w:p>
        </w:tc>
        <w:tc>
          <w:tcPr>
            <w:tcW w:w="1410" w:type="dxa"/>
            <w:vAlign w:val="center"/>
          </w:tcPr>
          <w:p w:rsidR="004A29F5" w:rsidRPr="00914954" w:rsidRDefault="004A29F5" w:rsidP="00F904B4">
            <w:pPr>
              <w:bidi w:val="0"/>
              <w:spacing w:after="0"/>
              <w:jc w:val="center"/>
              <w:rPr>
                <w:rFonts w:ascii="Times New Roman" w:hAnsi="Times New Roman" w:cs="Times New Roman"/>
                <w:b w:val="0"/>
                <w:bCs w:val="0"/>
                <w:sz w:val="22"/>
                <w:szCs w:val="22"/>
                <w:lang w:bidi="ar-JO"/>
              </w:rPr>
            </w:pPr>
          </w:p>
        </w:tc>
        <w:tc>
          <w:tcPr>
            <w:tcW w:w="1290" w:type="dxa"/>
            <w:vAlign w:val="center"/>
          </w:tcPr>
          <w:p w:rsidR="004A29F5" w:rsidRPr="00914954" w:rsidRDefault="004A29F5" w:rsidP="00F904B4">
            <w:pPr>
              <w:bidi w:val="0"/>
              <w:spacing w:after="0"/>
              <w:jc w:val="center"/>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0</w:t>
            </w:r>
          </w:p>
        </w:tc>
        <w:tc>
          <w:tcPr>
            <w:tcW w:w="1055" w:type="dxa"/>
            <w:vAlign w:val="center"/>
          </w:tcPr>
          <w:p w:rsidR="004A29F5" w:rsidRPr="00914954" w:rsidRDefault="004A29F5" w:rsidP="00F904B4">
            <w:pPr>
              <w:bidi w:val="0"/>
              <w:spacing w:after="0"/>
              <w:jc w:val="center"/>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8%</w:t>
            </w:r>
          </w:p>
        </w:tc>
        <w:tc>
          <w:tcPr>
            <w:tcW w:w="1206" w:type="dxa"/>
            <w:vAlign w:val="center"/>
          </w:tcPr>
          <w:p w:rsidR="004A29F5" w:rsidRPr="00914954" w:rsidRDefault="004A29F5" w:rsidP="00F904B4">
            <w:pPr>
              <w:bidi w:val="0"/>
              <w:spacing w:after="0"/>
              <w:jc w:val="center"/>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0</w:t>
            </w:r>
          </w:p>
        </w:tc>
      </w:tr>
      <w:tr w:rsidR="004A29F5" w:rsidTr="00F904B4">
        <w:tc>
          <w:tcPr>
            <w:tcW w:w="1552" w:type="dxa"/>
          </w:tcPr>
          <w:p w:rsidR="004A29F5" w:rsidRPr="00914954" w:rsidRDefault="004A29F5" w:rsidP="00F904B4">
            <w:pPr>
              <w:bidi w:val="0"/>
              <w:spacing w:after="0"/>
              <w:jc w:val="left"/>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(A+ , A-)</w:t>
            </w:r>
          </w:p>
        </w:tc>
        <w:tc>
          <w:tcPr>
            <w:tcW w:w="1328" w:type="dxa"/>
            <w:vAlign w:val="center"/>
          </w:tcPr>
          <w:p w:rsidR="004A29F5" w:rsidRPr="00914954" w:rsidRDefault="004A29F5" w:rsidP="00F904B4">
            <w:pPr>
              <w:bidi w:val="0"/>
              <w:spacing w:after="0"/>
              <w:jc w:val="center"/>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20%</w:t>
            </w:r>
          </w:p>
        </w:tc>
        <w:tc>
          <w:tcPr>
            <w:tcW w:w="1090" w:type="dxa"/>
            <w:vAlign w:val="center"/>
          </w:tcPr>
          <w:p w:rsidR="004A29F5" w:rsidRPr="00914954" w:rsidRDefault="004A29F5" w:rsidP="00F904B4">
            <w:pPr>
              <w:bidi w:val="0"/>
              <w:spacing w:after="0"/>
              <w:jc w:val="center"/>
              <w:rPr>
                <w:rFonts w:ascii="Times New Roman" w:hAnsi="Times New Roman" w:cs="Times New Roman"/>
                <w:b w:val="0"/>
                <w:bCs w:val="0"/>
                <w:sz w:val="22"/>
                <w:szCs w:val="22"/>
                <w:lang w:bidi="ar-JO"/>
              </w:rPr>
            </w:pPr>
          </w:p>
        </w:tc>
        <w:tc>
          <w:tcPr>
            <w:tcW w:w="1410" w:type="dxa"/>
            <w:vAlign w:val="center"/>
          </w:tcPr>
          <w:p w:rsidR="004A29F5" w:rsidRPr="00914954" w:rsidRDefault="004A29F5" w:rsidP="00F904B4">
            <w:pPr>
              <w:bidi w:val="0"/>
              <w:spacing w:after="0"/>
              <w:jc w:val="center"/>
              <w:rPr>
                <w:rFonts w:ascii="Times New Roman" w:hAnsi="Times New Roman" w:cs="Times New Roman"/>
                <w:b w:val="0"/>
                <w:bCs w:val="0"/>
                <w:sz w:val="22"/>
                <w:szCs w:val="22"/>
                <w:lang w:bidi="ar-JO"/>
              </w:rPr>
            </w:pPr>
          </w:p>
        </w:tc>
        <w:tc>
          <w:tcPr>
            <w:tcW w:w="1290" w:type="dxa"/>
            <w:vAlign w:val="center"/>
          </w:tcPr>
          <w:p w:rsidR="004A29F5" w:rsidRPr="00914954" w:rsidRDefault="00C62362" w:rsidP="00F904B4">
            <w:pPr>
              <w:bidi w:val="0"/>
              <w:spacing w:after="0"/>
              <w:jc w:val="center"/>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0</w:t>
            </w:r>
          </w:p>
        </w:tc>
        <w:tc>
          <w:tcPr>
            <w:tcW w:w="1055" w:type="dxa"/>
            <w:vAlign w:val="center"/>
          </w:tcPr>
          <w:p w:rsidR="004A29F5" w:rsidRPr="00914954" w:rsidRDefault="004A29F5" w:rsidP="00F904B4">
            <w:pPr>
              <w:bidi w:val="0"/>
              <w:spacing w:after="0"/>
              <w:jc w:val="center"/>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8%</w:t>
            </w:r>
          </w:p>
        </w:tc>
        <w:tc>
          <w:tcPr>
            <w:tcW w:w="1206" w:type="dxa"/>
            <w:vAlign w:val="center"/>
          </w:tcPr>
          <w:p w:rsidR="004A29F5" w:rsidRPr="00914954" w:rsidRDefault="00C62362" w:rsidP="00F904B4">
            <w:pPr>
              <w:bidi w:val="0"/>
              <w:spacing w:after="0"/>
              <w:jc w:val="center"/>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0</w:t>
            </w:r>
          </w:p>
        </w:tc>
      </w:tr>
      <w:tr w:rsidR="004A29F5" w:rsidTr="00F904B4">
        <w:tc>
          <w:tcPr>
            <w:tcW w:w="1552" w:type="dxa"/>
          </w:tcPr>
          <w:p w:rsidR="004A29F5" w:rsidRPr="00914954" w:rsidRDefault="004A29F5" w:rsidP="00F904B4">
            <w:pPr>
              <w:bidi w:val="0"/>
              <w:spacing w:after="0"/>
              <w:jc w:val="left"/>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(BBB+,BBB-)</w:t>
            </w:r>
          </w:p>
        </w:tc>
        <w:tc>
          <w:tcPr>
            <w:tcW w:w="1328" w:type="dxa"/>
            <w:vAlign w:val="center"/>
          </w:tcPr>
          <w:p w:rsidR="004A29F5" w:rsidRPr="00914954" w:rsidRDefault="004A29F5" w:rsidP="00F904B4">
            <w:pPr>
              <w:bidi w:val="0"/>
              <w:spacing w:after="0"/>
              <w:jc w:val="center"/>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50%</w:t>
            </w:r>
          </w:p>
        </w:tc>
        <w:tc>
          <w:tcPr>
            <w:tcW w:w="1090" w:type="dxa"/>
            <w:vAlign w:val="center"/>
          </w:tcPr>
          <w:p w:rsidR="004A29F5" w:rsidRPr="00914954" w:rsidRDefault="004A29F5" w:rsidP="00F904B4">
            <w:pPr>
              <w:bidi w:val="0"/>
              <w:spacing w:after="0"/>
              <w:jc w:val="center"/>
              <w:rPr>
                <w:rFonts w:ascii="Times New Roman" w:hAnsi="Times New Roman" w:cs="Times New Roman"/>
                <w:b w:val="0"/>
                <w:bCs w:val="0"/>
                <w:sz w:val="22"/>
                <w:szCs w:val="22"/>
                <w:lang w:bidi="ar-JO"/>
              </w:rPr>
            </w:pPr>
          </w:p>
        </w:tc>
        <w:tc>
          <w:tcPr>
            <w:tcW w:w="1410" w:type="dxa"/>
            <w:vAlign w:val="center"/>
          </w:tcPr>
          <w:p w:rsidR="004A29F5" w:rsidRPr="00914954" w:rsidRDefault="004A29F5" w:rsidP="00F904B4">
            <w:pPr>
              <w:bidi w:val="0"/>
              <w:spacing w:after="0"/>
              <w:jc w:val="center"/>
              <w:rPr>
                <w:rFonts w:ascii="Times New Roman" w:hAnsi="Times New Roman" w:cs="Times New Roman"/>
                <w:b w:val="0"/>
                <w:bCs w:val="0"/>
                <w:sz w:val="22"/>
                <w:szCs w:val="22"/>
                <w:lang w:bidi="ar-JO"/>
              </w:rPr>
            </w:pPr>
          </w:p>
        </w:tc>
        <w:tc>
          <w:tcPr>
            <w:tcW w:w="1290" w:type="dxa"/>
            <w:vAlign w:val="center"/>
          </w:tcPr>
          <w:p w:rsidR="004A29F5" w:rsidRPr="00914954" w:rsidRDefault="004A29F5" w:rsidP="00F904B4">
            <w:pPr>
              <w:bidi w:val="0"/>
              <w:spacing w:after="0"/>
              <w:jc w:val="center"/>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0</w:t>
            </w:r>
          </w:p>
        </w:tc>
        <w:tc>
          <w:tcPr>
            <w:tcW w:w="1055" w:type="dxa"/>
            <w:vAlign w:val="center"/>
          </w:tcPr>
          <w:p w:rsidR="004A29F5" w:rsidRPr="00914954" w:rsidRDefault="004A29F5" w:rsidP="00F904B4">
            <w:pPr>
              <w:bidi w:val="0"/>
              <w:spacing w:after="0"/>
              <w:jc w:val="center"/>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8%</w:t>
            </w:r>
          </w:p>
        </w:tc>
        <w:tc>
          <w:tcPr>
            <w:tcW w:w="1206" w:type="dxa"/>
            <w:vAlign w:val="center"/>
          </w:tcPr>
          <w:p w:rsidR="004A29F5" w:rsidRPr="00914954" w:rsidRDefault="004A29F5" w:rsidP="00F904B4">
            <w:pPr>
              <w:bidi w:val="0"/>
              <w:spacing w:after="0"/>
              <w:jc w:val="center"/>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0</w:t>
            </w:r>
          </w:p>
        </w:tc>
      </w:tr>
      <w:tr w:rsidR="004A29F5" w:rsidTr="00F904B4">
        <w:tc>
          <w:tcPr>
            <w:tcW w:w="1552" w:type="dxa"/>
          </w:tcPr>
          <w:p w:rsidR="004A29F5" w:rsidRPr="00914954" w:rsidRDefault="004A29F5" w:rsidP="00F904B4">
            <w:pPr>
              <w:bidi w:val="0"/>
              <w:spacing w:after="0"/>
              <w:jc w:val="left"/>
              <w:rPr>
                <w:rFonts w:ascii="Times New Roman" w:hAnsi="Times New Roman" w:cs="Times New Roman"/>
                <w:b w:val="0"/>
                <w:bCs w:val="0"/>
                <w:sz w:val="22"/>
                <w:szCs w:val="22"/>
                <w:lang w:bidi="ar-JO"/>
              </w:rPr>
            </w:pPr>
            <w:r w:rsidRPr="004A29F5">
              <w:rPr>
                <w:rFonts w:ascii="Times New Roman" w:hAnsi="Times New Roman" w:cs="Times New Roman"/>
                <w:b w:val="0"/>
                <w:bCs w:val="0"/>
                <w:sz w:val="22"/>
                <w:szCs w:val="22"/>
                <w:lang w:bidi="ar-JO"/>
              </w:rPr>
              <w:t>Less than the above rating or unrated</w:t>
            </w:r>
          </w:p>
        </w:tc>
        <w:tc>
          <w:tcPr>
            <w:tcW w:w="1328" w:type="dxa"/>
            <w:vAlign w:val="center"/>
          </w:tcPr>
          <w:p w:rsidR="004A29F5" w:rsidRPr="00914954" w:rsidRDefault="004A29F5" w:rsidP="00F904B4">
            <w:pPr>
              <w:bidi w:val="0"/>
              <w:spacing w:after="0"/>
              <w:jc w:val="center"/>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100%</w:t>
            </w:r>
          </w:p>
        </w:tc>
        <w:tc>
          <w:tcPr>
            <w:tcW w:w="1090" w:type="dxa"/>
            <w:vAlign w:val="center"/>
          </w:tcPr>
          <w:p w:rsidR="004A29F5" w:rsidRPr="00914954" w:rsidRDefault="004A29F5" w:rsidP="00F904B4">
            <w:pPr>
              <w:bidi w:val="0"/>
              <w:spacing w:after="0"/>
              <w:jc w:val="center"/>
              <w:rPr>
                <w:rFonts w:ascii="Times New Roman" w:hAnsi="Times New Roman" w:cs="Times New Roman"/>
                <w:b w:val="0"/>
                <w:bCs w:val="0"/>
                <w:sz w:val="22"/>
                <w:szCs w:val="22"/>
                <w:lang w:bidi="ar-JO"/>
              </w:rPr>
            </w:pPr>
          </w:p>
        </w:tc>
        <w:tc>
          <w:tcPr>
            <w:tcW w:w="1410" w:type="dxa"/>
            <w:vAlign w:val="center"/>
          </w:tcPr>
          <w:p w:rsidR="004A29F5" w:rsidRPr="00914954" w:rsidRDefault="004A29F5" w:rsidP="00F904B4">
            <w:pPr>
              <w:bidi w:val="0"/>
              <w:spacing w:after="0"/>
              <w:jc w:val="center"/>
              <w:rPr>
                <w:rFonts w:ascii="Times New Roman" w:hAnsi="Times New Roman" w:cs="Times New Roman"/>
                <w:b w:val="0"/>
                <w:bCs w:val="0"/>
                <w:sz w:val="22"/>
                <w:szCs w:val="22"/>
                <w:lang w:bidi="ar-JO"/>
              </w:rPr>
            </w:pPr>
          </w:p>
        </w:tc>
        <w:tc>
          <w:tcPr>
            <w:tcW w:w="1290" w:type="dxa"/>
            <w:vAlign w:val="center"/>
          </w:tcPr>
          <w:p w:rsidR="004A29F5" w:rsidRPr="00914954" w:rsidRDefault="004A29F5" w:rsidP="00F904B4">
            <w:pPr>
              <w:bidi w:val="0"/>
              <w:spacing w:after="0"/>
              <w:jc w:val="center"/>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0</w:t>
            </w:r>
          </w:p>
        </w:tc>
        <w:tc>
          <w:tcPr>
            <w:tcW w:w="1055" w:type="dxa"/>
            <w:vAlign w:val="center"/>
          </w:tcPr>
          <w:p w:rsidR="004A29F5" w:rsidRPr="00914954" w:rsidRDefault="004A29F5" w:rsidP="00F904B4">
            <w:pPr>
              <w:bidi w:val="0"/>
              <w:spacing w:after="0"/>
              <w:jc w:val="center"/>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8%</w:t>
            </w:r>
          </w:p>
        </w:tc>
        <w:tc>
          <w:tcPr>
            <w:tcW w:w="1206" w:type="dxa"/>
            <w:vAlign w:val="center"/>
          </w:tcPr>
          <w:p w:rsidR="004A29F5" w:rsidRPr="00914954" w:rsidRDefault="004A29F5" w:rsidP="00F904B4">
            <w:pPr>
              <w:bidi w:val="0"/>
              <w:spacing w:after="0"/>
              <w:jc w:val="center"/>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0</w:t>
            </w:r>
          </w:p>
        </w:tc>
      </w:tr>
      <w:tr w:rsidR="004A29F5" w:rsidTr="00F904B4">
        <w:tc>
          <w:tcPr>
            <w:tcW w:w="7725" w:type="dxa"/>
            <w:gridSpan w:val="6"/>
            <w:shd w:val="clear" w:color="auto" w:fill="EDEDED" w:themeFill="accent3" w:themeFillTint="33"/>
          </w:tcPr>
          <w:p w:rsidR="004A29F5" w:rsidRPr="004A29F5" w:rsidRDefault="004A29F5" w:rsidP="00F904B4">
            <w:pPr>
              <w:bidi w:val="0"/>
              <w:spacing w:after="0"/>
              <w:jc w:val="left"/>
              <w:rPr>
                <w:rFonts w:ascii="Times New Roman" w:hAnsi="Times New Roman" w:cs="Times New Roman"/>
                <w:b w:val="0"/>
                <w:bCs w:val="0"/>
                <w:sz w:val="22"/>
                <w:szCs w:val="22"/>
                <w:lang w:bidi="ar-JO"/>
              </w:rPr>
            </w:pPr>
            <w:r w:rsidRPr="004A29F5">
              <w:rPr>
                <w:rFonts w:ascii="Times New Roman" w:hAnsi="Times New Roman" w:cs="Times New Roman"/>
                <w:color w:val="202124"/>
                <w:sz w:val="22"/>
                <w:szCs w:val="22"/>
                <w:lang w:val="en"/>
              </w:rPr>
              <w:t>Total</w:t>
            </w:r>
          </w:p>
        </w:tc>
        <w:tc>
          <w:tcPr>
            <w:tcW w:w="1206" w:type="dxa"/>
            <w:shd w:val="clear" w:color="auto" w:fill="EDEDED" w:themeFill="accent3" w:themeFillTint="33"/>
          </w:tcPr>
          <w:p w:rsidR="004A29F5" w:rsidRDefault="00C62362" w:rsidP="00F904B4">
            <w:pPr>
              <w:bidi w:val="0"/>
              <w:spacing w:after="0"/>
              <w:jc w:val="center"/>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0</w:t>
            </w:r>
          </w:p>
        </w:tc>
      </w:tr>
      <w:tr w:rsidR="004A29F5" w:rsidTr="00F904B4">
        <w:tc>
          <w:tcPr>
            <w:tcW w:w="7725" w:type="dxa"/>
            <w:gridSpan w:val="6"/>
            <w:shd w:val="clear" w:color="auto" w:fill="EDEDED" w:themeFill="accent3" w:themeFillTint="33"/>
          </w:tcPr>
          <w:p w:rsidR="004A29F5" w:rsidRPr="004A29F5" w:rsidRDefault="004A29F5" w:rsidP="00F904B4">
            <w:pPr>
              <w:bidi w:val="0"/>
              <w:spacing w:after="0"/>
              <w:jc w:val="left"/>
              <w:rPr>
                <w:rFonts w:ascii="Times New Roman" w:hAnsi="Times New Roman" w:cs="Times New Roman"/>
                <w:color w:val="202124"/>
                <w:sz w:val="22"/>
                <w:szCs w:val="22"/>
                <w:lang w:val="en"/>
              </w:rPr>
            </w:pPr>
            <w:r w:rsidRPr="004A29F5">
              <w:rPr>
                <w:rFonts w:ascii="Times New Roman" w:hAnsi="Times New Roman" w:cs="Times New Roman"/>
                <w:sz w:val="22"/>
                <w:szCs w:val="22"/>
                <w:lang w:bidi="ar-JO"/>
              </w:rPr>
              <w:t>The counterparty risks for</w:t>
            </w:r>
            <w:r w:rsidR="00C62362">
              <w:rPr>
                <w:rFonts w:ascii="Times New Roman" w:hAnsi="Times New Roman" w:cs="Times New Roman"/>
                <w:sz w:val="22"/>
                <w:szCs w:val="22"/>
                <w:lang w:bidi="ar-JO"/>
              </w:rPr>
              <w:t xml:space="preserve"> reverse</w:t>
            </w:r>
            <w:r w:rsidRPr="004A29F5">
              <w:rPr>
                <w:rFonts w:ascii="Times New Roman" w:hAnsi="Times New Roman" w:cs="Times New Roman"/>
                <w:sz w:val="22"/>
                <w:szCs w:val="22"/>
                <w:lang w:bidi="ar-JO"/>
              </w:rPr>
              <w:t xml:space="preserve"> repurchase agreements (Total *12.5)</w:t>
            </w:r>
          </w:p>
        </w:tc>
        <w:tc>
          <w:tcPr>
            <w:tcW w:w="1206" w:type="dxa"/>
            <w:shd w:val="clear" w:color="auto" w:fill="EDEDED" w:themeFill="accent3" w:themeFillTint="33"/>
          </w:tcPr>
          <w:p w:rsidR="004A29F5" w:rsidRDefault="00C62362" w:rsidP="00F904B4">
            <w:pPr>
              <w:bidi w:val="0"/>
              <w:spacing w:after="0"/>
              <w:jc w:val="center"/>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0</w:t>
            </w:r>
          </w:p>
        </w:tc>
      </w:tr>
    </w:tbl>
    <w:p w:rsidR="004A29F5" w:rsidRPr="00C62362" w:rsidRDefault="00C62362" w:rsidP="004A29F5">
      <w:pPr>
        <w:bidi w:val="0"/>
        <w:jc w:val="left"/>
        <w:rPr>
          <w:rFonts w:ascii="Times New Roman" w:hAnsi="Times New Roman" w:cs="Times New Roman"/>
          <w:b w:val="0"/>
          <w:bCs w:val="0"/>
          <w:sz w:val="24"/>
          <w:szCs w:val="24"/>
          <w:lang w:bidi="ar-JO"/>
        </w:rPr>
      </w:pPr>
      <w:r w:rsidRPr="00C62362">
        <w:rPr>
          <w:rFonts w:ascii="Times New Roman" w:hAnsi="Times New Roman" w:cs="Times New Roman"/>
          <w:b w:val="0"/>
          <w:bCs w:val="0"/>
          <w:sz w:val="24"/>
          <w:szCs w:val="24"/>
          <w:lang w:bidi="ar-JO"/>
        </w:rPr>
        <w:t xml:space="preserve">* In </w:t>
      </w:r>
      <w:r w:rsidRPr="00C62362">
        <w:rPr>
          <w:rFonts w:ascii="Times New Roman" w:hAnsi="Times New Roman" w:cs="Times New Roman"/>
          <w:b w:val="0"/>
          <w:bCs w:val="0"/>
          <w:color w:val="202124"/>
          <w:sz w:val="24"/>
          <w:szCs w:val="24"/>
          <w:lang w:val="en"/>
        </w:rPr>
        <w:t>the event that the difference is negative, there are no capital requirements</w:t>
      </w:r>
      <w:r>
        <w:rPr>
          <w:rFonts w:ascii="Times New Roman" w:hAnsi="Times New Roman" w:cs="Times New Roman"/>
          <w:b w:val="0"/>
          <w:bCs w:val="0"/>
          <w:color w:val="202124"/>
          <w:sz w:val="24"/>
          <w:szCs w:val="24"/>
          <w:lang w:val="en"/>
        </w:rPr>
        <w:t>.</w:t>
      </w:r>
    </w:p>
    <w:p w:rsidR="004A29F5" w:rsidRDefault="004A29F5" w:rsidP="004A29F5">
      <w:pPr>
        <w:bidi w:val="0"/>
        <w:jc w:val="left"/>
        <w:rPr>
          <w:lang w:bidi="ar-JO"/>
        </w:rPr>
      </w:pPr>
    </w:p>
    <w:p w:rsidR="009A424F" w:rsidRDefault="009A424F" w:rsidP="009A424F">
      <w:pPr>
        <w:bidi w:val="0"/>
        <w:jc w:val="left"/>
        <w:rPr>
          <w:lang w:bidi="ar-JO"/>
        </w:rPr>
      </w:pPr>
    </w:p>
    <w:p w:rsidR="0001223F" w:rsidRDefault="0001223F" w:rsidP="0001223F">
      <w:pPr>
        <w:bidi w:val="0"/>
        <w:jc w:val="left"/>
        <w:rPr>
          <w:lang w:bidi="ar-JO"/>
        </w:rPr>
      </w:pPr>
    </w:p>
    <w:p w:rsidR="008A14B1" w:rsidRPr="00D036DF" w:rsidRDefault="00C62362" w:rsidP="00B66B27">
      <w:pPr>
        <w:pStyle w:val="Heading1"/>
        <w:pBdr>
          <w:bottom w:val="single" w:sz="4" w:space="1" w:color="auto"/>
        </w:pBdr>
        <w:bidi w:val="0"/>
        <w:jc w:val="center"/>
        <w:rPr>
          <w:rFonts w:asciiTheme="majorBidi" w:hAnsiTheme="majorBidi" w:cstheme="majorBidi"/>
          <w:b/>
          <w:bCs/>
        </w:rPr>
      </w:pPr>
      <w:bookmarkStart w:id="96" w:name="_Toc465255849"/>
      <w:bookmarkStart w:id="97" w:name="_Toc65354432"/>
      <w:r w:rsidRPr="00D036DF">
        <w:rPr>
          <w:rFonts w:asciiTheme="majorBidi" w:hAnsiTheme="majorBidi" w:cstheme="majorBidi"/>
          <w:b/>
          <w:bCs/>
        </w:rPr>
        <w:lastRenderedPageBreak/>
        <w:t>Annex (23</w:t>
      </w:r>
      <w:r w:rsidRPr="00563636">
        <w:rPr>
          <w:rFonts w:asciiTheme="majorBidi" w:hAnsiTheme="majorBidi" w:cstheme="majorBidi"/>
          <w:b/>
          <w:bCs/>
        </w:rPr>
        <w:t>)</w:t>
      </w:r>
      <w:r w:rsidR="00B66B27" w:rsidRPr="00563636">
        <w:rPr>
          <w:rFonts w:asciiTheme="majorBidi" w:hAnsiTheme="majorBidi" w:cstheme="majorBidi"/>
          <w:b/>
          <w:bCs/>
        </w:rPr>
        <w:t xml:space="preserve"> </w:t>
      </w:r>
      <w:r w:rsidR="008A14B1" w:rsidRPr="00563636">
        <w:rPr>
          <w:rFonts w:asciiTheme="majorBidi" w:hAnsiTheme="majorBidi" w:cstheme="majorBidi"/>
          <w:b/>
          <w:bCs/>
        </w:rPr>
        <w:t>The counterparty risks for unrecovered received / delivered</w:t>
      </w:r>
      <w:r w:rsidR="008A14B1" w:rsidRPr="00D036DF">
        <w:rPr>
          <w:rFonts w:asciiTheme="majorBidi" w:hAnsiTheme="majorBidi" w:cstheme="majorBidi"/>
          <w:b/>
          <w:bCs/>
        </w:rPr>
        <w:t xml:space="preserve"> shares</w:t>
      </w:r>
      <w:bookmarkEnd w:id="97"/>
    </w:p>
    <w:p w:rsidR="00A35516" w:rsidRDefault="00A35516" w:rsidP="00A35516">
      <w:pPr>
        <w:bidi w:val="0"/>
        <w:jc w:val="center"/>
        <w:rPr>
          <w:rFonts w:ascii="Times New Roman" w:hAnsi="Times New Roman" w:cs="Times New Roman"/>
          <w:sz w:val="24"/>
          <w:szCs w:val="24"/>
          <w:lang w:bidi="ar-JO"/>
        </w:rPr>
      </w:pPr>
    </w:p>
    <w:p w:rsidR="00D036DF" w:rsidRDefault="00D036DF" w:rsidP="00D036DF">
      <w:pPr>
        <w:bidi w:val="0"/>
        <w:jc w:val="center"/>
        <w:rPr>
          <w:rFonts w:ascii="Times New Roman" w:hAnsi="Times New Roman" w:cs="Times New Roman"/>
          <w:sz w:val="24"/>
          <w:szCs w:val="24"/>
          <w:lang w:bidi="ar-JO"/>
        </w:rPr>
      </w:pPr>
    </w:p>
    <w:p w:rsidR="00D036DF" w:rsidRPr="0001223F" w:rsidRDefault="00D036DF" w:rsidP="00D036DF">
      <w:pPr>
        <w:bidi w:val="0"/>
        <w:jc w:val="center"/>
        <w:rPr>
          <w:rFonts w:ascii="Times New Roman" w:hAnsi="Times New Roman" w:cs="Times New Roman"/>
          <w:sz w:val="24"/>
          <w:szCs w:val="24"/>
          <w:lang w:bidi="ar-JO"/>
        </w:rPr>
      </w:pPr>
    </w:p>
    <w:tbl>
      <w:tblPr>
        <w:tblStyle w:val="TableGrid"/>
        <w:tblW w:w="8648" w:type="dxa"/>
        <w:tblInd w:w="-431" w:type="dxa"/>
        <w:tblLook w:val="04A0" w:firstRow="1" w:lastRow="0" w:firstColumn="1" w:lastColumn="0" w:noHBand="0" w:noVBand="1"/>
      </w:tblPr>
      <w:tblGrid>
        <w:gridCol w:w="1698"/>
        <w:gridCol w:w="1328"/>
        <w:gridCol w:w="1795"/>
        <w:gridCol w:w="1701"/>
        <w:gridCol w:w="2126"/>
      </w:tblGrid>
      <w:tr w:rsidR="008A14B1" w:rsidTr="00A35516">
        <w:trPr>
          <w:trHeight w:val="901"/>
        </w:trPr>
        <w:tc>
          <w:tcPr>
            <w:tcW w:w="1698" w:type="dxa"/>
            <w:shd w:val="clear" w:color="auto" w:fill="EDEDED" w:themeFill="accent3" w:themeFillTint="33"/>
            <w:vAlign w:val="center"/>
          </w:tcPr>
          <w:p w:rsidR="008A14B1" w:rsidRPr="00914954" w:rsidRDefault="008A14B1" w:rsidP="00F904B4">
            <w:pPr>
              <w:bidi w:val="0"/>
              <w:spacing w:after="0"/>
              <w:jc w:val="center"/>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Table 7/b</w:t>
            </w:r>
          </w:p>
        </w:tc>
        <w:tc>
          <w:tcPr>
            <w:tcW w:w="1328" w:type="dxa"/>
            <w:shd w:val="clear" w:color="auto" w:fill="EDEDED" w:themeFill="accent3" w:themeFillTint="33"/>
            <w:vAlign w:val="center"/>
          </w:tcPr>
          <w:p w:rsidR="008A14B1" w:rsidRPr="00914954" w:rsidRDefault="008A14B1" w:rsidP="00F904B4">
            <w:pPr>
              <w:bidi w:val="0"/>
              <w:spacing w:after="0"/>
              <w:jc w:val="center"/>
              <w:rPr>
                <w:rFonts w:ascii="Times New Roman" w:hAnsi="Times New Roman" w:cs="Times New Roman"/>
                <w:b w:val="0"/>
                <w:bCs w:val="0"/>
                <w:sz w:val="22"/>
                <w:szCs w:val="22"/>
                <w:lang w:bidi="ar-JO"/>
              </w:rPr>
            </w:pPr>
            <w:r w:rsidRPr="00914954">
              <w:rPr>
                <w:rFonts w:ascii="Times New Roman" w:hAnsi="Times New Roman" w:cs="Times New Roman"/>
                <w:b w:val="0"/>
                <w:bCs w:val="0"/>
                <w:sz w:val="22"/>
                <w:szCs w:val="22"/>
                <w:lang w:bidi="ar-JO"/>
              </w:rPr>
              <w:t>The counterparty weight</w:t>
            </w:r>
          </w:p>
        </w:tc>
        <w:tc>
          <w:tcPr>
            <w:tcW w:w="1795" w:type="dxa"/>
            <w:shd w:val="clear" w:color="auto" w:fill="EDEDED" w:themeFill="accent3" w:themeFillTint="33"/>
            <w:vAlign w:val="center"/>
          </w:tcPr>
          <w:p w:rsidR="008A14B1" w:rsidRPr="00914954" w:rsidRDefault="008A14B1" w:rsidP="008A14B1">
            <w:pPr>
              <w:bidi w:val="0"/>
              <w:spacing w:after="0"/>
              <w:jc w:val="center"/>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 xml:space="preserve">The value of </w:t>
            </w:r>
            <w:r w:rsidRPr="008A14B1">
              <w:rPr>
                <w:rFonts w:ascii="Times New Roman" w:hAnsi="Times New Roman" w:cs="Times New Roman"/>
                <w:b w:val="0"/>
                <w:bCs w:val="0"/>
                <w:sz w:val="22"/>
                <w:szCs w:val="22"/>
                <w:lang w:bidi="ar-JO"/>
              </w:rPr>
              <w:t>received or delivered shares</w:t>
            </w:r>
          </w:p>
        </w:tc>
        <w:tc>
          <w:tcPr>
            <w:tcW w:w="1701" w:type="dxa"/>
            <w:shd w:val="clear" w:color="auto" w:fill="EDEDED" w:themeFill="accent3" w:themeFillTint="33"/>
            <w:vAlign w:val="center"/>
          </w:tcPr>
          <w:p w:rsidR="008A14B1" w:rsidRPr="00914954" w:rsidRDefault="008A14B1" w:rsidP="00F904B4">
            <w:pPr>
              <w:bidi w:val="0"/>
              <w:spacing w:after="0"/>
              <w:jc w:val="center"/>
              <w:rPr>
                <w:rFonts w:ascii="Times New Roman" w:hAnsi="Times New Roman" w:cs="Times New Roman"/>
                <w:b w:val="0"/>
                <w:bCs w:val="0"/>
                <w:color w:val="202124"/>
                <w:sz w:val="22"/>
                <w:szCs w:val="22"/>
                <w:lang w:val="en"/>
              </w:rPr>
            </w:pPr>
            <w:r w:rsidRPr="00914954">
              <w:rPr>
                <w:rFonts w:ascii="Times New Roman" w:hAnsi="Times New Roman" w:cs="Times New Roman"/>
                <w:b w:val="0"/>
                <w:bCs w:val="0"/>
                <w:color w:val="202124"/>
                <w:sz w:val="22"/>
                <w:szCs w:val="22"/>
                <w:lang w:val="en"/>
              </w:rPr>
              <w:t>The ratio of the required capital</w:t>
            </w:r>
          </w:p>
        </w:tc>
        <w:tc>
          <w:tcPr>
            <w:tcW w:w="2126" w:type="dxa"/>
            <w:shd w:val="clear" w:color="auto" w:fill="EDEDED" w:themeFill="accent3" w:themeFillTint="33"/>
            <w:vAlign w:val="center"/>
          </w:tcPr>
          <w:p w:rsidR="008A14B1" w:rsidRPr="00914954" w:rsidRDefault="008A14B1" w:rsidP="00F904B4">
            <w:pPr>
              <w:bidi w:val="0"/>
              <w:spacing w:after="0"/>
              <w:jc w:val="center"/>
              <w:rPr>
                <w:rFonts w:ascii="Times New Roman" w:hAnsi="Times New Roman" w:cs="Times New Roman"/>
                <w:b w:val="0"/>
                <w:bCs w:val="0"/>
                <w:color w:val="202124"/>
                <w:sz w:val="22"/>
                <w:szCs w:val="22"/>
                <w:lang w:val="en"/>
              </w:rPr>
            </w:pPr>
            <w:r w:rsidRPr="00914954">
              <w:rPr>
                <w:rFonts w:ascii="Times New Roman" w:hAnsi="Times New Roman" w:cs="Times New Roman"/>
                <w:b w:val="0"/>
                <w:bCs w:val="0"/>
                <w:color w:val="202124"/>
                <w:sz w:val="22"/>
                <w:szCs w:val="22"/>
                <w:lang w:val="en"/>
              </w:rPr>
              <w:t>The required capital</w:t>
            </w:r>
          </w:p>
        </w:tc>
      </w:tr>
      <w:tr w:rsidR="008A14B1" w:rsidTr="008A14B1">
        <w:tc>
          <w:tcPr>
            <w:tcW w:w="1698" w:type="dxa"/>
            <w:shd w:val="clear" w:color="auto" w:fill="C9C9C9" w:themeFill="accent3" w:themeFillTint="99"/>
          </w:tcPr>
          <w:p w:rsidR="008A14B1" w:rsidRPr="00914954" w:rsidRDefault="008A14B1" w:rsidP="00F904B4">
            <w:pPr>
              <w:bidi w:val="0"/>
              <w:spacing w:after="0"/>
              <w:jc w:val="left"/>
              <w:rPr>
                <w:rFonts w:ascii="Times New Roman" w:hAnsi="Times New Roman" w:cs="Times New Roman"/>
                <w:b w:val="0"/>
                <w:bCs w:val="0"/>
                <w:sz w:val="22"/>
                <w:szCs w:val="22"/>
                <w:lang w:bidi="ar-JO"/>
              </w:rPr>
            </w:pPr>
          </w:p>
        </w:tc>
        <w:tc>
          <w:tcPr>
            <w:tcW w:w="1328" w:type="dxa"/>
            <w:shd w:val="clear" w:color="auto" w:fill="C9C9C9" w:themeFill="accent3" w:themeFillTint="99"/>
            <w:vAlign w:val="center"/>
          </w:tcPr>
          <w:p w:rsidR="008A14B1" w:rsidRPr="00914954" w:rsidRDefault="008A14B1" w:rsidP="00F904B4">
            <w:pPr>
              <w:bidi w:val="0"/>
              <w:spacing w:after="0"/>
              <w:jc w:val="center"/>
              <w:rPr>
                <w:rFonts w:ascii="Times New Roman" w:hAnsi="Times New Roman" w:cs="Times New Roman"/>
                <w:b w:val="0"/>
                <w:bCs w:val="0"/>
                <w:sz w:val="22"/>
                <w:szCs w:val="22"/>
                <w:lang w:bidi="ar-JO"/>
              </w:rPr>
            </w:pPr>
          </w:p>
        </w:tc>
        <w:tc>
          <w:tcPr>
            <w:tcW w:w="1795" w:type="dxa"/>
            <w:shd w:val="clear" w:color="auto" w:fill="C9C9C9" w:themeFill="accent3" w:themeFillTint="99"/>
            <w:vAlign w:val="center"/>
          </w:tcPr>
          <w:p w:rsidR="008A14B1" w:rsidRPr="00914954" w:rsidRDefault="008A14B1" w:rsidP="00F904B4">
            <w:pPr>
              <w:bidi w:val="0"/>
              <w:spacing w:after="0"/>
              <w:jc w:val="center"/>
              <w:rPr>
                <w:rFonts w:ascii="Times New Roman" w:hAnsi="Times New Roman" w:cs="Times New Roman"/>
                <w:b w:val="0"/>
                <w:bCs w:val="0"/>
                <w:sz w:val="22"/>
                <w:szCs w:val="22"/>
                <w:lang w:bidi="ar-JO"/>
              </w:rPr>
            </w:pPr>
          </w:p>
        </w:tc>
        <w:tc>
          <w:tcPr>
            <w:tcW w:w="1701" w:type="dxa"/>
            <w:shd w:val="clear" w:color="auto" w:fill="C9C9C9" w:themeFill="accent3" w:themeFillTint="99"/>
            <w:vAlign w:val="center"/>
          </w:tcPr>
          <w:p w:rsidR="008A14B1" w:rsidRPr="00914954" w:rsidRDefault="008A14B1" w:rsidP="00F904B4">
            <w:pPr>
              <w:bidi w:val="0"/>
              <w:spacing w:after="0"/>
              <w:jc w:val="center"/>
              <w:rPr>
                <w:rFonts w:ascii="Times New Roman" w:hAnsi="Times New Roman" w:cs="Times New Roman"/>
                <w:b w:val="0"/>
                <w:bCs w:val="0"/>
                <w:sz w:val="22"/>
                <w:szCs w:val="22"/>
                <w:lang w:bidi="ar-JO"/>
              </w:rPr>
            </w:pPr>
          </w:p>
        </w:tc>
        <w:tc>
          <w:tcPr>
            <w:tcW w:w="2126" w:type="dxa"/>
            <w:shd w:val="clear" w:color="auto" w:fill="C9C9C9" w:themeFill="accent3" w:themeFillTint="99"/>
            <w:vAlign w:val="center"/>
          </w:tcPr>
          <w:p w:rsidR="008A14B1" w:rsidRPr="00914954" w:rsidRDefault="008A14B1" w:rsidP="008A14B1">
            <w:pPr>
              <w:bidi w:val="0"/>
              <w:spacing w:after="0"/>
              <w:jc w:val="center"/>
              <w:rPr>
                <w:rFonts w:ascii="Times New Roman" w:hAnsi="Times New Roman" w:cs="Times New Roman"/>
                <w:b w:val="0"/>
                <w:bCs w:val="0"/>
                <w:sz w:val="22"/>
                <w:szCs w:val="22"/>
                <w:lang w:bidi="ar-JO"/>
              </w:rPr>
            </w:pPr>
            <w:r w:rsidRPr="00914954">
              <w:rPr>
                <w:rFonts w:ascii="Times New Roman" w:hAnsi="Times New Roman" w:cs="Times New Roman"/>
                <w:b w:val="0"/>
                <w:bCs w:val="0"/>
                <w:sz w:val="22"/>
                <w:szCs w:val="22"/>
                <w:lang w:bidi="ar-JO"/>
              </w:rPr>
              <w:t>(1)*(</w:t>
            </w:r>
            <w:r>
              <w:rPr>
                <w:rFonts w:ascii="Times New Roman" w:hAnsi="Times New Roman" w:cs="Times New Roman"/>
                <w:b w:val="0"/>
                <w:bCs w:val="0"/>
                <w:sz w:val="22"/>
                <w:szCs w:val="22"/>
                <w:lang w:bidi="ar-JO"/>
              </w:rPr>
              <w:t>2</w:t>
            </w:r>
            <w:r w:rsidRPr="00914954">
              <w:rPr>
                <w:rFonts w:ascii="Times New Roman" w:hAnsi="Times New Roman" w:cs="Times New Roman"/>
                <w:b w:val="0"/>
                <w:bCs w:val="0"/>
                <w:sz w:val="22"/>
                <w:szCs w:val="22"/>
                <w:lang w:bidi="ar-JO"/>
              </w:rPr>
              <w:t>)*(</w:t>
            </w:r>
            <w:r>
              <w:rPr>
                <w:rFonts w:ascii="Times New Roman" w:hAnsi="Times New Roman" w:cs="Times New Roman"/>
                <w:b w:val="0"/>
                <w:bCs w:val="0"/>
                <w:sz w:val="22"/>
                <w:szCs w:val="22"/>
                <w:lang w:bidi="ar-JO"/>
              </w:rPr>
              <w:t>3</w:t>
            </w:r>
            <w:r w:rsidRPr="00914954">
              <w:rPr>
                <w:rFonts w:ascii="Times New Roman" w:hAnsi="Times New Roman" w:cs="Times New Roman"/>
                <w:b w:val="0"/>
                <w:bCs w:val="0"/>
                <w:sz w:val="22"/>
                <w:szCs w:val="22"/>
                <w:lang w:bidi="ar-JO"/>
              </w:rPr>
              <w:t>)</w:t>
            </w:r>
          </w:p>
        </w:tc>
      </w:tr>
      <w:tr w:rsidR="008A14B1" w:rsidTr="008A14B1">
        <w:tc>
          <w:tcPr>
            <w:tcW w:w="1698" w:type="dxa"/>
            <w:shd w:val="clear" w:color="auto" w:fill="EDEDED" w:themeFill="accent3" w:themeFillTint="33"/>
          </w:tcPr>
          <w:p w:rsidR="008A14B1" w:rsidRPr="00914954" w:rsidRDefault="008A14B1" w:rsidP="00F904B4">
            <w:pPr>
              <w:bidi w:val="0"/>
              <w:spacing w:after="0"/>
              <w:jc w:val="left"/>
              <w:rPr>
                <w:rFonts w:ascii="Times New Roman" w:hAnsi="Times New Roman" w:cs="Times New Roman"/>
                <w:b w:val="0"/>
                <w:bCs w:val="0"/>
                <w:sz w:val="22"/>
                <w:szCs w:val="22"/>
                <w:lang w:bidi="ar-JO"/>
              </w:rPr>
            </w:pPr>
          </w:p>
        </w:tc>
        <w:tc>
          <w:tcPr>
            <w:tcW w:w="1328" w:type="dxa"/>
            <w:shd w:val="clear" w:color="auto" w:fill="EDEDED" w:themeFill="accent3" w:themeFillTint="33"/>
            <w:vAlign w:val="center"/>
          </w:tcPr>
          <w:p w:rsidR="008A14B1" w:rsidRPr="00914954" w:rsidRDefault="008A14B1" w:rsidP="00F904B4">
            <w:pPr>
              <w:bidi w:val="0"/>
              <w:spacing w:after="0"/>
              <w:jc w:val="center"/>
              <w:rPr>
                <w:rFonts w:ascii="Times New Roman" w:hAnsi="Times New Roman" w:cs="Times New Roman"/>
                <w:b w:val="0"/>
                <w:bCs w:val="0"/>
                <w:sz w:val="22"/>
                <w:szCs w:val="22"/>
                <w:lang w:bidi="ar-JO"/>
              </w:rPr>
            </w:pPr>
            <w:r w:rsidRPr="00914954">
              <w:rPr>
                <w:rFonts w:ascii="Times New Roman" w:hAnsi="Times New Roman" w:cs="Times New Roman"/>
                <w:b w:val="0"/>
                <w:bCs w:val="0"/>
                <w:sz w:val="22"/>
                <w:szCs w:val="22"/>
                <w:lang w:bidi="ar-JO"/>
              </w:rPr>
              <w:t>1</w:t>
            </w:r>
          </w:p>
        </w:tc>
        <w:tc>
          <w:tcPr>
            <w:tcW w:w="1795" w:type="dxa"/>
            <w:shd w:val="clear" w:color="auto" w:fill="EDEDED" w:themeFill="accent3" w:themeFillTint="33"/>
            <w:vAlign w:val="center"/>
          </w:tcPr>
          <w:p w:rsidR="008A14B1" w:rsidRPr="00914954" w:rsidRDefault="008A14B1" w:rsidP="00F904B4">
            <w:pPr>
              <w:bidi w:val="0"/>
              <w:spacing w:after="0"/>
              <w:jc w:val="center"/>
              <w:rPr>
                <w:rFonts w:ascii="Times New Roman" w:hAnsi="Times New Roman" w:cs="Times New Roman"/>
                <w:b w:val="0"/>
                <w:bCs w:val="0"/>
                <w:sz w:val="22"/>
                <w:szCs w:val="22"/>
                <w:lang w:bidi="ar-JO"/>
              </w:rPr>
            </w:pPr>
            <w:r w:rsidRPr="00914954">
              <w:rPr>
                <w:rFonts w:ascii="Times New Roman" w:hAnsi="Times New Roman" w:cs="Times New Roman"/>
                <w:b w:val="0"/>
                <w:bCs w:val="0"/>
                <w:sz w:val="22"/>
                <w:szCs w:val="22"/>
                <w:lang w:bidi="ar-JO"/>
              </w:rPr>
              <w:t>2</w:t>
            </w:r>
          </w:p>
        </w:tc>
        <w:tc>
          <w:tcPr>
            <w:tcW w:w="1701" w:type="dxa"/>
            <w:shd w:val="clear" w:color="auto" w:fill="EDEDED" w:themeFill="accent3" w:themeFillTint="33"/>
            <w:vAlign w:val="center"/>
          </w:tcPr>
          <w:p w:rsidR="008A14B1" w:rsidRPr="00914954" w:rsidRDefault="008A14B1" w:rsidP="00F904B4">
            <w:pPr>
              <w:bidi w:val="0"/>
              <w:spacing w:after="0"/>
              <w:jc w:val="center"/>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3</w:t>
            </w:r>
          </w:p>
        </w:tc>
        <w:tc>
          <w:tcPr>
            <w:tcW w:w="2126" w:type="dxa"/>
            <w:shd w:val="clear" w:color="auto" w:fill="EDEDED" w:themeFill="accent3" w:themeFillTint="33"/>
            <w:vAlign w:val="center"/>
          </w:tcPr>
          <w:p w:rsidR="008A14B1" w:rsidRPr="00914954" w:rsidRDefault="008A14B1" w:rsidP="00F904B4">
            <w:pPr>
              <w:bidi w:val="0"/>
              <w:spacing w:after="0"/>
              <w:jc w:val="center"/>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4</w:t>
            </w:r>
          </w:p>
        </w:tc>
      </w:tr>
      <w:tr w:rsidR="008A14B1" w:rsidTr="008A14B1">
        <w:tc>
          <w:tcPr>
            <w:tcW w:w="1698" w:type="dxa"/>
          </w:tcPr>
          <w:p w:rsidR="008A14B1" w:rsidRPr="00914954" w:rsidRDefault="008A14B1" w:rsidP="00F904B4">
            <w:pPr>
              <w:bidi w:val="0"/>
              <w:spacing w:after="0"/>
              <w:jc w:val="left"/>
              <w:rPr>
                <w:rFonts w:ascii="Times New Roman" w:hAnsi="Times New Roman" w:cs="Times New Roman"/>
                <w:b w:val="0"/>
                <w:bCs w:val="0"/>
                <w:sz w:val="22"/>
                <w:szCs w:val="22"/>
                <w:lang w:bidi="ar-JO"/>
              </w:rPr>
            </w:pPr>
            <w:r w:rsidRPr="00914954">
              <w:rPr>
                <w:rFonts w:ascii="Times New Roman" w:hAnsi="Times New Roman" w:cs="Times New Roman"/>
                <w:b w:val="0"/>
                <w:bCs w:val="0"/>
                <w:sz w:val="22"/>
                <w:szCs w:val="22"/>
                <w:lang w:bidi="ar-JO"/>
              </w:rPr>
              <w:t>(AAA,AA-)</w:t>
            </w:r>
          </w:p>
        </w:tc>
        <w:tc>
          <w:tcPr>
            <w:tcW w:w="1328" w:type="dxa"/>
            <w:vAlign w:val="center"/>
          </w:tcPr>
          <w:p w:rsidR="008A14B1" w:rsidRPr="00914954" w:rsidRDefault="008A14B1" w:rsidP="00F904B4">
            <w:pPr>
              <w:bidi w:val="0"/>
              <w:spacing w:after="0"/>
              <w:jc w:val="center"/>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0%</w:t>
            </w:r>
          </w:p>
        </w:tc>
        <w:tc>
          <w:tcPr>
            <w:tcW w:w="1795" w:type="dxa"/>
            <w:vAlign w:val="center"/>
          </w:tcPr>
          <w:p w:rsidR="008A14B1" w:rsidRPr="00914954" w:rsidRDefault="008A14B1" w:rsidP="00F904B4">
            <w:pPr>
              <w:bidi w:val="0"/>
              <w:spacing w:after="0"/>
              <w:jc w:val="center"/>
              <w:rPr>
                <w:rFonts w:ascii="Times New Roman" w:hAnsi="Times New Roman" w:cs="Times New Roman"/>
                <w:b w:val="0"/>
                <w:bCs w:val="0"/>
                <w:sz w:val="22"/>
                <w:szCs w:val="22"/>
                <w:lang w:bidi="ar-JO"/>
              </w:rPr>
            </w:pPr>
          </w:p>
        </w:tc>
        <w:tc>
          <w:tcPr>
            <w:tcW w:w="1701" w:type="dxa"/>
            <w:vAlign w:val="center"/>
          </w:tcPr>
          <w:p w:rsidR="008A14B1" w:rsidRPr="00914954" w:rsidRDefault="008A14B1" w:rsidP="00F904B4">
            <w:pPr>
              <w:bidi w:val="0"/>
              <w:spacing w:after="0"/>
              <w:jc w:val="center"/>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8%</w:t>
            </w:r>
          </w:p>
        </w:tc>
        <w:tc>
          <w:tcPr>
            <w:tcW w:w="2126" w:type="dxa"/>
            <w:vAlign w:val="center"/>
          </w:tcPr>
          <w:p w:rsidR="008A14B1" w:rsidRPr="00914954" w:rsidRDefault="008A14B1" w:rsidP="00F904B4">
            <w:pPr>
              <w:bidi w:val="0"/>
              <w:spacing w:after="0"/>
              <w:jc w:val="center"/>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0</w:t>
            </w:r>
          </w:p>
        </w:tc>
      </w:tr>
      <w:tr w:rsidR="008A14B1" w:rsidTr="008A14B1">
        <w:tc>
          <w:tcPr>
            <w:tcW w:w="1698" w:type="dxa"/>
          </w:tcPr>
          <w:p w:rsidR="008A14B1" w:rsidRPr="00914954" w:rsidRDefault="008A14B1" w:rsidP="00F904B4">
            <w:pPr>
              <w:bidi w:val="0"/>
              <w:spacing w:after="0"/>
              <w:jc w:val="left"/>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(A+ , A-)</w:t>
            </w:r>
          </w:p>
        </w:tc>
        <w:tc>
          <w:tcPr>
            <w:tcW w:w="1328" w:type="dxa"/>
            <w:vAlign w:val="center"/>
          </w:tcPr>
          <w:p w:rsidR="008A14B1" w:rsidRPr="00914954" w:rsidRDefault="008A14B1" w:rsidP="00F904B4">
            <w:pPr>
              <w:bidi w:val="0"/>
              <w:spacing w:after="0"/>
              <w:jc w:val="center"/>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20%</w:t>
            </w:r>
          </w:p>
        </w:tc>
        <w:tc>
          <w:tcPr>
            <w:tcW w:w="1795" w:type="dxa"/>
            <w:vAlign w:val="center"/>
          </w:tcPr>
          <w:p w:rsidR="008A14B1" w:rsidRPr="00914954" w:rsidRDefault="008A14B1" w:rsidP="00F904B4">
            <w:pPr>
              <w:bidi w:val="0"/>
              <w:spacing w:after="0"/>
              <w:jc w:val="center"/>
              <w:rPr>
                <w:rFonts w:ascii="Times New Roman" w:hAnsi="Times New Roman" w:cs="Times New Roman"/>
                <w:b w:val="0"/>
                <w:bCs w:val="0"/>
                <w:sz w:val="22"/>
                <w:szCs w:val="22"/>
                <w:lang w:bidi="ar-JO"/>
              </w:rPr>
            </w:pPr>
          </w:p>
        </w:tc>
        <w:tc>
          <w:tcPr>
            <w:tcW w:w="1701" w:type="dxa"/>
            <w:vAlign w:val="center"/>
          </w:tcPr>
          <w:p w:rsidR="008A14B1" w:rsidRPr="00914954" w:rsidRDefault="008A14B1" w:rsidP="00F904B4">
            <w:pPr>
              <w:bidi w:val="0"/>
              <w:spacing w:after="0"/>
              <w:jc w:val="center"/>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8%</w:t>
            </w:r>
          </w:p>
        </w:tc>
        <w:tc>
          <w:tcPr>
            <w:tcW w:w="2126" w:type="dxa"/>
            <w:vAlign w:val="center"/>
          </w:tcPr>
          <w:p w:rsidR="008A14B1" w:rsidRPr="00914954" w:rsidRDefault="008A14B1" w:rsidP="00F904B4">
            <w:pPr>
              <w:bidi w:val="0"/>
              <w:spacing w:after="0"/>
              <w:jc w:val="center"/>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0</w:t>
            </w:r>
          </w:p>
        </w:tc>
      </w:tr>
      <w:tr w:rsidR="008A14B1" w:rsidTr="008A14B1">
        <w:tc>
          <w:tcPr>
            <w:tcW w:w="1698" w:type="dxa"/>
          </w:tcPr>
          <w:p w:rsidR="008A14B1" w:rsidRPr="00914954" w:rsidRDefault="008A14B1" w:rsidP="00F904B4">
            <w:pPr>
              <w:bidi w:val="0"/>
              <w:spacing w:after="0"/>
              <w:jc w:val="left"/>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(BBB+,BBB-)</w:t>
            </w:r>
          </w:p>
        </w:tc>
        <w:tc>
          <w:tcPr>
            <w:tcW w:w="1328" w:type="dxa"/>
            <w:vAlign w:val="center"/>
          </w:tcPr>
          <w:p w:rsidR="008A14B1" w:rsidRPr="00914954" w:rsidRDefault="008A14B1" w:rsidP="00F904B4">
            <w:pPr>
              <w:bidi w:val="0"/>
              <w:spacing w:after="0"/>
              <w:jc w:val="center"/>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50%</w:t>
            </w:r>
          </w:p>
        </w:tc>
        <w:tc>
          <w:tcPr>
            <w:tcW w:w="1795" w:type="dxa"/>
            <w:vAlign w:val="center"/>
          </w:tcPr>
          <w:p w:rsidR="008A14B1" w:rsidRPr="00914954" w:rsidRDefault="008A14B1" w:rsidP="00F904B4">
            <w:pPr>
              <w:bidi w:val="0"/>
              <w:spacing w:after="0"/>
              <w:jc w:val="center"/>
              <w:rPr>
                <w:rFonts w:ascii="Times New Roman" w:hAnsi="Times New Roman" w:cs="Times New Roman"/>
                <w:b w:val="0"/>
                <w:bCs w:val="0"/>
                <w:sz w:val="22"/>
                <w:szCs w:val="22"/>
                <w:lang w:bidi="ar-JO"/>
              </w:rPr>
            </w:pPr>
          </w:p>
        </w:tc>
        <w:tc>
          <w:tcPr>
            <w:tcW w:w="1701" w:type="dxa"/>
            <w:vAlign w:val="center"/>
          </w:tcPr>
          <w:p w:rsidR="008A14B1" w:rsidRPr="00914954" w:rsidRDefault="008A14B1" w:rsidP="00F904B4">
            <w:pPr>
              <w:bidi w:val="0"/>
              <w:spacing w:after="0"/>
              <w:jc w:val="center"/>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8%</w:t>
            </w:r>
          </w:p>
        </w:tc>
        <w:tc>
          <w:tcPr>
            <w:tcW w:w="2126" w:type="dxa"/>
            <w:vAlign w:val="center"/>
          </w:tcPr>
          <w:p w:rsidR="008A14B1" w:rsidRPr="00914954" w:rsidRDefault="008A14B1" w:rsidP="00F904B4">
            <w:pPr>
              <w:bidi w:val="0"/>
              <w:spacing w:after="0"/>
              <w:jc w:val="center"/>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0</w:t>
            </w:r>
          </w:p>
        </w:tc>
      </w:tr>
      <w:tr w:rsidR="008A14B1" w:rsidTr="008A14B1">
        <w:tc>
          <w:tcPr>
            <w:tcW w:w="1698" w:type="dxa"/>
          </w:tcPr>
          <w:p w:rsidR="008A14B1" w:rsidRPr="00914954" w:rsidRDefault="008A14B1" w:rsidP="00F904B4">
            <w:pPr>
              <w:bidi w:val="0"/>
              <w:spacing w:after="0"/>
              <w:jc w:val="left"/>
              <w:rPr>
                <w:rFonts w:ascii="Times New Roman" w:hAnsi="Times New Roman" w:cs="Times New Roman"/>
                <w:b w:val="0"/>
                <w:bCs w:val="0"/>
                <w:sz w:val="22"/>
                <w:szCs w:val="22"/>
                <w:lang w:bidi="ar-JO"/>
              </w:rPr>
            </w:pPr>
            <w:r w:rsidRPr="004A29F5">
              <w:rPr>
                <w:rFonts w:ascii="Times New Roman" w:hAnsi="Times New Roman" w:cs="Times New Roman"/>
                <w:b w:val="0"/>
                <w:bCs w:val="0"/>
                <w:sz w:val="22"/>
                <w:szCs w:val="22"/>
                <w:lang w:bidi="ar-JO"/>
              </w:rPr>
              <w:t>Less than the above rating or unrated</w:t>
            </w:r>
          </w:p>
        </w:tc>
        <w:tc>
          <w:tcPr>
            <w:tcW w:w="1328" w:type="dxa"/>
            <w:vAlign w:val="center"/>
          </w:tcPr>
          <w:p w:rsidR="008A14B1" w:rsidRPr="00914954" w:rsidRDefault="008A14B1" w:rsidP="00F904B4">
            <w:pPr>
              <w:bidi w:val="0"/>
              <w:spacing w:after="0"/>
              <w:jc w:val="center"/>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100%</w:t>
            </w:r>
          </w:p>
        </w:tc>
        <w:tc>
          <w:tcPr>
            <w:tcW w:w="1795" w:type="dxa"/>
            <w:vAlign w:val="center"/>
          </w:tcPr>
          <w:p w:rsidR="008A14B1" w:rsidRPr="00914954" w:rsidRDefault="008A14B1" w:rsidP="00F904B4">
            <w:pPr>
              <w:bidi w:val="0"/>
              <w:spacing w:after="0"/>
              <w:jc w:val="center"/>
              <w:rPr>
                <w:rFonts w:ascii="Times New Roman" w:hAnsi="Times New Roman" w:cs="Times New Roman"/>
                <w:b w:val="0"/>
                <w:bCs w:val="0"/>
                <w:sz w:val="22"/>
                <w:szCs w:val="22"/>
                <w:lang w:bidi="ar-JO"/>
              </w:rPr>
            </w:pPr>
          </w:p>
        </w:tc>
        <w:tc>
          <w:tcPr>
            <w:tcW w:w="1701" w:type="dxa"/>
            <w:vAlign w:val="center"/>
          </w:tcPr>
          <w:p w:rsidR="008A14B1" w:rsidRPr="00914954" w:rsidRDefault="008A14B1" w:rsidP="00F904B4">
            <w:pPr>
              <w:bidi w:val="0"/>
              <w:spacing w:after="0"/>
              <w:jc w:val="center"/>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8%</w:t>
            </w:r>
          </w:p>
        </w:tc>
        <w:tc>
          <w:tcPr>
            <w:tcW w:w="2126" w:type="dxa"/>
            <w:vAlign w:val="center"/>
          </w:tcPr>
          <w:p w:rsidR="008A14B1" w:rsidRPr="00914954" w:rsidRDefault="008A14B1" w:rsidP="00F904B4">
            <w:pPr>
              <w:bidi w:val="0"/>
              <w:spacing w:after="0"/>
              <w:jc w:val="center"/>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0</w:t>
            </w:r>
          </w:p>
        </w:tc>
      </w:tr>
      <w:tr w:rsidR="008A14B1" w:rsidTr="008A14B1">
        <w:tc>
          <w:tcPr>
            <w:tcW w:w="6522" w:type="dxa"/>
            <w:gridSpan w:val="4"/>
            <w:shd w:val="clear" w:color="auto" w:fill="EDEDED" w:themeFill="accent3" w:themeFillTint="33"/>
          </w:tcPr>
          <w:p w:rsidR="008A14B1" w:rsidRPr="004A29F5" w:rsidRDefault="008A14B1" w:rsidP="00F904B4">
            <w:pPr>
              <w:bidi w:val="0"/>
              <w:spacing w:after="0"/>
              <w:jc w:val="left"/>
              <w:rPr>
                <w:rFonts w:ascii="Times New Roman" w:hAnsi="Times New Roman" w:cs="Times New Roman"/>
                <w:b w:val="0"/>
                <w:bCs w:val="0"/>
                <w:sz w:val="22"/>
                <w:szCs w:val="22"/>
                <w:lang w:bidi="ar-JO"/>
              </w:rPr>
            </w:pPr>
            <w:r w:rsidRPr="004A29F5">
              <w:rPr>
                <w:rFonts w:ascii="Times New Roman" w:hAnsi="Times New Roman" w:cs="Times New Roman"/>
                <w:color w:val="202124"/>
                <w:sz w:val="22"/>
                <w:szCs w:val="22"/>
                <w:lang w:val="en"/>
              </w:rPr>
              <w:t>Total</w:t>
            </w:r>
          </w:p>
        </w:tc>
        <w:tc>
          <w:tcPr>
            <w:tcW w:w="2126" w:type="dxa"/>
            <w:shd w:val="clear" w:color="auto" w:fill="EDEDED" w:themeFill="accent3" w:themeFillTint="33"/>
          </w:tcPr>
          <w:p w:rsidR="008A14B1" w:rsidRDefault="008A14B1" w:rsidP="00F904B4">
            <w:pPr>
              <w:bidi w:val="0"/>
              <w:spacing w:after="0"/>
              <w:jc w:val="center"/>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0</w:t>
            </w:r>
          </w:p>
        </w:tc>
      </w:tr>
      <w:tr w:rsidR="008A14B1" w:rsidTr="008A14B1">
        <w:tc>
          <w:tcPr>
            <w:tcW w:w="6522" w:type="dxa"/>
            <w:gridSpan w:val="4"/>
            <w:shd w:val="clear" w:color="auto" w:fill="EDEDED" w:themeFill="accent3" w:themeFillTint="33"/>
          </w:tcPr>
          <w:p w:rsidR="008A14B1" w:rsidRPr="008A14B1" w:rsidRDefault="008A14B1" w:rsidP="00F904B4">
            <w:pPr>
              <w:bidi w:val="0"/>
              <w:spacing w:after="0"/>
              <w:jc w:val="left"/>
              <w:rPr>
                <w:rFonts w:ascii="Times New Roman" w:hAnsi="Times New Roman" w:cs="Times New Roman"/>
                <w:sz w:val="22"/>
                <w:szCs w:val="22"/>
                <w:lang w:bidi="ar-JO"/>
              </w:rPr>
            </w:pPr>
            <w:r w:rsidRPr="004A29F5">
              <w:rPr>
                <w:rFonts w:ascii="Times New Roman" w:hAnsi="Times New Roman" w:cs="Times New Roman"/>
                <w:sz w:val="22"/>
                <w:szCs w:val="22"/>
                <w:lang w:bidi="ar-JO"/>
              </w:rPr>
              <w:t>The counterparty risks for</w:t>
            </w:r>
            <w:r>
              <w:rPr>
                <w:rFonts w:ascii="Times New Roman" w:hAnsi="Times New Roman" w:cs="Times New Roman"/>
                <w:sz w:val="22"/>
                <w:szCs w:val="22"/>
                <w:lang w:bidi="ar-JO"/>
              </w:rPr>
              <w:t xml:space="preserve"> </w:t>
            </w:r>
            <w:r w:rsidRPr="008A14B1">
              <w:rPr>
                <w:rFonts w:ascii="Times New Roman" w:hAnsi="Times New Roman" w:cs="Times New Roman"/>
                <w:sz w:val="22"/>
                <w:szCs w:val="22"/>
                <w:lang w:bidi="ar-JO"/>
              </w:rPr>
              <w:t>received / delivered shares</w:t>
            </w:r>
            <w:r w:rsidRPr="004A29F5">
              <w:rPr>
                <w:rFonts w:ascii="Times New Roman" w:hAnsi="Times New Roman" w:cs="Times New Roman"/>
                <w:sz w:val="22"/>
                <w:szCs w:val="22"/>
                <w:lang w:bidi="ar-JO"/>
              </w:rPr>
              <w:t xml:space="preserve"> (Total *12.5)</w:t>
            </w:r>
          </w:p>
        </w:tc>
        <w:tc>
          <w:tcPr>
            <w:tcW w:w="2126" w:type="dxa"/>
            <w:shd w:val="clear" w:color="auto" w:fill="EDEDED" w:themeFill="accent3" w:themeFillTint="33"/>
          </w:tcPr>
          <w:p w:rsidR="008A14B1" w:rsidRDefault="008A14B1" w:rsidP="00F904B4">
            <w:pPr>
              <w:bidi w:val="0"/>
              <w:spacing w:after="0"/>
              <w:jc w:val="center"/>
              <w:rPr>
                <w:rFonts w:ascii="Times New Roman" w:hAnsi="Times New Roman" w:cs="Times New Roman"/>
                <w:b w:val="0"/>
                <w:bCs w:val="0"/>
                <w:sz w:val="22"/>
                <w:szCs w:val="22"/>
                <w:lang w:bidi="ar-JO"/>
              </w:rPr>
            </w:pPr>
            <w:r>
              <w:rPr>
                <w:rFonts w:ascii="Times New Roman" w:hAnsi="Times New Roman" w:cs="Times New Roman"/>
                <w:b w:val="0"/>
                <w:bCs w:val="0"/>
                <w:sz w:val="22"/>
                <w:szCs w:val="22"/>
                <w:lang w:bidi="ar-JO"/>
              </w:rPr>
              <w:t>0</w:t>
            </w:r>
          </w:p>
        </w:tc>
      </w:tr>
    </w:tbl>
    <w:p w:rsidR="00C62362" w:rsidRPr="00C62362" w:rsidRDefault="008A14B1" w:rsidP="008A14B1">
      <w:pPr>
        <w:bidi w:val="0"/>
        <w:jc w:val="center"/>
      </w:pPr>
      <w:r>
        <w:rPr>
          <w:lang w:bidi="ar-JO"/>
        </w:rPr>
        <w:t xml:space="preserve"> </w:t>
      </w:r>
    </w:p>
    <w:bookmarkEnd w:id="96"/>
    <w:p w:rsidR="00505A8B" w:rsidRDefault="00505A8B" w:rsidP="00505A8B">
      <w:pPr>
        <w:rPr>
          <w:lang w:bidi="ar-JO"/>
        </w:rPr>
      </w:pPr>
    </w:p>
    <w:p w:rsidR="008A14B1" w:rsidRDefault="008A14B1" w:rsidP="00505A8B">
      <w:pPr>
        <w:rPr>
          <w:lang w:bidi="ar-JO"/>
        </w:rPr>
      </w:pPr>
    </w:p>
    <w:p w:rsidR="008A14B1" w:rsidRDefault="008A14B1" w:rsidP="00505A8B">
      <w:pPr>
        <w:rPr>
          <w:lang w:bidi="ar-JO"/>
        </w:rPr>
      </w:pPr>
    </w:p>
    <w:p w:rsidR="008A14B1" w:rsidRDefault="008A14B1" w:rsidP="00505A8B">
      <w:pPr>
        <w:rPr>
          <w:lang w:bidi="ar-JO"/>
        </w:rPr>
      </w:pPr>
    </w:p>
    <w:p w:rsidR="008A14B1" w:rsidRDefault="008A14B1" w:rsidP="00505A8B">
      <w:pPr>
        <w:rPr>
          <w:lang w:bidi="ar-JO"/>
        </w:rPr>
      </w:pPr>
    </w:p>
    <w:p w:rsidR="00505A8B" w:rsidRDefault="00505A8B" w:rsidP="00505A8B">
      <w:pPr>
        <w:rPr>
          <w:rtl/>
          <w:lang w:bidi="ar-JO"/>
        </w:rPr>
      </w:pPr>
    </w:p>
    <w:p w:rsidR="00505A8B" w:rsidRDefault="00505A8B" w:rsidP="00505A8B">
      <w:pPr>
        <w:rPr>
          <w:rtl/>
          <w:lang w:bidi="ar-JO"/>
        </w:rPr>
      </w:pPr>
    </w:p>
    <w:p w:rsidR="00505A8B" w:rsidRDefault="00505A8B" w:rsidP="00505A8B">
      <w:pPr>
        <w:rPr>
          <w:rtl/>
          <w:lang w:bidi="ar-JO"/>
        </w:rPr>
      </w:pPr>
    </w:p>
    <w:p w:rsidR="00505A8B" w:rsidRDefault="00505A8B" w:rsidP="00505A8B">
      <w:pPr>
        <w:rPr>
          <w:rtl/>
          <w:lang w:bidi="ar-JO"/>
        </w:rPr>
      </w:pPr>
    </w:p>
    <w:p w:rsidR="00505A8B" w:rsidRDefault="00505A8B" w:rsidP="00505A8B">
      <w:pPr>
        <w:rPr>
          <w:rtl/>
          <w:lang w:bidi="ar-JO"/>
        </w:rPr>
      </w:pPr>
    </w:p>
    <w:p w:rsidR="00505A8B" w:rsidRDefault="00505A8B" w:rsidP="00505A8B">
      <w:pPr>
        <w:rPr>
          <w:rtl/>
          <w:lang w:bidi="ar-JO"/>
        </w:rPr>
      </w:pPr>
    </w:p>
    <w:p w:rsidR="00505A8B" w:rsidRDefault="00505A8B" w:rsidP="00505A8B">
      <w:pPr>
        <w:rPr>
          <w:rtl/>
          <w:lang w:bidi="ar-JO"/>
        </w:rPr>
      </w:pPr>
    </w:p>
    <w:p w:rsidR="00505A8B" w:rsidRDefault="00505A8B" w:rsidP="00505A8B">
      <w:pPr>
        <w:rPr>
          <w:rtl/>
          <w:lang w:bidi="ar-JO"/>
        </w:rPr>
      </w:pPr>
    </w:p>
    <w:p w:rsidR="00505A8B" w:rsidRDefault="00505A8B" w:rsidP="00505A8B">
      <w:pPr>
        <w:rPr>
          <w:rtl/>
          <w:lang w:bidi="ar-JO"/>
        </w:rPr>
      </w:pPr>
    </w:p>
    <w:p w:rsidR="00F904B4" w:rsidRPr="00D036DF" w:rsidRDefault="00F904B4" w:rsidP="00B66B27">
      <w:pPr>
        <w:pStyle w:val="Heading1"/>
        <w:pBdr>
          <w:bottom w:val="single" w:sz="4" w:space="1" w:color="auto"/>
        </w:pBdr>
        <w:bidi w:val="0"/>
        <w:jc w:val="center"/>
        <w:rPr>
          <w:rFonts w:asciiTheme="majorBidi" w:hAnsiTheme="majorBidi" w:cstheme="majorBidi"/>
          <w:b/>
          <w:bCs/>
        </w:rPr>
      </w:pPr>
      <w:bookmarkStart w:id="98" w:name="_Toc65354433"/>
      <w:r w:rsidRPr="00D036DF">
        <w:rPr>
          <w:rFonts w:asciiTheme="majorBidi" w:hAnsiTheme="majorBidi" w:cstheme="majorBidi"/>
          <w:b/>
          <w:bCs/>
        </w:rPr>
        <w:lastRenderedPageBreak/>
        <w:t>Annex (24)</w:t>
      </w:r>
      <w:r w:rsidR="00B66B27">
        <w:rPr>
          <w:rFonts w:asciiTheme="majorBidi" w:hAnsiTheme="majorBidi" w:cstheme="majorBidi"/>
          <w:b/>
          <w:bCs/>
        </w:rPr>
        <w:t xml:space="preserve"> </w:t>
      </w:r>
      <w:r w:rsidRPr="00563636">
        <w:rPr>
          <w:rFonts w:asciiTheme="majorBidi" w:hAnsiTheme="majorBidi" w:cstheme="majorBidi"/>
          <w:b/>
          <w:bCs/>
        </w:rPr>
        <w:t>Leverage Ratio</w:t>
      </w:r>
      <w:bookmarkEnd w:id="98"/>
    </w:p>
    <w:p w:rsidR="00F904B4" w:rsidRDefault="00F904B4" w:rsidP="00F904B4">
      <w:pPr>
        <w:bidi w:val="0"/>
        <w:jc w:val="center"/>
        <w:rPr>
          <w:rFonts w:ascii="Times New Roman" w:hAnsi="Times New Roman" w:cs="Times New Roman"/>
        </w:rPr>
      </w:pPr>
    </w:p>
    <w:tbl>
      <w:tblPr>
        <w:tblStyle w:val="TableGrid"/>
        <w:tblW w:w="10065" w:type="dxa"/>
        <w:tblInd w:w="-714" w:type="dxa"/>
        <w:tblLook w:val="04A0" w:firstRow="1" w:lastRow="0" w:firstColumn="1" w:lastColumn="0" w:noHBand="0" w:noVBand="1"/>
      </w:tblPr>
      <w:tblGrid>
        <w:gridCol w:w="851"/>
        <w:gridCol w:w="5528"/>
        <w:gridCol w:w="1276"/>
        <w:gridCol w:w="851"/>
        <w:gridCol w:w="1559"/>
      </w:tblGrid>
      <w:tr w:rsidR="00F904B4" w:rsidTr="00C801D5">
        <w:tc>
          <w:tcPr>
            <w:tcW w:w="851" w:type="dxa"/>
            <w:shd w:val="clear" w:color="auto" w:fill="F2F2F2" w:themeFill="background1" w:themeFillShade="F2"/>
            <w:vAlign w:val="center"/>
          </w:tcPr>
          <w:p w:rsidR="00F904B4" w:rsidRPr="00C801D5" w:rsidRDefault="00F904B4" w:rsidP="00F904B4">
            <w:pPr>
              <w:bidi w:val="0"/>
              <w:jc w:val="center"/>
              <w:rPr>
                <w:rFonts w:ascii="Times New Roman" w:hAnsi="Times New Roman" w:cs="Times New Roman"/>
                <w:sz w:val="24"/>
                <w:szCs w:val="24"/>
              </w:rPr>
            </w:pPr>
            <w:r w:rsidRPr="00C801D5">
              <w:rPr>
                <w:rFonts w:ascii="Times New Roman" w:hAnsi="Times New Roman" w:cs="Times New Roman"/>
                <w:sz w:val="24"/>
                <w:szCs w:val="24"/>
              </w:rPr>
              <w:t>No.</w:t>
            </w:r>
          </w:p>
        </w:tc>
        <w:tc>
          <w:tcPr>
            <w:tcW w:w="5528" w:type="dxa"/>
            <w:shd w:val="clear" w:color="auto" w:fill="F2F2F2" w:themeFill="background1" w:themeFillShade="F2"/>
            <w:vAlign w:val="center"/>
          </w:tcPr>
          <w:p w:rsidR="00F904B4" w:rsidRPr="00C801D5" w:rsidRDefault="00C801D5" w:rsidP="00F904B4">
            <w:pPr>
              <w:bidi w:val="0"/>
              <w:jc w:val="center"/>
              <w:rPr>
                <w:rFonts w:ascii="Times New Roman" w:hAnsi="Times New Roman" w:cs="Times New Roman"/>
                <w:sz w:val="24"/>
                <w:szCs w:val="24"/>
              </w:rPr>
            </w:pPr>
            <w:r>
              <w:rPr>
                <w:rFonts w:ascii="Times New Roman" w:hAnsi="Times New Roman" w:cs="Times New Roman"/>
                <w:sz w:val="24"/>
                <w:szCs w:val="24"/>
              </w:rPr>
              <w:t>E</w:t>
            </w:r>
            <w:r w:rsidR="0041730B" w:rsidRPr="00C801D5">
              <w:rPr>
                <w:rFonts w:ascii="Times New Roman" w:hAnsi="Times New Roman" w:cs="Times New Roman"/>
                <w:sz w:val="24"/>
                <w:szCs w:val="24"/>
              </w:rPr>
              <w:t>xposures</w:t>
            </w:r>
          </w:p>
        </w:tc>
        <w:tc>
          <w:tcPr>
            <w:tcW w:w="1276" w:type="dxa"/>
            <w:shd w:val="clear" w:color="auto" w:fill="F2F2F2" w:themeFill="background1" w:themeFillShade="F2"/>
            <w:vAlign w:val="center"/>
          </w:tcPr>
          <w:p w:rsidR="00F904B4" w:rsidRPr="00C801D5" w:rsidRDefault="00C801D5" w:rsidP="00F904B4">
            <w:pPr>
              <w:bidi w:val="0"/>
              <w:jc w:val="center"/>
              <w:rPr>
                <w:rFonts w:ascii="Times New Roman" w:hAnsi="Times New Roman" w:cs="Times New Roman"/>
                <w:sz w:val="24"/>
                <w:szCs w:val="24"/>
              </w:rPr>
            </w:pPr>
            <w:r>
              <w:rPr>
                <w:rFonts w:ascii="Times New Roman" w:hAnsi="Times New Roman" w:cs="Times New Roman"/>
                <w:sz w:val="24"/>
                <w:szCs w:val="24"/>
              </w:rPr>
              <w:t>A</w:t>
            </w:r>
            <w:r w:rsidR="0041730B" w:rsidRPr="00C801D5">
              <w:rPr>
                <w:rFonts w:ascii="Times New Roman" w:hAnsi="Times New Roman" w:cs="Times New Roman"/>
                <w:sz w:val="24"/>
                <w:szCs w:val="24"/>
              </w:rPr>
              <w:t>mount</w:t>
            </w:r>
          </w:p>
        </w:tc>
        <w:tc>
          <w:tcPr>
            <w:tcW w:w="851" w:type="dxa"/>
            <w:shd w:val="clear" w:color="auto" w:fill="F2F2F2" w:themeFill="background1" w:themeFillShade="F2"/>
            <w:vAlign w:val="center"/>
          </w:tcPr>
          <w:p w:rsidR="00F904B4" w:rsidRPr="00C801D5" w:rsidRDefault="0041730B" w:rsidP="00F904B4">
            <w:pPr>
              <w:bidi w:val="0"/>
              <w:jc w:val="center"/>
              <w:rPr>
                <w:rFonts w:ascii="Times New Roman" w:hAnsi="Times New Roman" w:cs="Times New Roman"/>
                <w:sz w:val="24"/>
                <w:szCs w:val="24"/>
              </w:rPr>
            </w:pPr>
            <w:r w:rsidRPr="00C801D5">
              <w:rPr>
                <w:rFonts w:ascii="Times New Roman" w:hAnsi="Times New Roman" w:cs="Times New Roman"/>
                <w:sz w:val="24"/>
                <w:szCs w:val="24"/>
              </w:rPr>
              <w:t>CCF</w:t>
            </w:r>
          </w:p>
        </w:tc>
        <w:tc>
          <w:tcPr>
            <w:tcW w:w="1559" w:type="dxa"/>
            <w:shd w:val="clear" w:color="auto" w:fill="F2F2F2" w:themeFill="background1" w:themeFillShade="F2"/>
            <w:vAlign w:val="center"/>
          </w:tcPr>
          <w:p w:rsidR="00F904B4" w:rsidRPr="00C801D5" w:rsidRDefault="0041730B" w:rsidP="00F904B4">
            <w:pPr>
              <w:bidi w:val="0"/>
              <w:jc w:val="center"/>
              <w:rPr>
                <w:rFonts w:ascii="Times New Roman" w:hAnsi="Times New Roman" w:cs="Times New Roman"/>
                <w:sz w:val="24"/>
                <w:szCs w:val="24"/>
              </w:rPr>
            </w:pPr>
            <w:r w:rsidRPr="00C801D5">
              <w:rPr>
                <w:rFonts w:ascii="Times New Roman" w:hAnsi="Times New Roman" w:cs="Times New Roman"/>
                <w:sz w:val="24"/>
                <w:szCs w:val="24"/>
              </w:rPr>
              <w:t>Amount after CCF</w:t>
            </w:r>
          </w:p>
        </w:tc>
      </w:tr>
      <w:tr w:rsidR="00F904B4" w:rsidTr="0041730B">
        <w:tc>
          <w:tcPr>
            <w:tcW w:w="851" w:type="dxa"/>
          </w:tcPr>
          <w:p w:rsidR="00F904B4" w:rsidRPr="00391D8A" w:rsidRDefault="0041730B" w:rsidP="00391D8A">
            <w:pPr>
              <w:bidi w:val="0"/>
              <w:spacing w:after="0"/>
              <w:jc w:val="center"/>
              <w:rPr>
                <w:rFonts w:ascii="Times New Roman" w:hAnsi="Times New Roman" w:cs="Times New Roman"/>
                <w:b w:val="0"/>
                <w:bCs w:val="0"/>
                <w:sz w:val="24"/>
                <w:szCs w:val="24"/>
              </w:rPr>
            </w:pPr>
            <w:r w:rsidRPr="00391D8A">
              <w:rPr>
                <w:rFonts w:ascii="Times New Roman" w:hAnsi="Times New Roman" w:cs="Times New Roman"/>
                <w:b w:val="0"/>
                <w:bCs w:val="0"/>
                <w:sz w:val="24"/>
                <w:szCs w:val="24"/>
              </w:rPr>
              <w:t>1</w:t>
            </w:r>
          </w:p>
        </w:tc>
        <w:tc>
          <w:tcPr>
            <w:tcW w:w="5528" w:type="dxa"/>
          </w:tcPr>
          <w:p w:rsidR="00F904B4" w:rsidRPr="00391D8A" w:rsidRDefault="0041730B" w:rsidP="00391D8A">
            <w:pPr>
              <w:bidi w:val="0"/>
              <w:spacing w:after="0"/>
              <w:jc w:val="center"/>
              <w:rPr>
                <w:rFonts w:ascii="Times New Roman" w:hAnsi="Times New Roman" w:cs="Times New Roman"/>
                <w:b w:val="0"/>
                <w:bCs w:val="0"/>
                <w:sz w:val="24"/>
                <w:szCs w:val="24"/>
                <w:lang w:bidi="ar-JO"/>
              </w:rPr>
            </w:pPr>
            <w:r w:rsidRPr="00391D8A">
              <w:rPr>
                <w:rFonts w:ascii="Times New Roman" w:hAnsi="Times New Roman" w:cs="Times New Roman"/>
                <w:b w:val="0"/>
                <w:bCs w:val="0"/>
                <w:sz w:val="24"/>
                <w:szCs w:val="24"/>
                <w:lang w:bidi="ar-JO"/>
              </w:rPr>
              <w:t>The numerator</w:t>
            </w:r>
          </w:p>
        </w:tc>
        <w:tc>
          <w:tcPr>
            <w:tcW w:w="1276" w:type="dxa"/>
          </w:tcPr>
          <w:p w:rsidR="00F904B4" w:rsidRPr="00391D8A" w:rsidRDefault="00F904B4" w:rsidP="00391D8A">
            <w:pPr>
              <w:bidi w:val="0"/>
              <w:spacing w:after="0"/>
              <w:jc w:val="center"/>
              <w:rPr>
                <w:rFonts w:ascii="Times New Roman" w:hAnsi="Times New Roman" w:cs="Times New Roman"/>
                <w:b w:val="0"/>
                <w:bCs w:val="0"/>
                <w:sz w:val="24"/>
                <w:szCs w:val="24"/>
              </w:rPr>
            </w:pPr>
          </w:p>
        </w:tc>
        <w:tc>
          <w:tcPr>
            <w:tcW w:w="851" w:type="dxa"/>
          </w:tcPr>
          <w:p w:rsidR="00F904B4" w:rsidRPr="00391D8A" w:rsidRDefault="00F904B4" w:rsidP="00391D8A">
            <w:pPr>
              <w:bidi w:val="0"/>
              <w:spacing w:after="0"/>
              <w:jc w:val="center"/>
              <w:rPr>
                <w:rFonts w:ascii="Times New Roman" w:hAnsi="Times New Roman" w:cs="Times New Roman"/>
                <w:b w:val="0"/>
                <w:bCs w:val="0"/>
                <w:sz w:val="24"/>
                <w:szCs w:val="24"/>
              </w:rPr>
            </w:pPr>
          </w:p>
        </w:tc>
        <w:tc>
          <w:tcPr>
            <w:tcW w:w="1559" w:type="dxa"/>
          </w:tcPr>
          <w:p w:rsidR="00F904B4" w:rsidRPr="00391D8A" w:rsidRDefault="0041730B" w:rsidP="00391D8A">
            <w:pPr>
              <w:bidi w:val="0"/>
              <w:spacing w:after="0"/>
              <w:jc w:val="center"/>
              <w:rPr>
                <w:rFonts w:ascii="Times New Roman" w:hAnsi="Times New Roman" w:cs="Times New Roman"/>
                <w:b w:val="0"/>
                <w:bCs w:val="0"/>
                <w:sz w:val="24"/>
                <w:szCs w:val="24"/>
              </w:rPr>
            </w:pPr>
            <w:r w:rsidRPr="00391D8A">
              <w:rPr>
                <w:rFonts w:ascii="Times New Roman" w:hAnsi="Times New Roman" w:cs="Times New Roman"/>
                <w:b w:val="0"/>
                <w:bCs w:val="0"/>
                <w:sz w:val="24"/>
                <w:szCs w:val="24"/>
              </w:rPr>
              <w:t>0</w:t>
            </w:r>
          </w:p>
        </w:tc>
      </w:tr>
      <w:tr w:rsidR="00F904B4" w:rsidTr="0041730B">
        <w:tc>
          <w:tcPr>
            <w:tcW w:w="851" w:type="dxa"/>
          </w:tcPr>
          <w:p w:rsidR="00F904B4" w:rsidRPr="00391D8A" w:rsidRDefault="0041730B" w:rsidP="00391D8A">
            <w:pPr>
              <w:bidi w:val="0"/>
              <w:spacing w:after="0"/>
              <w:jc w:val="center"/>
              <w:rPr>
                <w:rFonts w:ascii="Times New Roman" w:hAnsi="Times New Roman" w:cs="Times New Roman"/>
                <w:b w:val="0"/>
                <w:bCs w:val="0"/>
                <w:sz w:val="24"/>
                <w:szCs w:val="24"/>
              </w:rPr>
            </w:pPr>
            <w:r w:rsidRPr="00391D8A">
              <w:rPr>
                <w:rFonts w:ascii="Times New Roman" w:hAnsi="Times New Roman" w:cs="Times New Roman"/>
                <w:b w:val="0"/>
                <w:bCs w:val="0"/>
                <w:sz w:val="24"/>
                <w:szCs w:val="24"/>
              </w:rPr>
              <w:t>1.1</w:t>
            </w:r>
          </w:p>
        </w:tc>
        <w:tc>
          <w:tcPr>
            <w:tcW w:w="5528" w:type="dxa"/>
          </w:tcPr>
          <w:p w:rsidR="00F904B4" w:rsidRPr="00391D8A" w:rsidRDefault="0041730B" w:rsidP="00391D8A">
            <w:pPr>
              <w:bidi w:val="0"/>
              <w:spacing w:after="0"/>
              <w:jc w:val="left"/>
              <w:rPr>
                <w:rFonts w:ascii="Times New Roman" w:hAnsi="Times New Roman" w:cs="Times New Roman"/>
                <w:b w:val="0"/>
                <w:bCs w:val="0"/>
                <w:sz w:val="24"/>
                <w:szCs w:val="24"/>
              </w:rPr>
            </w:pPr>
            <w:r w:rsidRPr="00391D8A">
              <w:rPr>
                <w:rFonts w:ascii="Times New Roman" w:hAnsi="Times New Roman" w:cs="Times New Roman"/>
                <w:b w:val="0"/>
                <w:bCs w:val="0"/>
                <w:sz w:val="24"/>
                <w:szCs w:val="24"/>
              </w:rPr>
              <w:t xml:space="preserve">T1 after deductions </w:t>
            </w:r>
            <w:r w:rsidRPr="00391D8A">
              <w:rPr>
                <w:rFonts w:ascii="Times New Roman" w:hAnsi="Times New Roman" w:cs="Times New Roman"/>
                <w:b w:val="0"/>
                <w:bCs w:val="0"/>
                <w:sz w:val="24"/>
                <w:szCs w:val="24"/>
                <w:vertAlign w:val="superscript"/>
              </w:rPr>
              <w:t>1</w:t>
            </w:r>
          </w:p>
        </w:tc>
        <w:tc>
          <w:tcPr>
            <w:tcW w:w="1276" w:type="dxa"/>
          </w:tcPr>
          <w:p w:rsidR="00F904B4" w:rsidRPr="00391D8A" w:rsidRDefault="00F904B4" w:rsidP="00391D8A">
            <w:pPr>
              <w:bidi w:val="0"/>
              <w:spacing w:after="0"/>
              <w:jc w:val="center"/>
              <w:rPr>
                <w:rFonts w:ascii="Times New Roman" w:hAnsi="Times New Roman" w:cs="Times New Roman"/>
                <w:b w:val="0"/>
                <w:bCs w:val="0"/>
                <w:sz w:val="24"/>
                <w:szCs w:val="24"/>
              </w:rPr>
            </w:pPr>
          </w:p>
        </w:tc>
        <w:tc>
          <w:tcPr>
            <w:tcW w:w="851" w:type="dxa"/>
          </w:tcPr>
          <w:p w:rsidR="00F904B4" w:rsidRPr="00391D8A" w:rsidRDefault="0041730B" w:rsidP="00391D8A">
            <w:pPr>
              <w:bidi w:val="0"/>
              <w:spacing w:after="0"/>
              <w:jc w:val="center"/>
              <w:rPr>
                <w:rFonts w:ascii="Times New Roman" w:hAnsi="Times New Roman" w:cs="Times New Roman"/>
                <w:b w:val="0"/>
                <w:bCs w:val="0"/>
                <w:sz w:val="24"/>
                <w:szCs w:val="24"/>
              </w:rPr>
            </w:pPr>
            <w:r w:rsidRPr="00391D8A">
              <w:rPr>
                <w:rFonts w:ascii="Times New Roman" w:hAnsi="Times New Roman" w:cs="Times New Roman"/>
                <w:b w:val="0"/>
                <w:bCs w:val="0"/>
                <w:sz w:val="24"/>
                <w:szCs w:val="24"/>
              </w:rPr>
              <w:t>100%</w:t>
            </w:r>
          </w:p>
        </w:tc>
        <w:tc>
          <w:tcPr>
            <w:tcW w:w="1559" w:type="dxa"/>
          </w:tcPr>
          <w:p w:rsidR="00F904B4" w:rsidRPr="00391D8A" w:rsidRDefault="0041730B" w:rsidP="00391D8A">
            <w:pPr>
              <w:bidi w:val="0"/>
              <w:spacing w:after="0"/>
              <w:jc w:val="center"/>
              <w:rPr>
                <w:rFonts w:ascii="Times New Roman" w:hAnsi="Times New Roman" w:cs="Times New Roman"/>
                <w:b w:val="0"/>
                <w:bCs w:val="0"/>
                <w:sz w:val="24"/>
                <w:szCs w:val="24"/>
              </w:rPr>
            </w:pPr>
            <w:r w:rsidRPr="00391D8A">
              <w:rPr>
                <w:rFonts w:ascii="Times New Roman" w:hAnsi="Times New Roman" w:cs="Times New Roman"/>
                <w:b w:val="0"/>
                <w:bCs w:val="0"/>
                <w:sz w:val="24"/>
                <w:szCs w:val="24"/>
              </w:rPr>
              <w:t>0</w:t>
            </w:r>
          </w:p>
        </w:tc>
      </w:tr>
      <w:tr w:rsidR="0041730B" w:rsidTr="0041730B">
        <w:tc>
          <w:tcPr>
            <w:tcW w:w="851" w:type="dxa"/>
          </w:tcPr>
          <w:p w:rsidR="0041730B" w:rsidRPr="00391D8A" w:rsidRDefault="0041730B" w:rsidP="00391D8A">
            <w:pPr>
              <w:bidi w:val="0"/>
              <w:spacing w:after="0"/>
              <w:jc w:val="center"/>
              <w:rPr>
                <w:rFonts w:ascii="Times New Roman" w:hAnsi="Times New Roman" w:cs="Times New Roman"/>
                <w:b w:val="0"/>
                <w:bCs w:val="0"/>
                <w:sz w:val="24"/>
                <w:szCs w:val="24"/>
              </w:rPr>
            </w:pPr>
            <w:r w:rsidRPr="00391D8A">
              <w:rPr>
                <w:rFonts w:ascii="Times New Roman" w:hAnsi="Times New Roman" w:cs="Times New Roman"/>
                <w:b w:val="0"/>
                <w:bCs w:val="0"/>
                <w:sz w:val="24"/>
                <w:szCs w:val="24"/>
              </w:rPr>
              <w:t>2</w:t>
            </w:r>
          </w:p>
        </w:tc>
        <w:tc>
          <w:tcPr>
            <w:tcW w:w="5528" w:type="dxa"/>
          </w:tcPr>
          <w:p w:rsidR="0041730B" w:rsidRPr="00391D8A" w:rsidRDefault="0041730B" w:rsidP="00391D8A">
            <w:pPr>
              <w:bidi w:val="0"/>
              <w:spacing w:after="0"/>
              <w:jc w:val="center"/>
              <w:rPr>
                <w:rFonts w:ascii="Times New Roman" w:hAnsi="Times New Roman" w:cs="Times New Roman"/>
                <w:b w:val="0"/>
                <w:bCs w:val="0"/>
                <w:sz w:val="24"/>
                <w:szCs w:val="24"/>
              </w:rPr>
            </w:pPr>
            <w:r w:rsidRPr="00391D8A">
              <w:rPr>
                <w:rFonts w:ascii="Times New Roman" w:hAnsi="Times New Roman" w:cs="Times New Roman"/>
                <w:b w:val="0"/>
                <w:bCs w:val="0"/>
                <w:sz w:val="24"/>
                <w:szCs w:val="24"/>
              </w:rPr>
              <w:t>The denominator</w:t>
            </w:r>
          </w:p>
        </w:tc>
        <w:tc>
          <w:tcPr>
            <w:tcW w:w="1276" w:type="dxa"/>
          </w:tcPr>
          <w:p w:rsidR="0041730B" w:rsidRPr="00391D8A" w:rsidRDefault="0041730B" w:rsidP="00391D8A">
            <w:pPr>
              <w:bidi w:val="0"/>
              <w:spacing w:after="0"/>
              <w:jc w:val="center"/>
              <w:rPr>
                <w:rFonts w:ascii="Times New Roman" w:hAnsi="Times New Roman" w:cs="Times New Roman"/>
                <w:b w:val="0"/>
                <w:bCs w:val="0"/>
                <w:sz w:val="24"/>
                <w:szCs w:val="24"/>
              </w:rPr>
            </w:pPr>
          </w:p>
        </w:tc>
        <w:tc>
          <w:tcPr>
            <w:tcW w:w="851" w:type="dxa"/>
          </w:tcPr>
          <w:p w:rsidR="0041730B" w:rsidRPr="00391D8A" w:rsidRDefault="0041730B" w:rsidP="00391D8A">
            <w:pPr>
              <w:bidi w:val="0"/>
              <w:spacing w:after="0"/>
              <w:jc w:val="center"/>
              <w:rPr>
                <w:rFonts w:ascii="Times New Roman" w:hAnsi="Times New Roman" w:cs="Times New Roman"/>
                <w:b w:val="0"/>
                <w:bCs w:val="0"/>
                <w:sz w:val="24"/>
                <w:szCs w:val="24"/>
              </w:rPr>
            </w:pPr>
          </w:p>
        </w:tc>
        <w:tc>
          <w:tcPr>
            <w:tcW w:w="1559" w:type="dxa"/>
          </w:tcPr>
          <w:p w:rsidR="0041730B" w:rsidRPr="00391D8A" w:rsidRDefault="0041730B" w:rsidP="00391D8A">
            <w:pPr>
              <w:bidi w:val="0"/>
              <w:spacing w:after="0"/>
              <w:jc w:val="center"/>
              <w:rPr>
                <w:rFonts w:ascii="Times New Roman" w:hAnsi="Times New Roman" w:cs="Times New Roman"/>
                <w:b w:val="0"/>
                <w:bCs w:val="0"/>
                <w:sz w:val="24"/>
                <w:szCs w:val="24"/>
              </w:rPr>
            </w:pPr>
            <w:r w:rsidRPr="00391D8A">
              <w:rPr>
                <w:rFonts w:ascii="Times New Roman" w:hAnsi="Times New Roman" w:cs="Times New Roman"/>
                <w:b w:val="0"/>
                <w:bCs w:val="0"/>
                <w:sz w:val="24"/>
                <w:szCs w:val="24"/>
              </w:rPr>
              <w:t>0</w:t>
            </w:r>
          </w:p>
        </w:tc>
      </w:tr>
      <w:tr w:rsidR="0041730B" w:rsidTr="0041730B">
        <w:tc>
          <w:tcPr>
            <w:tcW w:w="851" w:type="dxa"/>
          </w:tcPr>
          <w:p w:rsidR="0041730B" w:rsidRPr="00391D8A" w:rsidRDefault="0041730B" w:rsidP="00391D8A">
            <w:pPr>
              <w:bidi w:val="0"/>
              <w:spacing w:after="0"/>
              <w:jc w:val="center"/>
              <w:rPr>
                <w:rFonts w:ascii="Times New Roman" w:hAnsi="Times New Roman" w:cs="Times New Roman"/>
                <w:b w:val="0"/>
                <w:bCs w:val="0"/>
                <w:sz w:val="24"/>
                <w:szCs w:val="24"/>
              </w:rPr>
            </w:pPr>
            <w:r w:rsidRPr="00391D8A">
              <w:rPr>
                <w:rFonts w:ascii="Times New Roman" w:hAnsi="Times New Roman" w:cs="Times New Roman"/>
                <w:b w:val="0"/>
                <w:bCs w:val="0"/>
                <w:sz w:val="24"/>
                <w:szCs w:val="24"/>
              </w:rPr>
              <w:t>2.1</w:t>
            </w:r>
          </w:p>
        </w:tc>
        <w:tc>
          <w:tcPr>
            <w:tcW w:w="5528" w:type="dxa"/>
          </w:tcPr>
          <w:p w:rsidR="0041730B" w:rsidRPr="00391D8A" w:rsidRDefault="0041730B" w:rsidP="00391D8A">
            <w:pPr>
              <w:bidi w:val="0"/>
              <w:spacing w:after="0"/>
              <w:jc w:val="left"/>
              <w:rPr>
                <w:rFonts w:ascii="Times New Roman" w:hAnsi="Times New Roman" w:cs="Times New Roman"/>
                <w:b w:val="0"/>
                <w:bCs w:val="0"/>
                <w:sz w:val="24"/>
                <w:szCs w:val="24"/>
              </w:rPr>
            </w:pPr>
            <w:r w:rsidRPr="00391D8A">
              <w:rPr>
                <w:rFonts w:ascii="Times New Roman" w:hAnsi="Times New Roman" w:cs="Times New Roman"/>
                <w:b w:val="0"/>
                <w:bCs w:val="0"/>
                <w:sz w:val="24"/>
                <w:szCs w:val="24"/>
              </w:rPr>
              <w:t>Cash and balances with central banks</w:t>
            </w:r>
          </w:p>
        </w:tc>
        <w:tc>
          <w:tcPr>
            <w:tcW w:w="1276" w:type="dxa"/>
          </w:tcPr>
          <w:p w:rsidR="0041730B" w:rsidRPr="00391D8A" w:rsidRDefault="0041730B" w:rsidP="00391D8A">
            <w:pPr>
              <w:bidi w:val="0"/>
              <w:spacing w:after="0"/>
              <w:jc w:val="center"/>
              <w:rPr>
                <w:rFonts w:ascii="Times New Roman" w:hAnsi="Times New Roman" w:cs="Times New Roman"/>
                <w:b w:val="0"/>
                <w:bCs w:val="0"/>
                <w:sz w:val="24"/>
                <w:szCs w:val="24"/>
              </w:rPr>
            </w:pPr>
          </w:p>
        </w:tc>
        <w:tc>
          <w:tcPr>
            <w:tcW w:w="851" w:type="dxa"/>
          </w:tcPr>
          <w:p w:rsidR="0041730B" w:rsidRPr="00391D8A" w:rsidRDefault="0041730B" w:rsidP="00391D8A">
            <w:pPr>
              <w:bidi w:val="0"/>
              <w:spacing w:after="0"/>
              <w:jc w:val="center"/>
              <w:rPr>
                <w:rFonts w:ascii="Times New Roman" w:hAnsi="Times New Roman" w:cs="Times New Roman"/>
                <w:b w:val="0"/>
                <w:bCs w:val="0"/>
                <w:sz w:val="24"/>
                <w:szCs w:val="24"/>
              </w:rPr>
            </w:pPr>
            <w:r w:rsidRPr="00391D8A">
              <w:rPr>
                <w:rFonts w:ascii="Times New Roman" w:hAnsi="Times New Roman" w:cs="Times New Roman"/>
                <w:b w:val="0"/>
                <w:bCs w:val="0"/>
                <w:sz w:val="24"/>
                <w:szCs w:val="24"/>
              </w:rPr>
              <w:t>100%</w:t>
            </w:r>
          </w:p>
        </w:tc>
        <w:tc>
          <w:tcPr>
            <w:tcW w:w="1559" w:type="dxa"/>
          </w:tcPr>
          <w:p w:rsidR="0041730B" w:rsidRPr="00391D8A" w:rsidRDefault="0041730B" w:rsidP="00391D8A">
            <w:pPr>
              <w:bidi w:val="0"/>
              <w:spacing w:after="0"/>
              <w:jc w:val="center"/>
              <w:rPr>
                <w:rFonts w:ascii="Times New Roman" w:hAnsi="Times New Roman" w:cs="Times New Roman"/>
                <w:b w:val="0"/>
                <w:bCs w:val="0"/>
                <w:sz w:val="24"/>
                <w:szCs w:val="24"/>
              </w:rPr>
            </w:pPr>
            <w:r w:rsidRPr="00391D8A">
              <w:rPr>
                <w:rFonts w:ascii="Times New Roman" w:hAnsi="Times New Roman" w:cs="Times New Roman"/>
                <w:b w:val="0"/>
                <w:bCs w:val="0"/>
                <w:sz w:val="24"/>
                <w:szCs w:val="24"/>
              </w:rPr>
              <w:t>0</w:t>
            </w:r>
          </w:p>
        </w:tc>
      </w:tr>
      <w:tr w:rsidR="0041730B" w:rsidTr="0041730B">
        <w:tc>
          <w:tcPr>
            <w:tcW w:w="851" w:type="dxa"/>
          </w:tcPr>
          <w:p w:rsidR="0041730B" w:rsidRPr="00391D8A" w:rsidRDefault="0041730B" w:rsidP="00391D8A">
            <w:pPr>
              <w:bidi w:val="0"/>
              <w:spacing w:after="0"/>
              <w:jc w:val="center"/>
              <w:rPr>
                <w:rFonts w:ascii="Times New Roman" w:hAnsi="Times New Roman" w:cs="Times New Roman"/>
                <w:b w:val="0"/>
                <w:bCs w:val="0"/>
                <w:sz w:val="24"/>
                <w:szCs w:val="24"/>
              </w:rPr>
            </w:pPr>
            <w:r w:rsidRPr="00391D8A">
              <w:rPr>
                <w:rFonts w:ascii="Times New Roman" w:hAnsi="Times New Roman" w:cs="Times New Roman"/>
                <w:b w:val="0"/>
                <w:bCs w:val="0"/>
                <w:sz w:val="24"/>
                <w:szCs w:val="24"/>
              </w:rPr>
              <w:t>2.2</w:t>
            </w:r>
          </w:p>
        </w:tc>
        <w:tc>
          <w:tcPr>
            <w:tcW w:w="5528" w:type="dxa"/>
          </w:tcPr>
          <w:p w:rsidR="0041730B" w:rsidRPr="00391D8A" w:rsidRDefault="0041730B" w:rsidP="00391D8A">
            <w:pPr>
              <w:bidi w:val="0"/>
              <w:spacing w:after="0"/>
              <w:jc w:val="left"/>
              <w:rPr>
                <w:rFonts w:ascii="Times New Roman" w:hAnsi="Times New Roman" w:cs="Times New Roman"/>
                <w:b w:val="0"/>
                <w:bCs w:val="0"/>
                <w:sz w:val="24"/>
                <w:szCs w:val="24"/>
              </w:rPr>
            </w:pPr>
            <w:r w:rsidRPr="00391D8A">
              <w:rPr>
                <w:rFonts w:ascii="Times New Roman" w:hAnsi="Times New Roman" w:cs="Times New Roman"/>
                <w:b w:val="0"/>
                <w:bCs w:val="0"/>
                <w:sz w:val="24"/>
                <w:szCs w:val="24"/>
              </w:rPr>
              <w:t xml:space="preserve">Balances with banks and financial institutions </w:t>
            </w:r>
          </w:p>
        </w:tc>
        <w:tc>
          <w:tcPr>
            <w:tcW w:w="1276" w:type="dxa"/>
          </w:tcPr>
          <w:p w:rsidR="0041730B" w:rsidRPr="00391D8A" w:rsidRDefault="0041730B" w:rsidP="00391D8A">
            <w:pPr>
              <w:bidi w:val="0"/>
              <w:spacing w:after="0"/>
              <w:jc w:val="center"/>
              <w:rPr>
                <w:rFonts w:ascii="Times New Roman" w:hAnsi="Times New Roman" w:cs="Times New Roman"/>
                <w:b w:val="0"/>
                <w:bCs w:val="0"/>
                <w:sz w:val="24"/>
                <w:szCs w:val="24"/>
              </w:rPr>
            </w:pPr>
          </w:p>
        </w:tc>
        <w:tc>
          <w:tcPr>
            <w:tcW w:w="851" w:type="dxa"/>
          </w:tcPr>
          <w:p w:rsidR="0041730B" w:rsidRPr="00391D8A" w:rsidRDefault="0041730B" w:rsidP="00391D8A">
            <w:pPr>
              <w:bidi w:val="0"/>
              <w:spacing w:after="0"/>
              <w:jc w:val="center"/>
              <w:rPr>
                <w:rFonts w:ascii="Times New Roman" w:hAnsi="Times New Roman" w:cs="Times New Roman"/>
                <w:b w:val="0"/>
                <w:bCs w:val="0"/>
                <w:sz w:val="24"/>
                <w:szCs w:val="24"/>
              </w:rPr>
            </w:pPr>
            <w:r w:rsidRPr="00391D8A">
              <w:rPr>
                <w:rFonts w:ascii="Times New Roman" w:hAnsi="Times New Roman" w:cs="Times New Roman"/>
                <w:b w:val="0"/>
                <w:bCs w:val="0"/>
                <w:sz w:val="24"/>
                <w:szCs w:val="24"/>
              </w:rPr>
              <w:t>100%</w:t>
            </w:r>
          </w:p>
        </w:tc>
        <w:tc>
          <w:tcPr>
            <w:tcW w:w="1559" w:type="dxa"/>
          </w:tcPr>
          <w:p w:rsidR="0041730B" w:rsidRPr="00391D8A" w:rsidRDefault="0041730B" w:rsidP="00391D8A">
            <w:pPr>
              <w:bidi w:val="0"/>
              <w:spacing w:after="0"/>
              <w:jc w:val="center"/>
              <w:rPr>
                <w:rFonts w:ascii="Times New Roman" w:hAnsi="Times New Roman" w:cs="Times New Roman"/>
                <w:b w:val="0"/>
                <w:bCs w:val="0"/>
                <w:sz w:val="24"/>
                <w:szCs w:val="24"/>
              </w:rPr>
            </w:pPr>
            <w:r w:rsidRPr="00391D8A">
              <w:rPr>
                <w:rFonts w:ascii="Times New Roman" w:hAnsi="Times New Roman" w:cs="Times New Roman"/>
                <w:b w:val="0"/>
                <w:bCs w:val="0"/>
                <w:sz w:val="24"/>
                <w:szCs w:val="24"/>
              </w:rPr>
              <w:t>0</w:t>
            </w:r>
          </w:p>
        </w:tc>
      </w:tr>
      <w:tr w:rsidR="0041730B" w:rsidTr="0041730B">
        <w:tc>
          <w:tcPr>
            <w:tcW w:w="851" w:type="dxa"/>
          </w:tcPr>
          <w:p w:rsidR="0041730B" w:rsidRPr="00391D8A" w:rsidRDefault="0041730B" w:rsidP="00391D8A">
            <w:pPr>
              <w:bidi w:val="0"/>
              <w:spacing w:after="0"/>
              <w:jc w:val="center"/>
              <w:rPr>
                <w:rFonts w:ascii="Times New Roman" w:hAnsi="Times New Roman" w:cs="Times New Roman"/>
                <w:b w:val="0"/>
                <w:bCs w:val="0"/>
                <w:sz w:val="24"/>
                <w:szCs w:val="24"/>
              </w:rPr>
            </w:pPr>
            <w:r w:rsidRPr="00391D8A">
              <w:rPr>
                <w:rFonts w:ascii="Times New Roman" w:hAnsi="Times New Roman" w:cs="Times New Roman"/>
                <w:b w:val="0"/>
                <w:bCs w:val="0"/>
                <w:sz w:val="24"/>
                <w:szCs w:val="24"/>
              </w:rPr>
              <w:t>2.3</w:t>
            </w:r>
          </w:p>
        </w:tc>
        <w:tc>
          <w:tcPr>
            <w:tcW w:w="5528" w:type="dxa"/>
          </w:tcPr>
          <w:p w:rsidR="0041730B" w:rsidRPr="00391D8A" w:rsidRDefault="0041730B" w:rsidP="00391D8A">
            <w:pPr>
              <w:bidi w:val="0"/>
              <w:spacing w:after="0"/>
              <w:jc w:val="left"/>
              <w:rPr>
                <w:rFonts w:ascii="Times New Roman" w:hAnsi="Times New Roman" w:cs="Times New Roman"/>
                <w:b w:val="0"/>
                <w:bCs w:val="0"/>
                <w:sz w:val="24"/>
                <w:szCs w:val="24"/>
              </w:rPr>
            </w:pPr>
            <w:r w:rsidRPr="00391D8A">
              <w:rPr>
                <w:rFonts w:ascii="Times New Roman" w:hAnsi="Times New Roman" w:cs="Times New Roman"/>
                <w:b w:val="0"/>
                <w:bCs w:val="0"/>
                <w:sz w:val="24"/>
                <w:szCs w:val="24"/>
              </w:rPr>
              <w:t xml:space="preserve">Securities portfolio </w:t>
            </w:r>
            <w:r w:rsidRPr="00391D8A">
              <w:rPr>
                <w:rFonts w:ascii="Times New Roman" w:hAnsi="Times New Roman" w:cs="Times New Roman"/>
                <w:b w:val="0"/>
                <w:bCs w:val="0"/>
                <w:sz w:val="24"/>
                <w:szCs w:val="24"/>
                <w:vertAlign w:val="superscript"/>
              </w:rPr>
              <w:t>2</w:t>
            </w:r>
          </w:p>
        </w:tc>
        <w:tc>
          <w:tcPr>
            <w:tcW w:w="1276" w:type="dxa"/>
          </w:tcPr>
          <w:p w:rsidR="0041730B" w:rsidRPr="00391D8A" w:rsidRDefault="0041730B" w:rsidP="00391D8A">
            <w:pPr>
              <w:bidi w:val="0"/>
              <w:spacing w:after="0"/>
              <w:jc w:val="center"/>
              <w:rPr>
                <w:rFonts w:ascii="Times New Roman" w:hAnsi="Times New Roman" w:cs="Times New Roman"/>
                <w:b w:val="0"/>
                <w:bCs w:val="0"/>
                <w:sz w:val="24"/>
                <w:szCs w:val="24"/>
              </w:rPr>
            </w:pPr>
          </w:p>
        </w:tc>
        <w:tc>
          <w:tcPr>
            <w:tcW w:w="851" w:type="dxa"/>
          </w:tcPr>
          <w:p w:rsidR="0041730B" w:rsidRPr="00391D8A" w:rsidRDefault="0041730B" w:rsidP="00391D8A">
            <w:pPr>
              <w:bidi w:val="0"/>
              <w:spacing w:after="0"/>
              <w:jc w:val="center"/>
              <w:rPr>
                <w:rFonts w:ascii="Times New Roman" w:hAnsi="Times New Roman" w:cs="Times New Roman"/>
                <w:b w:val="0"/>
                <w:bCs w:val="0"/>
                <w:sz w:val="24"/>
                <w:szCs w:val="24"/>
              </w:rPr>
            </w:pPr>
            <w:r w:rsidRPr="00391D8A">
              <w:rPr>
                <w:rFonts w:ascii="Times New Roman" w:hAnsi="Times New Roman" w:cs="Times New Roman"/>
                <w:b w:val="0"/>
                <w:bCs w:val="0"/>
                <w:sz w:val="24"/>
                <w:szCs w:val="24"/>
              </w:rPr>
              <w:t>100%</w:t>
            </w:r>
          </w:p>
        </w:tc>
        <w:tc>
          <w:tcPr>
            <w:tcW w:w="1559" w:type="dxa"/>
          </w:tcPr>
          <w:p w:rsidR="0041730B" w:rsidRPr="00391D8A" w:rsidRDefault="0041730B" w:rsidP="00391D8A">
            <w:pPr>
              <w:bidi w:val="0"/>
              <w:spacing w:after="0"/>
              <w:jc w:val="center"/>
              <w:rPr>
                <w:rFonts w:ascii="Times New Roman" w:hAnsi="Times New Roman" w:cs="Times New Roman"/>
                <w:b w:val="0"/>
                <w:bCs w:val="0"/>
                <w:sz w:val="24"/>
                <w:szCs w:val="24"/>
              </w:rPr>
            </w:pPr>
            <w:r w:rsidRPr="00391D8A">
              <w:rPr>
                <w:rFonts w:ascii="Times New Roman" w:hAnsi="Times New Roman" w:cs="Times New Roman"/>
                <w:b w:val="0"/>
                <w:bCs w:val="0"/>
                <w:sz w:val="24"/>
                <w:szCs w:val="24"/>
              </w:rPr>
              <w:t>0</w:t>
            </w:r>
          </w:p>
        </w:tc>
      </w:tr>
      <w:tr w:rsidR="0041730B" w:rsidTr="0041730B">
        <w:tc>
          <w:tcPr>
            <w:tcW w:w="851" w:type="dxa"/>
          </w:tcPr>
          <w:p w:rsidR="0041730B" w:rsidRPr="00391D8A" w:rsidRDefault="0041730B" w:rsidP="00391D8A">
            <w:pPr>
              <w:bidi w:val="0"/>
              <w:spacing w:after="0"/>
              <w:jc w:val="center"/>
              <w:rPr>
                <w:rFonts w:ascii="Times New Roman" w:hAnsi="Times New Roman" w:cs="Times New Roman"/>
                <w:b w:val="0"/>
                <w:bCs w:val="0"/>
                <w:sz w:val="24"/>
                <w:szCs w:val="24"/>
              </w:rPr>
            </w:pPr>
            <w:r w:rsidRPr="00391D8A">
              <w:rPr>
                <w:rFonts w:ascii="Times New Roman" w:hAnsi="Times New Roman" w:cs="Times New Roman"/>
                <w:b w:val="0"/>
                <w:bCs w:val="0"/>
                <w:sz w:val="24"/>
                <w:szCs w:val="24"/>
              </w:rPr>
              <w:t>2.4</w:t>
            </w:r>
          </w:p>
        </w:tc>
        <w:tc>
          <w:tcPr>
            <w:tcW w:w="5528" w:type="dxa"/>
          </w:tcPr>
          <w:p w:rsidR="0041730B" w:rsidRPr="00391D8A" w:rsidRDefault="0041730B" w:rsidP="00391D8A">
            <w:pPr>
              <w:bidi w:val="0"/>
              <w:spacing w:after="0"/>
              <w:jc w:val="left"/>
              <w:rPr>
                <w:rFonts w:ascii="Times New Roman" w:hAnsi="Times New Roman" w:cs="Times New Roman"/>
                <w:b w:val="0"/>
                <w:bCs w:val="0"/>
                <w:sz w:val="24"/>
                <w:szCs w:val="24"/>
              </w:rPr>
            </w:pPr>
            <w:r w:rsidRPr="00391D8A">
              <w:rPr>
                <w:rFonts w:ascii="Times New Roman" w:hAnsi="Times New Roman" w:cs="Times New Roman"/>
                <w:b w:val="0"/>
                <w:bCs w:val="0"/>
                <w:sz w:val="24"/>
                <w:szCs w:val="24"/>
              </w:rPr>
              <w:t xml:space="preserve">Credit facilities </w:t>
            </w:r>
            <w:r w:rsidRPr="00391D8A">
              <w:rPr>
                <w:rFonts w:ascii="Times New Roman" w:hAnsi="Times New Roman" w:cs="Times New Roman"/>
                <w:b w:val="0"/>
                <w:bCs w:val="0"/>
                <w:sz w:val="24"/>
                <w:szCs w:val="24"/>
                <w:vertAlign w:val="superscript"/>
              </w:rPr>
              <w:t>3</w:t>
            </w:r>
          </w:p>
        </w:tc>
        <w:tc>
          <w:tcPr>
            <w:tcW w:w="1276" w:type="dxa"/>
          </w:tcPr>
          <w:p w:rsidR="0041730B" w:rsidRPr="00391D8A" w:rsidRDefault="0041730B" w:rsidP="00391D8A">
            <w:pPr>
              <w:bidi w:val="0"/>
              <w:spacing w:after="0"/>
              <w:jc w:val="center"/>
              <w:rPr>
                <w:rFonts w:ascii="Times New Roman" w:hAnsi="Times New Roman" w:cs="Times New Roman"/>
                <w:b w:val="0"/>
                <w:bCs w:val="0"/>
                <w:sz w:val="24"/>
                <w:szCs w:val="24"/>
              </w:rPr>
            </w:pPr>
          </w:p>
        </w:tc>
        <w:tc>
          <w:tcPr>
            <w:tcW w:w="851" w:type="dxa"/>
          </w:tcPr>
          <w:p w:rsidR="0041730B" w:rsidRPr="00391D8A" w:rsidRDefault="0041730B" w:rsidP="00391D8A">
            <w:pPr>
              <w:bidi w:val="0"/>
              <w:spacing w:after="0"/>
              <w:jc w:val="center"/>
              <w:rPr>
                <w:rFonts w:ascii="Times New Roman" w:hAnsi="Times New Roman" w:cs="Times New Roman"/>
                <w:b w:val="0"/>
                <w:bCs w:val="0"/>
                <w:sz w:val="24"/>
                <w:szCs w:val="24"/>
              </w:rPr>
            </w:pPr>
            <w:r w:rsidRPr="00391D8A">
              <w:rPr>
                <w:rFonts w:ascii="Times New Roman" w:hAnsi="Times New Roman" w:cs="Times New Roman"/>
                <w:b w:val="0"/>
                <w:bCs w:val="0"/>
                <w:sz w:val="24"/>
                <w:szCs w:val="24"/>
              </w:rPr>
              <w:t>100%</w:t>
            </w:r>
          </w:p>
        </w:tc>
        <w:tc>
          <w:tcPr>
            <w:tcW w:w="1559" w:type="dxa"/>
          </w:tcPr>
          <w:p w:rsidR="0041730B" w:rsidRPr="00391D8A" w:rsidRDefault="0041730B" w:rsidP="00391D8A">
            <w:pPr>
              <w:bidi w:val="0"/>
              <w:spacing w:after="0"/>
              <w:jc w:val="center"/>
              <w:rPr>
                <w:rFonts w:ascii="Times New Roman" w:hAnsi="Times New Roman" w:cs="Times New Roman"/>
                <w:b w:val="0"/>
                <w:bCs w:val="0"/>
                <w:sz w:val="24"/>
                <w:szCs w:val="24"/>
              </w:rPr>
            </w:pPr>
            <w:r w:rsidRPr="00391D8A">
              <w:rPr>
                <w:rFonts w:ascii="Times New Roman" w:hAnsi="Times New Roman" w:cs="Times New Roman"/>
                <w:b w:val="0"/>
                <w:bCs w:val="0"/>
                <w:sz w:val="24"/>
                <w:szCs w:val="24"/>
              </w:rPr>
              <w:t>0</w:t>
            </w:r>
          </w:p>
        </w:tc>
      </w:tr>
      <w:tr w:rsidR="0041730B" w:rsidTr="0041730B">
        <w:tc>
          <w:tcPr>
            <w:tcW w:w="851" w:type="dxa"/>
          </w:tcPr>
          <w:p w:rsidR="0041730B" w:rsidRPr="00391D8A" w:rsidRDefault="0041730B" w:rsidP="00391D8A">
            <w:pPr>
              <w:bidi w:val="0"/>
              <w:spacing w:after="0"/>
              <w:jc w:val="center"/>
              <w:rPr>
                <w:rFonts w:ascii="Times New Roman" w:hAnsi="Times New Roman" w:cs="Times New Roman"/>
                <w:b w:val="0"/>
                <w:bCs w:val="0"/>
                <w:sz w:val="24"/>
                <w:szCs w:val="24"/>
              </w:rPr>
            </w:pPr>
            <w:r w:rsidRPr="00391D8A">
              <w:rPr>
                <w:rFonts w:ascii="Times New Roman" w:hAnsi="Times New Roman" w:cs="Times New Roman"/>
                <w:b w:val="0"/>
                <w:bCs w:val="0"/>
                <w:sz w:val="24"/>
                <w:szCs w:val="24"/>
              </w:rPr>
              <w:t>2.5</w:t>
            </w:r>
          </w:p>
        </w:tc>
        <w:tc>
          <w:tcPr>
            <w:tcW w:w="5528" w:type="dxa"/>
          </w:tcPr>
          <w:p w:rsidR="0041730B" w:rsidRPr="00391D8A" w:rsidRDefault="00D83D14" w:rsidP="00391D8A">
            <w:pPr>
              <w:bidi w:val="0"/>
              <w:spacing w:after="0"/>
              <w:jc w:val="left"/>
              <w:rPr>
                <w:rFonts w:ascii="Times New Roman" w:hAnsi="Times New Roman" w:cs="Times New Roman"/>
                <w:b w:val="0"/>
                <w:bCs w:val="0"/>
                <w:sz w:val="24"/>
                <w:szCs w:val="24"/>
              </w:rPr>
            </w:pPr>
            <w:r w:rsidRPr="00391D8A">
              <w:rPr>
                <w:rFonts w:ascii="Times New Roman" w:hAnsi="Times New Roman" w:cs="Times New Roman"/>
                <w:b w:val="0"/>
                <w:bCs w:val="0"/>
                <w:color w:val="202124"/>
                <w:sz w:val="24"/>
                <w:szCs w:val="24"/>
                <w:lang w:val="en"/>
              </w:rPr>
              <w:t xml:space="preserve">Net fair value of derivatives </w:t>
            </w:r>
            <w:r w:rsidRPr="00391D8A">
              <w:rPr>
                <w:rFonts w:ascii="Times New Roman" w:hAnsi="Times New Roman" w:cs="Times New Roman"/>
                <w:b w:val="0"/>
                <w:bCs w:val="0"/>
                <w:color w:val="202124"/>
                <w:sz w:val="24"/>
                <w:szCs w:val="24"/>
                <w:vertAlign w:val="superscript"/>
                <w:lang w:val="en"/>
              </w:rPr>
              <w:t>4</w:t>
            </w:r>
          </w:p>
        </w:tc>
        <w:tc>
          <w:tcPr>
            <w:tcW w:w="1276" w:type="dxa"/>
          </w:tcPr>
          <w:p w:rsidR="0041730B" w:rsidRPr="00391D8A" w:rsidRDefault="0041730B" w:rsidP="00391D8A">
            <w:pPr>
              <w:bidi w:val="0"/>
              <w:spacing w:after="0"/>
              <w:jc w:val="center"/>
              <w:rPr>
                <w:rFonts w:ascii="Times New Roman" w:hAnsi="Times New Roman" w:cs="Times New Roman"/>
                <w:b w:val="0"/>
                <w:bCs w:val="0"/>
                <w:sz w:val="24"/>
                <w:szCs w:val="24"/>
              </w:rPr>
            </w:pPr>
          </w:p>
        </w:tc>
        <w:tc>
          <w:tcPr>
            <w:tcW w:w="851" w:type="dxa"/>
          </w:tcPr>
          <w:p w:rsidR="0041730B" w:rsidRPr="00391D8A" w:rsidRDefault="0041730B" w:rsidP="00391D8A">
            <w:pPr>
              <w:bidi w:val="0"/>
              <w:spacing w:after="0"/>
              <w:jc w:val="center"/>
              <w:rPr>
                <w:rFonts w:ascii="Times New Roman" w:hAnsi="Times New Roman" w:cs="Times New Roman"/>
                <w:b w:val="0"/>
                <w:bCs w:val="0"/>
                <w:sz w:val="24"/>
                <w:szCs w:val="24"/>
              </w:rPr>
            </w:pPr>
          </w:p>
        </w:tc>
        <w:tc>
          <w:tcPr>
            <w:tcW w:w="1559" w:type="dxa"/>
          </w:tcPr>
          <w:p w:rsidR="0041730B" w:rsidRPr="00391D8A" w:rsidRDefault="0041730B" w:rsidP="00391D8A">
            <w:pPr>
              <w:bidi w:val="0"/>
              <w:spacing w:after="0"/>
              <w:jc w:val="center"/>
              <w:rPr>
                <w:rFonts w:ascii="Times New Roman" w:hAnsi="Times New Roman" w:cs="Times New Roman"/>
                <w:b w:val="0"/>
                <w:bCs w:val="0"/>
                <w:sz w:val="24"/>
                <w:szCs w:val="24"/>
              </w:rPr>
            </w:pPr>
          </w:p>
        </w:tc>
      </w:tr>
      <w:tr w:rsidR="00D83D14" w:rsidTr="0041730B">
        <w:tc>
          <w:tcPr>
            <w:tcW w:w="851" w:type="dxa"/>
          </w:tcPr>
          <w:p w:rsidR="00D83D14" w:rsidRPr="00391D8A" w:rsidRDefault="00D83D14" w:rsidP="00391D8A">
            <w:pPr>
              <w:bidi w:val="0"/>
              <w:spacing w:after="0"/>
              <w:jc w:val="center"/>
              <w:rPr>
                <w:rFonts w:ascii="Times New Roman" w:hAnsi="Times New Roman" w:cs="Times New Roman"/>
                <w:b w:val="0"/>
                <w:bCs w:val="0"/>
                <w:sz w:val="24"/>
                <w:szCs w:val="24"/>
              </w:rPr>
            </w:pPr>
            <w:r w:rsidRPr="00391D8A">
              <w:rPr>
                <w:rFonts w:ascii="Times New Roman" w:hAnsi="Times New Roman" w:cs="Times New Roman"/>
                <w:b w:val="0"/>
                <w:bCs w:val="0"/>
                <w:sz w:val="24"/>
                <w:szCs w:val="24"/>
              </w:rPr>
              <w:t>2.5.1</w:t>
            </w:r>
          </w:p>
        </w:tc>
        <w:tc>
          <w:tcPr>
            <w:tcW w:w="5528" w:type="dxa"/>
          </w:tcPr>
          <w:p w:rsidR="00D83D14" w:rsidRPr="00391D8A" w:rsidRDefault="00D83D14" w:rsidP="005A1359">
            <w:pPr>
              <w:bidi w:val="0"/>
              <w:spacing w:after="0"/>
              <w:ind w:firstLine="608"/>
              <w:jc w:val="left"/>
              <w:rPr>
                <w:rFonts w:ascii="Times New Roman" w:hAnsi="Times New Roman" w:cs="Times New Roman"/>
                <w:b w:val="0"/>
                <w:bCs w:val="0"/>
                <w:color w:val="202124"/>
                <w:sz w:val="24"/>
                <w:szCs w:val="24"/>
                <w:lang w:val="en"/>
              </w:rPr>
            </w:pPr>
            <w:r w:rsidRPr="00391D8A">
              <w:rPr>
                <w:rFonts w:ascii="Times New Roman" w:hAnsi="Times New Roman" w:cs="Times New Roman"/>
                <w:b w:val="0"/>
                <w:bCs w:val="0"/>
                <w:color w:val="202124"/>
                <w:sz w:val="24"/>
                <w:szCs w:val="24"/>
                <w:lang w:val="en"/>
              </w:rPr>
              <w:t xml:space="preserve">For hedging </w:t>
            </w:r>
          </w:p>
        </w:tc>
        <w:tc>
          <w:tcPr>
            <w:tcW w:w="1276" w:type="dxa"/>
          </w:tcPr>
          <w:p w:rsidR="00D83D14" w:rsidRPr="00391D8A" w:rsidRDefault="00D83D14" w:rsidP="00391D8A">
            <w:pPr>
              <w:bidi w:val="0"/>
              <w:spacing w:after="0"/>
              <w:jc w:val="center"/>
              <w:rPr>
                <w:rFonts w:ascii="Times New Roman" w:hAnsi="Times New Roman" w:cs="Times New Roman"/>
                <w:b w:val="0"/>
                <w:bCs w:val="0"/>
                <w:sz w:val="24"/>
                <w:szCs w:val="24"/>
              </w:rPr>
            </w:pPr>
          </w:p>
        </w:tc>
        <w:tc>
          <w:tcPr>
            <w:tcW w:w="851" w:type="dxa"/>
          </w:tcPr>
          <w:p w:rsidR="00D83D14" w:rsidRPr="00391D8A" w:rsidRDefault="00D83D14" w:rsidP="00391D8A">
            <w:pPr>
              <w:bidi w:val="0"/>
              <w:spacing w:after="0"/>
              <w:jc w:val="center"/>
              <w:rPr>
                <w:rFonts w:ascii="Times New Roman" w:hAnsi="Times New Roman" w:cs="Times New Roman"/>
                <w:b w:val="0"/>
                <w:bCs w:val="0"/>
                <w:sz w:val="24"/>
                <w:szCs w:val="24"/>
              </w:rPr>
            </w:pPr>
            <w:r w:rsidRPr="00391D8A">
              <w:rPr>
                <w:rFonts w:ascii="Times New Roman" w:hAnsi="Times New Roman" w:cs="Times New Roman"/>
                <w:b w:val="0"/>
                <w:bCs w:val="0"/>
                <w:sz w:val="24"/>
                <w:szCs w:val="24"/>
              </w:rPr>
              <w:t>100%</w:t>
            </w:r>
          </w:p>
        </w:tc>
        <w:tc>
          <w:tcPr>
            <w:tcW w:w="1559" w:type="dxa"/>
          </w:tcPr>
          <w:p w:rsidR="00D83D14" w:rsidRPr="00391D8A" w:rsidRDefault="00D83D14" w:rsidP="00391D8A">
            <w:pPr>
              <w:bidi w:val="0"/>
              <w:spacing w:after="0"/>
              <w:jc w:val="center"/>
              <w:rPr>
                <w:rFonts w:ascii="Times New Roman" w:hAnsi="Times New Roman" w:cs="Times New Roman"/>
                <w:b w:val="0"/>
                <w:bCs w:val="0"/>
                <w:sz w:val="24"/>
                <w:szCs w:val="24"/>
              </w:rPr>
            </w:pPr>
            <w:r w:rsidRPr="00391D8A">
              <w:rPr>
                <w:rFonts w:ascii="Times New Roman" w:hAnsi="Times New Roman" w:cs="Times New Roman"/>
                <w:b w:val="0"/>
                <w:bCs w:val="0"/>
                <w:sz w:val="24"/>
                <w:szCs w:val="24"/>
              </w:rPr>
              <w:t>0</w:t>
            </w:r>
          </w:p>
        </w:tc>
      </w:tr>
      <w:tr w:rsidR="00D83D14" w:rsidTr="0041730B">
        <w:tc>
          <w:tcPr>
            <w:tcW w:w="851" w:type="dxa"/>
          </w:tcPr>
          <w:p w:rsidR="00D83D14" w:rsidRPr="00391D8A" w:rsidRDefault="00D83D14" w:rsidP="00391D8A">
            <w:pPr>
              <w:bidi w:val="0"/>
              <w:spacing w:after="0"/>
              <w:jc w:val="center"/>
              <w:rPr>
                <w:rFonts w:ascii="Times New Roman" w:hAnsi="Times New Roman" w:cs="Times New Roman"/>
                <w:b w:val="0"/>
                <w:bCs w:val="0"/>
                <w:sz w:val="24"/>
                <w:szCs w:val="24"/>
              </w:rPr>
            </w:pPr>
            <w:r w:rsidRPr="00391D8A">
              <w:rPr>
                <w:rFonts w:ascii="Times New Roman" w:hAnsi="Times New Roman" w:cs="Times New Roman"/>
                <w:b w:val="0"/>
                <w:bCs w:val="0"/>
                <w:sz w:val="24"/>
                <w:szCs w:val="24"/>
              </w:rPr>
              <w:t>2.5.2</w:t>
            </w:r>
          </w:p>
        </w:tc>
        <w:tc>
          <w:tcPr>
            <w:tcW w:w="5528" w:type="dxa"/>
          </w:tcPr>
          <w:p w:rsidR="00D83D14" w:rsidRPr="00391D8A" w:rsidRDefault="00D83D14" w:rsidP="005A1359">
            <w:pPr>
              <w:bidi w:val="0"/>
              <w:spacing w:after="0"/>
              <w:ind w:firstLine="608"/>
              <w:jc w:val="left"/>
              <w:rPr>
                <w:rFonts w:ascii="Times New Roman" w:hAnsi="Times New Roman" w:cs="Times New Roman"/>
                <w:b w:val="0"/>
                <w:bCs w:val="0"/>
                <w:color w:val="202124"/>
                <w:sz w:val="24"/>
                <w:szCs w:val="24"/>
                <w:lang w:val="en"/>
              </w:rPr>
            </w:pPr>
            <w:r w:rsidRPr="00391D8A">
              <w:rPr>
                <w:rFonts w:ascii="Times New Roman" w:hAnsi="Times New Roman" w:cs="Times New Roman"/>
                <w:b w:val="0"/>
                <w:bCs w:val="0"/>
                <w:color w:val="202124"/>
                <w:sz w:val="24"/>
                <w:szCs w:val="24"/>
                <w:lang w:val="en"/>
              </w:rPr>
              <w:t>For trading</w:t>
            </w:r>
          </w:p>
        </w:tc>
        <w:tc>
          <w:tcPr>
            <w:tcW w:w="1276" w:type="dxa"/>
          </w:tcPr>
          <w:p w:rsidR="00D83D14" w:rsidRPr="00391D8A" w:rsidRDefault="00D83D14" w:rsidP="00391D8A">
            <w:pPr>
              <w:bidi w:val="0"/>
              <w:spacing w:after="0"/>
              <w:jc w:val="center"/>
              <w:rPr>
                <w:rFonts w:ascii="Times New Roman" w:hAnsi="Times New Roman" w:cs="Times New Roman"/>
                <w:b w:val="0"/>
                <w:bCs w:val="0"/>
                <w:sz w:val="24"/>
                <w:szCs w:val="24"/>
              </w:rPr>
            </w:pPr>
          </w:p>
        </w:tc>
        <w:tc>
          <w:tcPr>
            <w:tcW w:w="851" w:type="dxa"/>
          </w:tcPr>
          <w:p w:rsidR="00D83D14" w:rsidRPr="00391D8A" w:rsidRDefault="00D83D14" w:rsidP="00391D8A">
            <w:pPr>
              <w:bidi w:val="0"/>
              <w:spacing w:after="0"/>
              <w:jc w:val="center"/>
              <w:rPr>
                <w:rFonts w:ascii="Times New Roman" w:hAnsi="Times New Roman" w:cs="Times New Roman"/>
                <w:b w:val="0"/>
                <w:bCs w:val="0"/>
                <w:sz w:val="24"/>
                <w:szCs w:val="24"/>
              </w:rPr>
            </w:pPr>
            <w:r w:rsidRPr="00391D8A">
              <w:rPr>
                <w:rFonts w:ascii="Times New Roman" w:hAnsi="Times New Roman" w:cs="Times New Roman"/>
                <w:b w:val="0"/>
                <w:bCs w:val="0"/>
                <w:sz w:val="24"/>
                <w:szCs w:val="24"/>
              </w:rPr>
              <w:t>100%</w:t>
            </w:r>
          </w:p>
        </w:tc>
        <w:tc>
          <w:tcPr>
            <w:tcW w:w="1559" w:type="dxa"/>
          </w:tcPr>
          <w:p w:rsidR="00D83D14" w:rsidRPr="00391D8A" w:rsidRDefault="00D83D14" w:rsidP="00391D8A">
            <w:pPr>
              <w:bidi w:val="0"/>
              <w:spacing w:after="0"/>
              <w:jc w:val="center"/>
              <w:rPr>
                <w:rFonts w:ascii="Times New Roman" w:hAnsi="Times New Roman" w:cs="Times New Roman"/>
                <w:b w:val="0"/>
                <w:bCs w:val="0"/>
                <w:sz w:val="24"/>
                <w:szCs w:val="24"/>
              </w:rPr>
            </w:pPr>
            <w:r w:rsidRPr="00391D8A">
              <w:rPr>
                <w:rFonts w:ascii="Times New Roman" w:hAnsi="Times New Roman" w:cs="Times New Roman"/>
                <w:b w:val="0"/>
                <w:bCs w:val="0"/>
                <w:sz w:val="24"/>
                <w:szCs w:val="24"/>
              </w:rPr>
              <w:t>0</w:t>
            </w:r>
          </w:p>
        </w:tc>
      </w:tr>
      <w:tr w:rsidR="00D83D14" w:rsidTr="0041730B">
        <w:tc>
          <w:tcPr>
            <w:tcW w:w="851" w:type="dxa"/>
          </w:tcPr>
          <w:p w:rsidR="00D83D14" w:rsidRPr="00391D8A" w:rsidRDefault="00D83D14" w:rsidP="00391D8A">
            <w:pPr>
              <w:bidi w:val="0"/>
              <w:spacing w:after="0"/>
              <w:jc w:val="center"/>
              <w:rPr>
                <w:rFonts w:ascii="Times New Roman" w:hAnsi="Times New Roman" w:cs="Times New Roman"/>
                <w:b w:val="0"/>
                <w:bCs w:val="0"/>
                <w:sz w:val="24"/>
                <w:szCs w:val="24"/>
              </w:rPr>
            </w:pPr>
            <w:r w:rsidRPr="00391D8A">
              <w:rPr>
                <w:rFonts w:ascii="Times New Roman" w:hAnsi="Times New Roman" w:cs="Times New Roman"/>
                <w:b w:val="0"/>
                <w:bCs w:val="0"/>
                <w:sz w:val="24"/>
                <w:szCs w:val="24"/>
              </w:rPr>
              <w:t>2.6</w:t>
            </w:r>
          </w:p>
        </w:tc>
        <w:tc>
          <w:tcPr>
            <w:tcW w:w="5528" w:type="dxa"/>
          </w:tcPr>
          <w:p w:rsidR="00D83D14" w:rsidRPr="00391D8A" w:rsidRDefault="00391D8A" w:rsidP="00391D8A">
            <w:pPr>
              <w:bidi w:val="0"/>
              <w:spacing w:after="0"/>
              <w:jc w:val="left"/>
              <w:rPr>
                <w:rFonts w:ascii="Times New Roman" w:hAnsi="Times New Roman" w:cs="Times New Roman"/>
                <w:b w:val="0"/>
                <w:bCs w:val="0"/>
                <w:color w:val="202124"/>
                <w:sz w:val="24"/>
                <w:szCs w:val="24"/>
                <w:lang w:val="en"/>
              </w:rPr>
            </w:pPr>
            <w:r w:rsidRPr="00391D8A">
              <w:rPr>
                <w:rFonts w:ascii="Times New Roman" w:hAnsi="Times New Roman" w:cs="Times New Roman"/>
                <w:b w:val="0"/>
                <w:bCs w:val="0"/>
                <w:color w:val="202124"/>
                <w:sz w:val="24"/>
                <w:szCs w:val="24"/>
                <w:lang w:val="en"/>
              </w:rPr>
              <w:t xml:space="preserve">Net fixed assets </w:t>
            </w:r>
          </w:p>
        </w:tc>
        <w:tc>
          <w:tcPr>
            <w:tcW w:w="1276" w:type="dxa"/>
          </w:tcPr>
          <w:p w:rsidR="00D83D14" w:rsidRPr="00391D8A" w:rsidRDefault="00D83D14" w:rsidP="00391D8A">
            <w:pPr>
              <w:bidi w:val="0"/>
              <w:spacing w:after="0"/>
              <w:jc w:val="center"/>
              <w:rPr>
                <w:rFonts w:ascii="Times New Roman" w:hAnsi="Times New Roman" w:cs="Times New Roman"/>
                <w:b w:val="0"/>
                <w:bCs w:val="0"/>
                <w:sz w:val="24"/>
                <w:szCs w:val="24"/>
              </w:rPr>
            </w:pPr>
          </w:p>
        </w:tc>
        <w:tc>
          <w:tcPr>
            <w:tcW w:w="851" w:type="dxa"/>
          </w:tcPr>
          <w:p w:rsidR="00D83D14" w:rsidRPr="00391D8A" w:rsidRDefault="00391D8A" w:rsidP="00391D8A">
            <w:pPr>
              <w:bidi w:val="0"/>
              <w:spacing w:after="0"/>
              <w:jc w:val="center"/>
              <w:rPr>
                <w:rFonts w:ascii="Times New Roman" w:hAnsi="Times New Roman" w:cs="Times New Roman"/>
                <w:b w:val="0"/>
                <w:bCs w:val="0"/>
                <w:sz w:val="24"/>
                <w:szCs w:val="24"/>
              </w:rPr>
            </w:pPr>
            <w:r w:rsidRPr="00391D8A">
              <w:rPr>
                <w:rFonts w:ascii="Times New Roman" w:hAnsi="Times New Roman" w:cs="Times New Roman"/>
                <w:b w:val="0"/>
                <w:bCs w:val="0"/>
                <w:sz w:val="24"/>
                <w:szCs w:val="24"/>
              </w:rPr>
              <w:t>100%</w:t>
            </w:r>
          </w:p>
        </w:tc>
        <w:tc>
          <w:tcPr>
            <w:tcW w:w="1559" w:type="dxa"/>
          </w:tcPr>
          <w:p w:rsidR="00D83D14" w:rsidRPr="00391D8A" w:rsidRDefault="00391D8A" w:rsidP="00391D8A">
            <w:pPr>
              <w:bidi w:val="0"/>
              <w:spacing w:after="0"/>
              <w:jc w:val="center"/>
              <w:rPr>
                <w:rFonts w:ascii="Times New Roman" w:hAnsi="Times New Roman" w:cs="Times New Roman"/>
                <w:b w:val="0"/>
                <w:bCs w:val="0"/>
                <w:sz w:val="24"/>
                <w:szCs w:val="24"/>
              </w:rPr>
            </w:pPr>
            <w:r w:rsidRPr="00391D8A">
              <w:rPr>
                <w:rFonts w:ascii="Times New Roman" w:hAnsi="Times New Roman" w:cs="Times New Roman"/>
                <w:b w:val="0"/>
                <w:bCs w:val="0"/>
                <w:sz w:val="24"/>
                <w:szCs w:val="24"/>
              </w:rPr>
              <w:t>0</w:t>
            </w:r>
          </w:p>
        </w:tc>
      </w:tr>
      <w:tr w:rsidR="00391D8A" w:rsidTr="0041730B">
        <w:tc>
          <w:tcPr>
            <w:tcW w:w="851" w:type="dxa"/>
          </w:tcPr>
          <w:p w:rsidR="00391D8A" w:rsidRPr="00391D8A" w:rsidRDefault="00391D8A" w:rsidP="00391D8A">
            <w:pPr>
              <w:bidi w:val="0"/>
              <w:spacing w:after="0"/>
              <w:jc w:val="center"/>
              <w:rPr>
                <w:rFonts w:ascii="Times New Roman" w:hAnsi="Times New Roman" w:cs="Times New Roman"/>
                <w:b w:val="0"/>
                <w:bCs w:val="0"/>
                <w:sz w:val="24"/>
                <w:szCs w:val="24"/>
              </w:rPr>
            </w:pPr>
            <w:r w:rsidRPr="00391D8A">
              <w:rPr>
                <w:rFonts w:ascii="Times New Roman" w:hAnsi="Times New Roman" w:cs="Times New Roman"/>
                <w:b w:val="0"/>
                <w:bCs w:val="0"/>
                <w:sz w:val="24"/>
                <w:szCs w:val="24"/>
              </w:rPr>
              <w:t>2.7</w:t>
            </w:r>
          </w:p>
        </w:tc>
        <w:tc>
          <w:tcPr>
            <w:tcW w:w="5528" w:type="dxa"/>
          </w:tcPr>
          <w:p w:rsidR="00391D8A" w:rsidRPr="00391D8A" w:rsidRDefault="00391D8A" w:rsidP="00391D8A">
            <w:pPr>
              <w:bidi w:val="0"/>
              <w:spacing w:after="0"/>
              <w:jc w:val="left"/>
              <w:rPr>
                <w:rFonts w:ascii="Times New Roman" w:hAnsi="Times New Roman" w:cs="Times New Roman"/>
                <w:b w:val="0"/>
                <w:bCs w:val="0"/>
                <w:color w:val="202124"/>
                <w:sz w:val="24"/>
                <w:szCs w:val="24"/>
                <w:lang w:val="en"/>
              </w:rPr>
            </w:pPr>
            <w:r w:rsidRPr="00391D8A">
              <w:rPr>
                <w:rFonts w:ascii="Times New Roman" w:hAnsi="Times New Roman" w:cs="Times New Roman"/>
                <w:b w:val="0"/>
                <w:bCs w:val="0"/>
                <w:color w:val="202124"/>
                <w:sz w:val="24"/>
                <w:szCs w:val="24"/>
                <w:lang w:val="en"/>
              </w:rPr>
              <w:t xml:space="preserve">Other assets </w:t>
            </w:r>
          </w:p>
        </w:tc>
        <w:tc>
          <w:tcPr>
            <w:tcW w:w="1276" w:type="dxa"/>
          </w:tcPr>
          <w:p w:rsidR="00391D8A" w:rsidRPr="00391D8A" w:rsidRDefault="00391D8A" w:rsidP="00391D8A">
            <w:pPr>
              <w:bidi w:val="0"/>
              <w:spacing w:after="0"/>
              <w:jc w:val="center"/>
              <w:rPr>
                <w:rFonts w:ascii="Times New Roman" w:hAnsi="Times New Roman" w:cs="Times New Roman"/>
                <w:b w:val="0"/>
                <w:bCs w:val="0"/>
                <w:sz w:val="24"/>
                <w:szCs w:val="24"/>
              </w:rPr>
            </w:pPr>
          </w:p>
        </w:tc>
        <w:tc>
          <w:tcPr>
            <w:tcW w:w="851" w:type="dxa"/>
          </w:tcPr>
          <w:p w:rsidR="00391D8A" w:rsidRPr="00391D8A" w:rsidRDefault="00391D8A" w:rsidP="00391D8A">
            <w:pPr>
              <w:bidi w:val="0"/>
              <w:spacing w:after="0"/>
              <w:jc w:val="center"/>
              <w:rPr>
                <w:rFonts w:ascii="Times New Roman" w:hAnsi="Times New Roman" w:cs="Times New Roman"/>
                <w:b w:val="0"/>
                <w:bCs w:val="0"/>
                <w:sz w:val="24"/>
                <w:szCs w:val="24"/>
              </w:rPr>
            </w:pPr>
            <w:r w:rsidRPr="00391D8A">
              <w:rPr>
                <w:rFonts w:ascii="Times New Roman" w:hAnsi="Times New Roman" w:cs="Times New Roman"/>
                <w:b w:val="0"/>
                <w:bCs w:val="0"/>
                <w:sz w:val="24"/>
                <w:szCs w:val="24"/>
              </w:rPr>
              <w:t>100%</w:t>
            </w:r>
          </w:p>
        </w:tc>
        <w:tc>
          <w:tcPr>
            <w:tcW w:w="1559" w:type="dxa"/>
          </w:tcPr>
          <w:p w:rsidR="00391D8A" w:rsidRPr="00391D8A" w:rsidRDefault="00391D8A" w:rsidP="00391D8A">
            <w:pPr>
              <w:bidi w:val="0"/>
              <w:spacing w:after="0"/>
              <w:jc w:val="center"/>
              <w:rPr>
                <w:rFonts w:ascii="Times New Roman" w:hAnsi="Times New Roman" w:cs="Times New Roman"/>
                <w:b w:val="0"/>
                <w:bCs w:val="0"/>
                <w:sz w:val="24"/>
                <w:szCs w:val="24"/>
              </w:rPr>
            </w:pPr>
            <w:r w:rsidRPr="00391D8A">
              <w:rPr>
                <w:rFonts w:ascii="Times New Roman" w:hAnsi="Times New Roman" w:cs="Times New Roman"/>
                <w:b w:val="0"/>
                <w:bCs w:val="0"/>
                <w:sz w:val="24"/>
                <w:szCs w:val="24"/>
              </w:rPr>
              <w:t>0</w:t>
            </w:r>
          </w:p>
        </w:tc>
      </w:tr>
      <w:tr w:rsidR="00391D8A" w:rsidTr="00391D8A">
        <w:tc>
          <w:tcPr>
            <w:tcW w:w="851" w:type="dxa"/>
            <w:shd w:val="clear" w:color="auto" w:fill="F2F2F2" w:themeFill="background1" w:themeFillShade="F2"/>
          </w:tcPr>
          <w:p w:rsidR="00391D8A" w:rsidRPr="00391D8A" w:rsidRDefault="00391D8A" w:rsidP="00391D8A">
            <w:pPr>
              <w:bidi w:val="0"/>
              <w:spacing w:after="0"/>
              <w:jc w:val="center"/>
              <w:rPr>
                <w:rFonts w:ascii="Times New Roman" w:hAnsi="Times New Roman" w:cs="Times New Roman"/>
                <w:b w:val="0"/>
                <w:bCs w:val="0"/>
                <w:sz w:val="24"/>
                <w:szCs w:val="24"/>
              </w:rPr>
            </w:pPr>
          </w:p>
        </w:tc>
        <w:tc>
          <w:tcPr>
            <w:tcW w:w="5528" w:type="dxa"/>
            <w:shd w:val="clear" w:color="auto" w:fill="F2F2F2" w:themeFill="background1" w:themeFillShade="F2"/>
          </w:tcPr>
          <w:p w:rsidR="00391D8A" w:rsidRPr="005A1359" w:rsidRDefault="00391D8A" w:rsidP="00391D8A">
            <w:pPr>
              <w:bidi w:val="0"/>
              <w:spacing w:after="0"/>
              <w:jc w:val="left"/>
              <w:rPr>
                <w:rFonts w:ascii="Times New Roman" w:hAnsi="Times New Roman" w:cs="Times New Roman"/>
                <w:color w:val="202124"/>
                <w:sz w:val="24"/>
                <w:szCs w:val="24"/>
                <w:lang w:val="en"/>
              </w:rPr>
            </w:pPr>
            <w:r w:rsidRPr="005A1359">
              <w:rPr>
                <w:rFonts w:ascii="Times New Roman" w:hAnsi="Times New Roman" w:cs="Times New Roman"/>
                <w:color w:val="202124"/>
                <w:sz w:val="24"/>
                <w:szCs w:val="24"/>
                <w:lang w:val="en"/>
              </w:rPr>
              <w:t xml:space="preserve">Total </w:t>
            </w:r>
            <w:r w:rsidRPr="005A1359">
              <w:rPr>
                <w:rFonts w:ascii="Times New Roman" w:hAnsi="Times New Roman" w:cs="Times New Roman"/>
                <w:sz w:val="24"/>
                <w:szCs w:val="24"/>
              </w:rPr>
              <w:t xml:space="preserve">On-balance sheet items </w:t>
            </w:r>
            <w:r w:rsidRPr="005A1359">
              <w:rPr>
                <w:rFonts w:ascii="Times New Roman" w:hAnsi="Times New Roman" w:cs="Times New Roman"/>
                <w:sz w:val="24"/>
                <w:szCs w:val="24"/>
                <w:vertAlign w:val="superscript"/>
              </w:rPr>
              <w:t>5</w:t>
            </w:r>
          </w:p>
        </w:tc>
        <w:tc>
          <w:tcPr>
            <w:tcW w:w="1276" w:type="dxa"/>
            <w:shd w:val="clear" w:color="auto" w:fill="F2F2F2" w:themeFill="background1" w:themeFillShade="F2"/>
          </w:tcPr>
          <w:p w:rsidR="00391D8A" w:rsidRPr="00391D8A" w:rsidRDefault="00391D8A" w:rsidP="00391D8A">
            <w:pPr>
              <w:bidi w:val="0"/>
              <w:spacing w:after="0"/>
              <w:jc w:val="center"/>
              <w:rPr>
                <w:rFonts w:ascii="Times New Roman" w:hAnsi="Times New Roman" w:cs="Times New Roman"/>
                <w:b w:val="0"/>
                <w:bCs w:val="0"/>
                <w:sz w:val="24"/>
                <w:szCs w:val="24"/>
              </w:rPr>
            </w:pPr>
          </w:p>
        </w:tc>
        <w:tc>
          <w:tcPr>
            <w:tcW w:w="851" w:type="dxa"/>
            <w:shd w:val="clear" w:color="auto" w:fill="F2F2F2" w:themeFill="background1" w:themeFillShade="F2"/>
          </w:tcPr>
          <w:p w:rsidR="00391D8A" w:rsidRPr="00391D8A" w:rsidRDefault="00391D8A" w:rsidP="00391D8A">
            <w:pPr>
              <w:bidi w:val="0"/>
              <w:spacing w:after="0"/>
              <w:jc w:val="center"/>
              <w:rPr>
                <w:rFonts w:ascii="Times New Roman" w:hAnsi="Times New Roman" w:cs="Times New Roman"/>
                <w:b w:val="0"/>
                <w:bCs w:val="0"/>
                <w:sz w:val="24"/>
                <w:szCs w:val="24"/>
              </w:rPr>
            </w:pPr>
          </w:p>
        </w:tc>
        <w:tc>
          <w:tcPr>
            <w:tcW w:w="1559" w:type="dxa"/>
            <w:shd w:val="clear" w:color="auto" w:fill="F2F2F2" w:themeFill="background1" w:themeFillShade="F2"/>
          </w:tcPr>
          <w:p w:rsidR="00391D8A" w:rsidRPr="00391D8A" w:rsidRDefault="00391D8A" w:rsidP="00391D8A">
            <w:pPr>
              <w:bidi w:val="0"/>
              <w:spacing w:after="0"/>
              <w:jc w:val="center"/>
              <w:rPr>
                <w:rFonts w:ascii="Times New Roman" w:hAnsi="Times New Roman" w:cs="Times New Roman"/>
                <w:b w:val="0"/>
                <w:bCs w:val="0"/>
                <w:sz w:val="24"/>
                <w:szCs w:val="24"/>
              </w:rPr>
            </w:pPr>
            <w:r>
              <w:rPr>
                <w:rFonts w:ascii="Times New Roman" w:hAnsi="Times New Roman" w:cs="Times New Roman"/>
                <w:b w:val="0"/>
                <w:bCs w:val="0"/>
                <w:sz w:val="24"/>
                <w:szCs w:val="24"/>
              </w:rPr>
              <w:t>0</w:t>
            </w:r>
          </w:p>
        </w:tc>
      </w:tr>
      <w:tr w:rsidR="00391D8A" w:rsidTr="0041730B">
        <w:tc>
          <w:tcPr>
            <w:tcW w:w="851" w:type="dxa"/>
          </w:tcPr>
          <w:p w:rsidR="00391D8A" w:rsidRPr="005A1359" w:rsidRDefault="00391D8A" w:rsidP="00391D8A">
            <w:pPr>
              <w:bidi w:val="0"/>
              <w:spacing w:after="0"/>
              <w:jc w:val="center"/>
              <w:rPr>
                <w:rFonts w:ascii="Times New Roman" w:hAnsi="Times New Roman" w:cs="Times New Roman"/>
                <w:b w:val="0"/>
                <w:bCs w:val="0"/>
                <w:sz w:val="24"/>
                <w:szCs w:val="24"/>
              </w:rPr>
            </w:pPr>
            <w:r w:rsidRPr="005A1359">
              <w:rPr>
                <w:rFonts w:ascii="Times New Roman" w:hAnsi="Times New Roman" w:cs="Times New Roman"/>
                <w:b w:val="0"/>
                <w:bCs w:val="0"/>
                <w:sz w:val="24"/>
                <w:szCs w:val="24"/>
              </w:rPr>
              <w:t>2.8</w:t>
            </w:r>
          </w:p>
        </w:tc>
        <w:tc>
          <w:tcPr>
            <w:tcW w:w="5528" w:type="dxa"/>
          </w:tcPr>
          <w:p w:rsidR="00391D8A" w:rsidRPr="005A1359" w:rsidRDefault="00391D8A" w:rsidP="00391D8A">
            <w:pPr>
              <w:bidi w:val="0"/>
              <w:spacing w:after="0"/>
              <w:jc w:val="left"/>
              <w:rPr>
                <w:rFonts w:ascii="Times New Roman" w:hAnsi="Times New Roman" w:cs="Times New Roman"/>
                <w:color w:val="202124"/>
                <w:sz w:val="24"/>
                <w:szCs w:val="24"/>
                <w:lang w:val="en"/>
              </w:rPr>
            </w:pPr>
            <w:r w:rsidRPr="005A1359">
              <w:rPr>
                <w:rFonts w:ascii="Times New Roman" w:hAnsi="Times New Roman" w:cs="Times New Roman"/>
                <w:color w:val="202124"/>
                <w:sz w:val="24"/>
                <w:szCs w:val="24"/>
                <w:lang w:val="en"/>
              </w:rPr>
              <w:t>Irrevocable obligations</w:t>
            </w:r>
          </w:p>
        </w:tc>
        <w:tc>
          <w:tcPr>
            <w:tcW w:w="1276" w:type="dxa"/>
          </w:tcPr>
          <w:p w:rsidR="00391D8A" w:rsidRPr="005A1359" w:rsidRDefault="00391D8A" w:rsidP="00391D8A">
            <w:pPr>
              <w:bidi w:val="0"/>
              <w:spacing w:after="0"/>
              <w:jc w:val="center"/>
              <w:rPr>
                <w:rFonts w:ascii="Times New Roman" w:hAnsi="Times New Roman" w:cs="Times New Roman"/>
                <w:b w:val="0"/>
                <w:bCs w:val="0"/>
                <w:sz w:val="24"/>
                <w:szCs w:val="24"/>
              </w:rPr>
            </w:pPr>
          </w:p>
        </w:tc>
        <w:tc>
          <w:tcPr>
            <w:tcW w:w="851" w:type="dxa"/>
          </w:tcPr>
          <w:p w:rsidR="00391D8A" w:rsidRPr="005A1359" w:rsidRDefault="00391D8A" w:rsidP="00391D8A">
            <w:pPr>
              <w:bidi w:val="0"/>
              <w:spacing w:after="0"/>
              <w:jc w:val="center"/>
              <w:rPr>
                <w:rFonts w:ascii="Times New Roman" w:hAnsi="Times New Roman" w:cs="Times New Roman"/>
                <w:b w:val="0"/>
                <w:bCs w:val="0"/>
                <w:sz w:val="24"/>
                <w:szCs w:val="24"/>
              </w:rPr>
            </w:pPr>
          </w:p>
        </w:tc>
        <w:tc>
          <w:tcPr>
            <w:tcW w:w="1559" w:type="dxa"/>
          </w:tcPr>
          <w:p w:rsidR="00391D8A" w:rsidRPr="005A1359" w:rsidRDefault="00391D8A" w:rsidP="00391D8A">
            <w:pPr>
              <w:bidi w:val="0"/>
              <w:spacing w:after="0"/>
              <w:jc w:val="center"/>
              <w:rPr>
                <w:rFonts w:ascii="Times New Roman" w:hAnsi="Times New Roman" w:cs="Times New Roman"/>
                <w:b w:val="0"/>
                <w:bCs w:val="0"/>
                <w:sz w:val="24"/>
                <w:szCs w:val="24"/>
              </w:rPr>
            </w:pPr>
            <w:r w:rsidRPr="005A1359">
              <w:rPr>
                <w:rFonts w:ascii="Times New Roman" w:hAnsi="Times New Roman" w:cs="Times New Roman"/>
                <w:b w:val="0"/>
                <w:bCs w:val="0"/>
                <w:sz w:val="24"/>
                <w:szCs w:val="24"/>
              </w:rPr>
              <w:t>0</w:t>
            </w:r>
          </w:p>
        </w:tc>
      </w:tr>
      <w:tr w:rsidR="00391D8A" w:rsidTr="0041730B">
        <w:tc>
          <w:tcPr>
            <w:tcW w:w="851" w:type="dxa"/>
          </w:tcPr>
          <w:p w:rsidR="00391D8A" w:rsidRPr="005A1359" w:rsidRDefault="00391D8A" w:rsidP="00391D8A">
            <w:pPr>
              <w:bidi w:val="0"/>
              <w:spacing w:after="0"/>
              <w:jc w:val="center"/>
              <w:rPr>
                <w:rFonts w:ascii="Times New Roman" w:hAnsi="Times New Roman" w:cs="Times New Roman"/>
                <w:b w:val="0"/>
                <w:bCs w:val="0"/>
                <w:sz w:val="24"/>
                <w:szCs w:val="24"/>
              </w:rPr>
            </w:pPr>
            <w:r w:rsidRPr="005A1359">
              <w:rPr>
                <w:rFonts w:ascii="Times New Roman" w:hAnsi="Times New Roman" w:cs="Times New Roman"/>
                <w:b w:val="0"/>
                <w:bCs w:val="0"/>
                <w:sz w:val="24"/>
                <w:szCs w:val="24"/>
              </w:rPr>
              <w:t>2.8.1</w:t>
            </w:r>
          </w:p>
        </w:tc>
        <w:tc>
          <w:tcPr>
            <w:tcW w:w="5528" w:type="dxa"/>
          </w:tcPr>
          <w:p w:rsidR="00391D8A" w:rsidRPr="005A1359" w:rsidRDefault="00391D8A" w:rsidP="005A1359">
            <w:pPr>
              <w:bidi w:val="0"/>
              <w:spacing w:after="0"/>
              <w:ind w:left="608"/>
              <w:jc w:val="left"/>
              <w:rPr>
                <w:rFonts w:ascii="Times New Roman" w:hAnsi="Times New Roman" w:cs="Times New Roman"/>
                <w:b w:val="0"/>
                <w:bCs w:val="0"/>
                <w:color w:val="202124"/>
                <w:sz w:val="24"/>
                <w:szCs w:val="24"/>
                <w:lang w:val="en"/>
              </w:rPr>
            </w:pPr>
            <w:r w:rsidRPr="005A1359">
              <w:rPr>
                <w:rFonts w:ascii="Times New Roman" w:hAnsi="Times New Roman" w:cs="Times New Roman"/>
                <w:b w:val="0"/>
                <w:bCs w:val="0"/>
                <w:color w:val="202124"/>
                <w:sz w:val="24"/>
                <w:szCs w:val="24"/>
                <w:lang w:val="en"/>
              </w:rPr>
              <w:t>Guarantees</w:t>
            </w:r>
          </w:p>
        </w:tc>
        <w:tc>
          <w:tcPr>
            <w:tcW w:w="1276" w:type="dxa"/>
          </w:tcPr>
          <w:p w:rsidR="00391D8A" w:rsidRPr="005A1359" w:rsidRDefault="00391D8A" w:rsidP="00391D8A">
            <w:pPr>
              <w:bidi w:val="0"/>
              <w:spacing w:after="0"/>
              <w:jc w:val="center"/>
              <w:rPr>
                <w:rFonts w:ascii="Times New Roman" w:hAnsi="Times New Roman" w:cs="Times New Roman"/>
                <w:b w:val="0"/>
                <w:bCs w:val="0"/>
                <w:sz w:val="24"/>
                <w:szCs w:val="24"/>
              </w:rPr>
            </w:pPr>
          </w:p>
        </w:tc>
        <w:tc>
          <w:tcPr>
            <w:tcW w:w="851" w:type="dxa"/>
          </w:tcPr>
          <w:p w:rsidR="00391D8A" w:rsidRPr="005A1359" w:rsidRDefault="00391D8A" w:rsidP="00391D8A">
            <w:pPr>
              <w:bidi w:val="0"/>
              <w:spacing w:after="0"/>
              <w:jc w:val="center"/>
              <w:rPr>
                <w:rFonts w:ascii="Times New Roman" w:hAnsi="Times New Roman" w:cs="Times New Roman"/>
                <w:b w:val="0"/>
                <w:bCs w:val="0"/>
                <w:sz w:val="24"/>
                <w:szCs w:val="24"/>
              </w:rPr>
            </w:pPr>
            <w:r w:rsidRPr="005A1359">
              <w:rPr>
                <w:rFonts w:ascii="Times New Roman" w:hAnsi="Times New Roman" w:cs="Times New Roman"/>
                <w:b w:val="0"/>
                <w:bCs w:val="0"/>
                <w:sz w:val="24"/>
                <w:szCs w:val="24"/>
              </w:rPr>
              <w:t>100%</w:t>
            </w:r>
          </w:p>
        </w:tc>
        <w:tc>
          <w:tcPr>
            <w:tcW w:w="1559" w:type="dxa"/>
          </w:tcPr>
          <w:p w:rsidR="00391D8A" w:rsidRPr="005A1359" w:rsidRDefault="00391D8A" w:rsidP="00391D8A">
            <w:pPr>
              <w:bidi w:val="0"/>
              <w:spacing w:after="0"/>
              <w:jc w:val="center"/>
              <w:rPr>
                <w:rFonts w:ascii="Times New Roman" w:hAnsi="Times New Roman" w:cs="Times New Roman"/>
                <w:b w:val="0"/>
                <w:bCs w:val="0"/>
                <w:sz w:val="24"/>
                <w:szCs w:val="24"/>
              </w:rPr>
            </w:pPr>
            <w:r w:rsidRPr="005A1359">
              <w:rPr>
                <w:rFonts w:ascii="Times New Roman" w:hAnsi="Times New Roman" w:cs="Times New Roman"/>
                <w:b w:val="0"/>
                <w:bCs w:val="0"/>
                <w:sz w:val="24"/>
                <w:szCs w:val="24"/>
              </w:rPr>
              <w:t>0</w:t>
            </w:r>
          </w:p>
        </w:tc>
      </w:tr>
      <w:tr w:rsidR="00391D8A" w:rsidTr="0041730B">
        <w:tc>
          <w:tcPr>
            <w:tcW w:w="851" w:type="dxa"/>
          </w:tcPr>
          <w:p w:rsidR="00391D8A" w:rsidRPr="005A1359" w:rsidRDefault="00391D8A" w:rsidP="00391D8A">
            <w:pPr>
              <w:bidi w:val="0"/>
              <w:spacing w:after="0"/>
              <w:jc w:val="center"/>
              <w:rPr>
                <w:rFonts w:ascii="Times New Roman" w:hAnsi="Times New Roman" w:cs="Times New Roman"/>
                <w:b w:val="0"/>
                <w:bCs w:val="0"/>
                <w:sz w:val="24"/>
                <w:szCs w:val="24"/>
              </w:rPr>
            </w:pPr>
            <w:r w:rsidRPr="005A1359">
              <w:rPr>
                <w:rFonts w:ascii="Times New Roman" w:hAnsi="Times New Roman" w:cs="Times New Roman"/>
                <w:b w:val="0"/>
                <w:bCs w:val="0"/>
                <w:sz w:val="24"/>
                <w:szCs w:val="24"/>
              </w:rPr>
              <w:t>2.8.2</w:t>
            </w:r>
          </w:p>
        </w:tc>
        <w:tc>
          <w:tcPr>
            <w:tcW w:w="5528" w:type="dxa"/>
          </w:tcPr>
          <w:p w:rsidR="00391D8A" w:rsidRPr="005A1359" w:rsidRDefault="00391D8A" w:rsidP="005A1359">
            <w:pPr>
              <w:bidi w:val="0"/>
              <w:spacing w:after="0"/>
              <w:ind w:left="608"/>
              <w:jc w:val="left"/>
              <w:rPr>
                <w:rFonts w:ascii="Times New Roman" w:hAnsi="Times New Roman" w:cs="Times New Roman"/>
                <w:b w:val="0"/>
                <w:bCs w:val="0"/>
                <w:color w:val="202124"/>
                <w:sz w:val="24"/>
                <w:szCs w:val="24"/>
                <w:lang w:bidi="ar-JO"/>
              </w:rPr>
            </w:pPr>
            <w:r w:rsidRPr="005A1359">
              <w:rPr>
                <w:rFonts w:ascii="Times New Roman" w:eastAsiaTheme="minorHAnsi" w:hAnsi="Times New Roman" w:cs="Times New Roman"/>
                <w:b w:val="0"/>
                <w:bCs w:val="0"/>
                <w:sz w:val="24"/>
                <w:szCs w:val="24"/>
              </w:rPr>
              <w:t>Letters of credit</w:t>
            </w:r>
          </w:p>
        </w:tc>
        <w:tc>
          <w:tcPr>
            <w:tcW w:w="1276" w:type="dxa"/>
          </w:tcPr>
          <w:p w:rsidR="00391D8A" w:rsidRPr="005A1359" w:rsidRDefault="00391D8A" w:rsidP="00391D8A">
            <w:pPr>
              <w:bidi w:val="0"/>
              <w:spacing w:after="0"/>
              <w:jc w:val="center"/>
              <w:rPr>
                <w:rFonts w:ascii="Times New Roman" w:hAnsi="Times New Roman" w:cs="Times New Roman"/>
                <w:b w:val="0"/>
                <w:bCs w:val="0"/>
                <w:sz w:val="24"/>
                <w:szCs w:val="24"/>
              </w:rPr>
            </w:pPr>
          </w:p>
        </w:tc>
        <w:tc>
          <w:tcPr>
            <w:tcW w:w="851" w:type="dxa"/>
          </w:tcPr>
          <w:p w:rsidR="00391D8A" w:rsidRPr="005A1359" w:rsidRDefault="00391D8A" w:rsidP="00391D8A">
            <w:pPr>
              <w:bidi w:val="0"/>
              <w:spacing w:after="0"/>
              <w:jc w:val="center"/>
              <w:rPr>
                <w:rFonts w:ascii="Times New Roman" w:hAnsi="Times New Roman" w:cs="Times New Roman"/>
                <w:b w:val="0"/>
                <w:bCs w:val="0"/>
                <w:sz w:val="24"/>
                <w:szCs w:val="24"/>
              </w:rPr>
            </w:pPr>
            <w:r w:rsidRPr="005A1359">
              <w:rPr>
                <w:rFonts w:ascii="Times New Roman" w:hAnsi="Times New Roman" w:cs="Times New Roman"/>
                <w:b w:val="0"/>
                <w:bCs w:val="0"/>
                <w:sz w:val="24"/>
                <w:szCs w:val="24"/>
              </w:rPr>
              <w:t>100%</w:t>
            </w:r>
          </w:p>
        </w:tc>
        <w:tc>
          <w:tcPr>
            <w:tcW w:w="1559" w:type="dxa"/>
          </w:tcPr>
          <w:p w:rsidR="00391D8A" w:rsidRPr="005A1359" w:rsidRDefault="00391D8A" w:rsidP="00391D8A">
            <w:pPr>
              <w:bidi w:val="0"/>
              <w:spacing w:after="0"/>
              <w:jc w:val="center"/>
              <w:rPr>
                <w:rFonts w:ascii="Times New Roman" w:hAnsi="Times New Roman" w:cs="Times New Roman"/>
                <w:b w:val="0"/>
                <w:bCs w:val="0"/>
                <w:sz w:val="24"/>
                <w:szCs w:val="24"/>
              </w:rPr>
            </w:pPr>
            <w:r w:rsidRPr="005A1359">
              <w:rPr>
                <w:rFonts w:ascii="Times New Roman" w:hAnsi="Times New Roman" w:cs="Times New Roman"/>
                <w:b w:val="0"/>
                <w:bCs w:val="0"/>
                <w:sz w:val="24"/>
                <w:szCs w:val="24"/>
              </w:rPr>
              <w:t>0</w:t>
            </w:r>
          </w:p>
        </w:tc>
      </w:tr>
      <w:tr w:rsidR="00391D8A" w:rsidTr="0041730B">
        <w:tc>
          <w:tcPr>
            <w:tcW w:w="851" w:type="dxa"/>
          </w:tcPr>
          <w:p w:rsidR="00391D8A" w:rsidRPr="005A1359" w:rsidRDefault="00391D8A" w:rsidP="00391D8A">
            <w:pPr>
              <w:bidi w:val="0"/>
              <w:spacing w:after="0"/>
              <w:jc w:val="center"/>
              <w:rPr>
                <w:rFonts w:ascii="Times New Roman" w:hAnsi="Times New Roman" w:cs="Times New Roman"/>
                <w:b w:val="0"/>
                <w:bCs w:val="0"/>
                <w:sz w:val="24"/>
                <w:szCs w:val="24"/>
              </w:rPr>
            </w:pPr>
            <w:r w:rsidRPr="005A1359">
              <w:rPr>
                <w:rFonts w:ascii="Times New Roman" w:hAnsi="Times New Roman" w:cs="Times New Roman"/>
                <w:b w:val="0"/>
                <w:bCs w:val="0"/>
                <w:sz w:val="24"/>
                <w:szCs w:val="24"/>
              </w:rPr>
              <w:t>2.8.3</w:t>
            </w:r>
          </w:p>
        </w:tc>
        <w:tc>
          <w:tcPr>
            <w:tcW w:w="5528" w:type="dxa"/>
          </w:tcPr>
          <w:p w:rsidR="00391D8A" w:rsidRPr="005A1359" w:rsidRDefault="00563636" w:rsidP="005A1359">
            <w:pPr>
              <w:bidi w:val="0"/>
              <w:spacing w:after="0"/>
              <w:ind w:left="608"/>
              <w:jc w:val="left"/>
              <w:rPr>
                <w:rFonts w:ascii="Times New Roman" w:hAnsi="Times New Roman" w:cs="Times New Roman"/>
                <w:b w:val="0"/>
                <w:bCs w:val="0"/>
                <w:color w:val="202124"/>
                <w:sz w:val="24"/>
                <w:szCs w:val="24"/>
                <w:lang w:val="en"/>
              </w:rPr>
            </w:pPr>
            <w:r>
              <w:rPr>
                <w:rFonts w:ascii="Times New Roman" w:eastAsia="Times New Roman" w:hAnsi="Times New Roman" w:cs="Times New Roman"/>
                <w:b w:val="0"/>
                <w:bCs w:val="0"/>
                <w:color w:val="000000"/>
                <w:sz w:val="24"/>
                <w:szCs w:val="24"/>
              </w:rPr>
              <w:t>Sight letters of credit</w:t>
            </w:r>
          </w:p>
        </w:tc>
        <w:tc>
          <w:tcPr>
            <w:tcW w:w="1276" w:type="dxa"/>
          </w:tcPr>
          <w:p w:rsidR="00391D8A" w:rsidRPr="005A1359" w:rsidRDefault="00391D8A" w:rsidP="00391D8A">
            <w:pPr>
              <w:bidi w:val="0"/>
              <w:spacing w:after="0"/>
              <w:jc w:val="center"/>
              <w:rPr>
                <w:rFonts w:ascii="Times New Roman" w:hAnsi="Times New Roman" w:cs="Times New Roman"/>
                <w:b w:val="0"/>
                <w:bCs w:val="0"/>
                <w:sz w:val="24"/>
                <w:szCs w:val="24"/>
              </w:rPr>
            </w:pPr>
          </w:p>
        </w:tc>
        <w:tc>
          <w:tcPr>
            <w:tcW w:w="851" w:type="dxa"/>
          </w:tcPr>
          <w:p w:rsidR="00391D8A" w:rsidRPr="005A1359" w:rsidRDefault="00391D8A" w:rsidP="00391D8A">
            <w:pPr>
              <w:bidi w:val="0"/>
              <w:spacing w:after="0"/>
              <w:jc w:val="center"/>
              <w:rPr>
                <w:rFonts w:ascii="Times New Roman" w:hAnsi="Times New Roman" w:cs="Times New Roman"/>
                <w:b w:val="0"/>
                <w:bCs w:val="0"/>
                <w:sz w:val="24"/>
                <w:szCs w:val="24"/>
              </w:rPr>
            </w:pPr>
            <w:r w:rsidRPr="005A1359">
              <w:rPr>
                <w:rFonts w:ascii="Times New Roman" w:hAnsi="Times New Roman" w:cs="Times New Roman"/>
                <w:b w:val="0"/>
                <w:bCs w:val="0"/>
                <w:sz w:val="24"/>
                <w:szCs w:val="24"/>
              </w:rPr>
              <w:t>100%</w:t>
            </w:r>
          </w:p>
        </w:tc>
        <w:tc>
          <w:tcPr>
            <w:tcW w:w="1559" w:type="dxa"/>
          </w:tcPr>
          <w:p w:rsidR="00391D8A" w:rsidRPr="005A1359" w:rsidRDefault="00391D8A" w:rsidP="00391D8A">
            <w:pPr>
              <w:bidi w:val="0"/>
              <w:spacing w:after="0"/>
              <w:jc w:val="center"/>
              <w:rPr>
                <w:rFonts w:ascii="Times New Roman" w:hAnsi="Times New Roman" w:cs="Times New Roman"/>
                <w:b w:val="0"/>
                <w:bCs w:val="0"/>
                <w:sz w:val="24"/>
                <w:szCs w:val="24"/>
              </w:rPr>
            </w:pPr>
            <w:r w:rsidRPr="005A1359">
              <w:rPr>
                <w:rFonts w:ascii="Times New Roman" w:hAnsi="Times New Roman" w:cs="Times New Roman"/>
                <w:b w:val="0"/>
                <w:bCs w:val="0"/>
                <w:sz w:val="24"/>
                <w:szCs w:val="24"/>
              </w:rPr>
              <w:t>0</w:t>
            </w:r>
          </w:p>
        </w:tc>
      </w:tr>
      <w:tr w:rsidR="00391D8A" w:rsidTr="0041730B">
        <w:tc>
          <w:tcPr>
            <w:tcW w:w="851" w:type="dxa"/>
          </w:tcPr>
          <w:p w:rsidR="00391D8A" w:rsidRPr="005A1359" w:rsidRDefault="00391D8A" w:rsidP="00391D8A">
            <w:pPr>
              <w:bidi w:val="0"/>
              <w:spacing w:after="0"/>
              <w:jc w:val="center"/>
              <w:rPr>
                <w:rFonts w:ascii="Times New Roman" w:hAnsi="Times New Roman" w:cs="Times New Roman"/>
                <w:b w:val="0"/>
                <w:bCs w:val="0"/>
                <w:sz w:val="24"/>
                <w:szCs w:val="24"/>
              </w:rPr>
            </w:pPr>
            <w:r w:rsidRPr="005A1359">
              <w:rPr>
                <w:rFonts w:ascii="Times New Roman" w:hAnsi="Times New Roman" w:cs="Times New Roman"/>
                <w:b w:val="0"/>
                <w:bCs w:val="0"/>
                <w:sz w:val="24"/>
                <w:szCs w:val="24"/>
              </w:rPr>
              <w:t>2.8.4</w:t>
            </w:r>
          </w:p>
        </w:tc>
        <w:tc>
          <w:tcPr>
            <w:tcW w:w="5528" w:type="dxa"/>
          </w:tcPr>
          <w:p w:rsidR="00391D8A" w:rsidRPr="005A1359" w:rsidRDefault="00391D8A" w:rsidP="005A1359">
            <w:pPr>
              <w:bidi w:val="0"/>
              <w:spacing w:after="0"/>
              <w:ind w:left="608"/>
              <w:jc w:val="left"/>
              <w:rPr>
                <w:rFonts w:ascii="Times New Roman" w:hAnsi="Times New Roman" w:cs="Times New Roman"/>
                <w:b w:val="0"/>
                <w:bCs w:val="0"/>
                <w:color w:val="202124"/>
                <w:sz w:val="24"/>
                <w:szCs w:val="24"/>
                <w:lang w:val="en"/>
              </w:rPr>
            </w:pPr>
            <w:r w:rsidRPr="005A1359">
              <w:rPr>
                <w:rFonts w:ascii="Times New Roman" w:eastAsiaTheme="minorHAnsi" w:hAnsi="Times New Roman" w:cs="Times New Roman"/>
                <w:b w:val="0"/>
                <w:bCs w:val="0"/>
                <w:sz w:val="24"/>
                <w:szCs w:val="24"/>
              </w:rPr>
              <w:t>Acceptances</w:t>
            </w:r>
          </w:p>
        </w:tc>
        <w:tc>
          <w:tcPr>
            <w:tcW w:w="1276" w:type="dxa"/>
          </w:tcPr>
          <w:p w:rsidR="00391D8A" w:rsidRPr="005A1359" w:rsidRDefault="00391D8A" w:rsidP="00391D8A">
            <w:pPr>
              <w:bidi w:val="0"/>
              <w:spacing w:after="0"/>
              <w:jc w:val="center"/>
              <w:rPr>
                <w:rFonts w:ascii="Times New Roman" w:hAnsi="Times New Roman" w:cs="Times New Roman"/>
                <w:b w:val="0"/>
                <w:bCs w:val="0"/>
                <w:sz w:val="24"/>
                <w:szCs w:val="24"/>
              </w:rPr>
            </w:pPr>
          </w:p>
        </w:tc>
        <w:tc>
          <w:tcPr>
            <w:tcW w:w="851" w:type="dxa"/>
          </w:tcPr>
          <w:p w:rsidR="00391D8A" w:rsidRPr="005A1359" w:rsidRDefault="00391D8A" w:rsidP="00391D8A">
            <w:pPr>
              <w:bidi w:val="0"/>
              <w:spacing w:after="0"/>
              <w:jc w:val="center"/>
              <w:rPr>
                <w:rFonts w:ascii="Times New Roman" w:hAnsi="Times New Roman" w:cs="Times New Roman"/>
                <w:b w:val="0"/>
                <w:bCs w:val="0"/>
                <w:sz w:val="24"/>
                <w:szCs w:val="24"/>
              </w:rPr>
            </w:pPr>
            <w:r w:rsidRPr="005A1359">
              <w:rPr>
                <w:rFonts w:ascii="Times New Roman" w:hAnsi="Times New Roman" w:cs="Times New Roman"/>
                <w:b w:val="0"/>
                <w:bCs w:val="0"/>
                <w:sz w:val="24"/>
                <w:szCs w:val="24"/>
              </w:rPr>
              <w:t>100%</w:t>
            </w:r>
          </w:p>
        </w:tc>
        <w:tc>
          <w:tcPr>
            <w:tcW w:w="1559" w:type="dxa"/>
          </w:tcPr>
          <w:p w:rsidR="00391D8A" w:rsidRPr="005A1359" w:rsidRDefault="00391D8A" w:rsidP="00391D8A">
            <w:pPr>
              <w:bidi w:val="0"/>
              <w:spacing w:after="0"/>
              <w:jc w:val="center"/>
              <w:rPr>
                <w:rFonts w:ascii="Times New Roman" w:hAnsi="Times New Roman" w:cs="Times New Roman"/>
                <w:b w:val="0"/>
                <w:bCs w:val="0"/>
                <w:sz w:val="24"/>
                <w:szCs w:val="24"/>
              </w:rPr>
            </w:pPr>
            <w:r w:rsidRPr="005A1359">
              <w:rPr>
                <w:rFonts w:ascii="Times New Roman" w:hAnsi="Times New Roman" w:cs="Times New Roman"/>
                <w:b w:val="0"/>
                <w:bCs w:val="0"/>
                <w:sz w:val="24"/>
                <w:szCs w:val="24"/>
              </w:rPr>
              <w:t>0</w:t>
            </w:r>
          </w:p>
        </w:tc>
      </w:tr>
      <w:tr w:rsidR="00391D8A" w:rsidTr="0041730B">
        <w:tc>
          <w:tcPr>
            <w:tcW w:w="851" w:type="dxa"/>
          </w:tcPr>
          <w:p w:rsidR="00391D8A" w:rsidRPr="005A1359" w:rsidRDefault="00391D8A" w:rsidP="00391D8A">
            <w:pPr>
              <w:bidi w:val="0"/>
              <w:spacing w:after="0"/>
              <w:jc w:val="center"/>
              <w:rPr>
                <w:rFonts w:ascii="Times New Roman" w:hAnsi="Times New Roman" w:cs="Times New Roman"/>
                <w:b w:val="0"/>
                <w:bCs w:val="0"/>
                <w:sz w:val="24"/>
                <w:szCs w:val="24"/>
              </w:rPr>
            </w:pPr>
            <w:r w:rsidRPr="005A1359">
              <w:rPr>
                <w:rFonts w:ascii="Times New Roman" w:hAnsi="Times New Roman" w:cs="Times New Roman"/>
                <w:b w:val="0"/>
                <w:bCs w:val="0"/>
                <w:sz w:val="24"/>
                <w:szCs w:val="24"/>
              </w:rPr>
              <w:t>2.8.5</w:t>
            </w:r>
          </w:p>
        </w:tc>
        <w:tc>
          <w:tcPr>
            <w:tcW w:w="5528" w:type="dxa"/>
          </w:tcPr>
          <w:p w:rsidR="00391D8A" w:rsidRPr="005A1359" w:rsidRDefault="00391D8A" w:rsidP="005A1359">
            <w:pPr>
              <w:bidi w:val="0"/>
              <w:spacing w:after="0"/>
              <w:ind w:left="608"/>
              <w:jc w:val="left"/>
              <w:rPr>
                <w:rFonts w:ascii="Times New Roman" w:hAnsi="Times New Roman" w:cs="Times New Roman"/>
                <w:b w:val="0"/>
                <w:bCs w:val="0"/>
                <w:color w:val="202124"/>
                <w:sz w:val="24"/>
                <w:szCs w:val="24"/>
                <w:lang w:val="en"/>
              </w:rPr>
            </w:pPr>
            <w:r w:rsidRPr="005A1359">
              <w:rPr>
                <w:rFonts w:ascii="Times New Roman" w:eastAsiaTheme="minorHAnsi" w:hAnsi="Times New Roman" w:cs="Times New Roman"/>
                <w:b w:val="0"/>
                <w:bCs w:val="0"/>
                <w:sz w:val="24"/>
                <w:szCs w:val="24"/>
              </w:rPr>
              <w:t xml:space="preserve">Unutilized credit facilities </w:t>
            </w:r>
            <w:r w:rsidRPr="005A1359">
              <w:rPr>
                <w:rFonts w:ascii="Times New Roman" w:eastAsiaTheme="minorHAnsi" w:hAnsi="Times New Roman" w:cs="Times New Roman"/>
                <w:b w:val="0"/>
                <w:bCs w:val="0"/>
                <w:sz w:val="24"/>
                <w:szCs w:val="24"/>
                <w:vertAlign w:val="superscript"/>
              </w:rPr>
              <w:t>6</w:t>
            </w:r>
          </w:p>
        </w:tc>
        <w:tc>
          <w:tcPr>
            <w:tcW w:w="1276" w:type="dxa"/>
          </w:tcPr>
          <w:p w:rsidR="00391D8A" w:rsidRPr="005A1359" w:rsidRDefault="00391D8A" w:rsidP="00391D8A">
            <w:pPr>
              <w:bidi w:val="0"/>
              <w:spacing w:after="0"/>
              <w:jc w:val="center"/>
              <w:rPr>
                <w:rFonts w:ascii="Times New Roman" w:hAnsi="Times New Roman" w:cs="Times New Roman"/>
                <w:b w:val="0"/>
                <w:bCs w:val="0"/>
                <w:sz w:val="24"/>
                <w:szCs w:val="24"/>
              </w:rPr>
            </w:pPr>
          </w:p>
        </w:tc>
        <w:tc>
          <w:tcPr>
            <w:tcW w:w="851" w:type="dxa"/>
          </w:tcPr>
          <w:p w:rsidR="00391D8A" w:rsidRPr="005A1359" w:rsidRDefault="00391D8A" w:rsidP="00391D8A">
            <w:pPr>
              <w:bidi w:val="0"/>
              <w:spacing w:after="0"/>
              <w:jc w:val="center"/>
              <w:rPr>
                <w:rFonts w:ascii="Times New Roman" w:hAnsi="Times New Roman" w:cs="Times New Roman"/>
                <w:b w:val="0"/>
                <w:bCs w:val="0"/>
                <w:sz w:val="24"/>
                <w:szCs w:val="24"/>
              </w:rPr>
            </w:pPr>
            <w:r w:rsidRPr="005A1359">
              <w:rPr>
                <w:rFonts w:ascii="Times New Roman" w:hAnsi="Times New Roman" w:cs="Times New Roman"/>
                <w:b w:val="0"/>
                <w:bCs w:val="0"/>
                <w:sz w:val="24"/>
                <w:szCs w:val="24"/>
              </w:rPr>
              <w:t>100%</w:t>
            </w:r>
          </w:p>
        </w:tc>
        <w:tc>
          <w:tcPr>
            <w:tcW w:w="1559" w:type="dxa"/>
          </w:tcPr>
          <w:p w:rsidR="00391D8A" w:rsidRPr="005A1359" w:rsidRDefault="00391D8A" w:rsidP="00391D8A">
            <w:pPr>
              <w:bidi w:val="0"/>
              <w:spacing w:after="0"/>
              <w:jc w:val="center"/>
              <w:rPr>
                <w:rFonts w:ascii="Times New Roman" w:hAnsi="Times New Roman" w:cs="Times New Roman"/>
                <w:b w:val="0"/>
                <w:bCs w:val="0"/>
                <w:sz w:val="24"/>
                <w:szCs w:val="24"/>
              </w:rPr>
            </w:pPr>
            <w:r w:rsidRPr="005A1359">
              <w:rPr>
                <w:rFonts w:ascii="Times New Roman" w:hAnsi="Times New Roman" w:cs="Times New Roman"/>
                <w:b w:val="0"/>
                <w:bCs w:val="0"/>
                <w:sz w:val="24"/>
                <w:szCs w:val="24"/>
              </w:rPr>
              <w:t>0</w:t>
            </w:r>
          </w:p>
        </w:tc>
      </w:tr>
      <w:tr w:rsidR="00391D8A" w:rsidTr="0041730B">
        <w:tc>
          <w:tcPr>
            <w:tcW w:w="851" w:type="dxa"/>
          </w:tcPr>
          <w:p w:rsidR="00391D8A" w:rsidRPr="005A1359" w:rsidRDefault="00391D8A" w:rsidP="00391D8A">
            <w:pPr>
              <w:bidi w:val="0"/>
              <w:spacing w:after="0"/>
              <w:jc w:val="center"/>
              <w:rPr>
                <w:rFonts w:ascii="Times New Roman" w:hAnsi="Times New Roman" w:cs="Times New Roman"/>
                <w:b w:val="0"/>
                <w:bCs w:val="0"/>
                <w:sz w:val="24"/>
                <w:szCs w:val="24"/>
              </w:rPr>
            </w:pPr>
            <w:r w:rsidRPr="005A1359">
              <w:rPr>
                <w:rFonts w:ascii="Times New Roman" w:hAnsi="Times New Roman" w:cs="Times New Roman"/>
                <w:b w:val="0"/>
                <w:bCs w:val="0"/>
                <w:sz w:val="24"/>
                <w:szCs w:val="24"/>
              </w:rPr>
              <w:t>2.8.6</w:t>
            </w:r>
          </w:p>
        </w:tc>
        <w:tc>
          <w:tcPr>
            <w:tcW w:w="5528" w:type="dxa"/>
          </w:tcPr>
          <w:p w:rsidR="00391D8A" w:rsidRPr="005A1359" w:rsidRDefault="00391D8A" w:rsidP="005A1359">
            <w:pPr>
              <w:bidi w:val="0"/>
              <w:spacing w:after="0"/>
              <w:ind w:left="608"/>
              <w:jc w:val="left"/>
              <w:rPr>
                <w:rFonts w:ascii="Times New Roman" w:hAnsi="Times New Roman" w:cs="Times New Roman"/>
                <w:b w:val="0"/>
                <w:bCs w:val="0"/>
                <w:color w:val="202124"/>
                <w:sz w:val="24"/>
                <w:szCs w:val="24"/>
                <w:lang w:val="en"/>
              </w:rPr>
            </w:pPr>
            <w:r w:rsidRPr="005A1359">
              <w:rPr>
                <w:rFonts w:ascii="Times New Roman" w:eastAsia="Times New Roman" w:hAnsi="Times New Roman" w:cs="Times New Roman"/>
                <w:b w:val="0"/>
                <w:bCs w:val="0"/>
                <w:color w:val="000000"/>
                <w:sz w:val="24"/>
                <w:szCs w:val="24"/>
              </w:rPr>
              <w:t>Underwriting</w:t>
            </w:r>
          </w:p>
        </w:tc>
        <w:tc>
          <w:tcPr>
            <w:tcW w:w="1276" w:type="dxa"/>
          </w:tcPr>
          <w:p w:rsidR="00391D8A" w:rsidRPr="005A1359" w:rsidRDefault="00391D8A" w:rsidP="00391D8A">
            <w:pPr>
              <w:bidi w:val="0"/>
              <w:spacing w:after="0"/>
              <w:jc w:val="center"/>
              <w:rPr>
                <w:rFonts w:ascii="Times New Roman" w:hAnsi="Times New Roman" w:cs="Times New Roman"/>
                <w:b w:val="0"/>
                <w:bCs w:val="0"/>
                <w:sz w:val="24"/>
                <w:szCs w:val="24"/>
              </w:rPr>
            </w:pPr>
          </w:p>
        </w:tc>
        <w:tc>
          <w:tcPr>
            <w:tcW w:w="851" w:type="dxa"/>
          </w:tcPr>
          <w:p w:rsidR="00391D8A" w:rsidRPr="005A1359" w:rsidRDefault="00391D8A" w:rsidP="00391D8A">
            <w:pPr>
              <w:bidi w:val="0"/>
              <w:spacing w:after="0"/>
              <w:jc w:val="center"/>
              <w:rPr>
                <w:rFonts w:ascii="Times New Roman" w:hAnsi="Times New Roman" w:cs="Times New Roman"/>
                <w:b w:val="0"/>
                <w:bCs w:val="0"/>
                <w:sz w:val="24"/>
                <w:szCs w:val="24"/>
              </w:rPr>
            </w:pPr>
            <w:r w:rsidRPr="005A1359">
              <w:rPr>
                <w:rFonts w:ascii="Times New Roman" w:hAnsi="Times New Roman" w:cs="Times New Roman"/>
                <w:b w:val="0"/>
                <w:bCs w:val="0"/>
                <w:sz w:val="24"/>
                <w:szCs w:val="24"/>
              </w:rPr>
              <w:t>100%</w:t>
            </w:r>
          </w:p>
        </w:tc>
        <w:tc>
          <w:tcPr>
            <w:tcW w:w="1559" w:type="dxa"/>
          </w:tcPr>
          <w:p w:rsidR="00391D8A" w:rsidRPr="005A1359" w:rsidRDefault="00391D8A" w:rsidP="00391D8A">
            <w:pPr>
              <w:bidi w:val="0"/>
              <w:spacing w:after="0"/>
              <w:jc w:val="center"/>
              <w:rPr>
                <w:rFonts w:ascii="Times New Roman" w:hAnsi="Times New Roman" w:cs="Times New Roman"/>
                <w:b w:val="0"/>
                <w:bCs w:val="0"/>
                <w:sz w:val="24"/>
                <w:szCs w:val="24"/>
              </w:rPr>
            </w:pPr>
            <w:r w:rsidRPr="005A1359">
              <w:rPr>
                <w:rFonts w:ascii="Times New Roman" w:hAnsi="Times New Roman" w:cs="Times New Roman"/>
                <w:b w:val="0"/>
                <w:bCs w:val="0"/>
                <w:sz w:val="24"/>
                <w:szCs w:val="24"/>
              </w:rPr>
              <w:t>0</w:t>
            </w:r>
          </w:p>
        </w:tc>
      </w:tr>
      <w:tr w:rsidR="00391D8A" w:rsidTr="0041730B">
        <w:tc>
          <w:tcPr>
            <w:tcW w:w="851" w:type="dxa"/>
          </w:tcPr>
          <w:p w:rsidR="00391D8A" w:rsidRPr="005A1359" w:rsidRDefault="00391D8A" w:rsidP="00391D8A">
            <w:pPr>
              <w:bidi w:val="0"/>
              <w:spacing w:after="0"/>
              <w:jc w:val="center"/>
              <w:rPr>
                <w:rFonts w:ascii="Times New Roman" w:hAnsi="Times New Roman" w:cs="Times New Roman"/>
                <w:b w:val="0"/>
                <w:bCs w:val="0"/>
                <w:sz w:val="24"/>
                <w:szCs w:val="24"/>
              </w:rPr>
            </w:pPr>
            <w:r w:rsidRPr="005A1359">
              <w:rPr>
                <w:rFonts w:ascii="Times New Roman" w:hAnsi="Times New Roman" w:cs="Times New Roman"/>
                <w:b w:val="0"/>
                <w:bCs w:val="0"/>
                <w:sz w:val="24"/>
                <w:szCs w:val="24"/>
              </w:rPr>
              <w:t>2.8.7</w:t>
            </w:r>
          </w:p>
        </w:tc>
        <w:tc>
          <w:tcPr>
            <w:tcW w:w="5528" w:type="dxa"/>
          </w:tcPr>
          <w:p w:rsidR="00391D8A" w:rsidRPr="005A1359" w:rsidRDefault="005A1359" w:rsidP="005A1359">
            <w:pPr>
              <w:bidi w:val="0"/>
              <w:spacing w:after="0"/>
              <w:ind w:left="608"/>
              <w:jc w:val="left"/>
              <w:rPr>
                <w:rFonts w:ascii="Times New Roman" w:hAnsi="Times New Roman" w:cs="Times New Roman"/>
                <w:b w:val="0"/>
                <w:bCs w:val="0"/>
                <w:color w:val="202124"/>
                <w:sz w:val="24"/>
                <w:szCs w:val="24"/>
                <w:lang w:val="en"/>
              </w:rPr>
            </w:pPr>
            <w:r w:rsidRPr="005A1359">
              <w:rPr>
                <w:rFonts w:ascii="Times New Roman" w:hAnsi="Times New Roman" w:cs="Times New Roman"/>
                <w:b w:val="0"/>
                <w:bCs w:val="0"/>
                <w:color w:val="202124"/>
                <w:sz w:val="24"/>
                <w:szCs w:val="24"/>
                <w:lang w:val="en"/>
              </w:rPr>
              <w:t>Liquidity facility</w:t>
            </w:r>
          </w:p>
        </w:tc>
        <w:tc>
          <w:tcPr>
            <w:tcW w:w="1276" w:type="dxa"/>
          </w:tcPr>
          <w:p w:rsidR="00391D8A" w:rsidRPr="005A1359" w:rsidRDefault="00391D8A" w:rsidP="00391D8A">
            <w:pPr>
              <w:bidi w:val="0"/>
              <w:spacing w:after="0"/>
              <w:jc w:val="center"/>
              <w:rPr>
                <w:rFonts w:ascii="Times New Roman" w:hAnsi="Times New Roman" w:cs="Times New Roman"/>
                <w:b w:val="0"/>
                <w:bCs w:val="0"/>
                <w:sz w:val="24"/>
                <w:szCs w:val="24"/>
              </w:rPr>
            </w:pPr>
          </w:p>
        </w:tc>
        <w:tc>
          <w:tcPr>
            <w:tcW w:w="851" w:type="dxa"/>
          </w:tcPr>
          <w:p w:rsidR="00391D8A" w:rsidRPr="005A1359" w:rsidRDefault="00391D8A" w:rsidP="00391D8A">
            <w:pPr>
              <w:bidi w:val="0"/>
              <w:spacing w:after="0"/>
              <w:jc w:val="center"/>
              <w:rPr>
                <w:rFonts w:ascii="Times New Roman" w:hAnsi="Times New Roman" w:cs="Times New Roman"/>
                <w:b w:val="0"/>
                <w:bCs w:val="0"/>
                <w:sz w:val="24"/>
                <w:szCs w:val="24"/>
              </w:rPr>
            </w:pPr>
            <w:r w:rsidRPr="005A1359">
              <w:rPr>
                <w:rFonts w:ascii="Times New Roman" w:hAnsi="Times New Roman" w:cs="Times New Roman"/>
                <w:b w:val="0"/>
                <w:bCs w:val="0"/>
                <w:sz w:val="24"/>
                <w:szCs w:val="24"/>
              </w:rPr>
              <w:t>100%</w:t>
            </w:r>
          </w:p>
        </w:tc>
        <w:tc>
          <w:tcPr>
            <w:tcW w:w="1559" w:type="dxa"/>
          </w:tcPr>
          <w:p w:rsidR="00391D8A" w:rsidRPr="005A1359" w:rsidRDefault="00391D8A" w:rsidP="00391D8A">
            <w:pPr>
              <w:bidi w:val="0"/>
              <w:spacing w:after="0"/>
              <w:jc w:val="center"/>
              <w:rPr>
                <w:rFonts w:ascii="Times New Roman" w:hAnsi="Times New Roman" w:cs="Times New Roman"/>
                <w:b w:val="0"/>
                <w:bCs w:val="0"/>
                <w:sz w:val="24"/>
                <w:szCs w:val="24"/>
              </w:rPr>
            </w:pPr>
            <w:r w:rsidRPr="005A1359">
              <w:rPr>
                <w:rFonts w:ascii="Times New Roman" w:hAnsi="Times New Roman" w:cs="Times New Roman"/>
                <w:b w:val="0"/>
                <w:bCs w:val="0"/>
                <w:sz w:val="24"/>
                <w:szCs w:val="24"/>
              </w:rPr>
              <w:t>0</w:t>
            </w:r>
          </w:p>
        </w:tc>
      </w:tr>
      <w:tr w:rsidR="00391D8A" w:rsidTr="0041730B">
        <w:tc>
          <w:tcPr>
            <w:tcW w:w="851" w:type="dxa"/>
          </w:tcPr>
          <w:p w:rsidR="00391D8A" w:rsidRPr="005A1359" w:rsidRDefault="00391D8A" w:rsidP="00391D8A">
            <w:pPr>
              <w:bidi w:val="0"/>
              <w:spacing w:after="0"/>
              <w:jc w:val="center"/>
              <w:rPr>
                <w:rFonts w:ascii="Times New Roman" w:hAnsi="Times New Roman" w:cs="Times New Roman"/>
                <w:b w:val="0"/>
                <w:bCs w:val="0"/>
                <w:sz w:val="24"/>
                <w:szCs w:val="24"/>
              </w:rPr>
            </w:pPr>
            <w:r w:rsidRPr="005A1359">
              <w:rPr>
                <w:rFonts w:ascii="Times New Roman" w:hAnsi="Times New Roman" w:cs="Times New Roman"/>
                <w:b w:val="0"/>
                <w:bCs w:val="0"/>
                <w:sz w:val="24"/>
                <w:szCs w:val="24"/>
              </w:rPr>
              <w:t>2.8.8</w:t>
            </w:r>
          </w:p>
        </w:tc>
        <w:tc>
          <w:tcPr>
            <w:tcW w:w="5528" w:type="dxa"/>
          </w:tcPr>
          <w:p w:rsidR="00391D8A" w:rsidRPr="005A1359" w:rsidRDefault="005A1359" w:rsidP="005A1359">
            <w:pPr>
              <w:bidi w:val="0"/>
              <w:spacing w:after="0"/>
              <w:ind w:left="608"/>
              <w:jc w:val="left"/>
              <w:rPr>
                <w:rFonts w:ascii="Times New Roman" w:hAnsi="Times New Roman" w:cs="Times New Roman"/>
                <w:b w:val="0"/>
                <w:bCs w:val="0"/>
                <w:color w:val="202124"/>
                <w:sz w:val="24"/>
                <w:szCs w:val="24"/>
                <w:lang w:val="en"/>
              </w:rPr>
            </w:pPr>
            <w:r w:rsidRPr="005A1359">
              <w:rPr>
                <w:rFonts w:ascii="Times New Roman" w:hAnsi="Times New Roman" w:cs="Times New Roman"/>
                <w:b w:val="0"/>
                <w:bCs w:val="0"/>
                <w:color w:val="202124"/>
                <w:sz w:val="24"/>
                <w:szCs w:val="24"/>
                <w:lang w:val="en"/>
              </w:rPr>
              <w:t>Any other obligations</w:t>
            </w:r>
          </w:p>
        </w:tc>
        <w:tc>
          <w:tcPr>
            <w:tcW w:w="1276" w:type="dxa"/>
          </w:tcPr>
          <w:p w:rsidR="00391D8A" w:rsidRPr="005A1359" w:rsidRDefault="00391D8A" w:rsidP="00391D8A">
            <w:pPr>
              <w:bidi w:val="0"/>
              <w:spacing w:after="0"/>
              <w:jc w:val="center"/>
              <w:rPr>
                <w:rFonts w:ascii="Times New Roman" w:hAnsi="Times New Roman" w:cs="Times New Roman"/>
                <w:b w:val="0"/>
                <w:bCs w:val="0"/>
                <w:sz w:val="24"/>
                <w:szCs w:val="24"/>
              </w:rPr>
            </w:pPr>
          </w:p>
        </w:tc>
        <w:tc>
          <w:tcPr>
            <w:tcW w:w="851" w:type="dxa"/>
          </w:tcPr>
          <w:p w:rsidR="00391D8A" w:rsidRPr="005A1359" w:rsidRDefault="00391D8A" w:rsidP="00391D8A">
            <w:pPr>
              <w:bidi w:val="0"/>
              <w:spacing w:after="0"/>
              <w:jc w:val="center"/>
              <w:rPr>
                <w:rFonts w:ascii="Times New Roman" w:hAnsi="Times New Roman" w:cs="Times New Roman"/>
                <w:b w:val="0"/>
                <w:bCs w:val="0"/>
                <w:sz w:val="24"/>
                <w:szCs w:val="24"/>
              </w:rPr>
            </w:pPr>
            <w:r w:rsidRPr="005A1359">
              <w:rPr>
                <w:rFonts w:ascii="Times New Roman" w:hAnsi="Times New Roman" w:cs="Times New Roman"/>
                <w:b w:val="0"/>
                <w:bCs w:val="0"/>
                <w:sz w:val="24"/>
                <w:szCs w:val="24"/>
              </w:rPr>
              <w:t>100%</w:t>
            </w:r>
          </w:p>
        </w:tc>
        <w:tc>
          <w:tcPr>
            <w:tcW w:w="1559" w:type="dxa"/>
          </w:tcPr>
          <w:p w:rsidR="00391D8A" w:rsidRPr="005A1359" w:rsidRDefault="00391D8A" w:rsidP="00391D8A">
            <w:pPr>
              <w:bidi w:val="0"/>
              <w:spacing w:after="0"/>
              <w:jc w:val="center"/>
              <w:rPr>
                <w:rFonts w:ascii="Times New Roman" w:hAnsi="Times New Roman" w:cs="Times New Roman"/>
                <w:b w:val="0"/>
                <w:bCs w:val="0"/>
                <w:sz w:val="24"/>
                <w:szCs w:val="24"/>
              </w:rPr>
            </w:pPr>
            <w:r w:rsidRPr="005A1359">
              <w:rPr>
                <w:rFonts w:ascii="Times New Roman" w:hAnsi="Times New Roman" w:cs="Times New Roman"/>
                <w:b w:val="0"/>
                <w:bCs w:val="0"/>
                <w:sz w:val="24"/>
                <w:szCs w:val="24"/>
              </w:rPr>
              <w:t>0</w:t>
            </w:r>
          </w:p>
        </w:tc>
      </w:tr>
      <w:tr w:rsidR="005A1359" w:rsidTr="0041730B">
        <w:tc>
          <w:tcPr>
            <w:tcW w:w="851" w:type="dxa"/>
          </w:tcPr>
          <w:p w:rsidR="005A1359" w:rsidRPr="005A1359" w:rsidRDefault="005A1359" w:rsidP="00391D8A">
            <w:pPr>
              <w:bidi w:val="0"/>
              <w:spacing w:after="0"/>
              <w:jc w:val="center"/>
              <w:rPr>
                <w:rFonts w:ascii="Times New Roman" w:hAnsi="Times New Roman" w:cs="Times New Roman"/>
                <w:b w:val="0"/>
                <w:bCs w:val="0"/>
                <w:sz w:val="24"/>
                <w:szCs w:val="24"/>
              </w:rPr>
            </w:pPr>
            <w:r>
              <w:rPr>
                <w:rFonts w:ascii="Times New Roman" w:hAnsi="Times New Roman" w:cs="Times New Roman"/>
                <w:b w:val="0"/>
                <w:bCs w:val="0"/>
                <w:sz w:val="24"/>
                <w:szCs w:val="24"/>
              </w:rPr>
              <w:t>2.9</w:t>
            </w:r>
          </w:p>
        </w:tc>
        <w:tc>
          <w:tcPr>
            <w:tcW w:w="5528" w:type="dxa"/>
          </w:tcPr>
          <w:p w:rsidR="005A1359" w:rsidRPr="005A1359" w:rsidRDefault="005A1359" w:rsidP="005A1359">
            <w:pPr>
              <w:bidi w:val="0"/>
              <w:spacing w:after="0"/>
              <w:ind w:left="608" w:hanging="567"/>
              <w:jc w:val="left"/>
              <w:rPr>
                <w:rFonts w:ascii="Times New Roman" w:hAnsi="Times New Roman" w:cs="Times New Roman"/>
                <w:color w:val="202124"/>
                <w:sz w:val="24"/>
                <w:szCs w:val="24"/>
                <w:lang w:val="en"/>
              </w:rPr>
            </w:pPr>
            <w:r w:rsidRPr="005A1359">
              <w:rPr>
                <w:rFonts w:ascii="Times New Roman" w:hAnsi="Times New Roman" w:cs="Times New Roman"/>
                <w:color w:val="202124"/>
                <w:sz w:val="24"/>
                <w:szCs w:val="24"/>
                <w:lang w:val="en"/>
              </w:rPr>
              <w:t xml:space="preserve">Cancelable obligations </w:t>
            </w:r>
            <w:r w:rsidRPr="005A1359">
              <w:rPr>
                <w:rFonts w:ascii="Times New Roman" w:hAnsi="Times New Roman" w:cs="Times New Roman"/>
                <w:color w:val="202124"/>
                <w:sz w:val="24"/>
                <w:szCs w:val="24"/>
                <w:vertAlign w:val="superscript"/>
                <w:lang w:val="en"/>
              </w:rPr>
              <w:t>7</w:t>
            </w:r>
          </w:p>
        </w:tc>
        <w:tc>
          <w:tcPr>
            <w:tcW w:w="1276" w:type="dxa"/>
          </w:tcPr>
          <w:p w:rsidR="005A1359" w:rsidRPr="005A1359" w:rsidRDefault="005A1359" w:rsidP="00391D8A">
            <w:pPr>
              <w:bidi w:val="0"/>
              <w:spacing w:after="0"/>
              <w:jc w:val="center"/>
              <w:rPr>
                <w:rFonts w:ascii="Times New Roman" w:hAnsi="Times New Roman" w:cs="Times New Roman"/>
                <w:b w:val="0"/>
                <w:bCs w:val="0"/>
                <w:sz w:val="24"/>
                <w:szCs w:val="24"/>
              </w:rPr>
            </w:pPr>
          </w:p>
        </w:tc>
        <w:tc>
          <w:tcPr>
            <w:tcW w:w="851" w:type="dxa"/>
          </w:tcPr>
          <w:p w:rsidR="005A1359" w:rsidRPr="005A1359" w:rsidRDefault="005A1359" w:rsidP="00391D8A">
            <w:pPr>
              <w:bidi w:val="0"/>
              <w:spacing w:after="0"/>
              <w:jc w:val="center"/>
              <w:rPr>
                <w:rFonts w:ascii="Times New Roman" w:hAnsi="Times New Roman" w:cs="Times New Roman"/>
                <w:b w:val="0"/>
                <w:bCs w:val="0"/>
                <w:sz w:val="24"/>
                <w:szCs w:val="24"/>
              </w:rPr>
            </w:pPr>
          </w:p>
        </w:tc>
        <w:tc>
          <w:tcPr>
            <w:tcW w:w="1559" w:type="dxa"/>
          </w:tcPr>
          <w:p w:rsidR="005A1359" w:rsidRPr="005A1359" w:rsidRDefault="005A1359" w:rsidP="00391D8A">
            <w:pPr>
              <w:bidi w:val="0"/>
              <w:spacing w:after="0"/>
              <w:jc w:val="center"/>
              <w:rPr>
                <w:rFonts w:ascii="Times New Roman" w:hAnsi="Times New Roman" w:cs="Times New Roman"/>
                <w:b w:val="0"/>
                <w:bCs w:val="0"/>
                <w:sz w:val="24"/>
                <w:szCs w:val="24"/>
              </w:rPr>
            </w:pPr>
          </w:p>
        </w:tc>
      </w:tr>
      <w:tr w:rsidR="005A1359" w:rsidTr="0041730B">
        <w:tc>
          <w:tcPr>
            <w:tcW w:w="851" w:type="dxa"/>
          </w:tcPr>
          <w:p w:rsidR="005A1359" w:rsidRPr="005A1359" w:rsidRDefault="005A1359" w:rsidP="005A1359">
            <w:pPr>
              <w:bidi w:val="0"/>
              <w:spacing w:after="0"/>
              <w:jc w:val="center"/>
              <w:rPr>
                <w:rFonts w:ascii="Times New Roman" w:hAnsi="Times New Roman" w:cs="Times New Roman"/>
                <w:b w:val="0"/>
                <w:bCs w:val="0"/>
                <w:sz w:val="24"/>
                <w:szCs w:val="24"/>
              </w:rPr>
            </w:pPr>
            <w:r>
              <w:rPr>
                <w:rFonts w:ascii="Times New Roman" w:hAnsi="Times New Roman" w:cs="Times New Roman"/>
                <w:b w:val="0"/>
                <w:bCs w:val="0"/>
                <w:sz w:val="24"/>
                <w:szCs w:val="24"/>
              </w:rPr>
              <w:t>2.9.1</w:t>
            </w:r>
          </w:p>
        </w:tc>
        <w:tc>
          <w:tcPr>
            <w:tcW w:w="5528" w:type="dxa"/>
          </w:tcPr>
          <w:p w:rsidR="005A1359" w:rsidRPr="005A1359" w:rsidRDefault="005A1359" w:rsidP="005A1359">
            <w:pPr>
              <w:bidi w:val="0"/>
              <w:spacing w:after="0"/>
              <w:ind w:left="608"/>
              <w:jc w:val="left"/>
              <w:rPr>
                <w:rFonts w:ascii="Times New Roman" w:hAnsi="Times New Roman" w:cs="Times New Roman"/>
                <w:b w:val="0"/>
                <w:bCs w:val="0"/>
                <w:color w:val="202124"/>
                <w:sz w:val="24"/>
                <w:szCs w:val="24"/>
                <w:lang w:val="en"/>
              </w:rPr>
            </w:pPr>
            <w:r w:rsidRPr="005A1359">
              <w:rPr>
                <w:rFonts w:ascii="Times New Roman" w:hAnsi="Times New Roman" w:cs="Times New Roman"/>
                <w:b w:val="0"/>
                <w:bCs w:val="0"/>
                <w:color w:val="202124"/>
                <w:sz w:val="24"/>
                <w:szCs w:val="24"/>
                <w:lang w:val="en"/>
              </w:rPr>
              <w:t>Guarantees</w:t>
            </w:r>
          </w:p>
        </w:tc>
        <w:tc>
          <w:tcPr>
            <w:tcW w:w="1276" w:type="dxa"/>
          </w:tcPr>
          <w:p w:rsidR="005A1359" w:rsidRPr="005A1359" w:rsidRDefault="005A1359" w:rsidP="005A1359">
            <w:pPr>
              <w:bidi w:val="0"/>
              <w:spacing w:after="0"/>
              <w:jc w:val="center"/>
              <w:rPr>
                <w:rFonts w:ascii="Times New Roman" w:hAnsi="Times New Roman" w:cs="Times New Roman"/>
                <w:b w:val="0"/>
                <w:bCs w:val="0"/>
                <w:sz w:val="24"/>
                <w:szCs w:val="24"/>
              </w:rPr>
            </w:pPr>
          </w:p>
        </w:tc>
        <w:tc>
          <w:tcPr>
            <w:tcW w:w="851" w:type="dxa"/>
          </w:tcPr>
          <w:p w:rsidR="005A1359" w:rsidRPr="005A1359" w:rsidRDefault="005A1359" w:rsidP="005A1359">
            <w:pPr>
              <w:bidi w:val="0"/>
              <w:spacing w:after="0"/>
              <w:jc w:val="center"/>
              <w:rPr>
                <w:rFonts w:ascii="Times New Roman" w:hAnsi="Times New Roman" w:cs="Times New Roman"/>
                <w:b w:val="0"/>
                <w:bCs w:val="0"/>
                <w:sz w:val="24"/>
                <w:szCs w:val="24"/>
              </w:rPr>
            </w:pPr>
            <w:r>
              <w:rPr>
                <w:rFonts w:ascii="Times New Roman" w:hAnsi="Times New Roman" w:cs="Times New Roman"/>
                <w:b w:val="0"/>
                <w:bCs w:val="0"/>
                <w:sz w:val="24"/>
                <w:szCs w:val="24"/>
              </w:rPr>
              <w:t>10%</w:t>
            </w:r>
          </w:p>
        </w:tc>
        <w:tc>
          <w:tcPr>
            <w:tcW w:w="1559" w:type="dxa"/>
          </w:tcPr>
          <w:p w:rsidR="005A1359" w:rsidRPr="005A1359" w:rsidRDefault="005A1359" w:rsidP="005A1359">
            <w:pPr>
              <w:bidi w:val="0"/>
              <w:spacing w:after="0"/>
              <w:jc w:val="center"/>
              <w:rPr>
                <w:rFonts w:ascii="Times New Roman" w:hAnsi="Times New Roman" w:cs="Times New Roman"/>
                <w:b w:val="0"/>
                <w:bCs w:val="0"/>
                <w:sz w:val="24"/>
                <w:szCs w:val="24"/>
              </w:rPr>
            </w:pPr>
            <w:r>
              <w:rPr>
                <w:rFonts w:ascii="Times New Roman" w:hAnsi="Times New Roman" w:cs="Times New Roman"/>
                <w:b w:val="0"/>
                <w:bCs w:val="0"/>
                <w:sz w:val="24"/>
                <w:szCs w:val="24"/>
              </w:rPr>
              <w:t>0</w:t>
            </w:r>
          </w:p>
        </w:tc>
      </w:tr>
      <w:tr w:rsidR="005A1359" w:rsidTr="0041730B">
        <w:tc>
          <w:tcPr>
            <w:tcW w:w="851" w:type="dxa"/>
          </w:tcPr>
          <w:p w:rsidR="005A1359" w:rsidRPr="005A1359" w:rsidRDefault="005A1359" w:rsidP="005A1359">
            <w:pPr>
              <w:bidi w:val="0"/>
              <w:spacing w:after="0"/>
              <w:jc w:val="center"/>
              <w:rPr>
                <w:rFonts w:ascii="Times New Roman" w:hAnsi="Times New Roman" w:cs="Times New Roman"/>
                <w:b w:val="0"/>
                <w:bCs w:val="0"/>
                <w:sz w:val="24"/>
                <w:szCs w:val="24"/>
              </w:rPr>
            </w:pPr>
            <w:r>
              <w:rPr>
                <w:rFonts w:ascii="Times New Roman" w:hAnsi="Times New Roman" w:cs="Times New Roman"/>
                <w:b w:val="0"/>
                <w:bCs w:val="0"/>
                <w:sz w:val="24"/>
                <w:szCs w:val="24"/>
              </w:rPr>
              <w:t>2.9.2</w:t>
            </w:r>
          </w:p>
        </w:tc>
        <w:tc>
          <w:tcPr>
            <w:tcW w:w="5528" w:type="dxa"/>
          </w:tcPr>
          <w:p w:rsidR="005A1359" w:rsidRPr="005A1359" w:rsidRDefault="005A1359" w:rsidP="005A1359">
            <w:pPr>
              <w:bidi w:val="0"/>
              <w:spacing w:after="0"/>
              <w:ind w:left="608"/>
              <w:jc w:val="left"/>
              <w:rPr>
                <w:rFonts w:ascii="Times New Roman" w:hAnsi="Times New Roman" w:cs="Times New Roman"/>
                <w:b w:val="0"/>
                <w:bCs w:val="0"/>
                <w:color w:val="202124"/>
                <w:sz w:val="24"/>
                <w:szCs w:val="24"/>
                <w:lang w:bidi="ar-JO"/>
              </w:rPr>
            </w:pPr>
            <w:r w:rsidRPr="005A1359">
              <w:rPr>
                <w:rFonts w:ascii="Times New Roman" w:eastAsiaTheme="minorHAnsi" w:hAnsi="Times New Roman" w:cs="Times New Roman"/>
                <w:b w:val="0"/>
                <w:bCs w:val="0"/>
                <w:sz w:val="24"/>
                <w:szCs w:val="24"/>
              </w:rPr>
              <w:t>Letters of credit</w:t>
            </w:r>
          </w:p>
        </w:tc>
        <w:tc>
          <w:tcPr>
            <w:tcW w:w="1276" w:type="dxa"/>
          </w:tcPr>
          <w:p w:rsidR="005A1359" w:rsidRPr="005A1359" w:rsidRDefault="005A1359" w:rsidP="005A1359">
            <w:pPr>
              <w:bidi w:val="0"/>
              <w:spacing w:after="0"/>
              <w:jc w:val="center"/>
              <w:rPr>
                <w:rFonts w:ascii="Times New Roman" w:hAnsi="Times New Roman" w:cs="Times New Roman"/>
                <w:b w:val="0"/>
                <w:bCs w:val="0"/>
                <w:sz w:val="24"/>
                <w:szCs w:val="24"/>
              </w:rPr>
            </w:pPr>
          </w:p>
        </w:tc>
        <w:tc>
          <w:tcPr>
            <w:tcW w:w="851" w:type="dxa"/>
          </w:tcPr>
          <w:p w:rsidR="005A1359" w:rsidRPr="005A1359" w:rsidRDefault="005A1359" w:rsidP="005A1359">
            <w:pPr>
              <w:bidi w:val="0"/>
              <w:spacing w:after="0"/>
              <w:jc w:val="center"/>
              <w:rPr>
                <w:rFonts w:ascii="Times New Roman" w:hAnsi="Times New Roman" w:cs="Times New Roman"/>
                <w:b w:val="0"/>
                <w:bCs w:val="0"/>
                <w:sz w:val="24"/>
                <w:szCs w:val="24"/>
              </w:rPr>
            </w:pPr>
            <w:r>
              <w:rPr>
                <w:rFonts w:ascii="Times New Roman" w:hAnsi="Times New Roman" w:cs="Times New Roman"/>
                <w:b w:val="0"/>
                <w:bCs w:val="0"/>
                <w:sz w:val="24"/>
                <w:szCs w:val="24"/>
              </w:rPr>
              <w:t>10%</w:t>
            </w:r>
          </w:p>
        </w:tc>
        <w:tc>
          <w:tcPr>
            <w:tcW w:w="1559" w:type="dxa"/>
          </w:tcPr>
          <w:p w:rsidR="005A1359" w:rsidRPr="005A1359" w:rsidRDefault="005A1359" w:rsidP="005A1359">
            <w:pPr>
              <w:bidi w:val="0"/>
              <w:spacing w:after="0"/>
              <w:jc w:val="center"/>
              <w:rPr>
                <w:rFonts w:ascii="Times New Roman" w:hAnsi="Times New Roman" w:cs="Times New Roman"/>
                <w:b w:val="0"/>
                <w:bCs w:val="0"/>
                <w:sz w:val="24"/>
                <w:szCs w:val="24"/>
              </w:rPr>
            </w:pPr>
            <w:r>
              <w:rPr>
                <w:rFonts w:ascii="Times New Roman" w:hAnsi="Times New Roman" w:cs="Times New Roman"/>
                <w:b w:val="0"/>
                <w:bCs w:val="0"/>
                <w:sz w:val="24"/>
                <w:szCs w:val="24"/>
              </w:rPr>
              <w:t>0</w:t>
            </w:r>
          </w:p>
        </w:tc>
      </w:tr>
      <w:tr w:rsidR="005A1359" w:rsidTr="0041730B">
        <w:tc>
          <w:tcPr>
            <w:tcW w:w="851" w:type="dxa"/>
          </w:tcPr>
          <w:p w:rsidR="005A1359" w:rsidRPr="005A1359" w:rsidRDefault="005A1359" w:rsidP="005A1359">
            <w:pPr>
              <w:bidi w:val="0"/>
              <w:spacing w:after="0"/>
              <w:jc w:val="center"/>
              <w:rPr>
                <w:rFonts w:ascii="Times New Roman" w:hAnsi="Times New Roman" w:cs="Times New Roman"/>
                <w:b w:val="0"/>
                <w:bCs w:val="0"/>
                <w:sz w:val="24"/>
                <w:szCs w:val="24"/>
              </w:rPr>
            </w:pPr>
            <w:r>
              <w:rPr>
                <w:rFonts w:ascii="Times New Roman" w:hAnsi="Times New Roman" w:cs="Times New Roman"/>
                <w:b w:val="0"/>
                <w:bCs w:val="0"/>
                <w:sz w:val="24"/>
                <w:szCs w:val="24"/>
              </w:rPr>
              <w:t>2.9.3</w:t>
            </w:r>
          </w:p>
        </w:tc>
        <w:tc>
          <w:tcPr>
            <w:tcW w:w="5528" w:type="dxa"/>
          </w:tcPr>
          <w:p w:rsidR="005A1359" w:rsidRPr="005A1359" w:rsidRDefault="00563636" w:rsidP="005A1359">
            <w:pPr>
              <w:bidi w:val="0"/>
              <w:spacing w:after="0"/>
              <w:ind w:left="608"/>
              <w:jc w:val="left"/>
              <w:rPr>
                <w:rFonts w:ascii="Times New Roman" w:hAnsi="Times New Roman" w:cs="Times New Roman"/>
                <w:b w:val="0"/>
                <w:bCs w:val="0"/>
                <w:color w:val="202124"/>
                <w:sz w:val="24"/>
                <w:szCs w:val="24"/>
                <w:lang w:val="en"/>
              </w:rPr>
            </w:pPr>
            <w:r>
              <w:rPr>
                <w:rFonts w:ascii="Times New Roman" w:eastAsia="Times New Roman" w:hAnsi="Times New Roman" w:cs="Times New Roman"/>
                <w:b w:val="0"/>
                <w:bCs w:val="0"/>
                <w:color w:val="000000"/>
                <w:sz w:val="24"/>
                <w:szCs w:val="24"/>
              </w:rPr>
              <w:t>Sight letters of credit</w:t>
            </w:r>
          </w:p>
        </w:tc>
        <w:tc>
          <w:tcPr>
            <w:tcW w:w="1276" w:type="dxa"/>
          </w:tcPr>
          <w:p w:rsidR="005A1359" w:rsidRPr="005A1359" w:rsidRDefault="005A1359" w:rsidP="005A1359">
            <w:pPr>
              <w:bidi w:val="0"/>
              <w:spacing w:after="0"/>
              <w:jc w:val="center"/>
              <w:rPr>
                <w:rFonts w:ascii="Times New Roman" w:hAnsi="Times New Roman" w:cs="Times New Roman"/>
                <w:b w:val="0"/>
                <w:bCs w:val="0"/>
                <w:sz w:val="24"/>
                <w:szCs w:val="24"/>
              </w:rPr>
            </w:pPr>
          </w:p>
        </w:tc>
        <w:tc>
          <w:tcPr>
            <w:tcW w:w="851" w:type="dxa"/>
          </w:tcPr>
          <w:p w:rsidR="005A1359" w:rsidRPr="005A1359" w:rsidRDefault="005A1359" w:rsidP="005A1359">
            <w:pPr>
              <w:bidi w:val="0"/>
              <w:spacing w:after="0"/>
              <w:jc w:val="center"/>
              <w:rPr>
                <w:rFonts w:ascii="Times New Roman" w:hAnsi="Times New Roman" w:cs="Times New Roman"/>
                <w:b w:val="0"/>
                <w:bCs w:val="0"/>
                <w:sz w:val="24"/>
                <w:szCs w:val="24"/>
              </w:rPr>
            </w:pPr>
            <w:r>
              <w:rPr>
                <w:rFonts w:ascii="Times New Roman" w:hAnsi="Times New Roman" w:cs="Times New Roman"/>
                <w:b w:val="0"/>
                <w:bCs w:val="0"/>
                <w:sz w:val="24"/>
                <w:szCs w:val="24"/>
              </w:rPr>
              <w:t>10%</w:t>
            </w:r>
          </w:p>
        </w:tc>
        <w:tc>
          <w:tcPr>
            <w:tcW w:w="1559" w:type="dxa"/>
          </w:tcPr>
          <w:p w:rsidR="005A1359" w:rsidRPr="005A1359" w:rsidRDefault="005A1359" w:rsidP="005A1359">
            <w:pPr>
              <w:bidi w:val="0"/>
              <w:spacing w:after="0"/>
              <w:jc w:val="center"/>
              <w:rPr>
                <w:rFonts w:ascii="Times New Roman" w:hAnsi="Times New Roman" w:cs="Times New Roman"/>
                <w:b w:val="0"/>
                <w:bCs w:val="0"/>
                <w:sz w:val="24"/>
                <w:szCs w:val="24"/>
              </w:rPr>
            </w:pPr>
            <w:r>
              <w:rPr>
                <w:rFonts w:ascii="Times New Roman" w:hAnsi="Times New Roman" w:cs="Times New Roman"/>
                <w:b w:val="0"/>
                <w:bCs w:val="0"/>
                <w:sz w:val="24"/>
                <w:szCs w:val="24"/>
              </w:rPr>
              <w:t>0</w:t>
            </w:r>
          </w:p>
        </w:tc>
      </w:tr>
      <w:tr w:rsidR="005A1359" w:rsidTr="0041730B">
        <w:tc>
          <w:tcPr>
            <w:tcW w:w="851" w:type="dxa"/>
          </w:tcPr>
          <w:p w:rsidR="005A1359" w:rsidRPr="005A1359" w:rsidRDefault="005A1359" w:rsidP="005A1359">
            <w:pPr>
              <w:bidi w:val="0"/>
              <w:spacing w:after="0"/>
              <w:jc w:val="center"/>
              <w:rPr>
                <w:rFonts w:ascii="Times New Roman" w:hAnsi="Times New Roman" w:cs="Times New Roman"/>
                <w:b w:val="0"/>
                <w:bCs w:val="0"/>
                <w:sz w:val="24"/>
                <w:szCs w:val="24"/>
              </w:rPr>
            </w:pPr>
            <w:r>
              <w:rPr>
                <w:rFonts w:ascii="Times New Roman" w:hAnsi="Times New Roman" w:cs="Times New Roman"/>
                <w:b w:val="0"/>
                <w:bCs w:val="0"/>
                <w:sz w:val="24"/>
                <w:szCs w:val="24"/>
              </w:rPr>
              <w:t>2.9.4</w:t>
            </w:r>
          </w:p>
        </w:tc>
        <w:tc>
          <w:tcPr>
            <w:tcW w:w="5528" w:type="dxa"/>
          </w:tcPr>
          <w:p w:rsidR="005A1359" w:rsidRPr="005A1359" w:rsidRDefault="005A1359" w:rsidP="005A1359">
            <w:pPr>
              <w:bidi w:val="0"/>
              <w:spacing w:after="0"/>
              <w:ind w:left="608"/>
              <w:jc w:val="left"/>
              <w:rPr>
                <w:rFonts w:ascii="Times New Roman" w:hAnsi="Times New Roman" w:cs="Times New Roman"/>
                <w:b w:val="0"/>
                <w:bCs w:val="0"/>
                <w:color w:val="202124"/>
                <w:sz w:val="24"/>
                <w:szCs w:val="24"/>
                <w:lang w:val="en"/>
              </w:rPr>
            </w:pPr>
            <w:r w:rsidRPr="005A1359">
              <w:rPr>
                <w:rFonts w:ascii="Times New Roman" w:hAnsi="Times New Roman" w:cs="Times New Roman"/>
                <w:b w:val="0"/>
                <w:bCs w:val="0"/>
                <w:color w:val="202124"/>
                <w:sz w:val="24"/>
                <w:szCs w:val="24"/>
                <w:lang w:val="en"/>
              </w:rPr>
              <w:t>Unutilized credit facilities (Non-binding credit ceilings)</w:t>
            </w:r>
          </w:p>
        </w:tc>
        <w:tc>
          <w:tcPr>
            <w:tcW w:w="1276" w:type="dxa"/>
          </w:tcPr>
          <w:p w:rsidR="005A1359" w:rsidRPr="005A1359" w:rsidRDefault="005A1359" w:rsidP="005A1359">
            <w:pPr>
              <w:bidi w:val="0"/>
              <w:spacing w:after="0"/>
              <w:jc w:val="center"/>
              <w:rPr>
                <w:rFonts w:ascii="Times New Roman" w:hAnsi="Times New Roman" w:cs="Times New Roman"/>
                <w:b w:val="0"/>
                <w:bCs w:val="0"/>
                <w:sz w:val="24"/>
                <w:szCs w:val="24"/>
              </w:rPr>
            </w:pPr>
          </w:p>
        </w:tc>
        <w:tc>
          <w:tcPr>
            <w:tcW w:w="851" w:type="dxa"/>
          </w:tcPr>
          <w:p w:rsidR="005A1359" w:rsidRPr="005A1359" w:rsidRDefault="005A1359" w:rsidP="005A1359">
            <w:pPr>
              <w:bidi w:val="0"/>
              <w:spacing w:after="0"/>
              <w:jc w:val="center"/>
              <w:rPr>
                <w:rFonts w:ascii="Times New Roman" w:hAnsi="Times New Roman" w:cs="Times New Roman"/>
                <w:b w:val="0"/>
                <w:bCs w:val="0"/>
                <w:sz w:val="24"/>
                <w:szCs w:val="24"/>
              </w:rPr>
            </w:pPr>
            <w:r>
              <w:rPr>
                <w:rFonts w:ascii="Times New Roman" w:hAnsi="Times New Roman" w:cs="Times New Roman"/>
                <w:b w:val="0"/>
                <w:bCs w:val="0"/>
                <w:sz w:val="24"/>
                <w:szCs w:val="24"/>
              </w:rPr>
              <w:t>10%</w:t>
            </w:r>
          </w:p>
        </w:tc>
        <w:tc>
          <w:tcPr>
            <w:tcW w:w="1559" w:type="dxa"/>
          </w:tcPr>
          <w:p w:rsidR="005A1359" w:rsidRPr="005A1359" w:rsidRDefault="005A1359" w:rsidP="005A1359">
            <w:pPr>
              <w:bidi w:val="0"/>
              <w:spacing w:after="0"/>
              <w:jc w:val="center"/>
              <w:rPr>
                <w:rFonts w:ascii="Times New Roman" w:hAnsi="Times New Roman" w:cs="Times New Roman"/>
                <w:b w:val="0"/>
                <w:bCs w:val="0"/>
                <w:sz w:val="24"/>
                <w:szCs w:val="24"/>
              </w:rPr>
            </w:pPr>
            <w:r>
              <w:rPr>
                <w:rFonts w:ascii="Times New Roman" w:hAnsi="Times New Roman" w:cs="Times New Roman"/>
                <w:b w:val="0"/>
                <w:bCs w:val="0"/>
                <w:sz w:val="24"/>
                <w:szCs w:val="24"/>
              </w:rPr>
              <w:t>0</w:t>
            </w:r>
          </w:p>
        </w:tc>
      </w:tr>
      <w:tr w:rsidR="005A1359" w:rsidTr="0041730B">
        <w:tc>
          <w:tcPr>
            <w:tcW w:w="851" w:type="dxa"/>
          </w:tcPr>
          <w:p w:rsidR="005A1359" w:rsidRPr="005A1359" w:rsidRDefault="005A1359" w:rsidP="005A1359">
            <w:pPr>
              <w:bidi w:val="0"/>
              <w:spacing w:after="0"/>
              <w:jc w:val="center"/>
              <w:rPr>
                <w:rFonts w:ascii="Times New Roman" w:hAnsi="Times New Roman" w:cs="Times New Roman"/>
                <w:b w:val="0"/>
                <w:bCs w:val="0"/>
                <w:sz w:val="24"/>
                <w:szCs w:val="24"/>
              </w:rPr>
            </w:pPr>
            <w:r>
              <w:rPr>
                <w:rFonts w:ascii="Times New Roman" w:hAnsi="Times New Roman" w:cs="Times New Roman"/>
                <w:b w:val="0"/>
                <w:bCs w:val="0"/>
                <w:sz w:val="24"/>
                <w:szCs w:val="24"/>
              </w:rPr>
              <w:t>2.9.5</w:t>
            </w:r>
          </w:p>
        </w:tc>
        <w:tc>
          <w:tcPr>
            <w:tcW w:w="5528" w:type="dxa"/>
          </w:tcPr>
          <w:p w:rsidR="005A1359" w:rsidRPr="005A1359" w:rsidRDefault="005A1359" w:rsidP="005A1359">
            <w:pPr>
              <w:bidi w:val="0"/>
              <w:spacing w:after="0"/>
              <w:ind w:left="608"/>
              <w:jc w:val="left"/>
              <w:rPr>
                <w:rFonts w:ascii="Times New Roman" w:hAnsi="Times New Roman" w:cs="Times New Roman"/>
                <w:b w:val="0"/>
                <w:bCs w:val="0"/>
                <w:color w:val="202124"/>
                <w:sz w:val="24"/>
                <w:szCs w:val="24"/>
                <w:lang w:val="en"/>
              </w:rPr>
            </w:pPr>
            <w:r w:rsidRPr="005A1359">
              <w:rPr>
                <w:rFonts w:ascii="Times New Roman" w:hAnsi="Times New Roman" w:cs="Times New Roman"/>
                <w:b w:val="0"/>
                <w:bCs w:val="0"/>
                <w:color w:val="202124"/>
                <w:sz w:val="24"/>
                <w:szCs w:val="24"/>
                <w:lang w:val="en"/>
              </w:rPr>
              <w:t>Liquidity facility</w:t>
            </w:r>
            <w:r>
              <w:rPr>
                <w:rFonts w:ascii="Times New Roman" w:hAnsi="Times New Roman" w:cs="Times New Roman"/>
                <w:b w:val="0"/>
                <w:bCs w:val="0"/>
                <w:color w:val="202124"/>
                <w:sz w:val="24"/>
                <w:szCs w:val="24"/>
                <w:lang w:val="en"/>
              </w:rPr>
              <w:t xml:space="preserve"> (credit lines)</w:t>
            </w:r>
          </w:p>
        </w:tc>
        <w:tc>
          <w:tcPr>
            <w:tcW w:w="1276" w:type="dxa"/>
          </w:tcPr>
          <w:p w:rsidR="005A1359" w:rsidRPr="005A1359" w:rsidRDefault="005A1359" w:rsidP="005A1359">
            <w:pPr>
              <w:bidi w:val="0"/>
              <w:spacing w:after="0"/>
              <w:jc w:val="center"/>
              <w:rPr>
                <w:rFonts w:ascii="Times New Roman" w:hAnsi="Times New Roman" w:cs="Times New Roman"/>
                <w:b w:val="0"/>
                <w:bCs w:val="0"/>
                <w:sz w:val="24"/>
                <w:szCs w:val="24"/>
              </w:rPr>
            </w:pPr>
          </w:p>
        </w:tc>
        <w:tc>
          <w:tcPr>
            <w:tcW w:w="851" w:type="dxa"/>
          </w:tcPr>
          <w:p w:rsidR="005A1359" w:rsidRPr="005A1359" w:rsidRDefault="005A1359" w:rsidP="005A1359">
            <w:pPr>
              <w:bidi w:val="0"/>
              <w:spacing w:after="0"/>
              <w:jc w:val="center"/>
              <w:rPr>
                <w:rFonts w:ascii="Times New Roman" w:hAnsi="Times New Roman" w:cs="Times New Roman"/>
                <w:b w:val="0"/>
                <w:bCs w:val="0"/>
                <w:sz w:val="24"/>
                <w:szCs w:val="24"/>
              </w:rPr>
            </w:pPr>
            <w:r>
              <w:rPr>
                <w:rFonts w:ascii="Times New Roman" w:hAnsi="Times New Roman" w:cs="Times New Roman"/>
                <w:b w:val="0"/>
                <w:bCs w:val="0"/>
                <w:sz w:val="24"/>
                <w:szCs w:val="24"/>
              </w:rPr>
              <w:t>10%</w:t>
            </w:r>
          </w:p>
        </w:tc>
        <w:tc>
          <w:tcPr>
            <w:tcW w:w="1559" w:type="dxa"/>
          </w:tcPr>
          <w:p w:rsidR="005A1359" w:rsidRPr="005A1359" w:rsidRDefault="005A1359" w:rsidP="005A1359">
            <w:pPr>
              <w:bidi w:val="0"/>
              <w:spacing w:after="0"/>
              <w:jc w:val="center"/>
              <w:rPr>
                <w:rFonts w:ascii="Times New Roman" w:hAnsi="Times New Roman" w:cs="Times New Roman"/>
                <w:b w:val="0"/>
                <w:bCs w:val="0"/>
                <w:sz w:val="24"/>
                <w:szCs w:val="24"/>
              </w:rPr>
            </w:pPr>
            <w:r>
              <w:rPr>
                <w:rFonts w:ascii="Times New Roman" w:hAnsi="Times New Roman" w:cs="Times New Roman"/>
                <w:b w:val="0"/>
                <w:bCs w:val="0"/>
                <w:sz w:val="24"/>
                <w:szCs w:val="24"/>
              </w:rPr>
              <w:t>0</w:t>
            </w:r>
          </w:p>
        </w:tc>
      </w:tr>
      <w:tr w:rsidR="005A1359" w:rsidTr="0041730B">
        <w:tc>
          <w:tcPr>
            <w:tcW w:w="851" w:type="dxa"/>
          </w:tcPr>
          <w:p w:rsidR="005A1359" w:rsidRDefault="005A1359" w:rsidP="005A1359">
            <w:pPr>
              <w:bidi w:val="0"/>
              <w:spacing w:after="0"/>
              <w:jc w:val="center"/>
              <w:rPr>
                <w:rFonts w:ascii="Times New Roman" w:hAnsi="Times New Roman" w:cs="Times New Roman"/>
                <w:b w:val="0"/>
                <w:bCs w:val="0"/>
                <w:sz w:val="24"/>
                <w:szCs w:val="24"/>
              </w:rPr>
            </w:pPr>
            <w:r>
              <w:rPr>
                <w:rFonts w:ascii="Times New Roman" w:hAnsi="Times New Roman" w:cs="Times New Roman"/>
                <w:b w:val="0"/>
                <w:bCs w:val="0"/>
                <w:sz w:val="24"/>
                <w:szCs w:val="24"/>
              </w:rPr>
              <w:t>2.9.6</w:t>
            </w:r>
          </w:p>
        </w:tc>
        <w:tc>
          <w:tcPr>
            <w:tcW w:w="5528" w:type="dxa"/>
          </w:tcPr>
          <w:p w:rsidR="005A1359" w:rsidRPr="005A1359" w:rsidRDefault="005A1359" w:rsidP="005A1359">
            <w:pPr>
              <w:bidi w:val="0"/>
              <w:spacing w:after="0"/>
              <w:ind w:left="608"/>
              <w:jc w:val="left"/>
              <w:rPr>
                <w:rFonts w:ascii="Times New Roman" w:hAnsi="Times New Roman" w:cs="Times New Roman"/>
                <w:b w:val="0"/>
                <w:bCs w:val="0"/>
                <w:color w:val="202124"/>
                <w:sz w:val="24"/>
                <w:szCs w:val="24"/>
                <w:lang w:val="en"/>
              </w:rPr>
            </w:pPr>
            <w:r>
              <w:rPr>
                <w:rFonts w:ascii="Times New Roman" w:hAnsi="Times New Roman" w:cs="Times New Roman"/>
                <w:b w:val="0"/>
                <w:bCs w:val="0"/>
                <w:color w:val="202124"/>
                <w:sz w:val="24"/>
                <w:szCs w:val="24"/>
                <w:lang w:val="en"/>
              </w:rPr>
              <w:t xml:space="preserve">Others </w:t>
            </w:r>
          </w:p>
        </w:tc>
        <w:tc>
          <w:tcPr>
            <w:tcW w:w="1276" w:type="dxa"/>
          </w:tcPr>
          <w:p w:rsidR="005A1359" w:rsidRPr="005A1359" w:rsidRDefault="005A1359" w:rsidP="005A1359">
            <w:pPr>
              <w:bidi w:val="0"/>
              <w:spacing w:after="0"/>
              <w:jc w:val="center"/>
              <w:rPr>
                <w:rFonts w:ascii="Times New Roman" w:hAnsi="Times New Roman" w:cs="Times New Roman"/>
                <w:b w:val="0"/>
                <w:bCs w:val="0"/>
                <w:sz w:val="24"/>
                <w:szCs w:val="24"/>
              </w:rPr>
            </w:pPr>
          </w:p>
        </w:tc>
        <w:tc>
          <w:tcPr>
            <w:tcW w:w="851" w:type="dxa"/>
          </w:tcPr>
          <w:p w:rsidR="005A1359" w:rsidRPr="005A1359" w:rsidRDefault="005A1359" w:rsidP="005A1359">
            <w:pPr>
              <w:bidi w:val="0"/>
              <w:spacing w:after="0"/>
              <w:jc w:val="center"/>
              <w:rPr>
                <w:rFonts w:ascii="Times New Roman" w:hAnsi="Times New Roman" w:cs="Times New Roman"/>
                <w:b w:val="0"/>
                <w:bCs w:val="0"/>
                <w:sz w:val="24"/>
                <w:szCs w:val="24"/>
              </w:rPr>
            </w:pPr>
            <w:r>
              <w:rPr>
                <w:rFonts w:ascii="Times New Roman" w:hAnsi="Times New Roman" w:cs="Times New Roman"/>
                <w:b w:val="0"/>
                <w:bCs w:val="0"/>
                <w:sz w:val="24"/>
                <w:szCs w:val="24"/>
              </w:rPr>
              <w:t>10%</w:t>
            </w:r>
          </w:p>
        </w:tc>
        <w:tc>
          <w:tcPr>
            <w:tcW w:w="1559" w:type="dxa"/>
          </w:tcPr>
          <w:p w:rsidR="005A1359" w:rsidRPr="005A1359" w:rsidRDefault="005A1359" w:rsidP="005A1359">
            <w:pPr>
              <w:bidi w:val="0"/>
              <w:spacing w:after="0"/>
              <w:jc w:val="center"/>
              <w:rPr>
                <w:rFonts w:ascii="Times New Roman" w:hAnsi="Times New Roman" w:cs="Times New Roman"/>
                <w:b w:val="0"/>
                <w:bCs w:val="0"/>
                <w:sz w:val="24"/>
                <w:szCs w:val="24"/>
              </w:rPr>
            </w:pPr>
            <w:r>
              <w:rPr>
                <w:rFonts w:ascii="Times New Roman" w:hAnsi="Times New Roman" w:cs="Times New Roman"/>
                <w:b w:val="0"/>
                <w:bCs w:val="0"/>
                <w:sz w:val="24"/>
                <w:szCs w:val="24"/>
              </w:rPr>
              <w:t>0</w:t>
            </w:r>
          </w:p>
        </w:tc>
      </w:tr>
      <w:tr w:rsidR="005A1359" w:rsidTr="005A1359">
        <w:tc>
          <w:tcPr>
            <w:tcW w:w="851" w:type="dxa"/>
            <w:shd w:val="clear" w:color="auto" w:fill="F2F2F2" w:themeFill="background1" w:themeFillShade="F2"/>
          </w:tcPr>
          <w:p w:rsidR="005A1359" w:rsidRDefault="005A1359" w:rsidP="00391D8A">
            <w:pPr>
              <w:bidi w:val="0"/>
              <w:spacing w:after="0"/>
              <w:jc w:val="center"/>
              <w:rPr>
                <w:rFonts w:ascii="Times New Roman" w:hAnsi="Times New Roman" w:cs="Times New Roman"/>
                <w:b w:val="0"/>
                <w:bCs w:val="0"/>
                <w:sz w:val="24"/>
                <w:szCs w:val="24"/>
              </w:rPr>
            </w:pPr>
          </w:p>
        </w:tc>
        <w:tc>
          <w:tcPr>
            <w:tcW w:w="5528" w:type="dxa"/>
            <w:shd w:val="clear" w:color="auto" w:fill="F2F2F2" w:themeFill="background1" w:themeFillShade="F2"/>
          </w:tcPr>
          <w:p w:rsidR="005A1359" w:rsidRPr="005A1359" w:rsidRDefault="005A1359" w:rsidP="005A1359">
            <w:pPr>
              <w:bidi w:val="0"/>
              <w:spacing w:after="0"/>
              <w:ind w:left="608" w:hanging="709"/>
              <w:jc w:val="left"/>
              <w:rPr>
                <w:rFonts w:ascii="Times New Roman" w:hAnsi="Times New Roman" w:cs="Times New Roman"/>
                <w:b w:val="0"/>
                <w:bCs w:val="0"/>
                <w:color w:val="202124"/>
                <w:sz w:val="24"/>
                <w:szCs w:val="24"/>
                <w:lang w:val="en"/>
              </w:rPr>
            </w:pPr>
            <w:r w:rsidRPr="005A1359">
              <w:rPr>
                <w:rFonts w:ascii="Times New Roman" w:hAnsi="Times New Roman" w:cs="Times New Roman"/>
                <w:color w:val="202124"/>
                <w:sz w:val="24"/>
                <w:szCs w:val="24"/>
                <w:lang w:val="en"/>
              </w:rPr>
              <w:t xml:space="preserve">Total </w:t>
            </w:r>
            <w:r>
              <w:rPr>
                <w:rFonts w:ascii="Times New Roman" w:hAnsi="Times New Roman" w:cs="Times New Roman"/>
                <w:sz w:val="24"/>
                <w:szCs w:val="24"/>
              </w:rPr>
              <w:t>off</w:t>
            </w:r>
            <w:r w:rsidRPr="005A1359">
              <w:rPr>
                <w:rFonts w:ascii="Times New Roman" w:hAnsi="Times New Roman" w:cs="Times New Roman"/>
                <w:sz w:val="24"/>
                <w:szCs w:val="24"/>
              </w:rPr>
              <w:t>-balance sheet items</w:t>
            </w:r>
            <w:r>
              <w:rPr>
                <w:rFonts w:ascii="Times New Roman" w:hAnsi="Times New Roman" w:cs="Times New Roman"/>
                <w:sz w:val="24"/>
                <w:szCs w:val="24"/>
              </w:rPr>
              <w:t xml:space="preserve"> (8.2 + 9.2)</w:t>
            </w:r>
            <w:r>
              <w:rPr>
                <w:rFonts w:ascii="Times New Roman" w:hAnsi="Times New Roman" w:cs="Times New Roman"/>
                <w:sz w:val="24"/>
                <w:szCs w:val="24"/>
                <w:vertAlign w:val="superscript"/>
              </w:rPr>
              <w:t xml:space="preserve"> 8</w:t>
            </w:r>
          </w:p>
        </w:tc>
        <w:tc>
          <w:tcPr>
            <w:tcW w:w="1276" w:type="dxa"/>
            <w:shd w:val="clear" w:color="auto" w:fill="F2F2F2" w:themeFill="background1" w:themeFillShade="F2"/>
          </w:tcPr>
          <w:p w:rsidR="005A1359" w:rsidRPr="005A1359" w:rsidRDefault="005A1359" w:rsidP="00391D8A">
            <w:pPr>
              <w:bidi w:val="0"/>
              <w:spacing w:after="0"/>
              <w:jc w:val="center"/>
              <w:rPr>
                <w:rFonts w:ascii="Times New Roman" w:hAnsi="Times New Roman" w:cs="Times New Roman"/>
                <w:b w:val="0"/>
                <w:bCs w:val="0"/>
                <w:sz w:val="24"/>
                <w:szCs w:val="24"/>
              </w:rPr>
            </w:pPr>
          </w:p>
        </w:tc>
        <w:tc>
          <w:tcPr>
            <w:tcW w:w="851" w:type="dxa"/>
            <w:shd w:val="clear" w:color="auto" w:fill="F2F2F2" w:themeFill="background1" w:themeFillShade="F2"/>
          </w:tcPr>
          <w:p w:rsidR="005A1359" w:rsidRPr="005A1359" w:rsidRDefault="005A1359" w:rsidP="00391D8A">
            <w:pPr>
              <w:bidi w:val="0"/>
              <w:spacing w:after="0"/>
              <w:jc w:val="center"/>
              <w:rPr>
                <w:rFonts w:ascii="Times New Roman" w:hAnsi="Times New Roman" w:cs="Times New Roman"/>
                <w:b w:val="0"/>
                <w:bCs w:val="0"/>
                <w:sz w:val="24"/>
                <w:szCs w:val="24"/>
              </w:rPr>
            </w:pPr>
          </w:p>
        </w:tc>
        <w:tc>
          <w:tcPr>
            <w:tcW w:w="1559" w:type="dxa"/>
            <w:shd w:val="clear" w:color="auto" w:fill="F2F2F2" w:themeFill="background1" w:themeFillShade="F2"/>
          </w:tcPr>
          <w:p w:rsidR="005A1359" w:rsidRPr="005A1359" w:rsidRDefault="005A1359" w:rsidP="00391D8A">
            <w:pPr>
              <w:bidi w:val="0"/>
              <w:spacing w:after="0"/>
              <w:jc w:val="center"/>
              <w:rPr>
                <w:rFonts w:ascii="Times New Roman" w:hAnsi="Times New Roman" w:cs="Times New Roman"/>
                <w:b w:val="0"/>
                <w:bCs w:val="0"/>
                <w:sz w:val="24"/>
                <w:szCs w:val="24"/>
              </w:rPr>
            </w:pPr>
            <w:r>
              <w:rPr>
                <w:rFonts w:ascii="Times New Roman" w:hAnsi="Times New Roman" w:cs="Times New Roman"/>
                <w:b w:val="0"/>
                <w:bCs w:val="0"/>
                <w:sz w:val="24"/>
                <w:szCs w:val="24"/>
              </w:rPr>
              <w:t>0</w:t>
            </w:r>
          </w:p>
        </w:tc>
      </w:tr>
      <w:tr w:rsidR="005A1359" w:rsidTr="005A1359">
        <w:tc>
          <w:tcPr>
            <w:tcW w:w="851" w:type="dxa"/>
            <w:shd w:val="clear" w:color="auto" w:fill="C9C9C9" w:themeFill="accent3" w:themeFillTint="99"/>
          </w:tcPr>
          <w:p w:rsidR="005A1359" w:rsidRDefault="005A1359" w:rsidP="00391D8A">
            <w:pPr>
              <w:bidi w:val="0"/>
              <w:spacing w:after="0"/>
              <w:jc w:val="center"/>
              <w:rPr>
                <w:rFonts w:ascii="Times New Roman" w:hAnsi="Times New Roman" w:cs="Times New Roman"/>
                <w:b w:val="0"/>
                <w:bCs w:val="0"/>
                <w:sz w:val="24"/>
                <w:szCs w:val="24"/>
              </w:rPr>
            </w:pPr>
          </w:p>
        </w:tc>
        <w:tc>
          <w:tcPr>
            <w:tcW w:w="5528" w:type="dxa"/>
            <w:shd w:val="clear" w:color="auto" w:fill="C9C9C9" w:themeFill="accent3" w:themeFillTint="99"/>
          </w:tcPr>
          <w:p w:rsidR="005A1359" w:rsidRPr="005A1359" w:rsidRDefault="005A1359" w:rsidP="005A1359">
            <w:pPr>
              <w:bidi w:val="0"/>
              <w:spacing w:after="0"/>
              <w:ind w:left="608" w:hanging="567"/>
              <w:jc w:val="left"/>
              <w:rPr>
                <w:rFonts w:ascii="Times New Roman" w:hAnsi="Times New Roman" w:cs="Times New Roman"/>
                <w:color w:val="202124"/>
                <w:sz w:val="24"/>
                <w:szCs w:val="24"/>
                <w:lang w:val="en"/>
              </w:rPr>
            </w:pPr>
            <w:r>
              <w:rPr>
                <w:rFonts w:ascii="Times New Roman" w:hAnsi="Times New Roman" w:cs="Times New Roman"/>
                <w:color w:val="202124"/>
                <w:sz w:val="24"/>
                <w:szCs w:val="24"/>
                <w:lang w:val="en"/>
              </w:rPr>
              <w:t>Leverage ratio (1/2)</w:t>
            </w:r>
          </w:p>
        </w:tc>
        <w:tc>
          <w:tcPr>
            <w:tcW w:w="1276" w:type="dxa"/>
            <w:shd w:val="clear" w:color="auto" w:fill="C9C9C9" w:themeFill="accent3" w:themeFillTint="99"/>
          </w:tcPr>
          <w:p w:rsidR="005A1359" w:rsidRPr="005A1359" w:rsidRDefault="005A1359" w:rsidP="00391D8A">
            <w:pPr>
              <w:bidi w:val="0"/>
              <w:spacing w:after="0"/>
              <w:jc w:val="center"/>
              <w:rPr>
                <w:rFonts w:ascii="Times New Roman" w:hAnsi="Times New Roman" w:cs="Times New Roman"/>
                <w:b w:val="0"/>
                <w:bCs w:val="0"/>
                <w:sz w:val="24"/>
                <w:szCs w:val="24"/>
              </w:rPr>
            </w:pPr>
          </w:p>
        </w:tc>
        <w:tc>
          <w:tcPr>
            <w:tcW w:w="851" w:type="dxa"/>
            <w:shd w:val="clear" w:color="auto" w:fill="C9C9C9" w:themeFill="accent3" w:themeFillTint="99"/>
          </w:tcPr>
          <w:p w:rsidR="005A1359" w:rsidRPr="005A1359" w:rsidRDefault="005A1359" w:rsidP="00391D8A">
            <w:pPr>
              <w:bidi w:val="0"/>
              <w:spacing w:after="0"/>
              <w:jc w:val="center"/>
              <w:rPr>
                <w:rFonts w:ascii="Times New Roman" w:hAnsi="Times New Roman" w:cs="Times New Roman"/>
                <w:b w:val="0"/>
                <w:bCs w:val="0"/>
                <w:sz w:val="24"/>
                <w:szCs w:val="24"/>
              </w:rPr>
            </w:pPr>
          </w:p>
        </w:tc>
        <w:tc>
          <w:tcPr>
            <w:tcW w:w="1559" w:type="dxa"/>
            <w:shd w:val="clear" w:color="auto" w:fill="C9C9C9" w:themeFill="accent3" w:themeFillTint="99"/>
          </w:tcPr>
          <w:p w:rsidR="005A1359" w:rsidRDefault="005A1359" w:rsidP="00391D8A">
            <w:pPr>
              <w:bidi w:val="0"/>
              <w:spacing w:after="0"/>
              <w:jc w:val="center"/>
              <w:rPr>
                <w:rFonts w:ascii="Times New Roman" w:hAnsi="Times New Roman" w:cs="Times New Roman"/>
                <w:b w:val="0"/>
                <w:bCs w:val="0"/>
                <w:sz w:val="24"/>
                <w:szCs w:val="24"/>
              </w:rPr>
            </w:pPr>
          </w:p>
        </w:tc>
      </w:tr>
    </w:tbl>
    <w:p w:rsidR="00F904B4" w:rsidRPr="00AD1CA9" w:rsidRDefault="005A1359" w:rsidP="00AD1CA9">
      <w:pPr>
        <w:bidi w:val="0"/>
        <w:ind w:left="426" w:hanging="426"/>
        <w:rPr>
          <w:rFonts w:ascii="Times New Roman" w:hAnsi="Times New Roman" w:cs="Times New Roman"/>
          <w:b w:val="0"/>
          <w:bCs w:val="0"/>
          <w:vertAlign w:val="superscript"/>
        </w:rPr>
      </w:pPr>
      <w:r w:rsidRPr="00AD1CA9">
        <w:rPr>
          <w:rFonts w:ascii="Times New Roman" w:hAnsi="Times New Roman" w:cs="Times New Roman"/>
          <w:b w:val="0"/>
          <w:bCs w:val="0"/>
          <w:vertAlign w:val="superscript"/>
        </w:rPr>
        <w:t>1</w:t>
      </w:r>
      <w:r w:rsidRPr="00AD1CA9">
        <w:rPr>
          <w:rFonts w:ascii="Times New Roman" w:hAnsi="Times New Roman" w:cs="Times New Roman"/>
          <w:b w:val="0"/>
          <w:bCs w:val="0"/>
          <w:vertAlign w:val="superscript"/>
        </w:rPr>
        <w:tab/>
      </w:r>
      <w:r w:rsidR="00AD1CA9" w:rsidRPr="00AD1CA9">
        <w:rPr>
          <w:rFonts w:ascii="Times New Roman" w:hAnsi="Times New Roman" w:cs="Times New Roman"/>
          <w:b w:val="0"/>
          <w:bCs w:val="0"/>
          <w:color w:val="202124"/>
          <w:sz w:val="22"/>
          <w:szCs w:val="22"/>
          <w:lang w:val="en"/>
        </w:rPr>
        <w:t>All deductions from the capital will be from the T1, and the items are full deducted from T1 will be excluded from the denominator of the ratio.</w:t>
      </w:r>
    </w:p>
    <w:p w:rsidR="00AD1CA9" w:rsidRPr="00AD1CA9" w:rsidRDefault="00AD1CA9" w:rsidP="00AD1CA9">
      <w:pPr>
        <w:bidi w:val="0"/>
        <w:ind w:left="426" w:hanging="426"/>
        <w:jc w:val="left"/>
        <w:rPr>
          <w:rFonts w:ascii="Times New Roman" w:hAnsi="Times New Roman" w:cs="Times New Roman"/>
          <w:b w:val="0"/>
          <w:bCs w:val="0"/>
          <w:vertAlign w:val="superscript"/>
        </w:rPr>
      </w:pPr>
      <w:r w:rsidRPr="00AD1CA9">
        <w:rPr>
          <w:rFonts w:ascii="Times New Roman" w:hAnsi="Times New Roman" w:cs="Times New Roman"/>
          <w:b w:val="0"/>
          <w:bCs w:val="0"/>
          <w:vertAlign w:val="superscript"/>
        </w:rPr>
        <w:t>2</w:t>
      </w:r>
      <w:r w:rsidRPr="00AD1CA9">
        <w:rPr>
          <w:rFonts w:ascii="Times New Roman" w:hAnsi="Times New Roman" w:cs="Times New Roman"/>
          <w:b w:val="0"/>
          <w:bCs w:val="0"/>
          <w:vertAlign w:val="superscript"/>
        </w:rPr>
        <w:tab/>
      </w:r>
      <w:r>
        <w:rPr>
          <w:rFonts w:ascii="Times New Roman" w:hAnsi="Times New Roman" w:cs="Times New Roman"/>
          <w:b w:val="0"/>
          <w:bCs w:val="0"/>
          <w:sz w:val="24"/>
          <w:szCs w:val="24"/>
        </w:rPr>
        <w:t>net of s</w:t>
      </w:r>
      <w:r w:rsidRPr="00391D8A">
        <w:rPr>
          <w:rFonts w:ascii="Times New Roman" w:hAnsi="Times New Roman" w:cs="Times New Roman"/>
          <w:b w:val="0"/>
          <w:bCs w:val="0"/>
          <w:sz w:val="24"/>
          <w:szCs w:val="24"/>
        </w:rPr>
        <w:t>ecurities portfolio</w:t>
      </w:r>
      <w:r>
        <w:rPr>
          <w:rFonts w:ascii="Times New Roman" w:hAnsi="Times New Roman" w:cs="Times New Roman"/>
          <w:b w:val="0"/>
          <w:bCs w:val="0"/>
          <w:sz w:val="24"/>
          <w:szCs w:val="24"/>
        </w:rPr>
        <w:t>.</w:t>
      </w:r>
    </w:p>
    <w:p w:rsidR="00AD1CA9" w:rsidRPr="00AD1CA9" w:rsidRDefault="00AD1CA9" w:rsidP="00563636">
      <w:pPr>
        <w:bidi w:val="0"/>
        <w:ind w:left="426" w:hanging="426"/>
        <w:rPr>
          <w:rFonts w:ascii="Times New Roman" w:hAnsi="Times New Roman" w:cs="Times New Roman"/>
          <w:b w:val="0"/>
          <w:bCs w:val="0"/>
        </w:rPr>
      </w:pPr>
      <w:r w:rsidRPr="00AD1CA9">
        <w:rPr>
          <w:rFonts w:ascii="Times New Roman" w:hAnsi="Times New Roman" w:cs="Times New Roman"/>
          <w:b w:val="0"/>
          <w:bCs w:val="0"/>
          <w:vertAlign w:val="superscript"/>
        </w:rPr>
        <w:t>3</w:t>
      </w:r>
      <w:r>
        <w:rPr>
          <w:rFonts w:ascii="Times New Roman" w:hAnsi="Times New Roman" w:cs="Times New Roman"/>
          <w:b w:val="0"/>
          <w:bCs w:val="0"/>
          <w:vertAlign w:val="superscript"/>
        </w:rPr>
        <w:tab/>
      </w:r>
      <w:r w:rsidRPr="00AD1CA9">
        <w:rPr>
          <w:rFonts w:ascii="Times New Roman" w:hAnsi="Times New Roman" w:cs="Times New Roman"/>
          <w:b w:val="0"/>
          <w:bCs w:val="0"/>
          <w:color w:val="202124"/>
          <w:sz w:val="22"/>
          <w:szCs w:val="22"/>
          <w:lang w:val="en"/>
        </w:rPr>
        <w:t xml:space="preserve">The credit facilities will be after deducting the provision for impairment and </w:t>
      </w:r>
      <w:r w:rsidR="00563636">
        <w:rPr>
          <w:rFonts w:ascii="Times New Roman" w:hAnsi="Times New Roman" w:cs="Times New Roman"/>
          <w:b w:val="0"/>
          <w:bCs w:val="0"/>
          <w:color w:val="202124"/>
          <w:sz w:val="22"/>
          <w:szCs w:val="22"/>
          <w:lang w:val="en"/>
        </w:rPr>
        <w:t>suspending</w:t>
      </w:r>
      <w:r w:rsidRPr="00AD1CA9">
        <w:rPr>
          <w:rFonts w:ascii="Times New Roman" w:hAnsi="Times New Roman" w:cs="Times New Roman"/>
          <w:b w:val="0"/>
          <w:bCs w:val="0"/>
          <w:color w:val="202124"/>
          <w:sz w:val="22"/>
          <w:szCs w:val="22"/>
          <w:lang w:val="en"/>
        </w:rPr>
        <w:t xml:space="preserve"> interest</w:t>
      </w:r>
      <w:r w:rsidR="00563636">
        <w:rPr>
          <w:rFonts w:ascii="Times New Roman" w:hAnsi="Times New Roman" w:cs="Times New Roman"/>
          <w:b w:val="0"/>
          <w:bCs w:val="0"/>
          <w:color w:val="202124"/>
          <w:sz w:val="22"/>
          <w:szCs w:val="22"/>
          <w:lang w:val="en"/>
        </w:rPr>
        <w:t>s</w:t>
      </w:r>
      <w:r>
        <w:rPr>
          <w:rFonts w:ascii="Times New Roman" w:hAnsi="Times New Roman" w:cs="Times New Roman"/>
          <w:b w:val="0"/>
          <w:bCs w:val="0"/>
          <w:color w:val="202124"/>
          <w:sz w:val="22"/>
          <w:szCs w:val="22"/>
          <w:lang w:val="en"/>
        </w:rPr>
        <w:t>.</w:t>
      </w:r>
    </w:p>
    <w:p w:rsidR="00AD1CA9" w:rsidRPr="00AD1CA9" w:rsidRDefault="00AD1CA9" w:rsidP="00AD1CA9">
      <w:pPr>
        <w:bidi w:val="0"/>
        <w:ind w:left="426" w:hanging="426"/>
        <w:rPr>
          <w:rFonts w:ascii="Times New Roman" w:hAnsi="Times New Roman" w:cs="Times New Roman"/>
          <w:b w:val="0"/>
          <w:bCs w:val="0"/>
          <w:vertAlign w:val="superscript"/>
        </w:rPr>
      </w:pPr>
      <w:r w:rsidRPr="00AD1CA9">
        <w:rPr>
          <w:rFonts w:ascii="Times New Roman" w:hAnsi="Times New Roman" w:cs="Times New Roman"/>
          <w:b w:val="0"/>
          <w:bCs w:val="0"/>
          <w:vertAlign w:val="superscript"/>
        </w:rPr>
        <w:t>4</w:t>
      </w:r>
      <w:r>
        <w:rPr>
          <w:rFonts w:ascii="Times New Roman" w:hAnsi="Times New Roman" w:cs="Times New Roman"/>
          <w:b w:val="0"/>
          <w:bCs w:val="0"/>
          <w:vertAlign w:val="superscript"/>
        </w:rPr>
        <w:tab/>
      </w:r>
      <w:r>
        <w:rPr>
          <w:rFonts w:ascii="Times New Roman" w:hAnsi="Times New Roman" w:cs="Times New Roman"/>
          <w:b w:val="0"/>
          <w:bCs w:val="0"/>
          <w:color w:val="202124"/>
          <w:sz w:val="22"/>
          <w:szCs w:val="22"/>
          <w:lang w:val="en"/>
        </w:rPr>
        <w:t>O</w:t>
      </w:r>
      <w:r w:rsidRPr="00AD1CA9">
        <w:rPr>
          <w:rFonts w:ascii="Times New Roman" w:hAnsi="Times New Roman" w:cs="Times New Roman"/>
          <w:b w:val="0"/>
          <w:bCs w:val="0"/>
          <w:color w:val="202124"/>
          <w:sz w:val="22"/>
          <w:szCs w:val="22"/>
          <w:lang w:val="en"/>
        </w:rPr>
        <w:t>ff-balance sheet credit derivatives represent the positive net fair value after excluding the negative value.</w:t>
      </w:r>
    </w:p>
    <w:p w:rsidR="00AD1CA9" w:rsidRPr="00AD1CA9" w:rsidRDefault="00AD1CA9" w:rsidP="00563636">
      <w:pPr>
        <w:bidi w:val="0"/>
        <w:ind w:left="426" w:hanging="426"/>
        <w:rPr>
          <w:rFonts w:ascii="Times New Roman" w:hAnsi="Times New Roman" w:cs="Times New Roman"/>
          <w:b w:val="0"/>
          <w:bCs w:val="0"/>
          <w:vertAlign w:val="superscript"/>
        </w:rPr>
      </w:pPr>
      <w:r w:rsidRPr="00AD1CA9">
        <w:rPr>
          <w:rFonts w:ascii="Times New Roman" w:hAnsi="Times New Roman" w:cs="Times New Roman"/>
          <w:b w:val="0"/>
          <w:bCs w:val="0"/>
          <w:vertAlign w:val="superscript"/>
        </w:rPr>
        <w:lastRenderedPageBreak/>
        <w:t>5</w:t>
      </w:r>
      <w:r>
        <w:rPr>
          <w:rFonts w:ascii="Times New Roman" w:hAnsi="Times New Roman" w:cs="Times New Roman"/>
          <w:b w:val="0"/>
          <w:bCs w:val="0"/>
          <w:vertAlign w:val="superscript"/>
        </w:rPr>
        <w:tab/>
      </w:r>
      <w:r w:rsidRPr="003E7472">
        <w:rPr>
          <w:rFonts w:ascii="Times New Roman" w:hAnsi="Times New Roman" w:cs="Times New Roman"/>
          <w:b w:val="0"/>
          <w:bCs w:val="0"/>
          <w:color w:val="202124"/>
          <w:sz w:val="22"/>
          <w:szCs w:val="22"/>
          <w:lang w:val="en"/>
        </w:rPr>
        <w:t xml:space="preserve">All assets within on-balance sheet must be without deduction of any financial or </w:t>
      </w:r>
      <w:r w:rsidR="00563636">
        <w:rPr>
          <w:rFonts w:ascii="Times New Roman" w:hAnsi="Times New Roman" w:cs="Times New Roman"/>
          <w:b w:val="0"/>
          <w:bCs w:val="0"/>
          <w:color w:val="202124"/>
          <w:sz w:val="22"/>
          <w:szCs w:val="22"/>
          <w:lang w:val="en"/>
        </w:rPr>
        <w:t>tangible</w:t>
      </w:r>
      <w:r w:rsidRPr="003E7472">
        <w:rPr>
          <w:rFonts w:ascii="Times New Roman" w:hAnsi="Times New Roman" w:cs="Times New Roman"/>
          <w:b w:val="0"/>
          <w:bCs w:val="0"/>
          <w:color w:val="202124"/>
          <w:sz w:val="22"/>
          <w:szCs w:val="22"/>
          <w:lang w:val="en"/>
        </w:rPr>
        <w:t xml:space="preserve"> guarantees and without taking credit risk mitigations</w:t>
      </w:r>
      <w:r w:rsidR="003E7472" w:rsidRPr="003E7472">
        <w:rPr>
          <w:rFonts w:ascii="Times New Roman" w:hAnsi="Times New Roman" w:cs="Times New Roman"/>
          <w:b w:val="0"/>
          <w:bCs w:val="0"/>
          <w:color w:val="202124"/>
          <w:sz w:val="22"/>
          <w:szCs w:val="22"/>
          <w:lang w:val="en"/>
        </w:rPr>
        <w:t xml:space="preserve">. Also, it is not allowed to </w:t>
      </w:r>
      <w:r w:rsidR="00563636">
        <w:rPr>
          <w:rFonts w:ascii="Times New Roman" w:hAnsi="Times New Roman" w:cs="Times New Roman"/>
          <w:b w:val="0"/>
          <w:bCs w:val="0"/>
          <w:color w:val="202124"/>
          <w:sz w:val="22"/>
          <w:szCs w:val="22"/>
          <w:lang w:val="en"/>
        </w:rPr>
        <w:t>netting</w:t>
      </w:r>
      <w:r w:rsidR="003E7472" w:rsidRPr="003E7472">
        <w:rPr>
          <w:rFonts w:ascii="Times New Roman" w:hAnsi="Times New Roman" w:cs="Times New Roman"/>
          <w:b w:val="0"/>
          <w:bCs w:val="0"/>
          <w:color w:val="202124"/>
          <w:sz w:val="22"/>
          <w:szCs w:val="22"/>
          <w:lang w:val="en"/>
        </w:rPr>
        <w:t xml:space="preserve"> between loans and deposits.</w:t>
      </w:r>
    </w:p>
    <w:p w:rsidR="00AD1CA9" w:rsidRPr="00AD1CA9" w:rsidRDefault="00AD1CA9" w:rsidP="003E7472">
      <w:pPr>
        <w:bidi w:val="0"/>
        <w:ind w:left="426" w:hanging="426"/>
        <w:jc w:val="left"/>
        <w:rPr>
          <w:rFonts w:ascii="Times New Roman" w:hAnsi="Times New Roman" w:cs="Times New Roman"/>
          <w:b w:val="0"/>
          <w:bCs w:val="0"/>
          <w:vertAlign w:val="superscript"/>
        </w:rPr>
      </w:pPr>
      <w:r w:rsidRPr="00AD1CA9">
        <w:rPr>
          <w:rFonts w:ascii="Times New Roman" w:hAnsi="Times New Roman" w:cs="Times New Roman"/>
          <w:b w:val="0"/>
          <w:bCs w:val="0"/>
          <w:vertAlign w:val="superscript"/>
        </w:rPr>
        <w:t>6</w:t>
      </w:r>
      <w:r w:rsidR="003E7472">
        <w:rPr>
          <w:rFonts w:ascii="Times New Roman" w:hAnsi="Times New Roman" w:cs="Times New Roman"/>
          <w:b w:val="0"/>
          <w:bCs w:val="0"/>
          <w:vertAlign w:val="superscript"/>
        </w:rPr>
        <w:tab/>
      </w:r>
      <w:r w:rsidR="003E7472" w:rsidRPr="003E7472">
        <w:rPr>
          <w:rFonts w:ascii="Times New Roman" w:hAnsi="Times New Roman" w:cs="Times New Roman"/>
          <w:b w:val="0"/>
          <w:bCs w:val="0"/>
          <w:color w:val="202124"/>
          <w:sz w:val="22"/>
          <w:szCs w:val="22"/>
          <w:lang w:val="en"/>
        </w:rPr>
        <w:t>The unutilized facilities include direct and indirect.</w:t>
      </w:r>
    </w:p>
    <w:p w:rsidR="00AD1CA9" w:rsidRPr="00AD1CA9" w:rsidRDefault="00AD1CA9" w:rsidP="003E7472">
      <w:pPr>
        <w:bidi w:val="0"/>
        <w:ind w:left="426" w:hanging="426"/>
        <w:rPr>
          <w:rFonts w:ascii="Times New Roman" w:hAnsi="Times New Roman" w:cs="Times New Roman"/>
          <w:b w:val="0"/>
          <w:bCs w:val="0"/>
          <w:vertAlign w:val="superscript"/>
        </w:rPr>
      </w:pPr>
      <w:r w:rsidRPr="00AD1CA9">
        <w:rPr>
          <w:rFonts w:ascii="Times New Roman" w:hAnsi="Times New Roman" w:cs="Times New Roman"/>
          <w:b w:val="0"/>
          <w:bCs w:val="0"/>
          <w:vertAlign w:val="superscript"/>
        </w:rPr>
        <w:t>7</w:t>
      </w:r>
      <w:r w:rsidR="003E7472">
        <w:rPr>
          <w:rFonts w:ascii="Times New Roman" w:hAnsi="Times New Roman" w:cs="Times New Roman"/>
          <w:b w:val="0"/>
          <w:bCs w:val="0"/>
          <w:vertAlign w:val="superscript"/>
        </w:rPr>
        <w:tab/>
      </w:r>
      <w:r w:rsidR="003E7472" w:rsidRPr="003E7472">
        <w:rPr>
          <w:rFonts w:ascii="Times New Roman" w:hAnsi="Times New Roman" w:cs="Times New Roman"/>
          <w:b w:val="0"/>
          <w:bCs w:val="0"/>
          <w:color w:val="202124"/>
          <w:sz w:val="22"/>
          <w:szCs w:val="22"/>
          <w:lang w:val="en"/>
        </w:rPr>
        <w:t>Obligations that the bank may cancel without referring to the customer and without prior notice, and their maturity is usually less than a year.</w:t>
      </w:r>
      <w:r w:rsidR="003E7472">
        <w:rPr>
          <w:color w:val="202124"/>
          <w:lang w:val="en"/>
        </w:rPr>
        <w:t xml:space="preserve"> </w:t>
      </w:r>
    </w:p>
    <w:p w:rsidR="00AD1CA9" w:rsidRDefault="00AD1CA9" w:rsidP="00563636">
      <w:pPr>
        <w:bidi w:val="0"/>
        <w:ind w:left="426" w:hanging="426"/>
        <w:jc w:val="left"/>
        <w:rPr>
          <w:rFonts w:ascii="Times New Roman" w:hAnsi="Times New Roman" w:cs="Times New Roman"/>
        </w:rPr>
      </w:pPr>
      <w:r w:rsidRPr="00AD1CA9">
        <w:rPr>
          <w:rFonts w:ascii="Times New Roman" w:hAnsi="Times New Roman" w:cs="Times New Roman"/>
          <w:b w:val="0"/>
          <w:bCs w:val="0"/>
          <w:vertAlign w:val="superscript"/>
        </w:rPr>
        <w:t>8</w:t>
      </w:r>
      <w:r w:rsidR="00167DB4">
        <w:rPr>
          <w:rFonts w:ascii="Times New Roman" w:hAnsi="Times New Roman" w:cs="Times New Roman"/>
          <w:b w:val="0"/>
          <w:bCs w:val="0"/>
          <w:vertAlign w:val="superscript"/>
        </w:rPr>
        <w:tab/>
      </w:r>
      <w:r w:rsidR="00167DB4" w:rsidRPr="00167DB4">
        <w:rPr>
          <w:rFonts w:ascii="Times New Roman" w:hAnsi="Times New Roman" w:cs="Times New Roman"/>
          <w:b w:val="0"/>
          <w:bCs w:val="0"/>
          <w:color w:val="202124"/>
          <w:sz w:val="22"/>
          <w:szCs w:val="22"/>
          <w:lang w:val="en"/>
        </w:rPr>
        <w:t xml:space="preserve">The off-balance sheet items will be net after excluding cash </w:t>
      </w:r>
      <w:r w:rsidR="00563636">
        <w:rPr>
          <w:rFonts w:ascii="Times New Roman" w:hAnsi="Times New Roman" w:cs="Times New Roman"/>
          <w:b w:val="0"/>
          <w:bCs w:val="0"/>
          <w:color w:val="202124"/>
          <w:sz w:val="22"/>
          <w:szCs w:val="22"/>
          <w:lang w:val="en"/>
        </w:rPr>
        <w:t>collaterals</w:t>
      </w:r>
      <w:r w:rsidR="00167DB4">
        <w:rPr>
          <w:rFonts w:ascii="Times New Roman" w:hAnsi="Times New Roman" w:cs="Times New Roman"/>
          <w:b w:val="0"/>
          <w:bCs w:val="0"/>
          <w:color w:val="202124"/>
          <w:sz w:val="22"/>
          <w:szCs w:val="22"/>
          <w:lang w:val="en"/>
        </w:rPr>
        <w:t>.</w:t>
      </w:r>
    </w:p>
    <w:p w:rsidR="00AD1CA9" w:rsidRDefault="00AD1CA9" w:rsidP="00AD1CA9">
      <w:pPr>
        <w:bidi w:val="0"/>
        <w:jc w:val="left"/>
        <w:rPr>
          <w:rFonts w:ascii="Times New Roman" w:hAnsi="Times New Roman" w:cs="Times New Roman"/>
        </w:rPr>
      </w:pPr>
    </w:p>
    <w:p w:rsidR="00AD1CA9" w:rsidRDefault="00AD1CA9" w:rsidP="00AD1CA9">
      <w:pPr>
        <w:bidi w:val="0"/>
        <w:jc w:val="left"/>
        <w:rPr>
          <w:rFonts w:ascii="Times New Roman" w:hAnsi="Times New Roman" w:cs="Times New Roman"/>
        </w:rPr>
      </w:pPr>
    </w:p>
    <w:p w:rsidR="00565969" w:rsidRPr="00505A8B" w:rsidRDefault="00565969"/>
    <w:sectPr w:rsidR="00565969" w:rsidRPr="00505A8B" w:rsidSect="00565969">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701"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0C2" w:rsidRDefault="00F420C2" w:rsidP="00505A8B">
      <w:pPr>
        <w:spacing w:after="0"/>
      </w:pPr>
      <w:r>
        <w:separator/>
      </w:r>
    </w:p>
  </w:endnote>
  <w:endnote w:type="continuationSeparator" w:id="0">
    <w:p w:rsidR="00F420C2" w:rsidRDefault="00F420C2" w:rsidP="00505A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default"/>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tl/>
      </w:rPr>
      <w:id w:val="1035619392"/>
      <w:docPartObj>
        <w:docPartGallery w:val="Page Numbers (Bottom of Page)"/>
        <w:docPartUnique/>
      </w:docPartObj>
    </w:sdtPr>
    <w:sdtEndPr>
      <w:rPr>
        <w:noProof/>
      </w:rPr>
    </w:sdtEndPr>
    <w:sdtContent>
      <w:p w:rsidR="002629BE" w:rsidRDefault="002629BE">
        <w:pPr>
          <w:pStyle w:val="Footer"/>
          <w:jc w:val="center"/>
        </w:pPr>
        <w:r w:rsidRPr="00AD6F72">
          <w:rPr>
            <w:b w:val="0"/>
            <w:bCs w:val="0"/>
            <w:noProof w:val="0"/>
            <w:sz w:val="16"/>
            <w:szCs w:val="16"/>
          </w:rPr>
          <w:fldChar w:fldCharType="begin"/>
        </w:r>
        <w:r w:rsidRPr="00AD6F72">
          <w:rPr>
            <w:b w:val="0"/>
            <w:bCs w:val="0"/>
            <w:sz w:val="16"/>
            <w:szCs w:val="16"/>
          </w:rPr>
          <w:instrText xml:space="preserve"> PAGE   \* MERGEFORMAT </w:instrText>
        </w:r>
        <w:r w:rsidRPr="00AD6F72">
          <w:rPr>
            <w:b w:val="0"/>
            <w:bCs w:val="0"/>
            <w:noProof w:val="0"/>
            <w:sz w:val="16"/>
            <w:szCs w:val="16"/>
          </w:rPr>
          <w:fldChar w:fldCharType="separate"/>
        </w:r>
        <w:r w:rsidR="005A34EA">
          <w:rPr>
            <w:b w:val="0"/>
            <w:bCs w:val="0"/>
            <w:sz w:val="16"/>
            <w:szCs w:val="16"/>
            <w:rtl/>
          </w:rPr>
          <w:t>4</w:t>
        </w:r>
        <w:r w:rsidRPr="00AD6F72">
          <w:rPr>
            <w:b w:val="0"/>
            <w:bCs w:val="0"/>
            <w:sz w:val="16"/>
            <w:szCs w:val="16"/>
          </w:rPr>
          <w:fldChar w:fldCharType="end"/>
        </w:r>
      </w:p>
    </w:sdtContent>
  </w:sdt>
  <w:p w:rsidR="002629BE" w:rsidRDefault="002629B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9BE" w:rsidRDefault="002629BE">
    <w:pPr>
      <w:pStyle w:val="Footer"/>
      <w:jc w:val="center"/>
    </w:pPr>
    <w:r>
      <w:fldChar w:fldCharType="begin"/>
    </w:r>
    <w:r>
      <w:instrText xml:space="preserve"> PAGE   \* MERGEFORMAT </w:instrText>
    </w:r>
    <w:r>
      <w:fldChar w:fldCharType="separate"/>
    </w:r>
    <w:r w:rsidR="005A34EA">
      <w:rPr>
        <w:rtl/>
      </w:rPr>
      <w:t>90</w:t>
    </w:r>
    <w:r>
      <w:fldChar w:fldCharType="end"/>
    </w:r>
  </w:p>
  <w:p w:rsidR="002629BE" w:rsidRDefault="002629B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9BE" w:rsidRDefault="002629BE">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9BE" w:rsidRDefault="002629BE">
    <w:pPr>
      <w:pStyle w:val="Footer"/>
      <w:jc w:val="center"/>
    </w:pPr>
    <w:r>
      <w:fldChar w:fldCharType="begin"/>
    </w:r>
    <w:r>
      <w:instrText xml:space="preserve"> PAGE   \* MERGEFORMAT </w:instrText>
    </w:r>
    <w:r>
      <w:fldChar w:fldCharType="separate"/>
    </w:r>
    <w:r w:rsidR="005A34EA">
      <w:rPr>
        <w:rtl/>
      </w:rPr>
      <w:t>98</w:t>
    </w:r>
    <w:r>
      <w:fldChar w:fldCharType="end"/>
    </w:r>
  </w:p>
  <w:p w:rsidR="002629BE" w:rsidRDefault="002629BE">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9BE" w:rsidRDefault="002629BE">
    <w:pPr>
      <w:pStyle w:val="Footer"/>
      <w:jc w:val="center"/>
    </w:pPr>
    <w:r>
      <w:fldChar w:fldCharType="begin"/>
    </w:r>
    <w:r>
      <w:instrText xml:space="preserve"> PAGE   \* MERGEFORMAT </w:instrText>
    </w:r>
    <w:r>
      <w:fldChar w:fldCharType="separate"/>
    </w:r>
    <w:r w:rsidR="005A34EA">
      <w:rPr>
        <w:rtl/>
      </w:rPr>
      <w:t>91</w:t>
    </w:r>
    <w:r>
      <w:fldChar w:fldCharType="end"/>
    </w:r>
  </w:p>
  <w:p w:rsidR="002629BE" w:rsidRDefault="002629B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0C2" w:rsidRDefault="00F420C2" w:rsidP="00505A8B">
      <w:pPr>
        <w:spacing w:after="0"/>
      </w:pPr>
      <w:r>
        <w:separator/>
      </w:r>
    </w:p>
  </w:footnote>
  <w:footnote w:type="continuationSeparator" w:id="0">
    <w:p w:rsidR="00F420C2" w:rsidRDefault="00F420C2" w:rsidP="00505A8B">
      <w:pPr>
        <w:spacing w:after="0"/>
      </w:pPr>
      <w:r>
        <w:continuationSeparator/>
      </w:r>
    </w:p>
  </w:footnote>
  <w:footnote w:id="1">
    <w:p w:rsidR="002629BE" w:rsidRPr="00A2162A" w:rsidRDefault="002629BE" w:rsidP="00026BCA">
      <w:pPr>
        <w:pStyle w:val="FootnoteText"/>
        <w:bidi w:val="0"/>
        <w:rPr>
          <w:b w:val="0"/>
          <w:bCs w:val="0"/>
          <w:lang w:val="en-US"/>
        </w:rPr>
      </w:pPr>
      <w:r w:rsidRPr="00A2162A">
        <w:rPr>
          <w:rStyle w:val="FootnoteReference"/>
          <w:b w:val="0"/>
          <w:bCs w:val="0"/>
        </w:rPr>
        <w:footnoteRef/>
      </w:r>
      <w:r w:rsidRPr="00A2162A">
        <w:rPr>
          <w:b w:val="0"/>
          <w:bCs w:val="0"/>
          <w:rtl/>
        </w:rPr>
        <w:t xml:space="preserve"> </w:t>
      </w:r>
      <w:r w:rsidRPr="00A2162A">
        <w:rPr>
          <w:rStyle w:val="tlid-translation"/>
          <w:rFonts w:ascii="Times New Roman" w:hAnsi="Times New Roman" w:cs="Times New Roman"/>
          <w:b w:val="0"/>
          <w:bCs w:val="0"/>
          <w:lang w:val="en" w:bidi="ar"/>
        </w:rPr>
        <w:t>The banking group, Jordanian banks.</w:t>
      </w:r>
      <w:r w:rsidRPr="00A2162A">
        <w:rPr>
          <w:rStyle w:val="tlid-translation"/>
          <w:rFonts w:ascii="Roboto" w:hAnsi="Roboto"/>
          <w:b w:val="0"/>
          <w:bCs w:val="0"/>
          <w:lang w:val="en" w:bidi="ar"/>
        </w:rPr>
        <w:t xml:space="preserve"> </w:t>
      </w:r>
    </w:p>
  </w:footnote>
  <w:footnote w:id="2">
    <w:p w:rsidR="002629BE" w:rsidRPr="00C54C6C" w:rsidRDefault="002629BE" w:rsidP="00D63D4F">
      <w:pPr>
        <w:pStyle w:val="FootnoteText"/>
        <w:bidi w:val="0"/>
        <w:spacing w:after="0"/>
        <w:rPr>
          <w:lang w:val="en-US"/>
        </w:rPr>
      </w:pPr>
      <w:r>
        <w:rPr>
          <w:rStyle w:val="FootnoteReference"/>
        </w:rPr>
        <w:footnoteRef/>
      </w:r>
      <w:r>
        <w:rPr>
          <w:rtl/>
        </w:rPr>
        <w:t xml:space="preserve"> </w:t>
      </w:r>
      <w:r w:rsidRPr="00C54C6C">
        <w:rPr>
          <w:rStyle w:val="tlid-translation"/>
          <w:rFonts w:asciiTheme="majorBidi" w:hAnsiTheme="majorBidi" w:cstheme="majorBidi"/>
          <w:b w:val="0"/>
          <w:bCs w:val="0"/>
          <w:lang w:val="en" w:bidi="ar"/>
        </w:rPr>
        <w:t xml:space="preserve">It includes direct and indirect investments, whether classified within the banking or trading </w:t>
      </w:r>
      <w:r>
        <w:rPr>
          <w:rStyle w:val="tlid-translation"/>
          <w:rFonts w:asciiTheme="majorBidi" w:hAnsiTheme="majorBidi" w:cstheme="majorBidi"/>
          <w:b w:val="0"/>
          <w:bCs w:val="0"/>
          <w:lang w:val="en" w:bidi="ar"/>
        </w:rPr>
        <w:t>book.</w:t>
      </w:r>
    </w:p>
  </w:footnote>
  <w:footnote w:id="3">
    <w:p w:rsidR="002629BE" w:rsidRPr="00423ABA" w:rsidRDefault="002629BE" w:rsidP="00D63D4F">
      <w:pPr>
        <w:pStyle w:val="FootnoteText"/>
        <w:bidi w:val="0"/>
        <w:spacing w:after="0"/>
        <w:ind w:left="142" w:hanging="142"/>
        <w:rPr>
          <w:lang w:val="en-US"/>
        </w:rPr>
      </w:pPr>
      <w:r>
        <w:rPr>
          <w:rStyle w:val="FootnoteReference"/>
        </w:rPr>
        <w:footnoteRef/>
      </w:r>
      <w:r>
        <w:rPr>
          <w:rtl/>
        </w:rPr>
        <w:t xml:space="preserve"> </w:t>
      </w:r>
      <w:r w:rsidRPr="003E4BBF">
        <w:rPr>
          <w:rStyle w:val="tlid-translation"/>
          <w:rFonts w:asciiTheme="majorBidi" w:hAnsiTheme="majorBidi" w:cstheme="majorBidi"/>
          <w:b w:val="0"/>
          <w:bCs w:val="0"/>
          <w:lang w:val="en" w:bidi="ar"/>
        </w:rPr>
        <w:t>The amount deducted from investments in equity and other investments in regulatory capital will be subject to adjustment to reflect the amount of the surplus in capital of these companies that exceeds the regulatory requirements</w:t>
      </w:r>
      <w:r w:rsidRPr="00423ABA">
        <w:rPr>
          <w:rStyle w:val="tlid-translation"/>
          <w:rFonts w:asciiTheme="majorBidi" w:hAnsiTheme="majorBidi" w:cstheme="majorBidi"/>
          <w:b w:val="0"/>
          <w:bCs w:val="0"/>
          <w:lang w:val="en" w:bidi="ar"/>
        </w:rPr>
        <w:t>. That is, the deducted amount will be the amount of investment and / or the regulatory capital requirements, whichever is less, a</w:t>
      </w:r>
      <w:r>
        <w:rPr>
          <w:rStyle w:val="tlid-translation"/>
          <w:rFonts w:asciiTheme="majorBidi" w:hAnsiTheme="majorBidi" w:cstheme="majorBidi"/>
          <w:b w:val="0"/>
          <w:bCs w:val="0"/>
          <w:lang w:val="en" w:bidi="ar"/>
        </w:rPr>
        <w:t xml:space="preserve">s indicated in clause (third / 4) of chapter two.  </w:t>
      </w:r>
      <w:r w:rsidRPr="00423ABA">
        <w:rPr>
          <w:rStyle w:val="tlid-translation"/>
          <w:rFonts w:asciiTheme="majorBidi" w:hAnsiTheme="majorBidi" w:cstheme="majorBidi"/>
          <w:b w:val="0"/>
          <w:bCs w:val="0"/>
          <w:lang w:val="en" w:bidi="ar"/>
        </w:rPr>
        <w:t>The amount representing the surplus (the difference between the investment in these companies and their regulatory capital) will be given a risk</w:t>
      </w:r>
      <w:r>
        <w:rPr>
          <w:rStyle w:val="tlid-translation"/>
          <w:rFonts w:asciiTheme="majorBidi" w:hAnsiTheme="majorBidi" w:cstheme="majorBidi"/>
          <w:b w:val="0"/>
          <w:bCs w:val="0"/>
          <w:lang w:val="en" w:bidi="ar"/>
        </w:rPr>
        <w:t xml:space="preserve">-weight </w:t>
      </w:r>
      <w:r w:rsidRPr="00423ABA">
        <w:rPr>
          <w:rStyle w:val="tlid-translation"/>
          <w:rFonts w:asciiTheme="majorBidi" w:hAnsiTheme="majorBidi" w:cstheme="majorBidi"/>
          <w:b w:val="0"/>
          <w:bCs w:val="0"/>
          <w:lang w:val="en" w:bidi="ar"/>
        </w:rPr>
        <w:t>like any other investment</w:t>
      </w:r>
      <w:r>
        <w:rPr>
          <w:rStyle w:val="tlid-translation"/>
          <w:rFonts w:asciiTheme="majorBidi" w:hAnsiTheme="majorBidi" w:cstheme="majorBidi"/>
          <w:b w:val="0"/>
          <w:bCs w:val="0"/>
          <w:lang w:val="en-US" w:bidi="ar"/>
        </w:rPr>
        <w:t>.</w:t>
      </w:r>
    </w:p>
  </w:footnote>
  <w:footnote w:id="4">
    <w:p w:rsidR="002629BE" w:rsidRPr="00AF467F" w:rsidRDefault="002629BE" w:rsidP="00943629">
      <w:pPr>
        <w:pStyle w:val="FootnoteText"/>
        <w:bidi w:val="0"/>
        <w:ind w:left="142" w:hanging="142"/>
        <w:rPr>
          <w:rFonts w:asciiTheme="majorBidi" w:hAnsiTheme="majorBidi" w:cstheme="majorBidi"/>
          <w:b w:val="0"/>
          <w:bCs w:val="0"/>
          <w:lang w:val="en-US"/>
        </w:rPr>
      </w:pPr>
      <w:r>
        <w:rPr>
          <w:rStyle w:val="FootnoteReference"/>
        </w:rPr>
        <w:footnoteRef/>
      </w:r>
      <w:r>
        <w:rPr>
          <w:rtl/>
        </w:rPr>
        <w:t xml:space="preserve"> </w:t>
      </w:r>
      <w:r>
        <w:rPr>
          <w:rStyle w:val="tlid-translation"/>
          <w:rFonts w:ascii="Times New Roman" w:hAnsi="Times New Roman" w:cs="Times New Roman"/>
          <w:b w:val="0"/>
          <w:bCs w:val="0"/>
          <w:lang w:val="en"/>
        </w:rPr>
        <w:t>In</w:t>
      </w:r>
      <w:r w:rsidRPr="00D51976">
        <w:rPr>
          <w:rStyle w:val="tlid-translation"/>
          <w:rFonts w:ascii="Times New Roman" w:hAnsi="Times New Roman" w:cs="Times New Roman"/>
          <w:b w:val="0"/>
          <w:bCs w:val="0"/>
          <w:lang w:val="en" w:bidi="ar"/>
        </w:rPr>
        <w:t xml:space="preserve"> the event that the bank encounters substantial financial problems</w:t>
      </w:r>
      <w:r>
        <w:rPr>
          <w:rStyle w:val="tlid-translation"/>
          <w:rFonts w:ascii="Times New Roman" w:hAnsi="Times New Roman" w:cs="Times New Roman"/>
          <w:b w:val="0"/>
          <w:bCs w:val="0"/>
          <w:lang w:val="en" w:bidi="ar"/>
        </w:rPr>
        <w:t>, the Central Bank has the right</w:t>
      </w:r>
      <w:r w:rsidRPr="00D51976">
        <w:rPr>
          <w:rStyle w:val="tlid-translation"/>
          <w:rFonts w:ascii="Times New Roman" w:hAnsi="Times New Roman" w:cs="Times New Roman"/>
          <w:b w:val="0"/>
          <w:bCs w:val="0"/>
          <w:lang w:val="en" w:bidi="ar"/>
        </w:rPr>
        <w:t xml:space="preserve"> to issue instructions that include these instruments absorbing losses</w:t>
      </w:r>
      <w:r>
        <w:rPr>
          <w:rStyle w:val="tlid-translation"/>
          <w:rFonts w:ascii="Times New Roman" w:hAnsi="Times New Roman" w:cs="Times New Roman"/>
          <w:b w:val="0"/>
          <w:bCs w:val="0"/>
          <w:lang w:val="en" w:bidi="ar"/>
        </w:rPr>
        <w:t>.</w:t>
      </w:r>
    </w:p>
  </w:footnote>
  <w:footnote w:id="5">
    <w:p w:rsidR="002629BE" w:rsidRPr="00990491" w:rsidRDefault="002629BE" w:rsidP="00772126">
      <w:pPr>
        <w:pStyle w:val="FootnoteText"/>
        <w:bidi w:val="0"/>
        <w:spacing w:after="0"/>
        <w:rPr>
          <w:lang w:val="en-US"/>
        </w:rPr>
      </w:pPr>
      <w:r>
        <w:rPr>
          <w:rStyle w:val="FootnoteReference"/>
        </w:rPr>
        <w:footnoteRef/>
      </w:r>
      <w:r>
        <w:rPr>
          <w:rtl/>
        </w:rPr>
        <w:t xml:space="preserve"> </w:t>
      </w:r>
      <w:r w:rsidRPr="00772126">
        <w:rPr>
          <w:rStyle w:val="tlid-translation"/>
          <w:rFonts w:ascii="Times New Roman" w:hAnsi="Times New Roman" w:cs="Times New Roman"/>
          <w:b w:val="0"/>
          <w:bCs w:val="0"/>
          <w:sz w:val="18"/>
          <w:szCs w:val="18"/>
          <w:lang w:val="en" w:bidi="ar"/>
        </w:rPr>
        <w:t>Proposed dividend is not included in CET1.</w:t>
      </w:r>
      <w:r w:rsidRPr="00D51976">
        <w:rPr>
          <w:rStyle w:val="tlid-translation"/>
          <w:rFonts w:ascii="Roboto" w:hAnsi="Roboto"/>
          <w:lang w:val="en" w:bidi="ar"/>
        </w:rPr>
        <w:t xml:space="preserve"> </w:t>
      </w:r>
    </w:p>
  </w:footnote>
  <w:footnote w:id="6">
    <w:p w:rsidR="002629BE" w:rsidRPr="00772126" w:rsidRDefault="002629BE" w:rsidP="00772126">
      <w:pPr>
        <w:pStyle w:val="FootnoteText"/>
        <w:bidi w:val="0"/>
        <w:spacing w:after="0"/>
        <w:ind w:left="142" w:hanging="142"/>
        <w:jc w:val="left"/>
        <w:rPr>
          <w:lang w:val="en-US" w:bidi="ar-JO"/>
        </w:rPr>
      </w:pPr>
      <w:r>
        <w:rPr>
          <w:rStyle w:val="FootnoteReference"/>
        </w:rPr>
        <w:footnoteRef/>
      </w:r>
      <w:r>
        <w:rPr>
          <w:rtl/>
        </w:rPr>
        <w:t xml:space="preserve"> </w:t>
      </w:r>
      <w:r w:rsidRPr="00772126">
        <w:rPr>
          <w:rFonts w:ascii="Times New Roman" w:hAnsi="Times New Roman" w:cs="Times New Roman"/>
          <w:b w:val="0"/>
          <w:bCs w:val="0"/>
          <w:color w:val="202124"/>
          <w:sz w:val="18"/>
          <w:szCs w:val="18"/>
          <w:lang w:val="en"/>
        </w:rPr>
        <w:t>If the reserve resulted from assets not valued at fair value, then this reserve is not recognized as a credit facility</w:t>
      </w:r>
      <w:r>
        <w:rPr>
          <w:rFonts w:ascii="Times New Roman" w:hAnsi="Times New Roman" w:cs="Times New Roman"/>
          <w:b w:val="0"/>
          <w:bCs w:val="0"/>
          <w:color w:val="202124"/>
          <w:sz w:val="18"/>
          <w:szCs w:val="18"/>
          <w:lang w:val="en"/>
        </w:rPr>
        <w:t>.</w:t>
      </w:r>
    </w:p>
  </w:footnote>
  <w:footnote w:id="7">
    <w:p w:rsidR="002629BE" w:rsidRPr="00D55427" w:rsidRDefault="002629BE" w:rsidP="00AD34FD">
      <w:pPr>
        <w:pStyle w:val="FootnoteText"/>
        <w:bidi w:val="0"/>
        <w:ind w:left="180" w:hanging="180"/>
      </w:pPr>
      <w:r>
        <w:rPr>
          <w:rStyle w:val="FootnoteReference"/>
        </w:rPr>
        <w:footnoteRef/>
      </w:r>
      <w:r>
        <w:rPr>
          <w:rtl/>
        </w:rPr>
        <w:t xml:space="preserve"> </w:t>
      </w:r>
      <w:r w:rsidRPr="00A040D2">
        <w:rPr>
          <w:rFonts w:ascii="Times New Roman" w:hAnsi="Times New Roman" w:cs="Times New Roman"/>
          <w:b w:val="0"/>
          <w:bCs w:val="0"/>
        </w:rPr>
        <w:t xml:space="preserve">A related entity can include a parent company, a sister company, a subsidiary or any other affiliate. A holding company is a related entity irrespective of whether it </w:t>
      </w:r>
      <w:r>
        <w:rPr>
          <w:rFonts w:ascii="Times New Roman" w:hAnsi="Times New Roman" w:cs="Times New Roman"/>
          <w:b w:val="0"/>
          <w:bCs w:val="0"/>
          <w:lang w:val="en-US"/>
        </w:rPr>
        <w:t>a</w:t>
      </w:r>
      <w:r w:rsidRPr="00A040D2">
        <w:rPr>
          <w:rFonts w:ascii="Times New Roman" w:hAnsi="Times New Roman" w:cs="Times New Roman"/>
          <w:b w:val="0"/>
          <w:bCs w:val="0"/>
        </w:rPr>
        <w:t xml:space="preserve"> part of the banking group.</w:t>
      </w:r>
    </w:p>
  </w:footnote>
  <w:footnote w:id="8">
    <w:p w:rsidR="002629BE" w:rsidRPr="001E64FB" w:rsidRDefault="002629BE" w:rsidP="001E64FB">
      <w:pPr>
        <w:pStyle w:val="FootnoteText"/>
        <w:bidi w:val="0"/>
        <w:spacing w:after="0"/>
        <w:rPr>
          <w:rFonts w:ascii="Times New Roman" w:hAnsi="Times New Roman" w:cs="Times New Roman"/>
          <w:b w:val="0"/>
          <w:bCs w:val="0"/>
          <w:lang w:val="en-US"/>
        </w:rPr>
      </w:pPr>
      <w:r>
        <w:rPr>
          <w:rStyle w:val="FootnoteReference"/>
        </w:rPr>
        <w:footnoteRef/>
      </w:r>
      <w:r>
        <w:rPr>
          <w:rtl/>
        </w:rPr>
        <w:t xml:space="preserve"> </w:t>
      </w:r>
      <w:r w:rsidRPr="001E64FB">
        <w:rPr>
          <w:rFonts w:ascii="Times New Roman" w:hAnsi="Times New Roman" w:cs="Times New Roman"/>
          <w:b w:val="0"/>
          <w:bCs w:val="0"/>
        </w:rPr>
        <w:t>Replacement issues can be concurrent with but not after the instrument is called</w:t>
      </w:r>
      <w:r>
        <w:rPr>
          <w:rFonts w:ascii="Times New Roman" w:hAnsi="Times New Roman" w:cs="Times New Roman"/>
          <w:b w:val="0"/>
          <w:bCs w:val="0"/>
          <w:lang w:val="en-US"/>
        </w:rPr>
        <w:t>.</w:t>
      </w:r>
    </w:p>
  </w:footnote>
  <w:footnote w:id="9">
    <w:p w:rsidR="002629BE" w:rsidRPr="007D685D" w:rsidRDefault="002629BE" w:rsidP="001E64FB">
      <w:pPr>
        <w:pStyle w:val="FootnoteText"/>
        <w:bidi w:val="0"/>
        <w:spacing w:after="0"/>
        <w:ind w:left="142" w:hanging="142"/>
        <w:rPr>
          <w:lang w:val="en-US"/>
        </w:rPr>
      </w:pPr>
      <w:r>
        <w:rPr>
          <w:rStyle w:val="FootnoteReference"/>
        </w:rPr>
        <w:footnoteRef/>
      </w:r>
      <w:r w:rsidRPr="002063C3">
        <w:rPr>
          <w:rStyle w:val="Heading1Char"/>
          <w:rFonts w:ascii="Roboto" w:hAnsi="Roboto"/>
          <w:color w:val="777777"/>
          <w:lang w:val="en" w:bidi="ar"/>
        </w:rPr>
        <w:t xml:space="preserve"> </w:t>
      </w:r>
      <w:r w:rsidRPr="001E64FB">
        <w:rPr>
          <w:rStyle w:val="tlid-translation"/>
          <w:rFonts w:ascii="Times New Roman" w:hAnsi="Times New Roman" w:cs="Times New Roman"/>
          <w:b w:val="0"/>
          <w:bCs w:val="0"/>
          <w:lang w:val="en" w:bidi="ar"/>
        </w:rPr>
        <w:t>If the redemption option is implemented, the assessment of the bank’s capital adequacy is subject to verification by the Central Bank of Jordan</w:t>
      </w:r>
      <w:r>
        <w:rPr>
          <w:rStyle w:val="tlid-translation"/>
          <w:rFonts w:ascii="Times New Roman" w:hAnsi="Times New Roman" w:cs="Times New Roman"/>
          <w:b w:val="0"/>
          <w:bCs w:val="0"/>
          <w:lang w:val="en" w:bidi="ar"/>
        </w:rPr>
        <w:t>.</w:t>
      </w:r>
    </w:p>
  </w:footnote>
  <w:footnote w:id="10">
    <w:p w:rsidR="002629BE" w:rsidRPr="004D3FEB" w:rsidRDefault="002629BE" w:rsidP="005A2107">
      <w:pPr>
        <w:pStyle w:val="FootnoteText"/>
        <w:bidi w:val="0"/>
        <w:spacing w:after="0"/>
        <w:ind w:left="426" w:hanging="426"/>
        <w:rPr>
          <w:lang w:val="en-US"/>
        </w:rPr>
      </w:pPr>
      <w:r>
        <w:rPr>
          <w:rStyle w:val="FootnoteReference"/>
        </w:rPr>
        <w:footnoteRef/>
      </w:r>
      <w:r>
        <w:rPr>
          <w:rtl/>
        </w:rPr>
        <w:t xml:space="preserve"> </w:t>
      </w:r>
      <w:r>
        <w:rPr>
          <w:lang w:val="en-US"/>
        </w:rPr>
        <w:t xml:space="preserve">  </w:t>
      </w:r>
      <w:r w:rsidRPr="004D3FEB">
        <w:rPr>
          <w:rFonts w:ascii="Times New Roman" w:hAnsi="Times New Roman" w:cs="Times New Roman"/>
          <w:b w:val="0"/>
          <w:bCs w:val="0"/>
        </w:rPr>
        <w:t>Replacement issues can be concurrent with but not after the instrument is called</w:t>
      </w:r>
      <w:r>
        <w:rPr>
          <w:rFonts w:ascii="Times New Roman" w:hAnsi="Times New Roman" w:cs="Times New Roman"/>
          <w:b w:val="0"/>
          <w:bCs w:val="0"/>
          <w:lang w:val="en-US"/>
        </w:rPr>
        <w:t>.</w:t>
      </w:r>
    </w:p>
  </w:footnote>
  <w:footnote w:id="11">
    <w:p w:rsidR="002629BE" w:rsidRPr="00DD03C3" w:rsidRDefault="002629BE" w:rsidP="004D3FEB">
      <w:pPr>
        <w:pStyle w:val="FootnoteText"/>
        <w:bidi w:val="0"/>
        <w:spacing w:after="0"/>
        <w:ind w:left="270" w:hanging="270"/>
        <w:rPr>
          <w:lang w:val="en-US"/>
        </w:rPr>
      </w:pPr>
      <w:r>
        <w:rPr>
          <w:rStyle w:val="FootnoteReference"/>
        </w:rPr>
        <w:footnoteRef/>
      </w:r>
      <w:r>
        <w:rPr>
          <w:lang w:val="en-US"/>
        </w:rPr>
        <w:t xml:space="preserve"> </w:t>
      </w:r>
      <w:r w:rsidRPr="004D3FEB">
        <w:rPr>
          <w:rFonts w:ascii="Times New Roman" w:hAnsi="Times New Roman" w:cs="Times New Roman"/>
          <w:b w:val="0"/>
          <w:bCs w:val="0"/>
          <w:lang w:val="en-US"/>
        </w:rPr>
        <w:t>Subject  to  an  assessment  of  the  licensed  bank’s  capital  adequacy  by  the  Central  Bank of Jordan  if  the  call   were to be exercised</w:t>
      </w:r>
      <w:r>
        <w:rPr>
          <w:rFonts w:ascii="Times New Roman" w:hAnsi="Times New Roman" w:cs="Times New Roman"/>
          <w:b w:val="0"/>
          <w:bCs w:val="0"/>
          <w:lang w:val="en-US"/>
        </w:rPr>
        <w:t>.</w:t>
      </w:r>
    </w:p>
  </w:footnote>
  <w:footnote w:id="12">
    <w:p w:rsidR="002629BE" w:rsidRPr="004D3FEB" w:rsidRDefault="002629BE" w:rsidP="004D3FEB">
      <w:pPr>
        <w:pStyle w:val="FootnoteText"/>
        <w:bidi w:val="0"/>
        <w:spacing w:after="0"/>
        <w:rPr>
          <w:b w:val="0"/>
          <w:bCs w:val="0"/>
          <w:lang w:val="en-US"/>
        </w:rPr>
      </w:pPr>
      <w:r>
        <w:rPr>
          <w:rStyle w:val="FootnoteReference"/>
        </w:rPr>
        <w:footnoteRef/>
      </w:r>
      <w:r w:rsidRPr="004D3FEB">
        <w:rPr>
          <w:rFonts w:ascii="Times New Roman" w:hAnsi="Times New Roman" w:cs="Times New Roman"/>
          <w:rtl/>
        </w:rPr>
        <w:t xml:space="preserve"> </w:t>
      </w:r>
      <w:r w:rsidRPr="004D3FEB">
        <w:rPr>
          <w:rStyle w:val="tlid-translation"/>
          <w:rFonts w:ascii="Times New Roman" w:hAnsi="Times New Roman" w:cs="Times New Roman"/>
          <w:b w:val="0"/>
          <w:bCs w:val="0"/>
          <w:lang w:val="en" w:bidi="ar"/>
        </w:rPr>
        <w:t>In the event that the requirements of the host supervisory authority are higher, they are taken into consideration</w:t>
      </w:r>
      <w:r>
        <w:rPr>
          <w:rStyle w:val="tlid-translation"/>
          <w:rFonts w:ascii="Times New Roman" w:hAnsi="Times New Roman" w:cs="Times New Roman"/>
          <w:b w:val="0"/>
          <w:bCs w:val="0"/>
          <w:lang w:val="en" w:bidi="ar"/>
        </w:rPr>
        <w:t>.</w:t>
      </w:r>
    </w:p>
  </w:footnote>
  <w:footnote w:id="13">
    <w:p w:rsidR="002629BE" w:rsidRPr="004D3FEB" w:rsidRDefault="002629BE" w:rsidP="004D3FEB">
      <w:pPr>
        <w:pStyle w:val="FootnoteText"/>
        <w:bidi w:val="0"/>
        <w:spacing w:after="0"/>
        <w:rPr>
          <w:b w:val="0"/>
          <w:bCs w:val="0"/>
          <w:lang w:val="en-US"/>
        </w:rPr>
      </w:pPr>
      <w:r w:rsidRPr="004D3FEB">
        <w:rPr>
          <w:rStyle w:val="FootnoteReference"/>
          <w:b w:val="0"/>
          <w:bCs w:val="0"/>
        </w:rPr>
        <w:footnoteRef/>
      </w:r>
      <w:r w:rsidRPr="004D3FEB">
        <w:rPr>
          <w:b w:val="0"/>
          <w:bCs w:val="0"/>
          <w:rtl/>
        </w:rPr>
        <w:t xml:space="preserve"> </w:t>
      </w:r>
      <w:r w:rsidRPr="004D3FEB">
        <w:rPr>
          <w:rStyle w:val="tlid-translation"/>
          <w:rFonts w:ascii="Roboto" w:hAnsi="Roboto"/>
          <w:b w:val="0"/>
          <w:bCs w:val="0"/>
          <w:lang w:val="en" w:bidi="ar"/>
        </w:rPr>
        <w:t>In the event that the requirements of the host supervisory authority are higher, they are taken into consideration</w:t>
      </w:r>
      <w:r>
        <w:rPr>
          <w:rStyle w:val="tlid-translation"/>
          <w:rFonts w:ascii="Roboto" w:hAnsi="Roboto"/>
          <w:b w:val="0"/>
          <w:bCs w:val="0"/>
          <w:lang w:val="en" w:bidi="ar"/>
        </w:rPr>
        <w:t>.</w:t>
      </w:r>
    </w:p>
  </w:footnote>
  <w:footnote w:id="14">
    <w:p w:rsidR="002629BE" w:rsidRPr="002E16BF" w:rsidRDefault="002629BE" w:rsidP="00392B92">
      <w:pPr>
        <w:pStyle w:val="FootnoteText"/>
        <w:bidi w:val="0"/>
        <w:spacing w:after="0"/>
        <w:ind w:left="360" w:hanging="360"/>
        <w:rPr>
          <w:lang w:val="en-US"/>
        </w:rPr>
      </w:pPr>
      <w:r>
        <w:rPr>
          <w:rStyle w:val="FootnoteReference"/>
        </w:rPr>
        <w:footnoteRef/>
      </w:r>
      <w:r>
        <w:rPr>
          <w:rtl/>
        </w:rPr>
        <w:t xml:space="preserve"> </w:t>
      </w:r>
      <w:r>
        <w:rPr>
          <w:lang w:val="en-US"/>
        </w:rPr>
        <w:t xml:space="preserve"> </w:t>
      </w:r>
      <w:r w:rsidRPr="00392B92">
        <w:rPr>
          <w:rFonts w:ascii="Times New Roman" w:hAnsi="Times New Roman" w:cs="Times New Roman"/>
          <w:b w:val="0"/>
          <w:bCs w:val="0"/>
          <w:lang w:val="en-US"/>
        </w:rPr>
        <w:t>Indirect holdings are exposures or parts of exposures that, if a direct holding loses its value, will result in a loss to the bank substantially equivalent to the loss in value of the direct holding</w:t>
      </w:r>
      <w:r w:rsidR="00BD5854">
        <w:rPr>
          <w:rFonts w:ascii="Times New Roman" w:hAnsi="Times New Roman" w:cs="Times New Roman"/>
          <w:b w:val="0"/>
          <w:bCs w:val="0"/>
          <w:lang w:val="en-US"/>
        </w:rPr>
        <w:t>.</w:t>
      </w:r>
    </w:p>
  </w:footnote>
  <w:footnote w:id="15">
    <w:p w:rsidR="002629BE" w:rsidRPr="00EC485A" w:rsidRDefault="002629BE" w:rsidP="00392B92">
      <w:pPr>
        <w:pStyle w:val="FootnoteText"/>
        <w:bidi w:val="0"/>
        <w:spacing w:after="0"/>
        <w:ind w:left="180" w:hanging="180"/>
        <w:rPr>
          <w:lang w:val="en-US"/>
        </w:rPr>
      </w:pPr>
      <w:r>
        <w:rPr>
          <w:rStyle w:val="FootnoteReference"/>
        </w:rPr>
        <w:footnoteRef/>
      </w:r>
      <w:r>
        <w:rPr>
          <w:rtl/>
        </w:rPr>
        <w:t xml:space="preserve"> </w:t>
      </w:r>
      <w:r w:rsidRPr="00392B92">
        <w:rPr>
          <w:rFonts w:ascii="Times New Roman" w:hAnsi="Times New Roman" w:cs="Times New Roman"/>
          <w:b w:val="0"/>
          <w:bCs w:val="0"/>
        </w:rPr>
        <w:t>Investments in entities that are outside of the scope of regulatory consolidation refers to investments in entities that have not been consolidated at all or have not been consolidated in such a way as to result in their assets being included in the calculation of consolidated risk-weighted assets of the group</w:t>
      </w:r>
      <w:r>
        <w:rPr>
          <w:rFonts w:ascii="Times New Roman" w:hAnsi="Times New Roman" w:cs="Times New Roman"/>
          <w:b w:val="0"/>
          <w:bCs w:val="0"/>
          <w:lang w:val="en-US"/>
        </w:rPr>
        <w:t>.</w:t>
      </w:r>
    </w:p>
  </w:footnote>
  <w:footnote w:id="16">
    <w:p w:rsidR="002629BE" w:rsidRPr="00BD6E5B" w:rsidRDefault="002629BE" w:rsidP="001E6F20">
      <w:pPr>
        <w:pStyle w:val="FootnoteText"/>
        <w:bidi w:val="0"/>
        <w:spacing w:after="0"/>
        <w:rPr>
          <w:lang w:val="en-US"/>
        </w:rPr>
      </w:pPr>
      <w:r>
        <w:rPr>
          <w:rStyle w:val="FootnoteReference"/>
        </w:rPr>
        <w:footnoteRef/>
      </w:r>
      <w:r w:rsidRPr="00BD6E5B">
        <w:rPr>
          <w:b w:val="0"/>
          <w:bCs w:val="0"/>
          <w:sz w:val="24"/>
          <w:szCs w:val="24"/>
          <w:rtl/>
        </w:rPr>
        <w:t xml:space="preserve"> </w:t>
      </w:r>
      <w:r w:rsidRPr="001E6F20">
        <w:rPr>
          <w:rFonts w:ascii="Times New Roman" w:hAnsi="Times New Roman" w:cs="Times New Roman"/>
          <w:b w:val="0"/>
          <w:bCs w:val="0"/>
          <w:lang w:val="en-US"/>
        </w:rPr>
        <w:t>(</w:t>
      </w:r>
      <w:r w:rsidRPr="001E6F20">
        <w:rPr>
          <w:rStyle w:val="jlqj4b"/>
          <w:rFonts w:ascii="Times New Roman" w:hAnsi="Times New Roman" w:cs="Times New Roman"/>
          <w:b w:val="0"/>
          <w:bCs w:val="0"/>
          <w:lang w:val="en" w:bidi="ar"/>
        </w:rPr>
        <w:t>4.5%) according to the Basel III paper and (1.5%) additional risk hedging margin from the Central Bank</w:t>
      </w:r>
      <w:r w:rsidR="00BD5854">
        <w:rPr>
          <w:rStyle w:val="jlqj4b"/>
          <w:rFonts w:ascii="Times New Roman" w:hAnsi="Times New Roman" w:cs="Times New Roman"/>
          <w:b w:val="0"/>
          <w:bCs w:val="0"/>
          <w:lang w:val="en" w:bidi="ar"/>
        </w:rPr>
        <w:t>.</w:t>
      </w:r>
    </w:p>
  </w:footnote>
  <w:footnote w:id="17">
    <w:p w:rsidR="002629BE" w:rsidRPr="00BD6E5B" w:rsidRDefault="002629BE" w:rsidP="001E6F20">
      <w:pPr>
        <w:pStyle w:val="FootnoteText"/>
        <w:bidi w:val="0"/>
        <w:spacing w:after="0"/>
        <w:rPr>
          <w:rStyle w:val="jlqj4b"/>
          <w:rFonts w:ascii="Roboto" w:hAnsi="Roboto"/>
          <w:b w:val="0"/>
          <w:bCs w:val="0"/>
          <w:sz w:val="24"/>
          <w:szCs w:val="24"/>
          <w:lang w:val="en" w:bidi="ar"/>
        </w:rPr>
      </w:pPr>
      <w:r>
        <w:rPr>
          <w:rStyle w:val="FootnoteReference"/>
        </w:rPr>
        <w:footnoteRef/>
      </w:r>
      <w:r>
        <w:rPr>
          <w:rtl/>
        </w:rPr>
        <w:t xml:space="preserve"> </w:t>
      </w:r>
      <w:r w:rsidRPr="001E6F20">
        <w:rPr>
          <w:rStyle w:val="jlqj4b"/>
          <w:rFonts w:ascii="Times New Roman" w:hAnsi="Times New Roman" w:cs="Times New Roman"/>
          <w:b w:val="0"/>
          <w:bCs w:val="0"/>
          <w:lang w:val="en" w:bidi="ar"/>
        </w:rPr>
        <w:t xml:space="preserve">The minimum is included in the </w:t>
      </w:r>
      <w:r w:rsidRPr="001E6F20">
        <w:rPr>
          <w:rFonts w:ascii="Times New Roman" w:hAnsi="Times New Roman" w:cs="Times New Roman"/>
          <w:b w:val="0"/>
          <w:bCs w:val="0"/>
        </w:rPr>
        <w:t>Conservation Buffer</w:t>
      </w:r>
      <w:r w:rsidRPr="001E6F20">
        <w:rPr>
          <w:rStyle w:val="jlqj4b"/>
          <w:rFonts w:ascii="Times New Roman" w:hAnsi="Times New Roman" w:cs="Times New Roman"/>
          <w:b w:val="0"/>
          <w:bCs w:val="0"/>
          <w:lang w:val="en" w:bidi="ar"/>
        </w:rPr>
        <w:t xml:space="preserve"> of (2.5%) of risk weighted assets, so that it is CET1</w:t>
      </w:r>
      <w:r>
        <w:rPr>
          <w:rStyle w:val="jlqj4b"/>
          <w:rFonts w:ascii="Times New Roman" w:hAnsi="Times New Roman" w:cs="Times New Roman"/>
          <w:b w:val="0"/>
          <w:bCs w:val="0"/>
          <w:lang w:val="en" w:bidi="ar"/>
        </w:rPr>
        <w:t>.</w:t>
      </w:r>
    </w:p>
  </w:footnote>
  <w:footnote w:id="18">
    <w:p w:rsidR="002629BE" w:rsidRPr="004E4131" w:rsidRDefault="002629BE" w:rsidP="00CA0E53">
      <w:pPr>
        <w:pStyle w:val="FootnoteText"/>
        <w:bidi w:val="0"/>
        <w:spacing w:after="0"/>
        <w:rPr>
          <w:lang w:val="en-US"/>
        </w:rPr>
      </w:pPr>
      <w:r>
        <w:rPr>
          <w:rStyle w:val="FootnoteReference"/>
        </w:rPr>
        <w:footnoteRef/>
      </w:r>
      <w:r>
        <w:rPr>
          <w:rtl/>
        </w:rPr>
        <w:t xml:space="preserve"> </w:t>
      </w:r>
      <w:r w:rsidRPr="00CA0E53">
        <w:rPr>
          <w:rFonts w:ascii="Times New Roman" w:hAnsi="Times New Roman" w:cs="Times New Roman"/>
          <w:b w:val="0"/>
          <w:bCs w:val="0"/>
          <w:color w:val="202124"/>
          <w:lang w:val="en"/>
        </w:rPr>
        <w:t xml:space="preserve">Assuming that the maximum value of </w:t>
      </w:r>
      <w:r w:rsidRPr="00CA0E53">
        <w:rPr>
          <w:rFonts w:ascii="Times New Roman" w:hAnsi="Times New Roman" w:cs="Times New Roman"/>
          <w:b w:val="0"/>
          <w:bCs w:val="0"/>
        </w:rPr>
        <w:t>countercyclical buffer</w:t>
      </w:r>
      <w:r w:rsidRPr="00CA0E53">
        <w:rPr>
          <w:rFonts w:ascii="Times New Roman" w:hAnsi="Times New Roman" w:cs="Times New Roman"/>
          <w:b w:val="0"/>
          <w:bCs w:val="0"/>
          <w:color w:val="202124"/>
          <w:lang w:val="en"/>
        </w:rPr>
        <w:t xml:space="preserve"> is imposed.</w:t>
      </w:r>
    </w:p>
  </w:footnote>
  <w:footnote w:id="19">
    <w:p w:rsidR="002629BE" w:rsidRPr="00C707F1" w:rsidRDefault="002629BE" w:rsidP="00C707F1">
      <w:pPr>
        <w:pStyle w:val="FootnoteText"/>
        <w:bidi w:val="0"/>
        <w:rPr>
          <w:rtl/>
          <w:lang w:val="en-US" w:bidi="ar-JO"/>
        </w:rPr>
      </w:pPr>
      <w:r>
        <w:rPr>
          <w:rStyle w:val="FootnoteReference"/>
        </w:rPr>
        <w:footnoteRef/>
      </w:r>
      <w:r w:rsidRPr="00C707F1">
        <w:rPr>
          <w:rFonts w:ascii="Times New Roman" w:hAnsi="Times New Roman" w:cs="Times New Roman"/>
          <w:b w:val="0"/>
          <w:bCs w:val="0"/>
          <w:sz w:val="22"/>
          <w:szCs w:val="22"/>
          <w:rtl/>
        </w:rPr>
        <w:t xml:space="preserve"> </w:t>
      </w:r>
      <w:r w:rsidRPr="00C707F1">
        <w:rPr>
          <w:rFonts w:ascii="Times New Roman" w:hAnsi="Times New Roman" w:cs="Times New Roman"/>
          <w:b w:val="0"/>
          <w:bCs w:val="0"/>
        </w:rPr>
        <w:t>letters of credit</w:t>
      </w:r>
      <w:r w:rsidRPr="00C707F1">
        <w:rPr>
          <w:rFonts w:ascii="Times New Roman" w:hAnsi="Times New Roman" w:cs="Times New Roman"/>
          <w:b w:val="0"/>
          <w:bCs w:val="0"/>
          <w:color w:val="202124"/>
          <w:lang w:val="en"/>
        </w:rPr>
        <w:t xml:space="preserve"> that are used to present </w:t>
      </w:r>
      <w:r>
        <w:rPr>
          <w:rFonts w:ascii="Times New Roman" w:hAnsi="Times New Roman" w:cs="Times New Roman"/>
          <w:b w:val="0"/>
          <w:bCs w:val="0"/>
          <w:color w:val="202124"/>
          <w:lang w:val="en-US"/>
        </w:rPr>
        <w:t>colletrals</w:t>
      </w:r>
      <w:r w:rsidRPr="00C707F1">
        <w:rPr>
          <w:rFonts w:ascii="Times New Roman" w:hAnsi="Times New Roman" w:cs="Times New Roman"/>
          <w:b w:val="0"/>
          <w:bCs w:val="0"/>
          <w:color w:val="202124"/>
          <w:lang w:val="en"/>
        </w:rPr>
        <w:t xml:space="preserve"> as a substitute for guarantees</w:t>
      </w:r>
      <w:r>
        <w:rPr>
          <w:rFonts w:ascii="Times New Roman" w:hAnsi="Times New Roman" w:cs="Times New Roman"/>
          <w:b w:val="0"/>
          <w:bCs w:val="0"/>
          <w:color w:val="202124"/>
          <w:lang w:val="en"/>
        </w:rPr>
        <w:t>.</w:t>
      </w:r>
    </w:p>
  </w:footnote>
  <w:footnote w:id="20">
    <w:p w:rsidR="002629BE" w:rsidRPr="008A3E42" w:rsidRDefault="002629BE" w:rsidP="0048163B">
      <w:pPr>
        <w:pStyle w:val="FootnoteText"/>
        <w:bidi w:val="0"/>
        <w:spacing w:after="0"/>
        <w:ind w:left="142" w:hanging="142"/>
        <w:rPr>
          <w:rFonts w:ascii="Times New Roman" w:hAnsi="Times New Roman" w:cs="Times New Roman"/>
          <w:b w:val="0"/>
          <w:bCs w:val="0"/>
          <w:lang w:val="en-US"/>
        </w:rPr>
      </w:pPr>
      <w:r w:rsidRPr="008A3E42">
        <w:rPr>
          <w:rStyle w:val="FootnoteReference"/>
          <w:rFonts w:ascii="Times New Roman" w:hAnsi="Times New Roman" w:cs="Times New Roman"/>
          <w:b w:val="0"/>
          <w:bCs w:val="0"/>
        </w:rPr>
        <w:footnoteRef/>
      </w:r>
      <w:r w:rsidRPr="008A3E42">
        <w:rPr>
          <w:rFonts w:ascii="Times New Roman" w:hAnsi="Times New Roman" w:cs="Times New Roman"/>
          <w:b w:val="0"/>
          <w:bCs w:val="0"/>
          <w:rtl/>
        </w:rPr>
        <w:t xml:space="preserve"> </w:t>
      </w:r>
      <w:r>
        <w:rPr>
          <w:rFonts w:ascii="Times New Roman" w:hAnsi="Times New Roman" w:cs="Times New Roman"/>
          <w:b w:val="0"/>
          <w:bCs w:val="0"/>
          <w:lang w:val="en-US"/>
        </w:rPr>
        <w:t>P</w:t>
      </w:r>
      <w:r w:rsidRPr="008A3E42">
        <w:rPr>
          <w:rFonts w:ascii="Times New Roman" w:hAnsi="Times New Roman" w:cs="Times New Roman"/>
          <w:b w:val="0"/>
          <w:bCs w:val="0"/>
          <w:color w:val="202124"/>
          <w:lang w:val="en"/>
        </w:rPr>
        <w:t xml:space="preserve">ositions and portfolios </w:t>
      </w:r>
      <w:r>
        <w:rPr>
          <w:rFonts w:ascii="Times New Roman" w:hAnsi="Times New Roman" w:cs="Times New Roman"/>
          <w:b w:val="0"/>
          <w:bCs w:val="0"/>
          <w:color w:val="202124"/>
          <w:lang w:val="en"/>
        </w:rPr>
        <w:t>p</w:t>
      </w:r>
      <w:r w:rsidRPr="008A3E42">
        <w:rPr>
          <w:rFonts w:ascii="Times New Roman" w:hAnsi="Times New Roman" w:cs="Times New Roman"/>
          <w:b w:val="0"/>
          <w:bCs w:val="0"/>
          <w:color w:val="202124"/>
          <w:lang w:val="en"/>
        </w:rPr>
        <w:t>ricing according to prices determined by financial models, not the market.</w:t>
      </w:r>
    </w:p>
  </w:footnote>
  <w:footnote w:id="21">
    <w:p w:rsidR="002629BE" w:rsidRPr="0007694B" w:rsidRDefault="002629BE" w:rsidP="008A3E42">
      <w:pPr>
        <w:pStyle w:val="FootnoteText"/>
        <w:bidi w:val="0"/>
        <w:spacing w:after="0"/>
        <w:ind w:left="142" w:hanging="142"/>
        <w:rPr>
          <w:lang w:val="en-US"/>
        </w:rPr>
      </w:pPr>
      <w:r w:rsidRPr="008A3E42">
        <w:rPr>
          <w:rStyle w:val="FootnoteReference"/>
          <w:rFonts w:ascii="Times New Roman" w:hAnsi="Times New Roman" w:cs="Times New Roman"/>
          <w:b w:val="0"/>
          <w:bCs w:val="0"/>
        </w:rPr>
        <w:footnoteRef/>
      </w:r>
      <w:r w:rsidRPr="008A3E42">
        <w:rPr>
          <w:rFonts w:ascii="Times New Roman" w:hAnsi="Times New Roman" w:cs="Times New Roman"/>
          <w:b w:val="0"/>
          <w:bCs w:val="0"/>
          <w:rtl/>
        </w:rPr>
        <w:t xml:space="preserve"> </w:t>
      </w:r>
      <w:r w:rsidRPr="008A3E42">
        <w:rPr>
          <w:rFonts w:ascii="Times New Roman" w:hAnsi="Times New Roman" w:cs="Times New Roman"/>
          <w:b w:val="0"/>
          <w:bCs w:val="0"/>
          <w:color w:val="202124"/>
          <w:lang w:val="en"/>
        </w:rPr>
        <w:t>Structural Foreign Exchange Positions: The positions by which a group of foreign currency positions is hedged in the balance sheet of the bank.</w:t>
      </w:r>
    </w:p>
  </w:footnote>
  <w:footnote w:id="22">
    <w:p w:rsidR="002629BE" w:rsidRPr="001823FD" w:rsidRDefault="002629BE" w:rsidP="00CC4B29">
      <w:pPr>
        <w:pStyle w:val="FootnoteText"/>
        <w:bidi w:val="0"/>
        <w:ind w:left="284" w:hanging="284"/>
        <w:rPr>
          <w:lang w:val="en-US"/>
        </w:rPr>
      </w:pPr>
      <w:r>
        <w:rPr>
          <w:rStyle w:val="FootnoteReference"/>
        </w:rPr>
        <w:footnoteRef/>
      </w:r>
      <w:r>
        <w:rPr>
          <w:rtl/>
        </w:rPr>
        <w:t xml:space="preserve"> </w:t>
      </w:r>
      <w:r>
        <w:rPr>
          <w:lang w:val="en-US"/>
        </w:rPr>
        <w:t xml:space="preserve"> </w:t>
      </w:r>
      <w:r w:rsidRPr="00CC4B29">
        <w:rPr>
          <w:rFonts w:ascii="Times New Roman" w:hAnsi="Times New Roman" w:cs="Times New Roman"/>
          <w:b w:val="0"/>
          <w:bCs w:val="0"/>
          <w:color w:val="202124"/>
          <w:sz w:val="18"/>
          <w:szCs w:val="18"/>
          <w:lang w:val="en"/>
        </w:rPr>
        <w:t xml:space="preserve">It is the sum of (15) million </w:t>
      </w:r>
      <w:r>
        <w:rPr>
          <w:rFonts w:ascii="Times New Roman" w:hAnsi="Times New Roman" w:cs="Times New Roman"/>
          <w:b w:val="0"/>
          <w:bCs w:val="0"/>
          <w:color w:val="202124"/>
          <w:sz w:val="18"/>
          <w:szCs w:val="18"/>
          <w:lang w:val="en"/>
        </w:rPr>
        <w:t>JD</w:t>
      </w:r>
      <w:r w:rsidRPr="00CC4B29">
        <w:rPr>
          <w:rFonts w:ascii="Times New Roman" w:hAnsi="Times New Roman" w:cs="Times New Roman"/>
          <w:b w:val="0"/>
          <w:bCs w:val="0"/>
          <w:color w:val="202124"/>
          <w:sz w:val="18"/>
          <w:szCs w:val="18"/>
          <w:lang w:val="en"/>
        </w:rPr>
        <w:t xml:space="preserve">, which represents investments in banks, financial companies and insurance companies that exceed (10%) within CET1 instruments, with an amount of (20) million </w:t>
      </w:r>
      <w:r>
        <w:rPr>
          <w:rFonts w:ascii="Times New Roman" w:hAnsi="Times New Roman" w:cs="Times New Roman"/>
          <w:b w:val="0"/>
          <w:bCs w:val="0"/>
          <w:color w:val="202124"/>
          <w:sz w:val="18"/>
          <w:szCs w:val="18"/>
          <w:lang w:val="en"/>
        </w:rPr>
        <w:t>JD</w:t>
      </w:r>
      <w:r w:rsidRPr="00CC4B29">
        <w:rPr>
          <w:rFonts w:ascii="Times New Roman" w:hAnsi="Times New Roman" w:cs="Times New Roman"/>
          <w:b w:val="0"/>
          <w:bCs w:val="0"/>
          <w:color w:val="202124"/>
          <w:sz w:val="18"/>
          <w:szCs w:val="18"/>
          <w:lang w:val="en"/>
        </w:rPr>
        <w:t>, which represents deferred tax assets</w:t>
      </w:r>
      <w:r>
        <w:rPr>
          <w:rFonts w:ascii="Times New Roman" w:hAnsi="Times New Roman" w:cs="Times New Roman"/>
          <w:b w:val="0"/>
          <w:bCs w:val="0"/>
          <w:color w:val="202124"/>
          <w:sz w:val="18"/>
          <w:szCs w:val="18"/>
          <w:lang w:val="en"/>
        </w:rPr>
        <w:t>.</w:t>
      </w:r>
    </w:p>
  </w:footnote>
  <w:footnote w:id="23">
    <w:p w:rsidR="002629BE" w:rsidRPr="0006312A" w:rsidRDefault="002629BE" w:rsidP="00234A30">
      <w:pPr>
        <w:pStyle w:val="FootnoteText"/>
        <w:bidi w:val="0"/>
        <w:spacing w:after="0"/>
        <w:ind w:left="284" w:hanging="284"/>
        <w:rPr>
          <w:lang w:val="en-US"/>
        </w:rPr>
      </w:pPr>
      <w:r>
        <w:rPr>
          <w:rStyle w:val="FootnoteReference"/>
        </w:rPr>
        <w:footnoteRef/>
      </w:r>
      <w:r>
        <w:rPr>
          <w:rtl/>
        </w:rPr>
        <w:t xml:space="preserve"> </w:t>
      </w:r>
      <w:r w:rsidRPr="00234A30">
        <w:rPr>
          <w:rFonts w:ascii="Times New Roman" w:hAnsi="Times New Roman" w:cs="Times New Roman"/>
          <w:b w:val="0"/>
          <w:bCs w:val="0"/>
          <w:color w:val="202124"/>
          <w:lang w:val="en"/>
        </w:rPr>
        <w:t>If the exposures belonging to these institutions are in foreign currency, then the risk weight given to these exposures should not be less than the weight of the Jordanian government exposures in foreign currency</w:t>
      </w:r>
      <w:r>
        <w:rPr>
          <w:rFonts w:ascii="Times New Roman" w:hAnsi="Times New Roman" w:cs="Times New Roman"/>
          <w:b w:val="0"/>
          <w:bCs w:val="0"/>
          <w:color w:val="202124"/>
          <w:lang w:val="e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9BE" w:rsidRDefault="002629BE">
    <w:pPr>
      <w:pStyle w:val="Header"/>
      <w:framePr w:wrap="around" w:vAnchor="text" w:hAnchor="margin" w:xAlign="center" w:y="1"/>
      <w:rPr>
        <w:rStyle w:val="PageNumber"/>
        <w:rtl/>
      </w:rPr>
    </w:pPr>
    <w:r>
      <w:rPr>
        <w:noProof/>
        <w:rtl/>
        <w:lang w:val="en-US"/>
      </w:rPr>
      <mc:AlternateContent>
        <mc:Choice Requires="wps">
          <w:drawing>
            <wp:anchor distT="0" distB="0" distL="114300" distR="114300" simplePos="0" relativeHeight="251659264" behindDoc="1" locked="0" layoutInCell="0" allowOverlap="1" wp14:anchorId="62CFFBE7" wp14:editId="5FFFAD46">
              <wp:simplePos x="0" y="0"/>
              <wp:positionH relativeFrom="margin">
                <wp:align>center</wp:align>
              </wp:positionH>
              <wp:positionV relativeFrom="margin">
                <wp:align>center</wp:align>
              </wp:positionV>
              <wp:extent cx="5374640" cy="2149475"/>
              <wp:effectExtent l="0" t="1371600" r="0" b="12414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74640" cy="21494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629BE" w:rsidRDefault="002629BE" w:rsidP="00505A8B">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CFFBE7" id="_x0000_t202" coordsize="21600,21600" o:spt="202" path="m,l,21600r21600,l21600,xe">
              <v:stroke joinstyle="miter"/>
              <v:path gradientshapeok="t" o:connecttype="rect"/>
            </v:shapetype>
            <v:shape id="Text Box 5" o:spid="_x0000_s1026" type="#_x0000_t202" style="position:absolute;left:0;text-align:left;margin-left:0;margin-top:0;width:423.2pt;height:169.2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" o:allowincell="f" filled="f" stroked="f">
              <v:stroke joinstyle="round"/>
              <o:lock v:ext="edit" shapetype="t"/>
              <v:textbox style="mso-fit-shape-to-text:t">
                <w:txbxContent>
                  <w:p w:rsidR="002629BE" w:rsidRDefault="002629BE" w:rsidP="00505A8B">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24</w:t>
    </w:r>
    <w:r>
      <w:rPr>
        <w:rStyle w:val="PageNumber"/>
        <w:rtl/>
      </w:rPr>
      <w:fldChar w:fldCharType="end"/>
    </w:r>
  </w:p>
  <w:p w:rsidR="002629BE" w:rsidRDefault="002629BE">
    <w:pPr>
      <w:pStyle w:val="Header"/>
      <w:rPr>
        <w:rt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9BE" w:rsidRDefault="002629BE">
    <w:pPr>
      <w:pStyle w:val="Header"/>
    </w:pPr>
    <w:r>
      <w:rPr>
        <w:noProof/>
        <w:lang w:val="en-US"/>
      </w:rPr>
      <mc:AlternateContent>
        <mc:Choice Requires="wps">
          <w:drawing>
            <wp:anchor distT="0" distB="0" distL="114300" distR="114300" simplePos="0" relativeHeight="251660288" behindDoc="1" locked="0" layoutInCell="0" allowOverlap="1" wp14:anchorId="6EA746E5" wp14:editId="2257B1AF">
              <wp:simplePos x="0" y="0"/>
              <wp:positionH relativeFrom="margin">
                <wp:align>center</wp:align>
              </wp:positionH>
              <wp:positionV relativeFrom="margin">
                <wp:align>center</wp:align>
              </wp:positionV>
              <wp:extent cx="5374640" cy="2149475"/>
              <wp:effectExtent l="0" t="1371600" r="0" b="12414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74640" cy="21494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629BE" w:rsidRDefault="002629BE" w:rsidP="00505A8B">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EA746E5" id="_x0000_t202" coordsize="21600,21600" o:spt="202" path="m,l,21600r21600,l21600,xe">
              <v:stroke joinstyle="miter"/>
              <v:path gradientshapeok="t" o:connecttype="rect"/>
            </v:shapetype>
            <v:shape id="Text Box 4" o:spid="_x0000_s1027" type="#_x0000_t202" style="position:absolute;left:0;text-align:left;margin-left:0;margin-top:0;width:423.2pt;height:169.2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" o:allowincell="f" filled="f" stroked="f">
              <v:stroke joinstyle="round"/>
              <o:lock v:ext="edit" shapetype="t"/>
              <v:textbox style="mso-fit-shape-to-text:t">
                <w:txbxContent>
                  <w:p w:rsidR="002629BE" w:rsidRDefault="002629BE" w:rsidP="00505A8B">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9BE" w:rsidRDefault="002629BE">
    <w:pPr>
      <w:pStyle w:val="Header"/>
    </w:pPr>
    <w:r>
      <w:rPr>
        <w:noProof/>
        <w:lang w:val="en-US"/>
      </w:rPr>
      <mc:AlternateContent>
        <mc:Choice Requires="wps">
          <w:drawing>
            <wp:anchor distT="0" distB="0" distL="114300" distR="114300" simplePos="0" relativeHeight="251661312" behindDoc="1" locked="0" layoutInCell="0" allowOverlap="1" wp14:anchorId="19484F08" wp14:editId="060CB230">
              <wp:simplePos x="0" y="0"/>
              <wp:positionH relativeFrom="margin">
                <wp:align>center</wp:align>
              </wp:positionH>
              <wp:positionV relativeFrom="margin">
                <wp:align>center</wp:align>
              </wp:positionV>
              <wp:extent cx="5374640" cy="2149475"/>
              <wp:effectExtent l="0" t="1371600" r="0" b="12414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74640" cy="21494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629BE" w:rsidRDefault="002629BE" w:rsidP="00505A8B">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9484F08" id="_x0000_t202" coordsize="21600,21600" o:spt="202" path="m,l,21600r21600,l21600,xe">
              <v:stroke joinstyle="miter"/>
              <v:path gradientshapeok="t" o:connecttype="rect"/>
            </v:shapetype>
            <v:shape id="Text Box 3" o:spid="_x0000_s1028" type="#_x0000_t202" style="position:absolute;left:0;text-align:left;margin-left:0;margin-top:0;width:423.2pt;height:169.2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" o:allowincell="f" filled="f" stroked="f">
              <v:stroke joinstyle="round"/>
              <o:lock v:ext="edit" shapetype="t"/>
              <v:textbox style="mso-fit-shape-to-text:t">
                <w:txbxContent>
                  <w:p w:rsidR="002629BE" w:rsidRDefault="002629BE" w:rsidP="00505A8B">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9BE" w:rsidRDefault="002629BE">
    <w:pPr>
      <w:pStyle w:val="Header"/>
    </w:pPr>
    <w:r>
      <w:rPr>
        <w:noProof/>
        <w:lang w:val="en-US"/>
      </w:rPr>
      <mc:AlternateContent>
        <mc:Choice Requires="wps">
          <w:drawing>
            <wp:anchor distT="0" distB="0" distL="114300" distR="114300" simplePos="0" relativeHeight="251658240" behindDoc="1" locked="0" layoutInCell="0" allowOverlap="1" wp14:anchorId="301C8B78" wp14:editId="521F3EA1">
              <wp:simplePos x="0" y="0"/>
              <wp:positionH relativeFrom="margin">
                <wp:align>center</wp:align>
              </wp:positionH>
              <wp:positionV relativeFrom="margin">
                <wp:align>center</wp:align>
              </wp:positionV>
              <wp:extent cx="5374640" cy="2149475"/>
              <wp:effectExtent l="0" t="1371600" r="0" b="12414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74640" cy="21494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629BE" w:rsidRDefault="002629BE" w:rsidP="00505A8B">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01C8B78" id="_x0000_t202" coordsize="21600,21600" o:spt="202" path="m,l,21600r21600,l21600,xe">
              <v:stroke joinstyle="miter"/>
              <v:path gradientshapeok="t" o:connecttype="rect"/>
            </v:shapetype>
            <v:shape id="Text Box 2" o:spid="_x0000_s1029" type="#_x0000_t202" style="position:absolute;left:0;text-align:left;margin-left:0;margin-top:0;width:423.2pt;height:169.2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" o:allowincell="f" filled="f" stroked="f">
              <v:stroke joinstyle="round"/>
              <o:lock v:ext="edit" shapetype="t"/>
              <v:textbox style="mso-fit-shape-to-text:t">
                <w:txbxContent>
                  <w:p w:rsidR="002629BE" w:rsidRDefault="002629BE" w:rsidP="00505A8B">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9BE" w:rsidRDefault="002629BE">
    <w:pPr>
      <w:pStyle w:val="Head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2629BE" w:rsidRDefault="002629BE">
    <w:pPr>
      <w:pStyle w:val="Header"/>
      <w:rPr>
        <w:rtl/>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9BE" w:rsidRDefault="002629BE">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9BE" w:rsidRDefault="002629B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671"/>
    <w:multiLevelType w:val="hybridMultilevel"/>
    <w:tmpl w:val="922E5344"/>
    <w:lvl w:ilvl="0" w:tplc="3648CA7C">
      <w:start w:val="1"/>
      <w:numFmt w:val="lowerLetter"/>
      <w:lvlText w:val="%1."/>
      <w:lvlJc w:val="left"/>
      <w:pPr>
        <w:ind w:left="2700" w:hanging="360"/>
      </w:pPr>
      <w:rPr>
        <w:rFonts w:eastAsiaTheme="minorHAnsi" w:hint="default"/>
        <w:color w:val="auto"/>
      </w:rPr>
    </w:lvl>
    <w:lvl w:ilvl="1" w:tplc="04090019" w:tentative="1">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15:restartNumberingAfterBreak="0">
    <w:nsid w:val="04584DC1"/>
    <w:multiLevelType w:val="hybridMultilevel"/>
    <w:tmpl w:val="793C67D6"/>
    <w:lvl w:ilvl="0" w:tplc="3F1225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E0AB8"/>
    <w:multiLevelType w:val="hybridMultilevel"/>
    <w:tmpl w:val="793C67D6"/>
    <w:lvl w:ilvl="0" w:tplc="3F1225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E65DF"/>
    <w:multiLevelType w:val="hybridMultilevel"/>
    <w:tmpl w:val="44D8A0CA"/>
    <w:lvl w:ilvl="0" w:tplc="04090019">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95936"/>
    <w:multiLevelType w:val="hybridMultilevel"/>
    <w:tmpl w:val="D0305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D0982"/>
    <w:multiLevelType w:val="hybridMultilevel"/>
    <w:tmpl w:val="E7EAAE5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0DFF17E1"/>
    <w:multiLevelType w:val="hybridMultilevel"/>
    <w:tmpl w:val="07D4D4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850907"/>
    <w:multiLevelType w:val="hybridMultilevel"/>
    <w:tmpl w:val="3B824D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806533"/>
    <w:multiLevelType w:val="hybridMultilevel"/>
    <w:tmpl w:val="EBCA2438"/>
    <w:lvl w:ilvl="0" w:tplc="D2FEEC32">
      <w:start w:val="1"/>
      <w:numFmt w:val="lowerLetter"/>
      <w:lvlText w:val="%1."/>
      <w:lvlJc w:val="left"/>
      <w:pPr>
        <w:ind w:left="2195" w:hanging="360"/>
      </w:pPr>
      <w:rPr>
        <w:rFonts w:hint="default"/>
        <w:color w:val="202124"/>
      </w:rPr>
    </w:lvl>
    <w:lvl w:ilvl="1" w:tplc="04090019" w:tentative="1">
      <w:start w:val="1"/>
      <w:numFmt w:val="lowerLetter"/>
      <w:lvlText w:val="%2."/>
      <w:lvlJc w:val="left"/>
      <w:pPr>
        <w:ind w:left="2915" w:hanging="360"/>
      </w:pPr>
    </w:lvl>
    <w:lvl w:ilvl="2" w:tplc="0409001B" w:tentative="1">
      <w:start w:val="1"/>
      <w:numFmt w:val="lowerRoman"/>
      <w:lvlText w:val="%3."/>
      <w:lvlJc w:val="right"/>
      <w:pPr>
        <w:ind w:left="3635" w:hanging="180"/>
      </w:pPr>
    </w:lvl>
    <w:lvl w:ilvl="3" w:tplc="0409000F" w:tentative="1">
      <w:start w:val="1"/>
      <w:numFmt w:val="decimal"/>
      <w:lvlText w:val="%4."/>
      <w:lvlJc w:val="left"/>
      <w:pPr>
        <w:ind w:left="4355" w:hanging="360"/>
      </w:pPr>
    </w:lvl>
    <w:lvl w:ilvl="4" w:tplc="04090019" w:tentative="1">
      <w:start w:val="1"/>
      <w:numFmt w:val="lowerLetter"/>
      <w:lvlText w:val="%5."/>
      <w:lvlJc w:val="left"/>
      <w:pPr>
        <w:ind w:left="5075" w:hanging="360"/>
      </w:pPr>
    </w:lvl>
    <w:lvl w:ilvl="5" w:tplc="0409001B" w:tentative="1">
      <w:start w:val="1"/>
      <w:numFmt w:val="lowerRoman"/>
      <w:lvlText w:val="%6."/>
      <w:lvlJc w:val="right"/>
      <w:pPr>
        <w:ind w:left="5795" w:hanging="180"/>
      </w:pPr>
    </w:lvl>
    <w:lvl w:ilvl="6" w:tplc="0409000F" w:tentative="1">
      <w:start w:val="1"/>
      <w:numFmt w:val="decimal"/>
      <w:lvlText w:val="%7."/>
      <w:lvlJc w:val="left"/>
      <w:pPr>
        <w:ind w:left="6515" w:hanging="360"/>
      </w:pPr>
    </w:lvl>
    <w:lvl w:ilvl="7" w:tplc="04090019" w:tentative="1">
      <w:start w:val="1"/>
      <w:numFmt w:val="lowerLetter"/>
      <w:lvlText w:val="%8."/>
      <w:lvlJc w:val="left"/>
      <w:pPr>
        <w:ind w:left="7235" w:hanging="360"/>
      </w:pPr>
    </w:lvl>
    <w:lvl w:ilvl="8" w:tplc="0409001B" w:tentative="1">
      <w:start w:val="1"/>
      <w:numFmt w:val="lowerRoman"/>
      <w:lvlText w:val="%9."/>
      <w:lvlJc w:val="right"/>
      <w:pPr>
        <w:ind w:left="7955" w:hanging="180"/>
      </w:pPr>
    </w:lvl>
  </w:abstractNum>
  <w:abstractNum w:abstractNumId="9" w15:restartNumberingAfterBreak="0">
    <w:nsid w:val="16AB5682"/>
    <w:multiLevelType w:val="hybridMultilevel"/>
    <w:tmpl w:val="D99A68C2"/>
    <w:lvl w:ilvl="0" w:tplc="4550989A">
      <w:start w:val="1"/>
      <w:numFmt w:val="lowerLetter"/>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10" w15:restartNumberingAfterBreak="0">
    <w:nsid w:val="19BB5888"/>
    <w:multiLevelType w:val="multilevel"/>
    <w:tmpl w:val="8594E9AC"/>
    <w:lvl w:ilvl="0">
      <w:start w:val="1"/>
      <w:numFmt w:val="decimal"/>
      <w:lvlText w:val="%1."/>
      <w:lvlJc w:val="left"/>
      <w:pPr>
        <w:ind w:left="1080" w:hanging="360"/>
      </w:pPr>
      <w:rPr>
        <w:rFonts w:hint="default"/>
        <w:b/>
        <w:bCs/>
      </w:rPr>
    </w:lvl>
    <w:lvl w:ilvl="1">
      <w:start w:val="1"/>
      <w:numFmt w:val="decimal"/>
      <w:isLgl/>
      <w:lvlText w:val="%1.%2"/>
      <w:lvlJc w:val="left"/>
      <w:pPr>
        <w:ind w:left="1440" w:hanging="360"/>
      </w:pPr>
      <w:rPr>
        <w:rFonts w:hint="default"/>
        <w:b w:val="0"/>
        <w:bCs w:val="0"/>
      </w:rPr>
    </w:lvl>
    <w:lvl w:ilvl="2">
      <w:start w:val="1"/>
      <w:numFmt w:val="decimal"/>
      <w:isLgl/>
      <w:lvlText w:val="%1.%2.%3"/>
      <w:lvlJc w:val="left"/>
      <w:pPr>
        <w:ind w:left="1855"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1" w15:restartNumberingAfterBreak="0">
    <w:nsid w:val="1FB10668"/>
    <w:multiLevelType w:val="hybridMultilevel"/>
    <w:tmpl w:val="3D6EF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190872"/>
    <w:multiLevelType w:val="multilevel"/>
    <w:tmpl w:val="80B2D5C4"/>
    <w:lvl w:ilvl="0">
      <w:start w:val="1"/>
      <w:numFmt w:val="decimal"/>
      <w:lvlText w:val="%1."/>
      <w:lvlJc w:val="left"/>
      <w:pPr>
        <w:ind w:left="1470" w:hanging="360"/>
      </w:pPr>
    </w:lvl>
    <w:lvl w:ilvl="1">
      <w:start w:val="10"/>
      <w:numFmt w:val="decimal"/>
      <w:isLgl/>
      <w:lvlText w:val="%1.%2"/>
      <w:lvlJc w:val="left"/>
      <w:pPr>
        <w:ind w:left="1470" w:hanging="360"/>
      </w:pPr>
      <w:rPr>
        <w:rFonts w:hint="default"/>
      </w:rPr>
    </w:lvl>
    <w:lvl w:ilvl="2">
      <w:start w:val="1"/>
      <w:numFmt w:val="decimal"/>
      <w:isLgl/>
      <w:lvlText w:val="%1.%2.%3"/>
      <w:lvlJc w:val="left"/>
      <w:pPr>
        <w:ind w:left="1830" w:hanging="720"/>
      </w:pPr>
      <w:rPr>
        <w:rFonts w:hint="default"/>
      </w:rPr>
    </w:lvl>
    <w:lvl w:ilvl="3">
      <w:start w:val="1"/>
      <w:numFmt w:val="decimal"/>
      <w:isLgl/>
      <w:lvlText w:val="%1.%2.%3.%4"/>
      <w:lvlJc w:val="left"/>
      <w:pPr>
        <w:ind w:left="2190" w:hanging="1080"/>
      </w:pPr>
      <w:rPr>
        <w:rFonts w:hint="default"/>
      </w:rPr>
    </w:lvl>
    <w:lvl w:ilvl="4">
      <w:start w:val="1"/>
      <w:numFmt w:val="decimal"/>
      <w:isLgl/>
      <w:lvlText w:val="%1.%2.%3.%4.%5"/>
      <w:lvlJc w:val="left"/>
      <w:pPr>
        <w:ind w:left="219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2550" w:hanging="1440"/>
      </w:pPr>
      <w:rPr>
        <w:rFonts w:hint="default"/>
      </w:rPr>
    </w:lvl>
    <w:lvl w:ilvl="7">
      <w:start w:val="1"/>
      <w:numFmt w:val="decimal"/>
      <w:isLgl/>
      <w:lvlText w:val="%1.%2.%3.%4.%5.%6.%7.%8"/>
      <w:lvlJc w:val="left"/>
      <w:pPr>
        <w:ind w:left="2910" w:hanging="1800"/>
      </w:pPr>
      <w:rPr>
        <w:rFonts w:hint="default"/>
      </w:rPr>
    </w:lvl>
    <w:lvl w:ilvl="8">
      <w:start w:val="1"/>
      <w:numFmt w:val="decimal"/>
      <w:isLgl/>
      <w:lvlText w:val="%1.%2.%3.%4.%5.%6.%7.%8.%9"/>
      <w:lvlJc w:val="left"/>
      <w:pPr>
        <w:ind w:left="3270" w:hanging="2160"/>
      </w:pPr>
      <w:rPr>
        <w:rFonts w:hint="default"/>
      </w:rPr>
    </w:lvl>
  </w:abstractNum>
  <w:abstractNum w:abstractNumId="13" w15:restartNumberingAfterBreak="0">
    <w:nsid w:val="23F77F39"/>
    <w:multiLevelType w:val="multilevel"/>
    <w:tmpl w:val="865E49DE"/>
    <w:lvl w:ilvl="0">
      <w:start w:val="1"/>
      <w:numFmt w:val="decimal"/>
      <w:lvlText w:val="%1."/>
      <w:lvlJc w:val="left"/>
      <w:pPr>
        <w:ind w:left="401" w:hanging="360"/>
      </w:pPr>
      <w:rPr>
        <w:rFonts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2097" w:hanging="720"/>
      </w:pPr>
      <w:rPr>
        <w:rFonts w:hint="default"/>
      </w:rPr>
    </w:lvl>
    <w:lvl w:ilvl="3">
      <w:start w:val="1"/>
      <w:numFmt w:val="decimal"/>
      <w:isLgl/>
      <w:lvlText w:val="%1.%2.%3.%4"/>
      <w:lvlJc w:val="left"/>
      <w:pPr>
        <w:ind w:left="2765" w:hanging="720"/>
      </w:pPr>
      <w:rPr>
        <w:rFonts w:hint="default"/>
      </w:rPr>
    </w:lvl>
    <w:lvl w:ilvl="4">
      <w:start w:val="1"/>
      <w:numFmt w:val="decimal"/>
      <w:isLgl/>
      <w:lvlText w:val="%1.%2.%3.%4.%5"/>
      <w:lvlJc w:val="left"/>
      <w:pPr>
        <w:ind w:left="3793" w:hanging="1080"/>
      </w:pPr>
      <w:rPr>
        <w:rFonts w:hint="default"/>
      </w:rPr>
    </w:lvl>
    <w:lvl w:ilvl="5">
      <w:start w:val="1"/>
      <w:numFmt w:val="decimal"/>
      <w:isLgl/>
      <w:lvlText w:val="%1.%2.%3.%4.%5.%6"/>
      <w:lvlJc w:val="left"/>
      <w:pPr>
        <w:ind w:left="4461" w:hanging="1080"/>
      </w:pPr>
      <w:rPr>
        <w:rFonts w:hint="default"/>
      </w:rPr>
    </w:lvl>
    <w:lvl w:ilvl="6">
      <w:start w:val="1"/>
      <w:numFmt w:val="decimal"/>
      <w:isLgl/>
      <w:lvlText w:val="%1.%2.%3.%4.%5.%6.%7"/>
      <w:lvlJc w:val="left"/>
      <w:pPr>
        <w:ind w:left="5489" w:hanging="1440"/>
      </w:pPr>
      <w:rPr>
        <w:rFonts w:hint="default"/>
      </w:rPr>
    </w:lvl>
    <w:lvl w:ilvl="7">
      <w:start w:val="1"/>
      <w:numFmt w:val="decimal"/>
      <w:isLgl/>
      <w:lvlText w:val="%1.%2.%3.%4.%5.%6.%7.%8"/>
      <w:lvlJc w:val="left"/>
      <w:pPr>
        <w:ind w:left="6157" w:hanging="1440"/>
      </w:pPr>
      <w:rPr>
        <w:rFonts w:hint="default"/>
      </w:rPr>
    </w:lvl>
    <w:lvl w:ilvl="8">
      <w:start w:val="1"/>
      <w:numFmt w:val="decimal"/>
      <w:isLgl/>
      <w:lvlText w:val="%1.%2.%3.%4.%5.%6.%7.%8.%9"/>
      <w:lvlJc w:val="left"/>
      <w:pPr>
        <w:ind w:left="7185" w:hanging="1800"/>
      </w:pPr>
      <w:rPr>
        <w:rFonts w:hint="default"/>
      </w:rPr>
    </w:lvl>
  </w:abstractNum>
  <w:abstractNum w:abstractNumId="14" w15:restartNumberingAfterBreak="0">
    <w:nsid w:val="25DD53CF"/>
    <w:multiLevelType w:val="multilevel"/>
    <w:tmpl w:val="09CC5B76"/>
    <w:lvl w:ilvl="0">
      <w:start w:val="1"/>
      <w:numFmt w:val="decimal"/>
      <w:lvlText w:val="%1."/>
      <w:lvlJc w:val="left"/>
      <w:pPr>
        <w:ind w:left="401" w:hanging="360"/>
      </w:pPr>
      <w:rPr>
        <w:rFonts w:hint="default"/>
        <w:color w:val="202124"/>
        <w:sz w:val="26"/>
      </w:rPr>
    </w:lvl>
    <w:lvl w:ilvl="1">
      <w:start w:val="1"/>
      <w:numFmt w:val="decimal"/>
      <w:isLgl/>
      <w:lvlText w:val="%1.%2"/>
      <w:lvlJc w:val="left"/>
      <w:pPr>
        <w:ind w:left="1436" w:hanging="1035"/>
      </w:pPr>
      <w:rPr>
        <w:rFonts w:hint="default"/>
        <w:sz w:val="28"/>
      </w:rPr>
    </w:lvl>
    <w:lvl w:ilvl="2">
      <w:start w:val="1"/>
      <w:numFmt w:val="decimal"/>
      <w:isLgl/>
      <w:lvlText w:val="%1.%2.%3"/>
      <w:lvlJc w:val="left"/>
      <w:pPr>
        <w:ind w:left="1796" w:hanging="1035"/>
      </w:pPr>
      <w:rPr>
        <w:rFonts w:hint="default"/>
        <w:sz w:val="28"/>
      </w:rPr>
    </w:lvl>
    <w:lvl w:ilvl="3">
      <w:start w:val="1"/>
      <w:numFmt w:val="decimal"/>
      <w:isLgl/>
      <w:lvlText w:val="%1.%2.%3.%4"/>
      <w:lvlJc w:val="left"/>
      <w:pPr>
        <w:ind w:left="2201" w:hanging="1080"/>
      </w:pPr>
      <w:rPr>
        <w:rFonts w:hint="default"/>
        <w:sz w:val="28"/>
      </w:rPr>
    </w:lvl>
    <w:lvl w:ilvl="4">
      <w:start w:val="1"/>
      <w:numFmt w:val="decimal"/>
      <w:isLgl/>
      <w:lvlText w:val="%1.%2.%3.%4.%5"/>
      <w:lvlJc w:val="left"/>
      <w:pPr>
        <w:ind w:left="2561" w:hanging="1080"/>
      </w:pPr>
      <w:rPr>
        <w:rFonts w:hint="default"/>
        <w:sz w:val="28"/>
      </w:rPr>
    </w:lvl>
    <w:lvl w:ilvl="5">
      <w:start w:val="1"/>
      <w:numFmt w:val="decimal"/>
      <w:isLgl/>
      <w:lvlText w:val="%1.%2.%3.%4.%5.%6"/>
      <w:lvlJc w:val="left"/>
      <w:pPr>
        <w:ind w:left="3281" w:hanging="1440"/>
      </w:pPr>
      <w:rPr>
        <w:rFonts w:hint="default"/>
        <w:sz w:val="28"/>
      </w:rPr>
    </w:lvl>
    <w:lvl w:ilvl="6">
      <w:start w:val="1"/>
      <w:numFmt w:val="decimal"/>
      <w:isLgl/>
      <w:lvlText w:val="%1.%2.%3.%4.%5.%6.%7"/>
      <w:lvlJc w:val="left"/>
      <w:pPr>
        <w:ind w:left="4001" w:hanging="1800"/>
      </w:pPr>
      <w:rPr>
        <w:rFonts w:hint="default"/>
        <w:sz w:val="28"/>
      </w:rPr>
    </w:lvl>
    <w:lvl w:ilvl="7">
      <w:start w:val="1"/>
      <w:numFmt w:val="decimal"/>
      <w:isLgl/>
      <w:lvlText w:val="%1.%2.%3.%4.%5.%6.%7.%8"/>
      <w:lvlJc w:val="left"/>
      <w:pPr>
        <w:ind w:left="4361" w:hanging="1800"/>
      </w:pPr>
      <w:rPr>
        <w:rFonts w:hint="default"/>
        <w:sz w:val="28"/>
      </w:rPr>
    </w:lvl>
    <w:lvl w:ilvl="8">
      <w:start w:val="1"/>
      <w:numFmt w:val="decimal"/>
      <w:isLgl/>
      <w:lvlText w:val="%1.%2.%3.%4.%5.%6.%7.%8.%9"/>
      <w:lvlJc w:val="left"/>
      <w:pPr>
        <w:ind w:left="5081" w:hanging="2160"/>
      </w:pPr>
      <w:rPr>
        <w:rFonts w:hint="default"/>
        <w:sz w:val="28"/>
      </w:rPr>
    </w:lvl>
  </w:abstractNum>
  <w:abstractNum w:abstractNumId="15" w15:restartNumberingAfterBreak="0">
    <w:nsid w:val="277F6919"/>
    <w:multiLevelType w:val="hybridMultilevel"/>
    <w:tmpl w:val="E34685C2"/>
    <w:lvl w:ilvl="0" w:tplc="5CF22A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C44EF8"/>
    <w:multiLevelType w:val="multilevel"/>
    <w:tmpl w:val="9D3456F2"/>
    <w:lvl w:ilvl="0">
      <w:start w:val="1"/>
      <w:numFmt w:val="decimal"/>
      <w:lvlText w:val="%1."/>
      <w:lvlJc w:val="left"/>
      <w:pPr>
        <w:ind w:left="611" w:hanging="570"/>
      </w:pPr>
      <w:rPr>
        <w:rFonts w:hint="default"/>
      </w:rPr>
    </w:lvl>
    <w:lvl w:ilvl="1">
      <w:start w:val="1"/>
      <w:numFmt w:val="decimal"/>
      <w:isLgl/>
      <w:lvlText w:val="%1.%2"/>
      <w:lvlJc w:val="left"/>
      <w:pPr>
        <w:ind w:left="1436" w:hanging="825"/>
      </w:pPr>
      <w:rPr>
        <w:rFonts w:hint="default"/>
      </w:rPr>
    </w:lvl>
    <w:lvl w:ilvl="2">
      <w:start w:val="1"/>
      <w:numFmt w:val="decimal"/>
      <w:isLgl/>
      <w:lvlText w:val="%1.%2.%3"/>
      <w:lvlJc w:val="left"/>
      <w:pPr>
        <w:ind w:left="2006" w:hanging="825"/>
      </w:pPr>
      <w:rPr>
        <w:rFonts w:hint="default"/>
      </w:rPr>
    </w:lvl>
    <w:lvl w:ilvl="3">
      <w:start w:val="1"/>
      <w:numFmt w:val="decimal"/>
      <w:isLgl/>
      <w:lvlText w:val="%1.%2.%3.%4"/>
      <w:lvlJc w:val="left"/>
      <w:pPr>
        <w:ind w:left="2831" w:hanging="1080"/>
      </w:pPr>
      <w:rPr>
        <w:rFonts w:hint="default"/>
      </w:rPr>
    </w:lvl>
    <w:lvl w:ilvl="4">
      <w:start w:val="1"/>
      <w:numFmt w:val="decimal"/>
      <w:isLgl/>
      <w:lvlText w:val="%1.%2.%3.%4.%5"/>
      <w:lvlJc w:val="left"/>
      <w:pPr>
        <w:ind w:left="3401" w:hanging="1080"/>
      </w:pPr>
      <w:rPr>
        <w:rFonts w:hint="default"/>
      </w:rPr>
    </w:lvl>
    <w:lvl w:ilvl="5">
      <w:start w:val="1"/>
      <w:numFmt w:val="decimal"/>
      <w:isLgl/>
      <w:lvlText w:val="%1.%2.%3.%4.%5.%6"/>
      <w:lvlJc w:val="left"/>
      <w:pPr>
        <w:ind w:left="4331" w:hanging="1440"/>
      </w:pPr>
      <w:rPr>
        <w:rFonts w:hint="default"/>
      </w:rPr>
    </w:lvl>
    <w:lvl w:ilvl="6">
      <w:start w:val="1"/>
      <w:numFmt w:val="decimal"/>
      <w:isLgl/>
      <w:lvlText w:val="%1.%2.%3.%4.%5.%6.%7"/>
      <w:lvlJc w:val="left"/>
      <w:pPr>
        <w:ind w:left="4901" w:hanging="1440"/>
      </w:pPr>
      <w:rPr>
        <w:rFonts w:hint="default"/>
      </w:rPr>
    </w:lvl>
    <w:lvl w:ilvl="7">
      <w:start w:val="1"/>
      <w:numFmt w:val="decimal"/>
      <w:isLgl/>
      <w:lvlText w:val="%1.%2.%3.%4.%5.%6.%7.%8"/>
      <w:lvlJc w:val="left"/>
      <w:pPr>
        <w:ind w:left="5831" w:hanging="1800"/>
      </w:pPr>
      <w:rPr>
        <w:rFonts w:hint="default"/>
      </w:rPr>
    </w:lvl>
    <w:lvl w:ilvl="8">
      <w:start w:val="1"/>
      <w:numFmt w:val="decimal"/>
      <w:isLgl/>
      <w:lvlText w:val="%1.%2.%3.%4.%5.%6.%7.%8.%9"/>
      <w:lvlJc w:val="left"/>
      <w:pPr>
        <w:ind w:left="6761" w:hanging="2160"/>
      </w:pPr>
      <w:rPr>
        <w:rFonts w:hint="default"/>
      </w:rPr>
    </w:lvl>
  </w:abstractNum>
  <w:abstractNum w:abstractNumId="17" w15:restartNumberingAfterBreak="0">
    <w:nsid w:val="2AE41F14"/>
    <w:multiLevelType w:val="multilevel"/>
    <w:tmpl w:val="5FD0363A"/>
    <w:lvl w:ilvl="0">
      <w:start w:val="1"/>
      <w:numFmt w:val="decimal"/>
      <w:lvlText w:val="%1."/>
      <w:lvlJc w:val="left"/>
      <w:pPr>
        <w:ind w:left="720" w:hanging="360"/>
      </w:pPr>
      <w:rPr>
        <w:rFonts w:ascii="Times New Roman" w:eastAsiaTheme="minorHAnsi" w:hAnsi="Times New Roman" w:cs="Times New Roman" w:hint="default"/>
        <w:b/>
        <w:bCs w:val="0"/>
        <w:sz w:val="26"/>
        <w:szCs w:val="26"/>
      </w:rPr>
    </w:lvl>
    <w:lvl w:ilvl="1">
      <w:start w:val="1"/>
      <w:numFmt w:val="decimal"/>
      <w:isLgl/>
      <w:lvlText w:val="%1.%2"/>
      <w:lvlJc w:val="left"/>
      <w:pPr>
        <w:ind w:left="1440" w:hanging="72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2D083E80"/>
    <w:multiLevelType w:val="multilevel"/>
    <w:tmpl w:val="09CC5B76"/>
    <w:lvl w:ilvl="0">
      <w:start w:val="1"/>
      <w:numFmt w:val="decimal"/>
      <w:lvlText w:val="%1."/>
      <w:lvlJc w:val="left"/>
      <w:pPr>
        <w:ind w:left="401" w:hanging="360"/>
      </w:pPr>
      <w:rPr>
        <w:rFonts w:hint="default"/>
        <w:color w:val="202124"/>
        <w:sz w:val="26"/>
      </w:rPr>
    </w:lvl>
    <w:lvl w:ilvl="1">
      <w:start w:val="1"/>
      <w:numFmt w:val="decimal"/>
      <w:isLgl/>
      <w:lvlText w:val="%1.%2"/>
      <w:lvlJc w:val="left"/>
      <w:pPr>
        <w:ind w:left="1436" w:hanging="1035"/>
      </w:pPr>
      <w:rPr>
        <w:rFonts w:hint="default"/>
        <w:sz w:val="28"/>
      </w:rPr>
    </w:lvl>
    <w:lvl w:ilvl="2">
      <w:start w:val="1"/>
      <w:numFmt w:val="decimal"/>
      <w:isLgl/>
      <w:lvlText w:val="%1.%2.%3"/>
      <w:lvlJc w:val="left"/>
      <w:pPr>
        <w:ind w:left="1796" w:hanging="1035"/>
      </w:pPr>
      <w:rPr>
        <w:rFonts w:hint="default"/>
        <w:sz w:val="28"/>
      </w:rPr>
    </w:lvl>
    <w:lvl w:ilvl="3">
      <w:start w:val="1"/>
      <w:numFmt w:val="decimal"/>
      <w:isLgl/>
      <w:lvlText w:val="%1.%2.%3.%4"/>
      <w:lvlJc w:val="left"/>
      <w:pPr>
        <w:ind w:left="2201" w:hanging="1080"/>
      </w:pPr>
      <w:rPr>
        <w:rFonts w:hint="default"/>
        <w:sz w:val="28"/>
      </w:rPr>
    </w:lvl>
    <w:lvl w:ilvl="4">
      <w:start w:val="1"/>
      <w:numFmt w:val="decimal"/>
      <w:isLgl/>
      <w:lvlText w:val="%1.%2.%3.%4.%5"/>
      <w:lvlJc w:val="left"/>
      <w:pPr>
        <w:ind w:left="2561" w:hanging="1080"/>
      </w:pPr>
      <w:rPr>
        <w:rFonts w:hint="default"/>
        <w:sz w:val="28"/>
      </w:rPr>
    </w:lvl>
    <w:lvl w:ilvl="5">
      <w:start w:val="1"/>
      <w:numFmt w:val="decimal"/>
      <w:isLgl/>
      <w:lvlText w:val="%1.%2.%3.%4.%5.%6"/>
      <w:lvlJc w:val="left"/>
      <w:pPr>
        <w:ind w:left="3281" w:hanging="1440"/>
      </w:pPr>
      <w:rPr>
        <w:rFonts w:hint="default"/>
        <w:sz w:val="28"/>
      </w:rPr>
    </w:lvl>
    <w:lvl w:ilvl="6">
      <w:start w:val="1"/>
      <w:numFmt w:val="decimal"/>
      <w:isLgl/>
      <w:lvlText w:val="%1.%2.%3.%4.%5.%6.%7"/>
      <w:lvlJc w:val="left"/>
      <w:pPr>
        <w:ind w:left="4001" w:hanging="1800"/>
      </w:pPr>
      <w:rPr>
        <w:rFonts w:hint="default"/>
        <w:sz w:val="28"/>
      </w:rPr>
    </w:lvl>
    <w:lvl w:ilvl="7">
      <w:start w:val="1"/>
      <w:numFmt w:val="decimal"/>
      <w:isLgl/>
      <w:lvlText w:val="%1.%2.%3.%4.%5.%6.%7.%8"/>
      <w:lvlJc w:val="left"/>
      <w:pPr>
        <w:ind w:left="4361" w:hanging="1800"/>
      </w:pPr>
      <w:rPr>
        <w:rFonts w:hint="default"/>
        <w:sz w:val="28"/>
      </w:rPr>
    </w:lvl>
    <w:lvl w:ilvl="8">
      <w:start w:val="1"/>
      <w:numFmt w:val="decimal"/>
      <w:isLgl/>
      <w:lvlText w:val="%1.%2.%3.%4.%5.%6.%7.%8.%9"/>
      <w:lvlJc w:val="left"/>
      <w:pPr>
        <w:ind w:left="5081" w:hanging="2160"/>
      </w:pPr>
      <w:rPr>
        <w:rFonts w:hint="default"/>
        <w:sz w:val="28"/>
      </w:rPr>
    </w:lvl>
  </w:abstractNum>
  <w:abstractNum w:abstractNumId="19" w15:restartNumberingAfterBreak="0">
    <w:nsid w:val="2EDD0656"/>
    <w:multiLevelType w:val="multilevel"/>
    <w:tmpl w:val="B6603252"/>
    <w:lvl w:ilvl="0">
      <w:start w:val="1"/>
      <w:numFmt w:val="decimal"/>
      <w:lvlText w:val="%1."/>
      <w:lvlJc w:val="left"/>
      <w:pPr>
        <w:ind w:left="395" w:hanging="360"/>
      </w:pPr>
      <w:rPr>
        <w:rFonts w:hint="default"/>
      </w:rPr>
    </w:lvl>
    <w:lvl w:ilvl="1">
      <w:start w:val="1"/>
      <w:numFmt w:val="decimal"/>
      <w:isLgl/>
      <w:lvlText w:val="%1.%2"/>
      <w:lvlJc w:val="left"/>
      <w:pPr>
        <w:ind w:left="785" w:hanging="390"/>
      </w:pPr>
      <w:rPr>
        <w:rFonts w:hint="default"/>
      </w:rPr>
    </w:lvl>
    <w:lvl w:ilvl="2">
      <w:start w:val="1"/>
      <w:numFmt w:val="decimal"/>
      <w:isLgl/>
      <w:lvlText w:val="%1.%2.%3"/>
      <w:lvlJc w:val="left"/>
      <w:pPr>
        <w:ind w:left="1475" w:hanging="720"/>
      </w:pPr>
      <w:rPr>
        <w:rFonts w:hint="default"/>
      </w:rPr>
    </w:lvl>
    <w:lvl w:ilvl="3">
      <w:start w:val="1"/>
      <w:numFmt w:val="decimal"/>
      <w:isLgl/>
      <w:lvlText w:val="%1.%2.%3.%4"/>
      <w:lvlJc w:val="left"/>
      <w:pPr>
        <w:ind w:left="1835" w:hanging="720"/>
      </w:pPr>
      <w:rPr>
        <w:rFonts w:hint="default"/>
      </w:rPr>
    </w:lvl>
    <w:lvl w:ilvl="4">
      <w:start w:val="1"/>
      <w:numFmt w:val="decimal"/>
      <w:isLgl/>
      <w:lvlText w:val="%1.%2.%3.%4.%5"/>
      <w:lvlJc w:val="left"/>
      <w:pPr>
        <w:ind w:left="2555" w:hanging="1080"/>
      </w:pPr>
      <w:rPr>
        <w:rFonts w:hint="default"/>
      </w:rPr>
    </w:lvl>
    <w:lvl w:ilvl="5">
      <w:start w:val="1"/>
      <w:numFmt w:val="decimal"/>
      <w:isLgl/>
      <w:lvlText w:val="%1.%2.%3.%4.%5.%6"/>
      <w:lvlJc w:val="left"/>
      <w:pPr>
        <w:ind w:left="3275" w:hanging="1440"/>
      </w:pPr>
      <w:rPr>
        <w:rFonts w:hint="default"/>
      </w:rPr>
    </w:lvl>
    <w:lvl w:ilvl="6">
      <w:start w:val="1"/>
      <w:numFmt w:val="decimal"/>
      <w:isLgl/>
      <w:lvlText w:val="%1.%2.%3.%4.%5.%6.%7"/>
      <w:lvlJc w:val="left"/>
      <w:pPr>
        <w:ind w:left="3635" w:hanging="144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715" w:hanging="1800"/>
      </w:pPr>
      <w:rPr>
        <w:rFonts w:hint="default"/>
      </w:rPr>
    </w:lvl>
  </w:abstractNum>
  <w:abstractNum w:abstractNumId="20" w15:restartNumberingAfterBreak="0">
    <w:nsid w:val="2EF93CF0"/>
    <w:multiLevelType w:val="hybridMultilevel"/>
    <w:tmpl w:val="27463678"/>
    <w:lvl w:ilvl="0" w:tplc="12769CD8">
      <w:start w:val="3"/>
      <w:numFmt w:val="bullet"/>
      <w:lvlText w:val="-"/>
      <w:lvlJc w:val="left"/>
      <w:pPr>
        <w:ind w:left="2912" w:hanging="360"/>
      </w:pPr>
      <w:rPr>
        <w:rFonts w:ascii="Roboto" w:eastAsia="Simplified Arabic" w:hAnsi="Roboto" w:cs="Simplified Arabic"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21" w15:restartNumberingAfterBreak="0">
    <w:nsid w:val="308630AE"/>
    <w:multiLevelType w:val="hybridMultilevel"/>
    <w:tmpl w:val="8646B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F015D9"/>
    <w:multiLevelType w:val="hybridMultilevel"/>
    <w:tmpl w:val="D99A68C2"/>
    <w:lvl w:ilvl="0" w:tplc="4550989A">
      <w:start w:val="1"/>
      <w:numFmt w:val="lowerLetter"/>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23" w15:restartNumberingAfterBreak="0">
    <w:nsid w:val="38275F0B"/>
    <w:multiLevelType w:val="hybridMultilevel"/>
    <w:tmpl w:val="71CE8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1770DF"/>
    <w:multiLevelType w:val="hybridMultilevel"/>
    <w:tmpl w:val="E40C3C2C"/>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39C87384"/>
    <w:multiLevelType w:val="hybridMultilevel"/>
    <w:tmpl w:val="A5DC9416"/>
    <w:lvl w:ilvl="0" w:tplc="1BF62F72">
      <w:start w:val="1"/>
      <w:numFmt w:val="decimal"/>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26" w15:restartNumberingAfterBreak="0">
    <w:nsid w:val="3DA40573"/>
    <w:multiLevelType w:val="hybridMultilevel"/>
    <w:tmpl w:val="F528C40A"/>
    <w:lvl w:ilvl="0" w:tplc="842AB1D6">
      <w:start w:val="1"/>
      <w:numFmt w:val="decimal"/>
      <w:lvlText w:val="%1."/>
      <w:lvlJc w:val="left"/>
      <w:pPr>
        <w:ind w:left="1025" w:hanging="450"/>
      </w:pPr>
      <w:rPr>
        <w:rFonts w:hint="default"/>
        <w:color w:val="auto"/>
      </w:rPr>
    </w:lvl>
    <w:lvl w:ilvl="1" w:tplc="04090019" w:tentative="1">
      <w:start w:val="1"/>
      <w:numFmt w:val="lowerLetter"/>
      <w:lvlText w:val="%2."/>
      <w:lvlJc w:val="left"/>
      <w:pPr>
        <w:ind w:left="1655" w:hanging="360"/>
      </w:pPr>
    </w:lvl>
    <w:lvl w:ilvl="2" w:tplc="0409001B" w:tentative="1">
      <w:start w:val="1"/>
      <w:numFmt w:val="lowerRoman"/>
      <w:lvlText w:val="%3."/>
      <w:lvlJc w:val="right"/>
      <w:pPr>
        <w:ind w:left="2375" w:hanging="180"/>
      </w:pPr>
    </w:lvl>
    <w:lvl w:ilvl="3" w:tplc="0409000F" w:tentative="1">
      <w:start w:val="1"/>
      <w:numFmt w:val="decimal"/>
      <w:lvlText w:val="%4."/>
      <w:lvlJc w:val="left"/>
      <w:pPr>
        <w:ind w:left="3095" w:hanging="360"/>
      </w:pPr>
    </w:lvl>
    <w:lvl w:ilvl="4" w:tplc="04090019" w:tentative="1">
      <w:start w:val="1"/>
      <w:numFmt w:val="lowerLetter"/>
      <w:lvlText w:val="%5."/>
      <w:lvlJc w:val="left"/>
      <w:pPr>
        <w:ind w:left="3815" w:hanging="360"/>
      </w:pPr>
    </w:lvl>
    <w:lvl w:ilvl="5" w:tplc="0409001B" w:tentative="1">
      <w:start w:val="1"/>
      <w:numFmt w:val="lowerRoman"/>
      <w:lvlText w:val="%6."/>
      <w:lvlJc w:val="right"/>
      <w:pPr>
        <w:ind w:left="4535" w:hanging="180"/>
      </w:pPr>
    </w:lvl>
    <w:lvl w:ilvl="6" w:tplc="0409000F" w:tentative="1">
      <w:start w:val="1"/>
      <w:numFmt w:val="decimal"/>
      <w:lvlText w:val="%7."/>
      <w:lvlJc w:val="left"/>
      <w:pPr>
        <w:ind w:left="5255" w:hanging="360"/>
      </w:pPr>
    </w:lvl>
    <w:lvl w:ilvl="7" w:tplc="04090019" w:tentative="1">
      <w:start w:val="1"/>
      <w:numFmt w:val="lowerLetter"/>
      <w:lvlText w:val="%8."/>
      <w:lvlJc w:val="left"/>
      <w:pPr>
        <w:ind w:left="5975" w:hanging="360"/>
      </w:pPr>
    </w:lvl>
    <w:lvl w:ilvl="8" w:tplc="0409001B" w:tentative="1">
      <w:start w:val="1"/>
      <w:numFmt w:val="lowerRoman"/>
      <w:lvlText w:val="%9."/>
      <w:lvlJc w:val="right"/>
      <w:pPr>
        <w:ind w:left="6695" w:hanging="180"/>
      </w:pPr>
    </w:lvl>
  </w:abstractNum>
  <w:abstractNum w:abstractNumId="27" w15:restartNumberingAfterBreak="0">
    <w:nsid w:val="3E3F4673"/>
    <w:multiLevelType w:val="multilevel"/>
    <w:tmpl w:val="EF38CED0"/>
    <w:lvl w:ilvl="0">
      <w:start w:val="1"/>
      <w:numFmt w:val="decimal"/>
      <w:lvlText w:val="%1."/>
      <w:lvlJc w:val="left"/>
      <w:pPr>
        <w:ind w:left="720" w:hanging="360"/>
      </w:pPr>
      <w:rPr>
        <w:rFonts w:ascii="Arial" w:eastAsiaTheme="minorHAnsi" w:hAnsi="Arial" w:cs="Arial" w:hint="default"/>
        <w:b w:val="0"/>
        <w:sz w:val="2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15:restartNumberingAfterBreak="0">
    <w:nsid w:val="42D93F44"/>
    <w:multiLevelType w:val="hybridMultilevel"/>
    <w:tmpl w:val="C9C04FB0"/>
    <w:lvl w:ilvl="0" w:tplc="12769CD8">
      <w:start w:val="3"/>
      <w:numFmt w:val="bullet"/>
      <w:lvlText w:val="-"/>
      <w:lvlJc w:val="left"/>
      <w:pPr>
        <w:ind w:left="2912" w:hanging="360"/>
      </w:pPr>
      <w:rPr>
        <w:rFonts w:ascii="Roboto" w:eastAsia="Simplified Arabic" w:hAnsi="Roboto" w:cs="Simplified Arabic"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29" w15:restartNumberingAfterBreak="0">
    <w:nsid w:val="44FB1E02"/>
    <w:multiLevelType w:val="multilevel"/>
    <w:tmpl w:val="F9BE6FC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Times New Roman" w:eastAsiaTheme="minorHAnsi" w:hAnsi="Times New Roman" w:cs="Times New Roman" w:hint="default"/>
        <w:b w:val="0"/>
        <w:color w:val="auto"/>
        <w:sz w:val="24"/>
        <w:szCs w:val="24"/>
      </w:rPr>
    </w:lvl>
    <w:lvl w:ilvl="2">
      <w:start w:val="1"/>
      <w:numFmt w:val="decimal"/>
      <w:isLgl/>
      <w:lvlText w:val="%1.%2.%3"/>
      <w:lvlJc w:val="left"/>
      <w:pPr>
        <w:ind w:left="1800" w:hanging="720"/>
      </w:pPr>
      <w:rPr>
        <w:rFonts w:ascii="Times New Roman" w:eastAsiaTheme="minorHAnsi" w:hAnsi="Times New Roman" w:cs="Times New Roman" w:hint="default"/>
        <w:b w:val="0"/>
        <w:color w:val="auto"/>
        <w:sz w:val="24"/>
        <w:szCs w:val="24"/>
      </w:rPr>
    </w:lvl>
    <w:lvl w:ilvl="3">
      <w:start w:val="1"/>
      <w:numFmt w:val="decimal"/>
      <w:isLgl/>
      <w:lvlText w:val="%1.%2.%3.%4"/>
      <w:lvlJc w:val="left"/>
      <w:pPr>
        <w:ind w:left="2520" w:hanging="1080"/>
      </w:pPr>
      <w:rPr>
        <w:rFonts w:ascii="Arial" w:eastAsiaTheme="minorHAnsi" w:hAnsi="Arial" w:cs="Arial" w:hint="default"/>
        <w:b w:val="0"/>
        <w:color w:val="auto"/>
        <w:sz w:val="22"/>
      </w:rPr>
    </w:lvl>
    <w:lvl w:ilvl="4">
      <w:start w:val="1"/>
      <w:numFmt w:val="decimal"/>
      <w:isLgl/>
      <w:lvlText w:val="%1.%2.%3.%4.%5"/>
      <w:lvlJc w:val="left"/>
      <w:pPr>
        <w:ind w:left="2880" w:hanging="1080"/>
      </w:pPr>
      <w:rPr>
        <w:rFonts w:ascii="Arial" w:eastAsiaTheme="minorHAnsi" w:hAnsi="Arial" w:cs="Arial" w:hint="default"/>
        <w:b w:val="0"/>
        <w:color w:val="auto"/>
        <w:sz w:val="22"/>
      </w:rPr>
    </w:lvl>
    <w:lvl w:ilvl="5">
      <w:start w:val="1"/>
      <w:numFmt w:val="decimal"/>
      <w:isLgl/>
      <w:lvlText w:val="%1.%2.%3.%4.%5.%6"/>
      <w:lvlJc w:val="left"/>
      <w:pPr>
        <w:ind w:left="3600" w:hanging="1440"/>
      </w:pPr>
      <w:rPr>
        <w:rFonts w:ascii="Arial" w:eastAsiaTheme="minorHAnsi" w:hAnsi="Arial" w:cs="Arial" w:hint="default"/>
        <w:b w:val="0"/>
        <w:color w:val="auto"/>
        <w:sz w:val="22"/>
      </w:rPr>
    </w:lvl>
    <w:lvl w:ilvl="6">
      <w:start w:val="1"/>
      <w:numFmt w:val="decimal"/>
      <w:isLgl/>
      <w:lvlText w:val="%1.%2.%3.%4.%5.%6.%7"/>
      <w:lvlJc w:val="left"/>
      <w:pPr>
        <w:ind w:left="3960" w:hanging="1440"/>
      </w:pPr>
      <w:rPr>
        <w:rFonts w:ascii="Arial" w:eastAsiaTheme="minorHAnsi" w:hAnsi="Arial" w:cs="Arial" w:hint="default"/>
        <w:b w:val="0"/>
        <w:color w:val="auto"/>
        <w:sz w:val="22"/>
      </w:rPr>
    </w:lvl>
    <w:lvl w:ilvl="7">
      <w:start w:val="1"/>
      <w:numFmt w:val="decimal"/>
      <w:isLgl/>
      <w:lvlText w:val="%1.%2.%3.%4.%5.%6.%7.%8"/>
      <w:lvlJc w:val="left"/>
      <w:pPr>
        <w:ind w:left="4680" w:hanging="1800"/>
      </w:pPr>
      <w:rPr>
        <w:rFonts w:ascii="Arial" w:eastAsiaTheme="minorHAnsi" w:hAnsi="Arial" w:cs="Arial" w:hint="default"/>
        <w:b w:val="0"/>
        <w:color w:val="auto"/>
        <w:sz w:val="22"/>
      </w:rPr>
    </w:lvl>
    <w:lvl w:ilvl="8">
      <w:start w:val="1"/>
      <w:numFmt w:val="decimal"/>
      <w:isLgl/>
      <w:lvlText w:val="%1.%2.%3.%4.%5.%6.%7.%8.%9"/>
      <w:lvlJc w:val="left"/>
      <w:pPr>
        <w:ind w:left="5400" w:hanging="2160"/>
      </w:pPr>
      <w:rPr>
        <w:rFonts w:ascii="Arial" w:eastAsiaTheme="minorHAnsi" w:hAnsi="Arial" w:cs="Arial" w:hint="default"/>
        <w:b w:val="0"/>
        <w:color w:val="auto"/>
        <w:sz w:val="22"/>
      </w:rPr>
    </w:lvl>
  </w:abstractNum>
  <w:abstractNum w:abstractNumId="30" w15:restartNumberingAfterBreak="0">
    <w:nsid w:val="47EB445B"/>
    <w:multiLevelType w:val="multilevel"/>
    <w:tmpl w:val="E16C726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520" w:hanging="108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600" w:hanging="144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680" w:hanging="1800"/>
      </w:pPr>
      <w:rPr>
        <w:rFonts w:hint="default"/>
        <w:color w:val="auto"/>
      </w:rPr>
    </w:lvl>
    <w:lvl w:ilvl="8">
      <w:start w:val="1"/>
      <w:numFmt w:val="decimal"/>
      <w:isLgl/>
      <w:lvlText w:val="%1.%2.%3.%4.%5.%6.%7.%8.%9"/>
      <w:lvlJc w:val="left"/>
      <w:pPr>
        <w:ind w:left="5400" w:hanging="2160"/>
      </w:pPr>
      <w:rPr>
        <w:rFonts w:hint="default"/>
        <w:color w:val="auto"/>
      </w:rPr>
    </w:lvl>
  </w:abstractNum>
  <w:abstractNum w:abstractNumId="31" w15:restartNumberingAfterBreak="0">
    <w:nsid w:val="4838413F"/>
    <w:multiLevelType w:val="hybridMultilevel"/>
    <w:tmpl w:val="8D7A2B44"/>
    <w:lvl w:ilvl="0" w:tplc="E9889DCC">
      <w:numFmt w:val="bullet"/>
      <w:lvlText w:val="-"/>
      <w:lvlJc w:val="left"/>
      <w:pPr>
        <w:ind w:left="2912" w:hanging="360"/>
      </w:pPr>
      <w:rPr>
        <w:rFonts w:ascii="Simplified Arabic" w:eastAsia="Times New Roman" w:hAnsi="Simplified Arabic" w:cs="Simplified Arabic"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32" w15:restartNumberingAfterBreak="0">
    <w:nsid w:val="48CA1E7A"/>
    <w:multiLevelType w:val="hybridMultilevel"/>
    <w:tmpl w:val="E742686C"/>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3" w15:restartNumberingAfterBreak="0">
    <w:nsid w:val="491456C7"/>
    <w:multiLevelType w:val="hybridMultilevel"/>
    <w:tmpl w:val="E09C3BEC"/>
    <w:lvl w:ilvl="0" w:tplc="C05ACB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9922C70"/>
    <w:multiLevelType w:val="multilevel"/>
    <w:tmpl w:val="FB4C2E7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Simplified Arabic" w:hAnsi="Simplified Arabic" w:cs="Simplified Arabic" w:hint="default"/>
        <w:b w:val="0"/>
        <w:bCs/>
      </w:rPr>
    </w:lvl>
    <w:lvl w:ilvl="2">
      <w:start w:val="1"/>
      <w:numFmt w:val="decimal"/>
      <w:isLgl/>
      <w:lvlText w:val="%1.%2.%3"/>
      <w:lvlJc w:val="left"/>
      <w:pPr>
        <w:ind w:left="1800" w:hanging="720"/>
      </w:pPr>
      <w:rPr>
        <w:rFonts w:ascii="Simplified Arabic" w:hAnsi="Simplified Arabic" w:cs="Simplified Arabic" w:hint="default"/>
        <w:b w:val="0"/>
        <w:bCs/>
      </w:rPr>
    </w:lvl>
    <w:lvl w:ilvl="3">
      <w:start w:val="1"/>
      <w:numFmt w:val="decimal"/>
      <w:isLgl/>
      <w:lvlText w:val="%1.%2.%3.%4"/>
      <w:lvlJc w:val="left"/>
      <w:pPr>
        <w:ind w:left="2160" w:hanging="720"/>
      </w:pPr>
      <w:rPr>
        <w:rFonts w:ascii="Simplified Arabic" w:hAnsi="Simplified Arabic" w:cs="Simplified Arabic" w:hint="default"/>
        <w:b/>
      </w:rPr>
    </w:lvl>
    <w:lvl w:ilvl="4">
      <w:start w:val="1"/>
      <w:numFmt w:val="decimal"/>
      <w:isLgl/>
      <w:lvlText w:val="%1.%2.%3.%4.%5"/>
      <w:lvlJc w:val="left"/>
      <w:pPr>
        <w:ind w:left="2880" w:hanging="1080"/>
      </w:pPr>
      <w:rPr>
        <w:rFonts w:ascii="Simplified Arabic" w:hAnsi="Simplified Arabic" w:cs="Simplified Arabic" w:hint="default"/>
        <w:b/>
      </w:rPr>
    </w:lvl>
    <w:lvl w:ilvl="5">
      <w:start w:val="1"/>
      <w:numFmt w:val="decimal"/>
      <w:isLgl/>
      <w:lvlText w:val="%1.%2.%3.%4.%5.%6"/>
      <w:lvlJc w:val="left"/>
      <w:pPr>
        <w:ind w:left="3600" w:hanging="1440"/>
      </w:pPr>
      <w:rPr>
        <w:rFonts w:ascii="Simplified Arabic" w:hAnsi="Simplified Arabic" w:cs="Simplified Arabic" w:hint="default"/>
        <w:b/>
      </w:rPr>
    </w:lvl>
    <w:lvl w:ilvl="6">
      <w:start w:val="1"/>
      <w:numFmt w:val="decimal"/>
      <w:isLgl/>
      <w:lvlText w:val="%1.%2.%3.%4.%5.%6.%7"/>
      <w:lvlJc w:val="left"/>
      <w:pPr>
        <w:ind w:left="3960" w:hanging="1440"/>
      </w:pPr>
      <w:rPr>
        <w:rFonts w:ascii="Simplified Arabic" w:hAnsi="Simplified Arabic" w:cs="Simplified Arabic" w:hint="default"/>
        <w:b/>
      </w:rPr>
    </w:lvl>
    <w:lvl w:ilvl="7">
      <w:start w:val="1"/>
      <w:numFmt w:val="decimal"/>
      <w:isLgl/>
      <w:lvlText w:val="%1.%2.%3.%4.%5.%6.%7.%8"/>
      <w:lvlJc w:val="left"/>
      <w:pPr>
        <w:ind w:left="4680" w:hanging="1800"/>
      </w:pPr>
      <w:rPr>
        <w:rFonts w:ascii="Simplified Arabic" w:hAnsi="Simplified Arabic" w:cs="Simplified Arabic" w:hint="default"/>
        <w:b/>
      </w:rPr>
    </w:lvl>
    <w:lvl w:ilvl="8">
      <w:start w:val="1"/>
      <w:numFmt w:val="decimal"/>
      <w:isLgl/>
      <w:lvlText w:val="%1.%2.%3.%4.%5.%6.%7.%8.%9"/>
      <w:lvlJc w:val="left"/>
      <w:pPr>
        <w:ind w:left="5040" w:hanging="1800"/>
      </w:pPr>
      <w:rPr>
        <w:rFonts w:ascii="Simplified Arabic" w:hAnsi="Simplified Arabic" w:cs="Simplified Arabic" w:hint="default"/>
        <w:b/>
      </w:rPr>
    </w:lvl>
  </w:abstractNum>
  <w:abstractNum w:abstractNumId="35" w15:restartNumberingAfterBreak="0">
    <w:nsid w:val="4A6B35B1"/>
    <w:multiLevelType w:val="hybridMultilevel"/>
    <w:tmpl w:val="44D8A0CA"/>
    <w:lvl w:ilvl="0" w:tplc="04090019">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B1503D"/>
    <w:multiLevelType w:val="multilevel"/>
    <w:tmpl w:val="34A29780"/>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ascii="Simplified Arabic" w:hAnsi="Simplified Arabic" w:hint="default"/>
        <w:color w:val="auto"/>
      </w:rPr>
    </w:lvl>
    <w:lvl w:ilvl="2">
      <w:start w:val="1"/>
      <w:numFmt w:val="decimal"/>
      <w:isLgl/>
      <w:lvlText w:val="%1.%2.%3"/>
      <w:lvlJc w:val="left"/>
      <w:pPr>
        <w:ind w:left="1800" w:hanging="720"/>
      </w:pPr>
      <w:rPr>
        <w:rFonts w:ascii="Simplified Arabic" w:hAnsi="Simplified Arabic" w:hint="default"/>
        <w:color w:val="auto"/>
      </w:rPr>
    </w:lvl>
    <w:lvl w:ilvl="3">
      <w:start w:val="1"/>
      <w:numFmt w:val="decimal"/>
      <w:isLgl/>
      <w:lvlText w:val="%1.%2.%3.%4"/>
      <w:lvlJc w:val="left"/>
      <w:pPr>
        <w:ind w:left="2520" w:hanging="1080"/>
      </w:pPr>
      <w:rPr>
        <w:rFonts w:ascii="Simplified Arabic" w:hAnsi="Simplified Arabic" w:hint="default"/>
        <w:color w:val="FF0000"/>
      </w:rPr>
    </w:lvl>
    <w:lvl w:ilvl="4">
      <w:start w:val="1"/>
      <w:numFmt w:val="decimal"/>
      <w:isLgl/>
      <w:lvlText w:val="%1.%2.%3.%4.%5"/>
      <w:lvlJc w:val="left"/>
      <w:pPr>
        <w:ind w:left="2880" w:hanging="1080"/>
      </w:pPr>
      <w:rPr>
        <w:rFonts w:ascii="Simplified Arabic" w:hAnsi="Simplified Arabic" w:hint="default"/>
        <w:color w:val="FF0000"/>
      </w:rPr>
    </w:lvl>
    <w:lvl w:ilvl="5">
      <w:start w:val="1"/>
      <w:numFmt w:val="decimal"/>
      <w:isLgl/>
      <w:lvlText w:val="%1.%2.%3.%4.%5.%6"/>
      <w:lvlJc w:val="left"/>
      <w:pPr>
        <w:ind w:left="3600" w:hanging="1440"/>
      </w:pPr>
      <w:rPr>
        <w:rFonts w:ascii="Simplified Arabic" w:hAnsi="Simplified Arabic" w:hint="default"/>
        <w:color w:val="FF0000"/>
      </w:rPr>
    </w:lvl>
    <w:lvl w:ilvl="6">
      <w:start w:val="1"/>
      <w:numFmt w:val="decimal"/>
      <w:isLgl/>
      <w:lvlText w:val="%1.%2.%3.%4.%5.%6.%7"/>
      <w:lvlJc w:val="left"/>
      <w:pPr>
        <w:ind w:left="3960" w:hanging="1440"/>
      </w:pPr>
      <w:rPr>
        <w:rFonts w:ascii="Simplified Arabic" w:hAnsi="Simplified Arabic" w:hint="default"/>
        <w:color w:val="FF0000"/>
      </w:rPr>
    </w:lvl>
    <w:lvl w:ilvl="7">
      <w:start w:val="1"/>
      <w:numFmt w:val="decimal"/>
      <w:isLgl/>
      <w:lvlText w:val="%1.%2.%3.%4.%5.%6.%7.%8"/>
      <w:lvlJc w:val="left"/>
      <w:pPr>
        <w:ind w:left="4680" w:hanging="1800"/>
      </w:pPr>
      <w:rPr>
        <w:rFonts w:ascii="Simplified Arabic" w:hAnsi="Simplified Arabic" w:hint="default"/>
        <w:color w:val="FF0000"/>
      </w:rPr>
    </w:lvl>
    <w:lvl w:ilvl="8">
      <w:start w:val="1"/>
      <w:numFmt w:val="decimal"/>
      <w:isLgl/>
      <w:lvlText w:val="%1.%2.%3.%4.%5.%6.%7.%8.%9"/>
      <w:lvlJc w:val="left"/>
      <w:pPr>
        <w:ind w:left="5400" w:hanging="2160"/>
      </w:pPr>
      <w:rPr>
        <w:rFonts w:ascii="Simplified Arabic" w:hAnsi="Simplified Arabic" w:hint="default"/>
        <w:color w:val="FF0000"/>
      </w:rPr>
    </w:lvl>
  </w:abstractNum>
  <w:abstractNum w:abstractNumId="37" w15:restartNumberingAfterBreak="0">
    <w:nsid w:val="57760A8C"/>
    <w:multiLevelType w:val="multilevel"/>
    <w:tmpl w:val="ABF0BF2C"/>
    <w:lvl w:ilvl="0">
      <w:start w:val="2"/>
      <w:numFmt w:val="decimal"/>
      <w:lvlText w:val="%1"/>
      <w:lvlJc w:val="left"/>
      <w:pPr>
        <w:ind w:left="600" w:hanging="600"/>
      </w:pPr>
      <w:rPr>
        <w:rFonts w:hint="default"/>
      </w:rPr>
    </w:lvl>
    <w:lvl w:ilvl="1">
      <w:start w:val="1"/>
      <w:numFmt w:val="decimal"/>
      <w:lvlText w:val="%1.%2"/>
      <w:lvlJc w:val="left"/>
      <w:pPr>
        <w:ind w:left="1177" w:hanging="600"/>
      </w:pPr>
      <w:rPr>
        <w:rFonts w:hint="default"/>
      </w:rPr>
    </w:lvl>
    <w:lvl w:ilvl="2">
      <w:start w:val="1"/>
      <w:numFmt w:val="decimal"/>
      <w:lvlText w:val="%1.%2.%3"/>
      <w:lvlJc w:val="left"/>
      <w:pPr>
        <w:ind w:left="1874" w:hanging="720"/>
      </w:pPr>
      <w:rPr>
        <w:rFonts w:hint="default"/>
      </w:rPr>
    </w:lvl>
    <w:lvl w:ilvl="3">
      <w:start w:val="1"/>
      <w:numFmt w:val="decimal"/>
      <w:lvlText w:val="%1.%2.%3.%4"/>
      <w:lvlJc w:val="left"/>
      <w:pPr>
        <w:ind w:left="2811" w:hanging="1080"/>
      </w:pPr>
      <w:rPr>
        <w:rFonts w:hint="default"/>
      </w:rPr>
    </w:lvl>
    <w:lvl w:ilvl="4">
      <w:start w:val="1"/>
      <w:numFmt w:val="decimal"/>
      <w:lvlText w:val="%1.%2.%3.%4.%5"/>
      <w:lvlJc w:val="left"/>
      <w:pPr>
        <w:ind w:left="3388" w:hanging="1080"/>
      </w:pPr>
      <w:rPr>
        <w:rFonts w:hint="default"/>
      </w:rPr>
    </w:lvl>
    <w:lvl w:ilvl="5">
      <w:start w:val="1"/>
      <w:numFmt w:val="decimal"/>
      <w:lvlText w:val="%1.%2.%3.%4.%5.%6"/>
      <w:lvlJc w:val="left"/>
      <w:pPr>
        <w:ind w:left="4325" w:hanging="1440"/>
      </w:pPr>
      <w:rPr>
        <w:rFonts w:hint="default"/>
      </w:rPr>
    </w:lvl>
    <w:lvl w:ilvl="6">
      <w:start w:val="1"/>
      <w:numFmt w:val="decimal"/>
      <w:lvlText w:val="%1.%2.%3.%4.%5.%6.%7"/>
      <w:lvlJc w:val="left"/>
      <w:pPr>
        <w:ind w:left="4902" w:hanging="1440"/>
      </w:pPr>
      <w:rPr>
        <w:rFonts w:hint="default"/>
      </w:rPr>
    </w:lvl>
    <w:lvl w:ilvl="7">
      <w:start w:val="1"/>
      <w:numFmt w:val="decimal"/>
      <w:lvlText w:val="%1.%2.%3.%4.%5.%6.%7.%8"/>
      <w:lvlJc w:val="left"/>
      <w:pPr>
        <w:ind w:left="5839" w:hanging="1800"/>
      </w:pPr>
      <w:rPr>
        <w:rFonts w:hint="default"/>
      </w:rPr>
    </w:lvl>
    <w:lvl w:ilvl="8">
      <w:start w:val="1"/>
      <w:numFmt w:val="decimal"/>
      <w:lvlText w:val="%1.%2.%3.%4.%5.%6.%7.%8.%9"/>
      <w:lvlJc w:val="left"/>
      <w:pPr>
        <w:ind w:left="6776" w:hanging="2160"/>
      </w:pPr>
      <w:rPr>
        <w:rFonts w:hint="default"/>
      </w:rPr>
    </w:lvl>
  </w:abstractNum>
  <w:abstractNum w:abstractNumId="38" w15:restartNumberingAfterBreak="0">
    <w:nsid w:val="615A106A"/>
    <w:multiLevelType w:val="hybridMultilevel"/>
    <w:tmpl w:val="A5DA224E"/>
    <w:lvl w:ilvl="0" w:tplc="E9889DCC">
      <w:numFmt w:val="bullet"/>
      <w:lvlText w:val="-"/>
      <w:lvlJc w:val="left"/>
      <w:pPr>
        <w:ind w:left="1835" w:hanging="360"/>
      </w:pPr>
      <w:rPr>
        <w:rFonts w:ascii="Simplified Arabic" w:eastAsia="Times New Roman" w:hAnsi="Simplified Arabic" w:cs="Simplified Arabic" w:hint="default"/>
      </w:rPr>
    </w:lvl>
    <w:lvl w:ilvl="1" w:tplc="04090003">
      <w:start w:val="1"/>
      <w:numFmt w:val="bullet"/>
      <w:lvlText w:val="o"/>
      <w:lvlJc w:val="left"/>
      <w:pPr>
        <w:ind w:left="2555" w:hanging="360"/>
      </w:pPr>
      <w:rPr>
        <w:rFonts w:ascii="Courier New" w:hAnsi="Courier New" w:cs="Courier New" w:hint="default"/>
      </w:rPr>
    </w:lvl>
    <w:lvl w:ilvl="2" w:tplc="04090005" w:tentative="1">
      <w:start w:val="1"/>
      <w:numFmt w:val="bullet"/>
      <w:lvlText w:val=""/>
      <w:lvlJc w:val="left"/>
      <w:pPr>
        <w:ind w:left="3275" w:hanging="360"/>
      </w:pPr>
      <w:rPr>
        <w:rFonts w:ascii="Wingdings" w:hAnsi="Wingdings" w:hint="default"/>
      </w:rPr>
    </w:lvl>
    <w:lvl w:ilvl="3" w:tplc="04090001" w:tentative="1">
      <w:start w:val="1"/>
      <w:numFmt w:val="bullet"/>
      <w:lvlText w:val=""/>
      <w:lvlJc w:val="left"/>
      <w:pPr>
        <w:ind w:left="3995" w:hanging="360"/>
      </w:pPr>
      <w:rPr>
        <w:rFonts w:ascii="Symbol" w:hAnsi="Symbol" w:hint="default"/>
      </w:rPr>
    </w:lvl>
    <w:lvl w:ilvl="4" w:tplc="04090003" w:tentative="1">
      <w:start w:val="1"/>
      <w:numFmt w:val="bullet"/>
      <w:lvlText w:val="o"/>
      <w:lvlJc w:val="left"/>
      <w:pPr>
        <w:ind w:left="4715" w:hanging="360"/>
      </w:pPr>
      <w:rPr>
        <w:rFonts w:ascii="Courier New" w:hAnsi="Courier New" w:cs="Courier New" w:hint="default"/>
      </w:rPr>
    </w:lvl>
    <w:lvl w:ilvl="5" w:tplc="04090005" w:tentative="1">
      <w:start w:val="1"/>
      <w:numFmt w:val="bullet"/>
      <w:lvlText w:val=""/>
      <w:lvlJc w:val="left"/>
      <w:pPr>
        <w:ind w:left="5435" w:hanging="360"/>
      </w:pPr>
      <w:rPr>
        <w:rFonts w:ascii="Wingdings" w:hAnsi="Wingdings" w:hint="default"/>
      </w:rPr>
    </w:lvl>
    <w:lvl w:ilvl="6" w:tplc="04090001" w:tentative="1">
      <w:start w:val="1"/>
      <w:numFmt w:val="bullet"/>
      <w:lvlText w:val=""/>
      <w:lvlJc w:val="left"/>
      <w:pPr>
        <w:ind w:left="6155" w:hanging="360"/>
      </w:pPr>
      <w:rPr>
        <w:rFonts w:ascii="Symbol" w:hAnsi="Symbol" w:hint="default"/>
      </w:rPr>
    </w:lvl>
    <w:lvl w:ilvl="7" w:tplc="04090003" w:tentative="1">
      <w:start w:val="1"/>
      <w:numFmt w:val="bullet"/>
      <w:lvlText w:val="o"/>
      <w:lvlJc w:val="left"/>
      <w:pPr>
        <w:ind w:left="6875" w:hanging="360"/>
      </w:pPr>
      <w:rPr>
        <w:rFonts w:ascii="Courier New" w:hAnsi="Courier New" w:cs="Courier New" w:hint="default"/>
      </w:rPr>
    </w:lvl>
    <w:lvl w:ilvl="8" w:tplc="04090005" w:tentative="1">
      <w:start w:val="1"/>
      <w:numFmt w:val="bullet"/>
      <w:lvlText w:val=""/>
      <w:lvlJc w:val="left"/>
      <w:pPr>
        <w:ind w:left="7595" w:hanging="360"/>
      </w:pPr>
      <w:rPr>
        <w:rFonts w:ascii="Wingdings" w:hAnsi="Wingdings" w:hint="default"/>
      </w:rPr>
    </w:lvl>
  </w:abstractNum>
  <w:abstractNum w:abstractNumId="39" w15:restartNumberingAfterBreak="0">
    <w:nsid w:val="616C289C"/>
    <w:multiLevelType w:val="multilevel"/>
    <w:tmpl w:val="E1260BC2"/>
    <w:lvl w:ilvl="0">
      <w:start w:val="1"/>
      <w:numFmt w:val="decimal"/>
      <w:lvlText w:val="%1."/>
      <w:lvlJc w:val="left"/>
      <w:pPr>
        <w:ind w:left="1835" w:hanging="360"/>
      </w:pPr>
      <w:rPr>
        <w:rFonts w:hint="default"/>
      </w:rPr>
    </w:lvl>
    <w:lvl w:ilvl="1">
      <w:start w:val="3"/>
      <w:numFmt w:val="decimal"/>
      <w:isLgl/>
      <w:lvlText w:val="%1.%2"/>
      <w:lvlJc w:val="left"/>
      <w:pPr>
        <w:ind w:left="2630" w:hanging="1155"/>
      </w:pPr>
      <w:rPr>
        <w:rFonts w:hint="default"/>
        <w:b w:val="0"/>
        <w:sz w:val="24"/>
        <w:szCs w:val="24"/>
      </w:rPr>
    </w:lvl>
    <w:lvl w:ilvl="2">
      <w:start w:val="1"/>
      <w:numFmt w:val="decimal"/>
      <w:isLgl/>
      <w:lvlText w:val="%1.%2.%3"/>
      <w:lvlJc w:val="left"/>
      <w:pPr>
        <w:ind w:left="2630" w:hanging="1155"/>
      </w:pPr>
      <w:rPr>
        <w:rFonts w:hint="default"/>
        <w:b w:val="0"/>
        <w:sz w:val="26"/>
      </w:rPr>
    </w:lvl>
    <w:lvl w:ilvl="3">
      <w:start w:val="1"/>
      <w:numFmt w:val="decimal"/>
      <w:isLgl/>
      <w:lvlText w:val="%1.%2.%3.%4"/>
      <w:lvlJc w:val="left"/>
      <w:pPr>
        <w:ind w:left="2630" w:hanging="1155"/>
      </w:pPr>
      <w:rPr>
        <w:rFonts w:hint="default"/>
        <w:b w:val="0"/>
        <w:sz w:val="26"/>
      </w:rPr>
    </w:lvl>
    <w:lvl w:ilvl="4">
      <w:start w:val="1"/>
      <w:numFmt w:val="decimal"/>
      <w:isLgl/>
      <w:lvlText w:val="%1.%2.%3.%4.%5"/>
      <w:lvlJc w:val="left"/>
      <w:pPr>
        <w:ind w:left="2630" w:hanging="1155"/>
      </w:pPr>
      <w:rPr>
        <w:rFonts w:hint="default"/>
        <w:b w:val="0"/>
        <w:sz w:val="26"/>
      </w:rPr>
    </w:lvl>
    <w:lvl w:ilvl="5">
      <w:start w:val="1"/>
      <w:numFmt w:val="decimal"/>
      <w:isLgl/>
      <w:lvlText w:val="%1.%2.%3.%4.%5.%6"/>
      <w:lvlJc w:val="left"/>
      <w:pPr>
        <w:ind w:left="2915" w:hanging="1440"/>
      </w:pPr>
      <w:rPr>
        <w:rFonts w:hint="default"/>
        <w:b w:val="0"/>
        <w:sz w:val="26"/>
      </w:rPr>
    </w:lvl>
    <w:lvl w:ilvl="6">
      <w:start w:val="1"/>
      <w:numFmt w:val="decimal"/>
      <w:isLgl/>
      <w:lvlText w:val="%1.%2.%3.%4.%5.%6.%7"/>
      <w:lvlJc w:val="left"/>
      <w:pPr>
        <w:ind w:left="2915" w:hanging="1440"/>
      </w:pPr>
      <w:rPr>
        <w:rFonts w:hint="default"/>
        <w:b w:val="0"/>
        <w:sz w:val="26"/>
      </w:rPr>
    </w:lvl>
    <w:lvl w:ilvl="7">
      <w:start w:val="1"/>
      <w:numFmt w:val="decimal"/>
      <w:isLgl/>
      <w:lvlText w:val="%1.%2.%3.%4.%5.%6.%7.%8"/>
      <w:lvlJc w:val="left"/>
      <w:pPr>
        <w:ind w:left="3275" w:hanging="1800"/>
      </w:pPr>
      <w:rPr>
        <w:rFonts w:hint="default"/>
        <w:b w:val="0"/>
        <w:sz w:val="26"/>
      </w:rPr>
    </w:lvl>
    <w:lvl w:ilvl="8">
      <w:start w:val="1"/>
      <w:numFmt w:val="decimal"/>
      <w:isLgl/>
      <w:lvlText w:val="%1.%2.%3.%4.%5.%6.%7.%8.%9"/>
      <w:lvlJc w:val="left"/>
      <w:pPr>
        <w:ind w:left="3635" w:hanging="2160"/>
      </w:pPr>
      <w:rPr>
        <w:rFonts w:hint="default"/>
        <w:b w:val="0"/>
        <w:sz w:val="26"/>
      </w:rPr>
    </w:lvl>
  </w:abstractNum>
  <w:abstractNum w:abstractNumId="40" w15:restartNumberingAfterBreak="0">
    <w:nsid w:val="61EA0689"/>
    <w:multiLevelType w:val="multilevel"/>
    <w:tmpl w:val="CA5CDC56"/>
    <w:lvl w:ilvl="0">
      <w:start w:val="1"/>
      <w:numFmt w:val="decimal"/>
      <w:lvlText w:val="%1."/>
      <w:lvlJc w:val="left"/>
      <w:pPr>
        <w:ind w:left="72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1" w15:restartNumberingAfterBreak="0">
    <w:nsid w:val="67A569E4"/>
    <w:multiLevelType w:val="multilevel"/>
    <w:tmpl w:val="51AE17C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b w:val="0"/>
        <w:bCs w:val="0"/>
      </w:rPr>
    </w:lvl>
    <w:lvl w:ilvl="2">
      <w:start w:val="1"/>
      <w:numFmt w:val="decimal"/>
      <w:isLgl/>
      <w:lvlText w:val="%1.%2.%3"/>
      <w:lvlJc w:val="left"/>
      <w:pPr>
        <w:ind w:left="1855"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42" w15:restartNumberingAfterBreak="0">
    <w:nsid w:val="67C5448B"/>
    <w:multiLevelType w:val="hybridMultilevel"/>
    <w:tmpl w:val="88F463AE"/>
    <w:lvl w:ilvl="0" w:tplc="12769CD8">
      <w:start w:val="3"/>
      <w:numFmt w:val="bullet"/>
      <w:lvlText w:val="-"/>
      <w:lvlJc w:val="left"/>
      <w:pPr>
        <w:ind w:left="720" w:hanging="360"/>
      </w:pPr>
      <w:rPr>
        <w:rFonts w:ascii="Roboto" w:eastAsia="Simplified Arabic" w:hAnsi="Roboto"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7353AE"/>
    <w:multiLevelType w:val="multilevel"/>
    <w:tmpl w:val="23C80DB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Simplified Arabic" w:hAnsi="Simplified Arabic" w:cs="Simplified Arabic" w:hint="default"/>
        <w:b w:val="0"/>
        <w:bCs/>
        <w:sz w:val="24"/>
        <w:szCs w:val="24"/>
      </w:rPr>
    </w:lvl>
    <w:lvl w:ilvl="2">
      <w:start w:val="1"/>
      <w:numFmt w:val="decimal"/>
      <w:isLgl/>
      <w:lvlText w:val="%1.%2.%3"/>
      <w:lvlJc w:val="left"/>
      <w:pPr>
        <w:ind w:left="1800" w:hanging="720"/>
      </w:pPr>
      <w:rPr>
        <w:rFonts w:ascii="Simplified Arabic" w:hAnsi="Simplified Arabic" w:cs="Simplified Arabic" w:hint="default"/>
        <w:b w:val="0"/>
        <w:bCs/>
      </w:rPr>
    </w:lvl>
    <w:lvl w:ilvl="3">
      <w:start w:val="1"/>
      <w:numFmt w:val="decimal"/>
      <w:isLgl/>
      <w:lvlText w:val="%1.%2.%3.%4"/>
      <w:lvlJc w:val="left"/>
      <w:pPr>
        <w:ind w:left="2160" w:hanging="720"/>
      </w:pPr>
      <w:rPr>
        <w:rFonts w:ascii="Simplified Arabic" w:hAnsi="Simplified Arabic" w:cs="Simplified Arabic" w:hint="default"/>
        <w:b/>
      </w:rPr>
    </w:lvl>
    <w:lvl w:ilvl="4">
      <w:start w:val="1"/>
      <w:numFmt w:val="decimal"/>
      <w:isLgl/>
      <w:lvlText w:val="%1.%2.%3.%4.%5"/>
      <w:lvlJc w:val="left"/>
      <w:pPr>
        <w:ind w:left="2880" w:hanging="1080"/>
      </w:pPr>
      <w:rPr>
        <w:rFonts w:ascii="Simplified Arabic" w:hAnsi="Simplified Arabic" w:cs="Simplified Arabic" w:hint="default"/>
        <w:b/>
      </w:rPr>
    </w:lvl>
    <w:lvl w:ilvl="5">
      <w:start w:val="1"/>
      <w:numFmt w:val="decimal"/>
      <w:isLgl/>
      <w:lvlText w:val="%1.%2.%3.%4.%5.%6"/>
      <w:lvlJc w:val="left"/>
      <w:pPr>
        <w:ind w:left="3600" w:hanging="1440"/>
      </w:pPr>
      <w:rPr>
        <w:rFonts w:ascii="Simplified Arabic" w:hAnsi="Simplified Arabic" w:cs="Simplified Arabic" w:hint="default"/>
        <w:b/>
      </w:rPr>
    </w:lvl>
    <w:lvl w:ilvl="6">
      <w:start w:val="1"/>
      <w:numFmt w:val="decimal"/>
      <w:isLgl/>
      <w:lvlText w:val="%1.%2.%3.%4.%5.%6.%7"/>
      <w:lvlJc w:val="left"/>
      <w:pPr>
        <w:ind w:left="3960" w:hanging="1440"/>
      </w:pPr>
      <w:rPr>
        <w:rFonts w:ascii="Simplified Arabic" w:hAnsi="Simplified Arabic" w:cs="Simplified Arabic" w:hint="default"/>
        <w:b/>
      </w:rPr>
    </w:lvl>
    <w:lvl w:ilvl="7">
      <w:start w:val="1"/>
      <w:numFmt w:val="decimal"/>
      <w:isLgl/>
      <w:lvlText w:val="%1.%2.%3.%4.%5.%6.%7.%8"/>
      <w:lvlJc w:val="left"/>
      <w:pPr>
        <w:ind w:left="4680" w:hanging="1800"/>
      </w:pPr>
      <w:rPr>
        <w:rFonts w:ascii="Simplified Arabic" w:hAnsi="Simplified Arabic" w:cs="Simplified Arabic" w:hint="default"/>
        <w:b/>
      </w:rPr>
    </w:lvl>
    <w:lvl w:ilvl="8">
      <w:start w:val="1"/>
      <w:numFmt w:val="decimal"/>
      <w:isLgl/>
      <w:lvlText w:val="%1.%2.%3.%4.%5.%6.%7.%8.%9"/>
      <w:lvlJc w:val="left"/>
      <w:pPr>
        <w:ind w:left="5040" w:hanging="1800"/>
      </w:pPr>
      <w:rPr>
        <w:rFonts w:ascii="Simplified Arabic" w:hAnsi="Simplified Arabic" w:cs="Simplified Arabic" w:hint="default"/>
        <w:b/>
      </w:rPr>
    </w:lvl>
  </w:abstractNum>
  <w:abstractNum w:abstractNumId="44" w15:restartNumberingAfterBreak="0">
    <w:nsid w:val="6D354AEC"/>
    <w:multiLevelType w:val="hybridMultilevel"/>
    <w:tmpl w:val="E3C82186"/>
    <w:lvl w:ilvl="0" w:tplc="E9889DCC">
      <w:numFmt w:val="bullet"/>
      <w:lvlText w:val="-"/>
      <w:lvlJc w:val="left"/>
      <w:pPr>
        <w:ind w:left="2912" w:hanging="360"/>
      </w:pPr>
      <w:rPr>
        <w:rFonts w:ascii="Simplified Arabic" w:eastAsia="Times New Roman" w:hAnsi="Simplified Arabic" w:cs="Simplified Arabic"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45" w15:restartNumberingAfterBreak="0">
    <w:nsid w:val="6D831BDB"/>
    <w:multiLevelType w:val="hybridMultilevel"/>
    <w:tmpl w:val="CC8CCFC8"/>
    <w:lvl w:ilvl="0" w:tplc="D18EBB7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6" w15:restartNumberingAfterBreak="0">
    <w:nsid w:val="70071C63"/>
    <w:multiLevelType w:val="multilevel"/>
    <w:tmpl w:val="EC864FF4"/>
    <w:lvl w:ilvl="0">
      <w:start w:val="1"/>
      <w:numFmt w:val="decimal"/>
      <w:lvlText w:val="%1."/>
      <w:lvlJc w:val="left"/>
      <w:pPr>
        <w:ind w:left="720" w:hanging="360"/>
      </w:pPr>
      <w:rPr>
        <w:rFonts w:hint="default"/>
        <w:b/>
      </w:r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7" w15:restartNumberingAfterBreak="0">
    <w:nsid w:val="773E5A33"/>
    <w:multiLevelType w:val="hybridMultilevel"/>
    <w:tmpl w:val="9C0C1BD4"/>
    <w:lvl w:ilvl="0" w:tplc="5D1C74F6">
      <w:start w:val="1"/>
      <w:numFmt w:val="decimal"/>
      <w:lvlText w:val="%1."/>
      <w:lvlJc w:val="left"/>
      <w:pPr>
        <w:ind w:left="720" w:hanging="360"/>
      </w:pPr>
      <w:rPr>
        <w:b w:val="0"/>
        <w:bCs w:val="0"/>
      </w:rPr>
    </w:lvl>
    <w:lvl w:ilvl="1" w:tplc="16003CD6">
      <w:start w:val="1"/>
      <w:numFmt w:val="lowerLetter"/>
      <w:lvlText w:val="%2."/>
      <w:lvlJc w:val="left"/>
      <w:pPr>
        <w:ind w:left="1440" w:hanging="360"/>
      </w:pPr>
      <w:rPr>
        <w:rFonts w:hint="default"/>
      </w:rPr>
    </w:lvl>
    <w:lvl w:ilvl="2" w:tplc="1B4ED830">
      <w:start w:val="1"/>
      <w:numFmt w:val="lowerLetter"/>
      <w:lvlText w:val="%3."/>
      <w:lvlJc w:val="left"/>
      <w:pPr>
        <w:ind w:left="2340" w:hanging="360"/>
      </w:pPr>
      <w:rPr>
        <w:rFonts w:ascii="Arial" w:eastAsiaTheme="minorHAnsi" w:hAnsi="Arial" w:cs="Arial" w:hint="default"/>
        <w:b w:val="0"/>
        <w:color w:val="auto"/>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820B50"/>
    <w:multiLevelType w:val="hybridMultilevel"/>
    <w:tmpl w:val="4A620016"/>
    <w:lvl w:ilvl="0" w:tplc="04090001">
      <w:start w:val="1"/>
      <w:numFmt w:val="bullet"/>
      <w:lvlText w:val=""/>
      <w:lvlJc w:val="left"/>
      <w:pPr>
        <w:ind w:left="1429" w:hanging="360"/>
      </w:pPr>
      <w:rPr>
        <w:rFonts w:ascii="Symbol" w:hAnsi="Symbol" w:hint="default"/>
      </w:rPr>
    </w:lvl>
    <w:lvl w:ilvl="1" w:tplc="04090001">
      <w:start w:val="1"/>
      <w:numFmt w:val="bullet"/>
      <w:lvlText w:val=""/>
      <w:lvlJc w:val="left"/>
      <w:pPr>
        <w:ind w:left="2149" w:hanging="360"/>
      </w:pPr>
      <w:rPr>
        <w:rFonts w:ascii="Symbol" w:hAnsi="Symbo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9" w15:restartNumberingAfterBreak="0">
    <w:nsid w:val="7F675DCD"/>
    <w:multiLevelType w:val="hybridMultilevel"/>
    <w:tmpl w:val="71CE8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12"/>
  </w:num>
  <w:num w:numId="3">
    <w:abstractNumId w:val="38"/>
  </w:num>
  <w:num w:numId="4">
    <w:abstractNumId w:val="25"/>
  </w:num>
  <w:num w:numId="5">
    <w:abstractNumId w:val="32"/>
  </w:num>
  <w:num w:numId="6">
    <w:abstractNumId w:val="19"/>
  </w:num>
  <w:num w:numId="7">
    <w:abstractNumId w:val="40"/>
  </w:num>
  <w:num w:numId="8">
    <w:abstractNumId w:val="36"/>
  </w:num>
  <w:num w:numId="9">
    <w:abstractNumId w:val="42"/>
  </w:num>
  <w:num w:numId="10">
    <w:abstractNumId w:val="15"/>
  </w:num>
  <w:num w:numId="11">
    <w:abstractNumId w:val="10"/>
  </w:num>
  <w:num w:numId="12">
    <w:abstractNumId w:val="45"/>
  </w:num>
  <w:num w:numId="13">
    <w:abstractNumId w:val="39"/>
  </w:num>
  <w:num w:numId="14">
    <w:abstractNumId w:val="7"/>
  </w:num>
  <w:num w:numId="15">
    <w:abstractNumId w:val="46"/>
  </w:num>
  <w:num w:numId="16">
    <w:abstractNumId w:val="37"/>
  </w:num>
  <w:num w:numId="17">
    <w:abstractNumId w:val="24"/>
  </w:num>
  <w:num w:numId="18">
    <w:abstractNumId w:val="48"/>
  </w:num>
  <w:num w:numId="19">
    <w:abstractNumId w:val="5"/>
  </w:num>
  <w:num w:numId="20">
    <w:abstractNumId w:val="11"/>
  </w:num>
  <w:num w:numId="21">
    <w:abstractNumId w:val="17"/>
  </w:num>
  <w:num w:numId="22">
    <w:abstractNumId w:val="27"/>
  </w:num>
  <w:num w:numId="23">
    <w:abstractNumId w:val="29"/>
  </w:num>
  <w:num w:numId="24">
    <w:abstractNumId w:val="8"/>
  </w:num>
  <w:num w:numId="25">
    <w:abstractNumId w:val="16"/>
  </w:num>
  <w:num w:numId="26">
    <w:abstractNumId w:val="14"/>
  </w:num>
  <w:num w:numId="27">
    <w:abstractNumId w:val="30"/>
  </w:num>
  <w:num w:numId="28">
    <w:abstractNumId w:val="1"/>
  </w:num>
  <w:num w:numId="29">
    <w:abstractNumId w:val="2"/>
  </w:num>
  <w:num w:numId="30">
    <w:abstractNumId w:val="26"/>
  </w:num>
  <w:num w:numId="31">
    <w:abstractNumId w:val="0"/>
  </w:num>
  <w:num w:numId="32">
    <w:abstractNumId w:val="4"/>
  </w:num>
  <w:num w:numId="33">
    <w:abstractNumId w:val="49"/>
  </w:num>
  <w:num w:numId="34">
    <w:abstractNumId w:val="41"/>
  </w:num>
  <w:num w:numId="35">
    <w:abstractNumId w:val="23"/>
  </w:num>
  <w:num w:numId="36">
    <w:abstractNumId w:val="18"/>
  </w:num>
  <w:num w:numId="37">
    <w:abstractNumId w:val="21"/>
  </w:num>
  <w:num w:numId="38">
    <w:abstractNumId w:val="43"/>
  </w:num>
  <w:num w:numId="39">
    <w:abstractNumId w:val="6"/>
  </w:num>
  <w:num w:numId="40">
    <w:abstractNumId w:val="33"/>
  </w:num>
  <w:num w:numId="41">
    <w:abstractNumId w:val="35"/>
  </w:num>
  <w:num w:numId="42">
    <w:abstractNumId w:val="3"/>
  </w:num>
  <w:num w:numId="43">
    <w:abstractNumId w:val="13"/>
  </w:num>
  <w:num w:numId="44">
    <w:abstractNumId w:val="34"/>
  </w:num>
  <w:num w:numId="45">
    <w:abstractNumId w:val="22"/>
  </w:num>
  <w:num w:numId="46">
    <w:abstractNumId w:val="9"/>
  </w:num>
  <w:num w:numId="47">
    <w:abstractNumId w:val="20"/>
  </w:num>
  <w:num w:numId="48">
    <w:abstractNumId w:val="28"/>
  </w:num>
  <w:num w:numId="49">
    <w:abstractNumId w:val="31"/>
  </w:num>
  <w:num w:numId="50">
    <w:abstractNumId w:val="4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A8B"/>
    <w:rsid w:val="00002752"/>
    <w:rsid w:val="00003019"/>
    <w:rsid w:val="00003C60"/>
    <w:rsid w:val="000060C4"/>
    <w:rsid w:val="00006378"/>
    <w:rsid w:val="00006ACC"/>
    <w:rsid w:val="0001223F"/>
    <w:rsid w:val="000219F3"/>
    <w:rsid w:val="00021A97"/>
    <w:rsid w:val="00023E8A"/>
    <w:rsid w:val="00026BCA"/>
    <w:rsid w:val="00030AE7"/>
    <w:rsid w:val="00033476"/>
    <w:rsid w:val="000344BD"/>
    <w:rsid w:val="00037A2C"/>
    <w:rsid w:val="00037E96"/>
    <w:rsid w:val="00044AF1"/>
    <w:rsid w:val="00045269"/>
    <w:rsid w:val="00045CC8"/>
    <w:rsid w:val="0005148C"/>
    <w:rsid w:val="00052AB3"/>
    <w:rsid w:val="00053BC4"/>
    <w:rsid w:val="000542D4"/>
    <w:rsid w:val="00061831"/>
    <w:rsid w:val="00062601"/>
    <w:rsid w:val="0006312A"/>
    <w:rsid w:val="0006476F"/>
    <w:rsid w:val="000659A0"/>
    <w:rsid w:val="0007017D"/>
    <w:rsid w:val="0007694B"/>
    <w:rsid w:val="00076A6A"/>
    <w:rsid w:val="00077ADA"/>
    <w:rsid w:val="00081E2B"/>
    <w:rsid w:val="000858F9"/>
    <w:rsid w:val="0008706C"/>
    <w:rsid w:val="00090EDC"/>
    <w:rsid w:val="00092425"/>
    <w:rsid w:val="00093292"/>
    <w:rsid w:val="00097300"/>
    <w:rsid w:val="000A2117"/>
    <w:rsid w:val="000A4682"/>
    <w:rsid w:val="000A7EC8"/>
    <w:rsid w:val="000B4625"/>
    <w:rsid w:val="000B5ADF"/>
    <w:rsid w:val="000C0797"/>
    <w:rsid w:val="000C186B"/>
    <w:rsid w:val="000C583B"/>
    <w:rsid w:val="000D34B3"/>
    <w:rsid w:val="000D5A73"/>
    <w:rsid w:val="000D7978"/>
    <w:rsid w:val="000E44F3"/>
    <w:rsid w:val="000E5435"/>
    <w:rsid w:val="000E628F"/>
    <w:rsid w:val="000F01C2"/>
    <w:rsid w:val="000F7D03"/>
    <w:rsid w:val="001018B3"/>
    <w:rsid w:val="00107AAE"/>
    <w:rsid w:val="00112783"/>
    <w:rsid w:val="00114FE2"/>
    <w:rsid w:val="00125BF6"/>
    <w:rsid w:val="00132176"/>
    <w:rsid w:val="00133574"/>
    <w:rsid w:val="0014542A"/>
    <w:rsid w:val="0015334A"/>
    <w:rsid w:val="00154A6B"/>
    <w:rsid w:val="001608B5"/>
    <w:rsid w:val="00167DB4"/>
    <w:rsid w:val="00170B95"/>
    <w:rsid w:val="001719F0"/>
    <w:rsid w:val="001727EF"/>
    <w:rsid w:val="00181AB0"/>
    <w:rsid w:val="001823FD"/>
    <w:rsid w:val="00191A71"/>
    <w:rsid w:val="001924BB"/>
    <w:rsid w:val="00193B93"/>
    <w:rsid w:val="00196BC3"/>
    <w:rsid w:val="001A06B3"/>
    <w:rsid w:val="001A1E1F"/>
    <w:rsid w:val="001A4906"/>
    <w:rsid w:val="001A6F8F"/>
    <w:rsid w:val="001B1D2A"/>
    <w:rsid w:val="001B2EEC"/>
    <w:rsid w:val="001B3AC1"/>
    <w:rsid w:val="001B50B4"/>
    <w:rsid w:val="001B7A97"/>
    <w:rsid w:val="001D29CB"/>
    <w:rsid w:val="001D4514"/>
    <w:rsid w:val="001D4763"/>
    <w:rsid w:val="001E0CCD"/>
    <w:rsid w:val="001E64FB"/>
    <w:rsid w:val="001E6A57"/>
    <w:rsid w:val="001E6F20"/>
    <w:rsid w:val="001F2A24"/>
    <w:rsid w:val="001F4970"/>
    <w:rsid w:val="001F4DC7"/>
    <w:rsid w:val="0020147A"/>
    <w:rsid w:val="00204AA4"/>
    <w:rsid w:val="002063C3"/>
    <w:rsid w:val="00206D79"/>
    <w:rsid w:val="00207C54"/>
    <w:rsid w:val="00211BBC"/>
    <w:rsid w:val="00220D3E"/>
    <w:rsid w:val="0023048A"/>
    <w:rsid w:val="00230C5D"/>
    <w:rsid w:val="00233532"/>
    <w:rsid w:val="00234A30"/>
    <w:rsid w:val="00246F2A"/>
    <w:rsid w:val="0026087C"/>
    <w:rsid w:val="002629BE"/>
    <w:rsid w:val="00264598"/>
    <w:rsid w:val="00282311"/>
    <w:rsid w:val="00283E66"/>
    <w:rsid w:val="00292B64"/>
    <w:rsid w:val="002A5757"/>
    <w:rsid w:val="002A7E51"/>
    <w:rsid w:val="002B0420"/>
    <w:rsid w:val="002B1105"/>
    <w:rsid w:val="002B6151"/>
    <w:rsid w:val="002C2B76"/>
    <w:rsid w:val="002C6FDE"/>
    <w:rsid w:val="002D3899"/>
    <w:rsid w:val="002D55DA"/>
    <w:rsid w:val="002D5AAB"/>
    <w:rsid w:val="002E1128"/>
    <w:rsid w:val="002E16BF"/>
    <w:rsid w:val="002E519D"/>
    <w:rsid w:val="002E5D36"/>
    <w:rsid w:val="002F36D8"/>
    <w:rsid w:val="002F3EB4"/>
    <w:rsid w:val="002F562A"/>
    <w:rsid w:val="00301280"/>
    <w:rsid w:val="00303DA8"/>
    <w:rsid w:val="00305745"/>
    <w:rsid w:val="003075B1"/>
    <w:rsid w:val="003173A4"/>
    <w:rsid w:val="00320466"/>
    <w:rsid w:val="00320B7B"/>
    <w:rsid w:val="003235D7"/>
    <w:rsid w:val="00324D1F"/>
    <w:rsid w:val="003319FE"/>
    <w:rsid w:val="00336A94"/>
    <w:rsid w:val="00336AAD"/>
    <w:rsid w:val="00341A56"/>
    <w:rsid w:val="00342B7B"/>
    <w:rsid w:val="00356EDE"/>
    <w:rsid w:val="00357C8E"/>
    <w:rsid w:val="0036234D"/>
    <w:rsid w:val="00365454"/>
    <w:rsid w:val="00366474"/>
    <w:rsid w:val="003728FD"/>
    <w:rsid w:val="00385884"/>
    <w:rsid w:val="00386808"/>
    <w:rsid w:val="00390BFC"/>
    <w:rsid w:val="00391D8A"/>
    <w:rsid w:val="0039291D"/>
    <w:rsid w:val="00392B92"/>
    <w:rsid w:val="0039339A"/>
    <w:rsid w:val="00393C31"/>
    <w:rsid w:val="0039757E"/>
    <w:rsid w:val="003A4C91"/>
    <w:rsid w:val="003A5DE7"/>
    <w:rsid w:val="003A6AC4"/>
    <w:rsid w:val="003B0F8A"/>
    <w:rsid w:val="003B1FC3"/>
    <w:rsid w:val="003B534C"/>
    <w:rsid w:val="003C1B0D"/>
    <w:rsid w:val="003C30F2"/>
    <w:rsid w:val="003C36A4"/>
    <w:rsid w:val="003E1267"/>
    <w:rsid w:val="003E2F9E"/>
    <w:rsid w:val="003E4BBF"/>
    <w:rsid w:val="003E527D"/>
    <w:rsid w:val="003E590B"/>
    <w:rsid w:val="003E635D"/>
    <w:rsid w:val="003E6A96"/>
    <w:rsid w:val="003E7472"/>
    <w:rsid w:val="003F04CC"/>
    <w:rsid w:val="003F5D7F"/>
    <w:rsid w:val="004000FA"/>
    <w:rsid w:val="004101A4"/>
    <w:rsid w:val="0041086F"/>
    <w:rsid w:val="00414DA3"/>
    <w:rsid w:val="00416246"/>
    <w:rsid w:val="0041730B"/>
    <w:rsid w:val="00422EBD"/>
    <w:rsid w:val="00423ABA"/>
    <w:rsid w:val="00430403"/>
    <w:rsid w:val="00430FF7"/>
    <w:rsid w:val="00431145"/>
    <w:rsid w:val="00431759"/>
    <w:rsid w:val="00435470"/>
    <w:rsid w:val="004434C0"/>
    <w:rsid w:val="00447571"/>
    <w:rsid w:val="00453490"/>
    <w:rsid w:val="00453CD3"/>
    <w:rsid w:val="00453EAB"/>
    <w:rsid w:val="00456BC1"/>
    <w:rsid w:val="0046241D"/>
    <w:rsid w:val="004718C4"/>
    <w:rsid w:val="004721B3"/>
    <w:rsid w:val="00472535"/>
    <w:rsid w:val="0048163B"/>
    <w:rsid w:val="004846B0"/>
    <w:rsid w:val="00487876"/>
    <w:rsid w:val="0049044B"/>
    <w:rsid w:val="00491B62"/>
    <w:rsid w:val="004931A1"/>
    <w:rsid w:val="00494679"/>
    <w:rsid w:val="004970C9"/>
    <w:rsid w:val="004A29F5"/>
    <w:rsid w:val="004A5968"/>
    <w:rsid w:val="004B2161"/>
    <w:rsid w:val="004B3911"/>
    <w:rsid w:val="004B4B15"/>
    <w:rsid w:val="004B5A19"/>
    <w:rsid w:val="004C02FF"/>
    <w:rsid w:val="004C39EF"/>
    <w:rsid w:val="004C4922"/>
    <w:rsid w:val="004C61A1"/>
    <w:rsid w:val="004D0FEE"/>
    <w:rsid w:val="004D3FEB"/>
    <w:rsid w:val="004D43C2"/>
    <w:rsid w:val="004D61F1"/>
    <w:rsid w:val="004D6F0B"/>
    <w:rsid w:val="004E2C3A"/>
    <w:rsid w:val="004E4131"/>
    <w:rsid w:val="004F532F"/>
    <w:rsid w:val="0050138C"/>
    <w:rsid w:val="005023BC"/>
    <w:rsid w:val="00503386"/>
    <w:rsid w:val="00505A8B"/>
    <w:rsid w:val="00515070"/>
    <w:rsid w:val="00526AF4"/>
    <w:rsid w:val="00527B04"/>
    <w:rsid w:val="005330E5"/>
    <w:rsid w:val="005338D7"/>
    <w:rsid w:val="0053458F"/>
    <w:rsid w:val="00534A71"/>
    <w:rsid w:val="00537775"/>
    <w:rsid w:val="00540457"/>
    <w:rsid w:val="0054144A"/>
    <w:rsid w:val="005447AC"/>
    <w:rsid w:val="00551908"/>
    <w:rsid w:val="00552849"/>
    <w:rsid w:val="00552C21"/>
    <w:rsid w:val="00554D58"/>
    <w:rsid w:val="005622D2"/>
    <w:rsid w:val="00563636"/>
    <w:rsid w:val="005638C5"/>
    <w:rsid w:val="00565969"/>
    <w:rsid w:val="00567026"/>
    <w:rsid w:val="00567829"/>
    <w:rsid w:val="0057079A"/>
    <w:rsid w:val="00572E43"/>
    <w:rsid w:val="0057393A"/>
    <w:rsid w:val="00575151"/>
    <w:rsid w:val="005830BB"/>
    <w:rsid w:val="00585D20"/>
    <w:rsid w:val="00586824"/>
    <w:rsid w:val="00586DF0"/>
    <w:rsid w:val="00591C77"/>
    <w:rsid w:val="0059443A"/>
    <w:rsid w:val="0059757C"/>
    <w:rsid w:val="00597A30"/>
    <w:rsid w:val="005A1359"/>
    <w:rsid w:val="005A2107"/>
    <w:rsid w:val="005A34EA"/>
    <w:rsid w:val="005A3CCC"/>
    <w:rsid w:val="005A7E90"/>
    <w:rsid w:val="005B422F"/>
    <w:rsid w:val="005B6FC5"/>
    <w:rsid w:val="005C2603"/>
    <w:rsid w:val="005D35B6"/>
    <w:rsid w:val="005D5CEC"/>
    <w:rsid w:val="005D629B"/>
    <w:rsid w:val="005D6A94"/>
    <w:rsid w:val="005E00DD"/>
    <w:rsid w:val="005E2F39"/>
    <w:rsid w:val="005E30C4"/>
    <w:rsid w:val="005F4F5B"/>
    <w:rsid w:val="006078A3"/>
    <w:rsid w:val="00612EF6"/>
    <w:rsid w:val="00616ECE"/>
    <w:rsid w:val="00625983"/>
    <w:rsid w:val="006331B4"/>
    <w:rsid w:val="006334BF"/>
    <w:rsid w:val="00633F8E"/>
    <w:rsid w:val="006352EB"/>
    <w:rsid w:val="006379F7"/>
    <w:rsid w:val="00643D85"/>
    <w:rsid w:val="00646DD0"/>
    <w:rsid w:val="00651E9B"/>
    <w:rsid w:val="00654F36"/>
    <w:rsid w:val="00657D9E"/>
    <w:rsid w:val="00661287"/>
    <w:rsid w:val="00664BD6"/>
    <w:rsid w:val="00674141"/>
    <w:rsid w:val="0067499A"/>
    <w:rsid w:val="006765AD"/>
    <w:rsid w:val="0068030B"/>
    <w:rsid w:val="0068055F"/>
    <w:rsid w:val="00681B2C"/>
    <w:rsid w:val="00685EFA"/>
    <w:rsid w:val="00697016"/>
    <w:rsid w:val="006A334F"/>
    <w:rsid w:val="006A4FAB"/>
    <w:rsid w:val="006B089C"/>
    <w:rsid w:val="006B205A"/>
    <w:rsid w:val="006B250B"/>
    <w:rsid w:val="006B4BB7"/>
    <w:rsid w:val="006C47B2"/>
    <w:rsid w:val="006C7054"/>
    <w:rsid w:val="006D491D"/>
    <w:rsid w:val="006D7437"/>
    <w:rsid w:val="006E58E7"/>
    <w:rsid w:val="006E673D"/>
    <w:rsid w:val="006F3394"/>
    <w:rsid w:val="006F6E0F"/>
    <w:rsid w:val="00700811"/>
    <w:rsid w:val="007058D2"/>
    <w:rsid w:val="0070739F"/>
    <w:rsid w:val="00712328"/>
    <w:rsid w:val="0071301F"/>
    <w:rsid w:val="007139B2"/>
    <w:rsid w:val="00713A59"/>
    <w:rsid w:val="00720468"/>
    <w:rsid w:val="00720984"/>
    <w:rsid w:val="007236E6"/>
    <w:rsid w:val="00725653"/>
    <w:rsid w:val="00731573"/>
    <w:rsid w:val="007316F2"/>
    <w:rsid w:val="00735F58"/>
    <w:rsid w:val="007362A2"/>
    <w:rsid w:val="007362FD"/>
    <w:rsid w:val="00736FE4"/>
    <w:rsid w:val="00741DE4"/>
    <w:rsid w:val="00741FD4"/>
    <w:rsid w:val="007438CA"/>
    <w:rsid w:val="00751039"/>
    <w:rsid w:val="007536AB"/>
    <w:rsid w:val="00754268"/>
    <w:rsid w:val="0075550D"/>
    <w:rsid w:val="0075612D"/>
    <w:rsid w:val="00760379"/>
    <w:rsid w:val="00760C8D"/>
    <w:rsid w:val="007632C1"/>
    <w:rsid w:val="00766C1E"/>
    <w:rsid w:val="0076770C"/>
    <w:rsid w:val="00772126"/>
    <w:rsid w:val="007735EC"/>
    <w:rsid w:val="007748D7"/>
    <w:rsid w:val="007813B3"/>
    <w:rsid w:val="00785D98"/>
    <w:rsid w:val="0078650F"/>
    <w:rsid w:val="00791F4E"/>
    <w:rsid w:val="007A0099"/>
    <w:rsid w:val="007A6939"/>
    <w:rsid w:val="007B28B2"/>
    <w:rsid w:val="007C0A3C"/>
    <w:rsid w:val="007C46BA"/>
    <w:rsid w:val="007C7196"/>
    <w:rsid w:val="007D1BFB"/>
    <w:rsid w:val="007D3988"/>
    <w:rsid w:val="007D4C2B"/>
    <w:rsid w:val="007D685D"/>
    <w:rsid w:val="007E0536"/>
    <w:rsid w:val="007E41B2"/>
    <w:rsid w:val="00803AF9"/>
    <w:rsid w:val="00805B46"/>
    <w:rsid w:val="00806522"/>
    <w:rsid w:val="00811380"/>
    <w:rsid w:val="00812C16"/>
    <w:rsid w:val="0081334E"/>
    <w:rsid w:val="00814F7A"/>
    <w:rsid w:val="0081546B"/>
    <w:rsid w:val="008179C7"/>
    <w:rsid w:val="00825791"/>
    <w:rsid w:val="00826367"/>
    <w:rsid w:val="0084028B"/>
    <w:rsid w:val="00840FDF"/>
    <w:rsid w:val="008413D1"/>
    <w:rsid w:val="00841763"/>
    <w:rsid w:val="0084521C"/>
    <w:rsid w:val="0084577C"/>
    <w:rsid w:val="00846077"/>
    <w:rsid w:val="0084644E"/>
    <w:rsid w:val="00851234"/>
    <w:rsid w:val="008563CA"/>
    <w:rsid w:val="008628F1"/>
    <w:rsid w:val="0086360B"/>
    <w:rsid w:val="00867E48"/>
    <w:rsid w:val="00870A8C"/>
    <w:rsid w:val="00873508"/>
    <w:rsid w:val="00873AE7"/>
    <w:rsid w:val="00874DCF"/>
    <w:rsid w:val="0087699C"/>
    <w:rsid w:val="00882A72"/>
    <w:rsid w:val="00885294"/>
    <w:rsid w:val="00890D9D"/>
    <w:rsid w:val="00891368"/>
    <w:rsid w:val="00891CBB"/>
    <w:rsid w:val="00892A5E"/>
    <w:rsid w:val="00895D6C"/>
    <w:rsid w:val="0089638D"/>
    <w:rsid w:val="008A14B1"/>
    <w:rsid w:val="008A20EB"/>
    <w:rsid w:val="008A3E42"/>
    <w:rsid w:val="008B118E"/>
    <w:rsid w:val="008B320E"/>
    <w:rsid w:val="008C3EA9"/>
    <w:rsid w:val="008C46C9"/>
    <w:rsid w:val="008C5902"/>
    <w:rsid w:val="008C5A75"/>
    <w:rsid w:val="008C6284"/>
    <w:rsid w:val="008D2A88"/>
    <w:rsid w:val="008E7E31"/>
    <w:rsid w:val="008F08A6"/>
    <w:rsid w:val="008F3516"/>
    <w:rsid w:val="008F39D1"/>
    <w:rsid w:val="008F3ECB"/>
    <w:rsid w:val="00906175"/>
    <w:rsid w:val="0090661A"/>
    <w:rsid w:val="00914954"/>
    <w:rsid w:val="009170DA"/>
    <w:rsid w:val="00922DAB"/>
    <w:rsid w:val="00923E57"/>
    <w:rsid w:val="00932D17"/>
    <w:rsid w:val="00933047"/>
    <w:rsid w:val="00935E65"/>
    <w:rsid w:val="00940A2A"/>
    <w:rsid w:val="00941CCA"/>
    <w:rsid w:val="00942C5A"/>
    <w:rsid w:val="00943629"/>
    <w:rsid w:val="00953713"/>
    <w:rsid w:val="00955909"/>
    <w:rsid w:val="009559BF"/>
    <w:rsid w:val="00961590"/>
    <w:rsid w:val="00961F0E"/>
    <w:rsid w:val="00963400"/>
    <w:rsid w:val="0096474C"/>
    <w:rsid w:val="00965A4A"/>
    <w:rsid w:val="00971721"/>
    <w:rsid w:val="00974EB4"/>
    <w:rsid w:val="00982275"/>
    <w:rsid w:val="009836E3"/>
    <w:rsid w:val="00990491"/>
    <w:rsid w:val="00990D1A"/>
    <w:rsid w:val="009933FA"/>
    <w:rsid w:val="00996068"/>
    <w:rsid w:val="00997B8F"/>
    <w:rsid w:val="009A15E9"/>
    <w:rsid w:val="009A1F35"/>
    <w:rsid w:val="009A33D8"/>
    <w:rsid w:val="009A424F"/>
    <w:rsid w:val="009A5D33"/>
    <w:rsid w:val="009A7488"/>
    <w:rsid w:val="009C1D8C"/>
    <w:rsid w:val="009C20FE"/>
    <w:rsid w:val="009C5A25"/>
    <w:rsid w:val="009D223A"/>
    <w:rsid w:val="009D226E"/>
    <w:rsid w:val="009D6004"/>
    <w:rsid w:val="009E353D"/>
    <w:rsid w:val="009E3DFE"/>
    <w:rsid w:val="009F1AEE"/>
    <w:rsid w:val="009F4F5E"/>
    <w:rsid w:val="009F50C5"/>
    <w:rsid w:val="009F5597"/>
    <w:rsid w:val="00A040D2"/>
    <w:rsid w:val="00A04556"/>
    <w:rsid w:val="00A0773A"/>
    <w:rsid w:val="00A105FC"/>
    <w:rsid w:val="00A114A6"/>
    <w:rsid w:val="00A135D7"/>
    <w:rsid w:val="00A13C47"/>
    <w:rsid w:val="00A155CC"/>
    <w:rsid w:val="00A161E3"/>
    <w:rsid w:val="00A20410"/>
    <w:rsid w:val="00A20D64"/>
    <w:rsid w:val="00A2162A"/>
    <w:rsid w:val="00A23EB3"/>
    <w:rsid w:val="00A251F7"/>
    <w:rsid w:val="00A257A3"/>
    <w:rsid w:val="00A2794F"/>
    <w:rsid w:val="00A35516"/>
    <w:rsid w:val="00A405D8"/>
    <w:rsid w:val="00A41662"/>
    <w:rsid w:val="00A45BB9"/>
    <w:rsid w:val="00A46C88"/>
    <w:rsid w:val="00A478B1"/>
    <w:rsid w:val="00A55DB8"/>
    <w:rsid w:val="00A57696"/>
    <w:rsid w:val="00A62E78"/>
    <w:rsid w:val="00A71B1A"/>
    <w:rsid w:val="00A72BBD"/>
    <w:rsid w:val="00A81ECC"/>
    <w:rsid w:val="00A84CAA"/>
    <w:rsid w:val="00A94F0C"/>
    <w:rsid w:val="00AA0256"/>
    <w:rsid w:val="00AA2027"/>
    <w:rsid w:val="00AA3402"/>
    <w:rsid w:val="00AA4B5E"/>
    <w:rsid w:val="00AA7F21"/>
    <w:rsid w:val="00AB058C"/>
    <w:rsid w:val="00AB0C38"/>
    <w:rsid w:val="00AC01AB"/>
    <w:rsid w:val="00AC3734"/>
    <w:rsid w:val="00AC484E"/>
    <w:rsid w:val="00AC49F5"/>
    <w:rsid w:val="00AD1CA9"/>
    <w:rsid w:val="00AD34FD"/>
    <w:rsid w:val="00AD38CE"/>
    <w:rsid w:val="00AD46EA"/>
    <w:rsid w:val="00AD6CF6"/>
    <w:rsid w:val="00AD6F72"/>
    <w:rsid w:val="00AE0B60"/>
    <w:rsid w:val="00AE1964"/>
    <w:rsid w:val="00AE3533"/>
    <w:rsid w:val="00AF1D40"/>
    <w:rsid w:val="00AF467F"/>
    <w:rsid w:val="00AF500D"/>
    <w:rsid w:val="00B0047F"/>
    <w:rsid w:val="00B051B2"/>
    <w:rsid w:val="00B060BD"/>
    <w:rsid w:val="00B077E2"/>
    <w:rsid w:val="00B12F61"/>
    <w:rsid w:val="00B13AF5"/>
    <w:rsid w:val="00B154D4"/>
    <w:rsid w:val="00B20A20"/>
    <w:rsid w:val="00B23B46"/>
    <w:rsid w:val="00B24C5A"/>
    <w:rsid w:val="00B30B3F"/>
    <w:rsid w:val="00B31CCF"/>
    <w:rsid w:val="00B338EC"/>
    <w:rsid w:val="00B378AB"/>
    <w:rsid w:val="00B449BF"/>
    <w:rsid w:val="00B60C8F"/>
    <w:rsid w:val="00B66B27"/>
    <w:rsid w:val="00B71FB6"/>
    <w:rsid w:val="00B7371E"/>
    <w:rsid w:val="00B74848"/>
    <w:rsid w:val="00B85FDB"/>
    <w:rsid w:val="00B86B45"/>
    <w:rsid w:val="00B93AF7"/>
    <w:rsid w:val="00B965B2"/>
    <w:rsid w:val="00BA36C5"/>
    <w:rsid w:val="00BA5651"/>
    <w:rsid w:val="00BB0010"/>
    <w:rsid w:val="00BC5594"/>
    <w:rsid w:val="00BD0300"/>
    <w:rsid w:val="00BD0786"/>
    <w:rsid w:val="00BD35CF"/>
    <w:rsid w:val="00BD3D21"/>
    <w:rsid w:val="00BD5776"/>
    <w:rsid w:val="00BD5854"/>
    <w:rsid w:val="00BD59D7"/>
    <w:rsid w:val="00BD6D78"/>
    <w:rsid w:val="00BD6E5B"/>
    <w:rsid w:val="00BD7B5D"/>
    <w:rsid w:val="00BE5121"/>
    <w:rsid w:val="00BE67B8"/>
    <w:rsid w:val="00BF6F1F"/>
    <w:rsid w:val="00C00311"/>
    <w:rsid w:val="00C0031B"/>
    <w:rsid w:val="00C0293B"/>
    <w:rsid w:val="00C06CAD"/>
    <w:rsid w:val="00C1026F"/>
    <w:rsid w:val="00C11ACC"/>
    <w:rsid w:val="00C12433"/>
    <w:rsid w:val="00C13EF6"/>
    <w:rsid w:val="00C17614"/>
    <w:rsid w:val="00C207DD"/>
    <w:rsid w:val="00C218E1"/>
    <w:rsid w:val="00C21D0B"/>
    <w:rsid w:val="00C30D35"/>
    <w:rsid w:val="00C30E5A"/>
    <w:rsid w:val="00C321FD"/>
    <w:rsid w:val="00C36893"/>
    <w:rsid w:val="00C371D6"/>
    <w:rsid w:val="00C3729A"/>
    <w:rsid w:val="00C44081"/>
    <w:rsid w:val="00C44448"/>
    <w:rsid w:val="00C4459D"/>
    <w:rsid w:val="00C54C6C"/>
    <w:rsid w:val="00C62362"/>
    <w:rsid w:val="00C637BD"/>
    <w:rsid w:val="00C663B4"/>
    <w:rsid w:val="00C707F1"/>
    <w:rsid w:val="00C730FE"/>
    <w:rsid w:val="00C73A12"/>
    <w:rsid w:val="00C74920"/>
    <w:rsid w:val="00C756C8"/>
    <w:rsid w:val="00C77C3A"/>
    <w:rsid w:val="00C801D5"/>
    <w:rsid w:val="00C8368E"/>
    <w:rsid w:val="00C84046"/>
    <w:rsid w:val="00C905CF"/>
    <w:rsid w:val="00C91F01"/>
    <w:rsid w:val="00CA0373"/>
    <w:rsid w:val="00CA0E53"/>
    <w:rsid w:val="00CA40EF"/>
    <w:rsid w:val="00CA7F62"/>
    <w:rsid w:val="00CB0E9A"/>
    <w:rsid w:val="00CB640D"/>
    <w:rsid w:val="00CC10ED"/>
    <w:rsid w:val="00CC4439"/>
    <w:rsid w:val="00CC4B29"/>
    <w:rsid w:val="00CC4D75"/>
    <w:rsid w:val="00CD5837"/>
    <w:rsid w:val="00CD6F30"/>
    <w:rsid w:val="00CD7910"/>
    <w:rsid w:val="00CE1BB0"/>
    <w:rsid w:val="00CE3195"/>
    <w:rsid w:val="00CE5347"/>
    <w:rsid w:val="00CF5EA0"/>
    <w:rsid w:val="00CF69EA"/>
    <w:rsid w:val="00CF703D"/>
    <w:rsid w:val="00D036DF"/>
    <w:rsid w:val="00D044AB"/>
    <w:rsid w:val="00D07B4E"/>
    <w:rsid w:val="00D07E53"/>
    <w:rsid w:val="00D1054E"/>
    <w:rsid w:val="00D2058F"/>
    <w:rsid w:val="00D20A82"/>
    <w:rsid w:val="00D23A41"/>
    <w:rsid w:val="00D24082"/>
    <w:rsid w:val="00D25CAB"/>
    <w:rsid w:val="00D34FB1"/>
    <w:rsid w:val="00D424E3"/>
    <w:rsid w:val="00D42737"/>
    <w:rsid w:val="00D51976"/>
    <w:rsid w:val="00D55427"/>
    <w:rsid w:val="00D56002"/>
    <w:rsid w:val="00D56836"/>
    <w:rsid w:val="00D63D4F"/>
    <w:rsid w:val="00D65E11"/>
    <w:rsid w:val="00D72C34"/>
    <w:rsid w:val="00D72E7E"/>
    <w:rsid w:val="00D739CF"/>
    <w:rsid w:val="00D80630"/>
    <w:rsid w:val="00D8293D"/>
    <w:rsid w:val="00D83D14"/>
    <w:rsid w:val="00D87C8A"/>
    <w:rsid w:val="00D94259"/>
    <w:rsid w:val="00D94462"/>
    <w:rsid w:val="00D94A35"/>
    <w:rsid w:val="00DA1E2C"/>
    <w:rsid w:val="00DA2E2E"/>
    <w:rsid w:val="00DA3E84"/>
    <w:rsid w:val="00DA4F3E"/>
    <w:rsid w:val="00DA7B2F"/>
    <w:rsid w:val="00DB132D"/>
    <w:rsid w:val="00DB2643"/>
    <w:rsid w:val="00DC3F64"/>
    <w:rsid w:val="00DC488A"/>
    <w:rsid w:val="00DC525B"/>
    <w:rsid w:val="00DC63AB"/>
    <w:rsid w:val="00DD03C3"/>
    <w:rsid w:val="00DE283B"/>
    <w:rsid w:val="00DE7C7B"/>
    <w:rsid w:val="00E106EB"/>
    <w:rsid w:val="00E10E62"/>
    <w:rsid w:val="00E122A2"/>
    <w:rsid w:val="00E140A9"/>
    <w:rsid w:val="00E215C6"/>
    <w:rsid w:val="00E232B5"/>
    <w:rsid w:val="00E232D0"/>
    <w:rsid w:val="00E24174"/>
    <w:rsid w:val="00E340C6"/>
    <w:rsid w:val="00E35085"/>
    <w:rsid w:val="00E36847"/>
    <w:rsid w:val="00E4246D"/>
    <w:rsid w:val="00E440CC"/>
    <w:rsid w:val="00E469B4"/>
    <w:rsid w:val="00E54631"/>
    <w:rsid w:val="00E579B1"/>
    <w:rsid w:val="00E57CE5"/>
    <w:rsid w:val="00E62D68"/>
    <w:rsid w:val="00E65AC9"/>
    <w:rsid w:val="00E65FCC"/>
    <w:rsid w:val="00E717BD"/>
    <w:rsid w:val="00E74B7B"/>
    <w:rsid w:val="00E8411F"/>
    <w:rsid w:val="00E87527"/>
    <w:rsid w:val="00E9358B"/>
    <w:rsid w:val="00E935D2"/>
    <w:rsid w:val="00E96CD6"/>
    <w:rsid w:val="00EA0AB9"/>
    <w:rsid w:val="00EA2BC0"/>
    <w:rsid w:val="00EA4BD9"/>
    <w:rsid w:val="00EA69C5"/>
    <w:rsid w:val="00EB05C5"/>
    <w:rsid w:val="00EC0E25"/>
    <w:rsid w:val="00EC29F2"/>
    <w:rsid w:val="00EC3BCC"/>
    <w:rsid w:val="00EC485A"/>
    <w:rsid w:val="00EC775C"/>
    <w:rsid w:val="00ED328C"/>
    <w:rsid w:val="00ED4BD8"/>
    <w:rsid w:val="00EE0675"/>
    <w:rsid w:val="00EE6389"/>
    <w:rsid w:val="00EF268A"/>
    <w:rsid w:val="00EF3D4A"/>
    <w:rsid w:val="00EF5B28"/>
    <w:rsid w:val="00F01F4B"/>
    <w:rsid w:val="00F02821"/>
    <w:rsid w:val="00F06631"/>
    <w:rsid w:val="00F0728C"/>
    <w:rsid w:val="00F1087B"/>
    <w:rsid w:val="00F26C75"/>
    <w:rsid w:val="00F27413"/>
    <w:rsid w:val="00F339A9"/>
    <w:rsid w:val="00F3582B"/>
    <w:rsid w:val="00F4114E"/>
    <w:rsid w:val="00F420C2"/>
    <w:rsid w:val="00F4510F"/>
    <w:rsid w:val="00F4698B"/>
    <w:rsid w:val="00F54368"/>
    <w:rsid w:val="00F55942"/>
    <w:rsid w:val="00F56555"/>
    <w:rsid w:val="00F57744"/>
    <w:rsid w:val="00F6121D"/>
    <w:rsid w:val="00F67EFF"/>
    <w:rsid w:val="00F761EC"/>
    <w:rsid w:val="00F770C4"/>
    <w:rsid w:val="00F904B4"/>
    <w:rsid w:val="00F90D99"/>
    <w:rsid w:val="00F91E32"/>
    <w:rsid w:val="00F93827"/>
    <w:rsid w:val="00F94745"/>
    <w:rsid w:val="00F94806"/>
    <w:rsid w:val="00F95D84"/>
    <w:rsid w:val="00F9791A"/>
    <w:rsid w:val="00F97973"/>
    <w:rsid w:val="00FA3AA7"/>
    <w:rsid w:val="00FB10DF"/>
    <w:rsid w:val="00FB2567"/>
    <w:rsid w:val="00FB2C91"/>
    <w:rsid w:val="00FB53BB"/>
    <w:rsid w:val="00FC5701"/>
    <w:rsid w:val="00FC5A62"/>
    <w:rsid w:val="00FC66BF"/>
    <w:rsid w:val="00FD34A1"/>
    <w:rsid w:val="00FD34A2"/>
    <w:rsid w:val="00FE0326"/>
    <w:rsid w:val="00FE5581"/>
    <w:rsid w:val="00FF2237"/>
    <w:rsid w:val="00FF6A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C4CB2"/>
  <w15:chartTrackingRefBased/>
  <w15:docId w15:val="{8E29ED89-05EF-4EA4-9FFB-E91201819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A8B"/>
    <w:pPr>
      <w:bidi/>
      <w:spacing w:after="120" w:line="240" w:lineRule="auto"/>
      <w:jc w:val="both"/>
    </w:pPr>
    <w:rPr>
      <w:rFonts w:ascii="Simplified Arabic" w:eastAsia="Simplified Arabic" w:hAnsi="Simplified Arabic" w:cs="Simplified Arabic"/>
      <w:b/>
      <w:bCs/>
      <w:sz w:val="26"/>
      <w:szCs w:val="26"/>
    </w:rPr>
  </w:style>
  <w:style w:type="paragraph" w:styleId="Heading1">
    <w:name w:val="heading 1"/>
    <w:basedOn w:val="Normal"/>
    <w:next w:val="Normal"/>
    <w:link w:val="Heading1Char"/>
    <w:uiPriority w:val="9"/>
    <w:qFormat/>
    <w:rsid w:val="00505A8B"/>
    <w:pPr>
      <w:spacing w:before="480" w:after="0"/>
      <w:contextualSpacing/>
      <w:outlineLvl w:val="0"/>
    </w:pPr>
    <w:rPr>
      <w:b w:val="0"/>
      <w:bCs w:val="0"/>
      <w:sz w:val="28"/>
      <w:szCs w:val="28"/>
    </w:rPr>
  </w:style>
  <w:style w:type="paragraph" w:styleId="Heading2">
    <w:name w:val="heading 2"/>
    <w:basedOn w:val="Normal"/>
    <w:next w:val="Normal"/>
    <w:link w:val="Heading2Char"/>
    <w:autoRedefine/>
    <w:unhideWhenUsed/>
    <w:qFormat/>
    <w:rsid w:val="00505A8B"/>
    <w:pPr>
      <w:spacing w:after="0"/>
      <w:ind w:left="490" w:hanging="470"/>
      <w:jc w:val="left"/>
      <w:outlineLvl w:val="1"/>
    </w:pPr>
  </w:style>
  <w:style w:type="paragraph" w:styleId="Heading3">
    <w:name w:val="heading 3"/>
    <w:basedOn w:val="Normal"/>
    <w:next w:val="Normal"/>
    <w:link w:val="Heading3Char"/>
    <w:unhideWhenUsed/>
    <w:qFormat/>
    <w:rsid w:val="00505A8B"/>
    <w:pPr>
      <w:spacing w:before="200" w:after="0" w:line="271" w:lineRule="auto"/>
      <w:outlineLvl w:val="2"/>
    </w:pPr>
    <w:rPr>
      <w:rFonts w:asciiTheme="majorHAnsi" w:eastAsiaTheme="majorEastAsia" w:hAnsiTheme="majorHAnsi" w:cstheme="majorBidi"/>
      <w:b w:val="0"/>
      <w:bCs w:val="0"/>
    </w:rPr>
  </w:style>
  <w:style w:type="paragraph" w:styleId="Heading4">
    <w:name w:val="heading 4"/>
    <w:basedOn w:val="Normal"/>
    <w:next w:val="Normal"/>
    <w:link w:val="Heading4Char"/>
    <w:unhideWhenUsed/>
    <w:qFormat/>
    <w:rsid w:val="00505A8B"/>
    <w:pPr>
      <w:spacing w:before="200" w:after="0"/>
      <w:outlineLvl w:val="3"/>
    </w:pPr>
    <w:rPr>
      <w:rFonts w:asciiTheme="majorHAnsi" w:eastAsiaTheme="majorEastAsia" w:hAnsiTheme="majorHAnsi" w:cstheme="majorBidi"/>
      <w:b w:val="0"/>
      <w:bCs w:val="0"/>
      <w:i/>
      <w:iCs/>
    </w:rPr>
  </w:style>
  <w:style w:type="paragraph" w:styleId="Heading5">
    <w:name w:val="heading 5"/>
    <w:basedOn w:val="Normal"/>
    <w:next w:val="Normal"/>
    <w:link w:val="Heading5Char"/>
    <w:unhideWhenUsed/>
    <w:qFormat/>
    <w:rsid w:val="00505A8B"/>
    <w:pPr>
      <w:spacing w:before="200" w:after="0"/>
      <w:outlineLvl w:val="4"/>
    </w:pPr>
    <w:rPr>
      <w:rFonts w:asciiTheme="majorHAnsi" w:eastAsiaTheme="majorEastAsia" w:hAnsiTheme="majorHAnsi" w:cstheme="majorBidi"/>
      <w:b w:val="0"/>
      <w:bCs w:val="0"/>
      <w:color w:val="7F7F7F" w:themeColor="text1" w:themeTint="80"/>
    </w:rPr>
  </w:style>
  <w:style w:type="paragraph" w:styleId="Heading6">
    <w:name w:val="heading 6"/>
    <w:basedOn w:val="Normal"/>
    <w:next w:val="Normal"/>
    <w:link w:val="Heading6Char"/>
    <w:uiPriority w:val="9"/>
    <w:semiHidden/>
    <w:unhideWhenUsed/>
    <w:qFormat/>
    <w:rsid w:val="00505A8B"/>
    <w:pPr>
      <w:bidi w:val="0"/>
      <w:spacing w:after="0" w:line="271" w:lineRule="auto"/>
      <w:outlineLvl w:val="5"/>
    </w:pPr>
    <w:rPr>
      <w:rFonts w:asciiTheme="majorHAnsi" w:eastAsiaTheme="majorEastAsia" w:hAnsiTheme="majorHAnsi" w:cstheme="majorBidi"/>
      <w:b w:val="0"/>
      <w:bCs w:val="0"/>
      <w:i/>
      <w:iCs/>
      <w:color w:val="7F7F7F" w:themeColor="text1" w:themeTint="80"/>
    </w:rPr>
  </w:style>
  <w:style w:type="paragraph" w:styleId="Heading7">
    <w:name w:val="heading 7"/>
    <w:basedOn w:val="Normal"/>
    <w:next w:val="Normal"/>
    <w:link w:val="Heading7Char"/>
    <w:unhideWhenUsed/>
    <w:qFormat/>
    <w:rsid w:val="00505A8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05A8B"/>
    <w:pPr>
      <w:bidi w:val="0"/>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05A8B"/>
    <w:pPr>
      <w:bidi w:val="0"/>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A8B"/>
    <w:rPr>
      <w:rFonts w:ascii="Simplified Arabic" w:eastAsia="Simplified Arabic" w:hAnsi="Simplified Arabic" w:cs="Simplified Arabic"/>
      <w:sz w:val="28"/>
      <w:szCs w:val="28"/>
    </w:rPr>
  </w:style>
  <w:style w:type="character" w:customStyle="1" w:styleId="Heading2Char">
    <w:name w:val="Heading 2 Char"/>
    <w:basedOn w:val="DefaultParagraphFont"/>
    <w:link w:val="Heading2"/>
    <w:rsid w:val="00505A8B"/>
    <w:rPr>
      <w:rFonts w:ascii="Simplified Arabic" w:eastAsia="Simplified Arabic" w:hAnsi="Simplified Arabic" w:cs="Simplified Arabic"/>
      <w:b/>
      <w:bCs/>
      <w:sz w:val="26"/>
      <w:szCs w:val="26"/>
    </w:rPr>
  </w:style>
  <w:style w:type="character" w:customStyle="1" w:styleId="Heading3Char">
    <w:name w:val="Heading 3 Char"/>
    <w:basedOn w:val="DefaultParagraphFont"/>
    <w:link w:val="Heading3"/>
    <w:rsid w:val="00505A8B"/>
    <w:rPr>
      <w:rFonts w:asciiTheme="majorHAnsi" w:eastAsiaTheme="majorEastAsia" w:hAnsiTheme="majorHAnsi" w:cstheme="majorBidi"/>
      <w:sz w:val="26"/>
      <w:szCs w:val="26"/>
    </w:rPr>
  </w:style>
  <w:style w:type="character" w:customStyle="1" w:styleId="Heading4Char">
    <w:name w:val="Heading 4 Char"/>
    <w:basedOn w:val="DefaultParagraphFont"/>
    <w:link w:val="Heading4"/>
    <w:rsid w:val="00505A8B"/>
    <w:rPr>
      <w:rFonts w:asciiTheme="majorHAnsi" w:eastAsiaTheme="majorEastAsia" w:hAnsiTheme="majorHAnsi" w:cstheme="majorBidi"/>
      <w:i/>
      <w:iCs/>
      <w:sz w:val="26"/>
      <w:szCs w:val="26"/>
    </w:rPr>
  </w:style>
  <w:style w:type="character" w:customStyle="1" w:styleId="Heading5Char">
    <w:name w:val="Heading 5 Char"/>
    <w:basedOn w:val="DefaultParagraphFont"/>
    <w:link w:val="Heading5"/>
    <w:rsid w:val="00505A8B"/>
    <w:rPr>
      <w:rFonts w:asciiTheme="majorHAnsi" w:eastAsiaTheme="majorEastAsia" w:hAnsiTheme="majorHAnsi" w:cstheme="majorBidi"/>
      <w:color w:val="7F7F7F" w:themeColor="text1" w:themeTint="80"/>
      <w:sz w:val="26"/>
      <w:szCs w:val="26"/>
    </w:rPr>
  </w:style>
  <w:style w:type="character" w:customStyle="1" w:styleId="Heading6Char">
    <w:name w:val="Heading 6 Char"/>
    <w:basedOn w:val="DefaultParagraphFont"/>
    <w:link w:val="Heading6"/>
    <w:uiPriority w:val="9"/>
    <w:semiHidden/>
    <w:rsid w:val="00505A8B"/>
    <w:rPr>
      <w:rFonts w:asciiTheme="majorHAnsi" w:eastAsiaTheme="majorEastAsia" w:hAnsiTheme="majorHAnsi" w:cstheme="majorBidi"/>
      <w:i/>
      <w:iCs/>
      <w:color w:val="7F7F7F" w:themeColor="text1" w:themeTint="80"/>
      <w:sz w:val="26"/>
      <w:szCs w:val="26"/>
    </w:rPr>
  </w:style>
  <w:style w:type="character" w:customStyle="1" w:styleId="Heading7Char">
    <w:name w:val="Heading 7 Char"/>
    <w:basedOn w:val="DefaultParagraphFont"/>
    <w:link w:val="Heading7"/>
    <w:rsid w:val="00505A8B"/>
    <w:rPr>
      <w:rFonts w:asciiTheme="majorHAnsi" w:eastAsiaTheme="majorEastAsia" w:hAnsiTheme="majorHAnsi" w:cstheme="majorBidi"/>
      <w:b/>
      <w:bCs/>
      <w:i/>
      <w:iCs/>
      <w:sz w:val="26"/>
      <w:szCs w:val="26"/>
    </w:rPr>
  </w:style>
  <w:style w:type="character" w:customStyle="1" w:styleId="Heading8Char">
    <w:name w:val="Heading 8 Char"/>
    <w:basedOn w:val="DefaultParagraphFont"/>
    <w:link w:val="Heading8"/>
    <w:uiPriority w:val="9"/>
    <w:semiHidden/>
    <w:rsid w:val="00505A8B"/>
    <w:rPr>
      <w:rFonts w:asciiTheme="majorHAnsi" w:eastAsiaTheme="majorEastAsia" w:hAnsiTheme="majorHAnsi" w:cstheme="majorBidi"/>
      <w:b/>
      <w:bCs/>
      <w:sz w:val="20"/>
      <w:szCs w:val="20"/>
    </w:rPr>
  </w:style>
  <w:style w:type="character" w:customStyle="1" w:styleId="Heading9Char">
    <w:name w:val="Heading 9 Char"/>
    <w:basedOn w:val="DefaultParagraphFont"/>
    <w:link w:val="Heading9"/>
    <w:uiPriority w:val="9"/>
    <w:semiHidden/>
    <w:rsid w:val="00505A8B"/>
    <w:rPr>
      <w:rFonts w:asciiTheme="majorHAnsi" w:eastAsiaTheme="majorEastAsia" w:hAnsiTheme="majorHAnsi" w:cstheme="majorBidi"/>
      <w:b/>
      <w:bCs/>
      <w:i/>
      <w:iCs/>
      <w:spacing w:val="5"/>
      <w:sz w:val="20"/>
      <w:szCs w:val="20"/>
    </w:rPr>
  </w:style>
  <w:style w:type="paragraph" w:styleId="BodyTextIndent2">
    <w:name w:val="Body Text Indent 2"/>
    <w:basedOn w:val="Normal"/>
    <w:link w:val="BodyTextIndent2Char"/>
    <w:uiPriority w:val="99"/>
    <w:rsid w:val="00505A8B"/>
    <w:pPr>
      <w:spacing w:line="420" w:lineRule="exact"/>
      <w:ind w:left="566"/>
      <w:jc w:val="lowKashida"/>
    </w:pPr>
    <w:rPr>
      <w:b w:val="0"/>
      <w:bCs w:val="0"/>
      <w:sz w:val="28"/>
      <w:szCs w:val="28"/>
      <w:lang w:val="x-none" w:bidi="ar-JO"/>
    </w:rPr>
  </w:style>
  <w:style w:type="character" w:customStyle="1" w:styleId="BodyTextIndent2Char">
    <w:name w:val="Body Text Indent 2 Char"/>
    <w:basedOn w:val="DefaultParagraphFont"/>
    <w:link w:val="BodyTextIndent2"/>
    <w:uiPriority w:val="99"/>
    <w:rsid w:val="00505A8B"/>
    <w:rPr>
      <w:rFonts w:ascii="Simplified Arabic" w:eastAsia="Simplified Arabic" w:hAnsi="Simplified Arabic" w:cs="Simplified Arabic"/>
      <w:sz w:val="28"/>
      <w:szCs w:val="28"/>
      <w:lang w:val="x-none" w:bidi="ar-JO"/>
    </w:rPr>
  </w:style>
  <w:style w:type="paragraph" w:styleId="BodyTextIndent">
    <w:name w:val="Body Text Indent"/>
    <w:basedOn w:val="Normal"/>
    <w:link w:val="BodyTextIndentChar"/>
    <w:rsid w:val="00505A8B"/>
    <w:pPr>
      <w:ind w:left="283"/>
    </w:pPr>
    <w:rPr>
      <w:lang w:val="x-none"/>
    </w:rPr>
  </w:style>
  <w:style w:type="character" w:customStyle="1" w:styleId="BodyTextIndentChar">
    <w:name w:val="Body Text Indent Char"/>
    <w:basedOn w:val="DefaultParagraphFont"/>
    <w:link w:val="BodyTextIndent"/>
    <w:rsid w:val="00505A8B"/>
    <w:rPr>
      <w:rFonts w:ascii="Simplified Arabic" w:eastAsia="Simplified Arabic" w:hAnsi="Simplified Arabic" w:cs="Simplified Arabic"/>
      <w:b/>
      <w:bCs/>
      <w:sz w:val="26"/>
      <w:szCs w:val="26"/>
      <w:lang w:val="x-none"/>
    </w:rPr>
  </w:style>
  <w:style w:type="paragraph" w:styleId="BodyText">
    <w:name w:val="Body Text"/>
    <w:basedOn w:val="Normal"/>
    <w:link w:val="BodyTextChar"/>
    <w:rsid w:val="00505A8B"/>
    <w:rPr>
      <w:lang w:val="x-none"/>
    </w:rPr>
  </w:style>
  <w:style w:type="character" w:customStyle="1" w:styleId="BodyTextChar">
    <w:name w:val="Body Text Char"/>
    <w:basedOn w:val="DefaultParagraphFont"/>
    <w:link w:val="BodyText"/>
    <w:rsid w:val="00505A8B"/>
    <w:rPr>
      <w:rFonts w:ascii="Simplified Arabic" w:eastAsia="Simplified Arabic" w:hAnsi="Simplified Arabic" w:cs="Simplified Arabic"/>
      <w:b/>
      <w:bCs/>
      <w:sz w:val="26"/>
      <w:szCs w:val="26"/>
      <w:lang w:val="x-none"/>
    </w:rPr>
  </w:style>
  <w:style w:type="paragraph" w:styleId="Title">
    <w:name w:val="Title"/>
    <w:basedOn w:val="Normal"/>
    <w:next w:val="Normal"/>
    <w:link w:val="TitleChar"/>
    <w:qFormat/>
    <w:rsid w:val="00505A8B"/>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rsid w:val="00505A8B"/>
    <w:rPr>
      <w:rFonts w:asciiTheme="majorHAnsi" w:eastAsiaTheme="majorEastAsia" w:hAnsiTheme="majorHAnsi" w:cstheme="majorBidi"/>
      <w:b/>
      <w:bCs/>
      <w:spacing w:val="5"/>
      <w:sz w:val="52"/>
      <w:szCs w:val="52"/>
    </w:rPr>
  </w:style>
  <w:style w:type="paragraph" w:styleId="BlockText">
    <w:name w:val="Block Text"/>
    <w:basedOn w:val="Normal"/>
    <w:rsid w:val="00505A8B"/>
    <w:pPr>
      <w:ind w:left="654" w:hanging="294"/>
      <w:jc w:val="lowKashida"/>
    </w:pPr>
    <w:rPr>
      <w:rFonts w:cs="Arabic Transparent"/>
      <w:b w:val="0"/>
      <w:bCs w:val="0"/>
      <w:sz w:val="20"/>
      <w:szCs w:val="28"/>
    </w:rPr>
  </w:style>
  <w:style w:type="paragraph" w:styleId="Header">
    <w:name w:val="header"/>
    <w:basedOn w:val="Normal"/>
    <w:link w:val="HeaderChar"/>
    <w:semiHidden/>
    <w:rsid w:val="00505A8B"/>
    <w:pPr>
      <w:tabs>
        <w:tab w:val="center" w:pos="4153"/>
        <w:tab w:val="right" w:pos="8306"/>
      </w:tabs>
    </w:pPr>
    <w:rPr>
      <w:lang w:val="x-none"/>
    </w:rPr>
  </w:style>
  <w:style w:type="character" w:customStyle="1" w:styleId="HeaderChar">
    <w:name w:val="Header Char"/>
    <w:basedOn w:val="DefaultParagraphFont"/>
    <w:link w:val="Header"/>
    <w:semiHidden/>
    <w:rsid w:val="00505A8B"/>
    <w:rPr>
      <w:rFonts w:ascii="Simplified Arabic" w:eastAsia="Simplified Arabic" w:hAnsi="Simplified Arabic" w:cs="Simplified Arabic"/>
      <w:b/>
      <w:bCs/>
      <w:sz w:val="26"/>
      <w:szCs w:val="26"/>
      <w:lang w:val="x-none"/>
    </w:rPr>
  </w:style>
  <w:style w:type="character" w:styleId="PageNumber">
    <w:name w:val="page number"/>
    <w:basedOn w:val="DefaultParagraphFont"/>
    <w:semiHidden/>
    <w:rsid w:val="00505A8B"/>
  </w:style>
  <w:style w:type="character" w:customStyle="1" w:styleId="BodyTextIndent3Char">
    <w:name w:val="Body Text Indent 3 Char"/>
    <w:basedOn w:val="DefaultParagraphFont"/>
    <w:link w:val="BodyTextIndent3"/>
    <w:semiHidden/>
    <w:rsid w:val="00505A8B"/>
    <w:rPr>
      <w:rFonts w:ascii="Simplified Arabic" w:eastAsia="Simplified Arabic" w:hAnsi="Simplified Arabic" w:cs="Simplified Arabic"/>
      <w:b/>
      <w:bCs/>
      <w:sz w:val="28"/>
      <w:szCs w:val="28"/>
      <w:lang w:bidi="ar-JO"/>
    </w:rPr>
  </w:style>
  <w:style w:type="paragraph" w:styleId="BodyTextIndent3">
    <w:name w:val="Body Text Indent 3"/>
    <w:basedOn w:val="Normal"/>
    <w:link w:val="BodyTextIndent3Char"/>
    <w:semiHidden/>
    <w:rsid w:val="00505A8B"/>
    <w:pPr>
      <w:ind w:left="386" w:hanging="351"/>
      <w:jc w:val="lowKashida"/>
    </w:pPr>
    <w:rPr>
      <w:sz w:val="28"/>
      <w:szCs w:val="28"/>
      <w:lang w:bidi="ar-JO"/>
    </w:rPr>
  </w:style>
  <w:style w:type="paragraph" w:styleId="BodyText2">
    <w:name w:val="Body Text 2"/>
    <w:basedOn w:val="Normal"/>
    <w:link w:val="BodyText2Char"/>
    <w:rsid w:val="00505A8B"/>
    <w:pPr>
      <w:jc w:val="lowKashida"/>
    </w:pPr>
    <w:rPr>
      <w:b w:val="0"/>
      <w:bCs w:val="0"/>
      <w:sz w:val="22"/>
      <w:szCs w:val="22"/>
      <w:lang w:val="x-none" w:eastAsia="x-none"/>
    </w:rPr>
  </w:style>
  <w:style w:type="character" w:customStyle="1" w:styleId="BodyText2Char">
    <w:name w:val="Body Text 2 Char"/>
    <w:basedOn w:val="DefaultParagraphFont"/>
    <w:link w:val="BodyText2"/>
    <w:rsid w:val="00505A8B"/>
    <w:rPr>
      <w:rFonts w:ascii="Simplified Arabic" w:eastAsia="Simplified Arabic" w:hAnsi="Simplified Arabic" w:cs="Simplified Arabic"/>
      <w:lang w:val="x-none" w:eastAsia="x-none"/>
    </w:rPr>
  </w:style>
  <w:style w:type="paragraph" w:styleId="Footer">
    <w:name w:val="footer"/>
    <w:basedOn w:val="Normal"/>
    <w:link w:val="FooterChar"/>
    <w:uiPriority w:val="99"/>
    <w:unhideWhenUsed/>
    <w:rsid w:val="00505A8B"/>
    <w:pPr>
      <w:tabs>
        <w:tab w:val="center" w:pos="4153"/>
        <w:tab w:val="right" w:pos="8306"/>
      </w:tabs>
    </w:pPr>
    <w:rPr>
      <w:noProof/>
      <w:sz w:val="20"/>
      <w:szCs w:val="20"/>
      <w:lang w:val="x-none"/>
    </w:rPr>
  </w:style>
  <w:style w:type="character" w:customStyle="1" w:styleId="FooterChar">
    <w:name w:val="Footer Char"/>
    <w:basedOn w:val="DefaultParagraphFont"/>
    <w:link w:val="Footer"/>
    <w:uiPriority w:val="99"/>
    <w:rsid w:val="00505A8B"/>
    <w:rPr>
      <w:rFonts w:ascii="Simplified Arabic" w:eastAsia="Simplified Arabic" w:hAnsi="Simplified Arabic" w:cs="Simplified Arabic"/>
      <w:b/>
      <w:bCs/>
      <w:noProof/>
      <w:sz w:val="20"/>
      <w:szCs w:val="20"/>
      <w:lang w:val="x-none"/>
    </w:rPr>
  </w:style>
  <w:style w:type="paragraph" w:styleId="BalloonText">
    <w:name w:val="Balloon Text"/>
    <w:basedOn w:val="Normal"/>
    <w:link w:val="BalloonTextChar"/>
    <w:uiPriority w:val="99"/>
    <w:semiHidden/>
    <w:unhideWhenUsed/>
    <w:rsid w:val="00505A8B"/>
    <w:rPr>
      <w:rFonts w:ascii="Tahoma" w:hAnsi="Tahoma"/>
      <w:noProof/>
      <w:sz w:val="16"/>
      <w:szCs w:val="16"/>
      <w:lang w:val="x-none"/>
    </w:rPr>
  </w:style>
  <w:style w:type="character" w:customStyle="1" w:styleId="BalloonTextChar">
    <w:name w:val="Balloon Text Char"/>
    <w:basedOn w:val="DefaultParagraphFont"/>
    <w:link w:val="BalloonText"/>
    <w:uiPriority w:val="99"/>
    <w:semiHidden/>
    <w:rsid w:val="00505A8B"/>
    <w:rPr>
      <w:rFonts w:ascii="Tahoma" w:eastAsia="Simplified Arabic" w:hAnsi="Tahoma" w:cs="Simplified Arabic"/>
      <w:b/>
      <w:bCs/>
      <w:noProof/>
      <w:sz w:val="16"/>
      <w:szCs w:val="16"/>
      <w:lang w:val="x-none"/>
    </w:rPr>
  </w:style>
  <w:style w:type="paragraph" w:styleId="FootnoteText">
    <w:name w:val="footnote text"/>
    <w:basedOn w:val="Normal"/>
    <w:link w:val="FootnoteTextChar"/>
    <w:uiPriority w:val="99"/>
    <w:unhideWhenUsed/>
    <w:rsid w:val="00505A8B"/>
    <w:rPr>
      <w:noProof/>
      <w:sz w:val="20"/>
      <w:szCs w:val="20"/>
      <w:lang w:val="x-none"/>
    </w:rPr>
  </w:style>
  <w:style w:type="character" w:customStyle="1" w:styleId="FootnoteTextChar">
    <w:name w:val="Footnote Text Char"/>
    <w:basedOn w:val="DefaultParagraphFont"/>
    <w:link w:val="FootnoteText"/>
    <w:uiPriority w:val="99"/>
    <w:rsid w:val="00505A8B"/>
    <w:rPr>
      <w:rFonts w:ascii="Simplified Arabic" w:eastAsia="Simplified Arabic" w:hAnsi="Simplified Arabic" w:cs="Simplified Arabic"/>
      <w:b/>
      <w:bCs/>
      <w:noProof/>
      <w:sz w:val="20"/>
      <w:szCs w:val="20"/>
      <w:lang w:val="x-none"/>
    </w:rPr>
  </w:style>
  <w:style w:type="character" w:styleId="FootnoteReference">
    <w:name w:val="footnote reference"/>
    <w:uiPriority w:val="99"/>
    <w:unhideWhenUsed/>
    <w:rsid w:val="00505A8B"/>
    <w:rPr>
      <w:vertAlign w:val="superscript"/>
    </w:rPr>
  </w:style>
  <w:style w:type="table" w:styleId="TableGrid">
    <w:name w:val="Table Grid"/>
    <w:basedOn w:val="TableNormal"/>
    <w:uiPriority w:val="59"/>
    <w:rsid w:val="00505A8B"/>
    <w:pPr>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505A8B"/>
    <w:pPr>
      <w:ind w:left="720"/>
      <w:contextualSpacing/>
    </w:pPr>
  </w:style>
  <w:style w:type="character" w:customStyle="1" w:styleId="CommentTextChar">
    <w:name w:val="Comment Text Char"/>
    <w:basedOn w:val="DefaultParagraphFont"/>
    <w:link w:val="CommentText"/>
    <w:uiPriority w:val="99"/>
    <w:semiHidden/>
    <w:rsid w:val="00505A8B"/>
    <w:rPr>
      <w:rFonts w:ascii="Simplified Arabic" w:eastAsia="Simplified Arabic" w:hAnsi="Simplified Arabic" w:cs="Simplified Arabic"/>
      <w:b/>
      <w:bCs/>
      <w:noProof/>
      <w:sz w:val="20"/>
      <w:szCs w:val="20"/>
      <w:lang w:val="x-none"/>
    </w:rPr>
  </w:style>
  <w:style w:type="paragraph" w:styleId="CommentText">
    <w:name w:val="annotation text"/>
    <w:basedOn w:val="Normal"/>
    <w:link w:val="CommentTextChar"/>
    <w:uiPriority w:val="99"/>
    <w:semiHidden/>
    <w:unhideWhenUsed/>
    <w:rsid w:val="00505A8B"/>
    <w:rPr>
      <w:noProof/>
      <w:sz w:val="20"/>
      <w:szCs w:val="20"/>
      <w:lang w:val="x-none"/>
    </w:rPr>
  </w:style>
  <w:style w:type="character" w:customStyle="1" w:styleId="CommentSubjectChar">
    <w:name w:val="Comment Subject Char"/>
    <w:basedOn w:val="CommentTextChar"/>
    <w:link w:val="CommentSubject"/>
    <w:uiPriority w:val="99"/>
    <w:semiHidden/>
    <w:rsid w:val="00505A8B"/>
    <w:rPr>
      <w:rFonts w:ascii="Simplified Arabic" w:eastAsia="Simplified Arabic" w:hAnsi="Simplified Arabic" w:cs="Simplified Arabic"/>
      <w:b w:val="0"/>
      <w:bCs w:val="0"/>
      <w:noProof/>
      <w:sz w:val="20"/>
      <w:szCs w:val="20"/>
      <w:lang w:val="x-none"/>
    </w:rPr>
  </w:style>
  <w:style w:type="paragraph" w:styleId="CommentSubject">
    <w:name w:val="annotation subject"/>
    <w:basedOn w:val="CommentText"/>
    <w:next w:val="CommentText"/>
    <w:link w:val="CommentSubjectChar"/>
    <w:uiPriority w:val="99"/>
    <w:semiHidden/>
    <w:unhideWhenUsed/>
    <w:rsid w:val="00505A8B"/>
    <w:rPr>
      <w:b w:val="0"/>
      <w:bCs w:val="0"/>
    </w:rPr>
  </w:style>
  <w:style w:type="paragraph" w:customStyle="1" w:styleId="CBKContinuousPara">
    <w:name w:val="CBK_ContinuousPara"/>
    <w:basedOn w:val="Normal"/>
    <w:link w:val="CBKContinuousParaChar"/>
    <w:qFormat/>
    <w:rsid w:val="00505A8B"/>
    <w:pPr>
      <w:bidi w:val="0"/>
      <w:spacing w:before="240"/>
      <w:ind w:left="720" w:hanging="720"/>
    </w:pPr>
    <w:rPr>
      <w:rFonts w:eastAsia="Calibri"/>
      <w:szCs w:val="22"/>
      <w:lang w:val="en-GB" w:eastAsia="x-none"/>
    </w:rPr>
  </w:style>
  <w:style w:type="character" w:customStyle="1" w:styleId="CBKContinuousParaChar">
    <w:name w:val="CBK_ContinuousPara Char"/>
    <w:link w:val="CBKContinuousPara"/>
    <w:rsid w:val="00505A8B"/>
    <w:rPr>
      <w:rFonts w:ascii="Simplified Arabic" w:eastAsia="Calibri" w:hAnsi="Simplified Arabic" w:cs="Simplified Arabic"/>
      <w:b/>
      <w:bCs/>
      <w:sz w:val="26"/>
      <w:lang w:val="en-GB" w:eastAsia="x-none"/>
    </w:rPr>
  </w:style>
  <w:style w:type="paragraph" w:customStyle="1" w:styleId="CBKAlphaHeading2">
    <w:name w:val="CBK_AlphaHeading2"/>
    <w:basedOn w:val="Heading2"/>
    <w:link w:val="CBKAlphaHeading2Char"/>
    <w:qFormat/>
    <w:rsid w:val="00505A8B"/>
    <w:pPr>
      <w:bidi w:val="0"/>
      <w:spacing w:after="60" w:line="360" w:lineRule="auto"/>
      <w:ind w:left="0" w:firstLine="0"/>
    </w:pPr>
    <w:rPr>
      <w:i/>
      <w:lang w:val="en-GB"/>
    </w:rPr>
  </w:style>
  <w:style w:type="character" w:customStyle="1" w:styleId="CBKAlphaHeading2Char">
    <w:name w:val="CBK_AlphaHeading2 Char"/>
    <w:link w:val="CBKAlphaHeading2"/>
    <w:rsid w:val="00505A8B"/>
    <w:rPr>
      <w:rFonts w:ascii="Simplified Arabic" w:eastAsia="Simplified Arabic" w:hAnsi="Simplified Arabic" w:cs="Simplified Arabic"/>
      <w:b/>
      <w:bCs/>
      <w:i/>
      <w:sz w:val="26"/>
      <w:szCs w:val="26"/>
      <w:lang w:val="en-GB"/>
    </w:rPr>
  </w:style>
  <w:style w:type="character" w:customStyle="1" w:styleId="EndnoteTextChar">
    <w:name w:val="Endnote Text Char"/>
    <w:basedOn w:val="DefaultParagraphFont"/>
    <w:link w:val="EndnoteText"/>
    <w:uiPriority w:val="99"/>
    <w:semiHidden/>
    <w:rsid w:val="00505A8B"/>
    <w:rPr>
      <w:rFonts w:ascii="Simplified Arabic" w:eastAsia="Simplified Arabic" w:hAnsi="Simplified Arabic" w:cs="Simplified Arabic"/>
      <w:b/>
      <w:bCs/>
      <w:noProof/>
      <w:sz w:val="20"/>
      <w:szCs w:val="20"/>
      <w:lang w:val="x-none"/>
    </w:rPr>
  </w:style>
  <w:style w:type="paragraph" w:styleId="EndnoteText">
    <w:name w:val="endnote text"/>
    <w:basedOn w:val="Normal"/>
    <w:link w:val="EndnoteTextChar"/>
    <w:uiPriority w:val="99"/>
    <w:semiHidden/>
    <w:unhideWhenUsed/>
    <w:rsid w:val="00505A8B"/>
    <w:rPr>
      <w:noProof/>
      <w:sz w:val="20"/>
      <w:szCs w:val="20"/>
      <w:lang w:val="x-none"/>
    </w:rPr>
  </w:style>
  <w:style w:type="paragraph" w:styleId="TOCHeading">
    <w:name w:val="TOC Heading"/>
    <w:basedOn w:val="Heading1"/>
    <w:next w:val="Normal"/>
    <w:uiPriority w:val="39"/>
    <w:unhideWhenUsed/>
    <w:qFormat/>
    <w:rsid w:val="00505A8B"/>
    <w:pPr>
      <w:bidi w:val="0"/>
      <w:outlineLvl w:val="9"/>
    </w:pPr>
    <w:rPr>
      <w:lang w:bidi="en-US"/>
    </w:rPr>
  </w:style>
  <w:style w:type="paragraph" w:styleId="TOC1">
    <w:name w:val="toc 1"/>
    <w:basedOn w:val="Normal"/>
    <w:next w:val="Normal"/>
    <w:autoRedefine/>
    <w:uiPriority w:val="39"/>
    <w:unhideWhenUsed/>
    <w:qFormat/>
    <w:rsid w:val="00D036DF"/>
    <w:pPr>
      <w:tabs>
        <w:tab w:val="right" w:leader="dot" w:pos="8920"/>
      </w:tabs>
      <w:bidi w:val="0"/>
      <w:spacing w:after="100"/>
    </w:pPr>
    <w:rPr>
      <w:rFonts w:cs="Traditional Arabic"/>
      <w:noProof/>
      <w:sz w:val="20"/>
      <w:szCs w:val="20"/>
    </w:rPr>
  </w:style>
  <w:style w:type="paragraph" w:styleId="TOC3">
    <w:name w:val="toc 3"/>
    <w:basedOn w:val="Normal"/>
    <w:next w:val="Normal"/>
    <w:autoRedefine/>
    <w:uiPriority w:val="39"/>
    <w:unhideWhenUsed/>
    <w:qFormat/>
    <w:rsid w:val="00505A8B"/>
    <w:pPr>
      <w:spacing w:after="100"/>
      <w:ind w:left="400"/>
    </w:pPr>
    <w:rPr>
      <w:rFonts w:cs="Traditional Arabic"/>
      <w:noProof/>
      <w:sz w:val="20"/>
      <w:szCs w:val="20"/>
    </w:rPr>
  </w:style>
  <w:style w:type="paragraph" w:styleId="TOC2">
    <w:name w:val="toc 2"/>
    <w:basedOn w:val="Normal"/>
    <w:next w:val="Normal"/>
    <w:autoRedefine/>
    <w:uiPriority w:val="39"/>
    <w:unhideWhenUsed/>
    <w:qFormat/>
    <w:rsid w:val="00505A8B"/>
    <w:pPr>
      <w:spacing w:after="100"/>
      <w:ind w:left="200"/>
    </w:pPr>
    <w:rPr>
      <w:rFonts w:cs="Traditional Arabic"/>
      <w:noProof/>
      <w:sz w:val="20"/>
      <w:szCs w:val="20"/>
    </w:rPr>
  </w:style>
  <w:style w:type="character" w:styleId="Hyperlink">
    <w:name w:val="Hyperlink"/>
    <w:uiPriority w:val="99"/>
    <w:unhideWhenUsed/>
    <w:rsid w:val="00505A8B"/>
    <w:rPr>
      <w:color w:val="0000FF"/>
      <w:u w:val="single"/>
    </w:rPr>
  </w:style>
  <w:style w:type="paragraph" w:styleId="TOC4">
    <w:name w:val="toc 4"/>
    <w:basedOn w:val="Normal"/>
    <w:next w:val="Normal"/>
    <w:autoRedefine/>
    <w:uiPriority w:val="39"/>
    <w:unhideWhenUsed/>
    <w:rsid w:val="00505A8B"/>
    <w:pPr>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505A8B"/>
    <w:pPr>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505A8B"/>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505A8B"/>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505A8B"/>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505A8B"/>
    <w:pPr>
      <w:spacing w:after="100" w:line="276" w:lineRule="auto"/>
      <w:ind w:left="1760"/>
    </w:pPr>
    <w:rPr>
      <w:rFonts w:ascii="Calibri" w:hAnsi="Calibri" w:cs="Arial"/>
      <w:sz w:val="22"/>
      <w:szCs w:val="22"/>
    </w:rPr>
  </w:style>
  <w:style w:type="character" w:styleId="Strong">
    <w:name w:val="Strong"/>
    <w:uiPriority w:val="22"/>
    <w:qFormat/>
    <w:rsid w:val="00505A8B"/>
    <w:rPr>
      <w:b/>
      <w:bCs/>
    </w:rPr>
  </w:style>
  <w:style w:type="paragraph" w:styleId="Subtitle">
    <w:name w:val="Subtitle"/>
    <w:basedOn w:val="Normal"/>
    <w:next w:val="Normal"/>
    <w:link w:val="SubtitleChar"/>
    <w:qFormat/>
    <w:rsid w:val="00505A8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rsid w:val="00505A8B"/>
    <w:rPr>
      <w:rFonts w:asciiTheme="majorHAnsi" w:eastAsiaTheme="majorEastAsia" w:hAnsiTheme="majorHAnsi" w:cstheme="majorBidi"/>
      <w:b/>
      <w:bCs/>
      <w:i/>
      <w:iCs/>
      <w:spacing w:val="13"/>
      <w:sz w:val="24"/>
      <w:szCs w:val="24"/>
    </w:rPr>
  </w:style>
  <w:style w:type="character" w:styleId="Emphasis">
    <w:name w:val="Emphasis"/>
    <w:uiPriority w:val="20"/>
    <w:qFormat/>
    <w:rsid w:val="00505A8B"/>
    <w:rPr>
      <w:b/>
      <w:bCs/>
      <w:i/>
      <w:iCs/>
      <w:spacing w:val="10"/>
      <w:bdr w:val="none" w:sz="0" w:space="0" w:color="auto"/>
      <w:shd w:val="clear" w:color="auto" w:fill="auto"/>
    </w:rPr>
  </w:style>
  <w:style w:type="paragraph" w:styleId="NoSpacing">
    <w:name w:val="No Spacing"/>
    <w:basedOn w:val="Normal"/>
    <w:uiPriority w:val="1"/>
    <w:qFormat/>
    <w:rsid w:val="00505A8B"/>
    <w:pPr>
      <w:bidi w:val="0"/>
      <w:spacing w:after="0"/>
    </w:pPr>
  </w:style>
  <w:style w:type="paragraph" w:styleId="Quote">
    <w:name w:val="Quote"/>
    <w:basedOn w:val="Normal"/>
    <w:next w:val="Normal"/>
    <w:link w:val="QuoteChar"/>
    <w:uiPriority w:val="29"/>
    <w:qFormat/>
    <w:rsid w:val="00505A8B"/>
    <w:pPr>
      <w:bidi w:val="0"/>
      <w:spacing w:before="200" w:after="0"/>
      <w:ind w:left="360" w:right="360"/>
    </w:pPr>
    <w:rPr>
      <w:i/>
      <w:iCs/>
    </w:rPr>
  </w:style>
  <w:style w:type="character" w:customStyle="1" w:styleId="QuoteChar">
    <w:name w:val="Quote Char"/>
    <w:basedOn w:val="DefaultParagraphFont"/>
    <w:link w:val="Quote"/>
    <w:uiPriority w:val="29"/>
    <w:rsid w:val="00505A8B"/>
    <w:rPr>
      <w:rFonts w:ascii="Simplified Arabic" w:eastAsia="Simplified Arabic" w:hAnsi="Simplified Arabic" w:cs="Simplified Arabic"/>
      <w:b/>
      <w:bCs/>
      <w:i/>
      <w:iCs/>
      <w:sz w:val="26"/>
      <w:szCs w:val="26"/>
    </w:rPr>
  </w:style>
  <w:style w:type="paragraph" w:styleId="IntenseQuote">
    <w:name w:val="Intense Quote"/>
    <w:basedOn w:val="Normal"/>
    <w:next w:val="Normal"/>
    <w:link w:val="IntenseQuoteChar"/>
    <w:uiPriority w:val="30"/>
    <w:qFormat/>
    <w:rsid w:val="00505A8B"/>
    <w:pPr>
      <w:pBdr>
        <w:bottom w:val="single" w:sz="4" w:space="1" w:color="auto"/>
      </w:pBdr>
      <w:bidi w:val="0"/>
      <w:spacing w:before="200" w:after="280"/>
      <w:ind w:left="1008" w:right="1152"/>
    </w:pPr>
    <w:rPr>
      <w:b w:val="0"/>
      <w:bCs w:val="0"/>
      <w:i/>
      <w:iCs/>
    </w:rPr>
  </w:style>
  <w:style w:type="character" w:customStyle="1" w:styleId="IntenseQuoteChar">
    <w:name w:val="Intense Quote Char"/>
    <w:basedOn w:val="DefaultParagraphFont"/>
    <w:link w:val="IntenseQuote"/>
    <w:uiPriority w:val="30"/>
    <w:rsid w:val="00505A8B"/>
    <w:rPr>
      <w:rFonts w:ascii="Simplified Arabic" w:eastAsia="Simplified Arabic" w:hAnsi="Simplified Arabic" w:cs="Simplified Arabic"/>
      <w:i/>
      <w:iCs/>
      <w:sz w:val="26"/>
      <w:szCs w:val="26"/>
    </w:rPr>
  </w:style>
  <w:style w:type="character" w:styleId="SubtleEmphasis">
    <w:name w:val="Subtle Emphasis"/>
    <w:uiPriority w:val="19"/>
    <w:qFormat/>
    <w:rsid w:val="00505A8B"/>
    <w:rPr>
      <w:i/>
      <w:iCs/>
    </w:rPr>
  </w:style>
  <w:style w:type="character" w:styleId="IntenseEmphasis">
    <w:name w:val="Intense Emphasis"/>
    <w:uiPriority w:val="21"/>
    <w:qFormat/>
    <w:rsid w:val="00505A8B"/>
    <w:rPr>
      <w:b/>
      <w:bCs/>
    </w:rPr>
  </w:style>
  <w:style w:type="character" w:styleId="SubtleReference">
    <w:name w:val="Subtle Reference"/>
    <w:uiPriority w:val="31"/>
    <w:qFormat/>
    <w:rsid w:val="00505A8B"/>
    <w:rPr>
      <w:smallCaps/>
    </w:rPr>
  </w:style>
  <w:style w:type="character" w:styleId="IntenseReference">
    <w:name w:val="Intense Reference"/>
    <w:uiPriority w:val="32"/>
    <w:qFormat/>
    <w:rsid w:val="00505A8B"/>
    <w:rPr>
      <w:smallCaps/>
      <w:spacing w:val="5"/>
      <w:u w:val="single"/>
    </w:rPr>
  </w:style>
  <w:style w:type="character" w:styleId="BookTitle">
    <w:name w:val="Book Title"/>
    <w:uiPriority w:val="33"/>
    <w:qFormat/>
    <w:rsid w:val="00505A8B"/>
    <w:rPr>
      <w:i/>
      <w:iCs/>
      <w:smallCaps/>
      <w:spacing w:val="5"/>
    </w:rPr>
  </w:style>
  <w:style w:type="character" w:customStyle="1" w:styleId="hps">
    <w:name w:val="hps"/>
    <w:basedOn w:val="DefaultParagraphFont"/>
    <w:rsid w:val="00505A8B"/>
  </w:style>
  <w:style w:type="paragraph" w:styleId="NormalWeb">
    <w:name w:val="Normal (Web)"/>
    <w:basedOn w:val="Normal"/>
    <w:uiPriority w:val="99"/>
    <w:semiHidden/>
    <w:unhideWhenUsed/>
    <w:rsid w:val="00505A8B"/>
    <w:pPr>
      <w:bidi w:val="0"/>
      <w:spacing w:before="100" w:beforeAutospacing="1" w:after="100" w:afterAutospacing="1"/>
      <w:jc w:val="left"/>
    </w:pPr>
    <w:rPr>
      <w:rFonts w:ascii="Times New Roman" w:eastAsiaTheme="minorEastAsia" w:hAnsi="Times New Roman" w:cs="Times New Roman"/>
      <w:b w:val="0"/>
      <w:bCs w:val="0"/>
      <w:sz w:val="24"/>
      <w:szCs w:val="24"/>
    </w:rPr>
  </w:style>
  <w:style w:type="paragraph" w:styleId="Caption">
    <w:name w:val="caption"/>
    <w:basedOn w:val="Normal"/>
    <w:next w:val="Normal"/>
    <w:uiPriority w:val="35"/>
    <w:unhideWhenUsed/>
    <w:rsid w:val="00505A8B"/>
    <w:pPr>
      <w:spacing w:after="200"/>
    </w:pPr>
    <w:rPr>
      <w:b w:val="0"/>
      <w:bCs w:val="0"/>
      <w:color w:val="5B9BD5" w:themeColor="accent1"/>
      <w:sz w:val="18"/>
      <w:szCs w:val="18"/>
    </w:rPr>
  </w:style>
  <w:style w:type="paragraph" w:styleId="TableofFigures">
    <w:name w:val="table of figures"/>
    <w:basedOn w:val="Normal"/>
    <w:next w:val="Normal"/>
    <w:uiPriority w:val="99"/>
    <w:unhideWhenUsed/>
    <w:rsid w:val="00505A8B"/>
    <w:pPr>
      <w:spacing w:after="0"/>
      <w:ind w:left="520" w:hanging="520"/>
      <w:jc w:val="left"/>
    </w:pPr>
    <w:rPr>
      <w:rFonts w:asciiTheme="minorHAnsi" w:hAnsiTheme="minorHAnsi" w:cs="Times New Roman"/>
      <w:b w:val="0"/>
      <w:bCs w:val="0"/>
      <w:smallCaps/>
      <w:sz w:val="20"/>
      <w:szCs w:val="24"/>
    </w:rPr>
  </w:style>
  <w:style w:type="character" w:customStyle="1" w:styleId="tlid-translation">
    <w:name w:val="tlid-translation"/>
    <w:basedOn w:val="DefaultParagraphFont"/>
    <w:rsid w:val="00840FDF"/>
  </w:style>
  <w:style w:type="character" w:customStyle="1" w:styleId="alt-edited2">
    <w:name w:val="alt-edited2"/>
    <w:basedOn w:val="DefaultParagraphFont"/>
    <w:rsid w:val="00FB53BB"/>
  </w:style>
  <w:style w:type="paragraph" w:customStyle="1" w:styleId="Default">
    <w:name w:val="Default"/>
    <w:rsid w:val="00E54631"/>
    <w:pPr>
      <w:autoSpaceDE w:val="0"/>
      <w:autoSpaceDN w:val="0"/>
      <w:adjustRightInd w:val="0"/>
      <w:spacing w:after="0" w:line="240" w:lineRule="auto"/>
    </w:pPr>
    <w:rPr>
      <w:rFonts w:ascii="Calibri" w:hAnsi="Calibri" w:cs="Calibri"/>
      <w:color w:val="000000"/>
      <w:sz w:val="24"/>
      <w:szCs w:val="24"/>
    </w:rPr>
  </w:style>
  <w:style w:type="character" w:customStyle="1" w:styleId="jlqj4b">
    <w:name w:val="jlqj4b"/>
    <w:basedOn w:val="DefaultParagraphFont"/>
    <w:rsid w:val="00EF3D4A"/>
  </w:style>
  <w:style w:type="character" w:customStyle="1" w:styleId="fszzbb">
    <w:name w:val="fszzbb"/>
    <w:basedOn w:val="DefaultParagraphFont"/>
    <w:rsid w:val="00BD6E5B"/>
  </w:style>
  <w:style w:type="paragraph" w:customStyle="1" w:styleId="Paragraph1">
    <w:name w:val="Paragraph+1"/>
    <w:basedOn w:val="Default"/>
    <w:next w:val="Default"/>
    <w:uiPriority w:val="99"/>
    <w:rsid w:val="00A251F7"/>
    <w:rPr>
      <w:rFonts w:ascii="Arial" w:hAnsi="Arial" w:cs="Arial"/>
      <w:color w:val="auto"/>
    </w:rPr>
  </w:style>
  <w:style w:type="paragraph" w:styleId="HTMLPreformatted">
    <w:name w:val="HTML Preformatted"/>
    <w:basedOn w:val="Normal"/>
    <w:link w:val="HTMLPreformattedChar"/>
    <w:uiPriority w:val="99"/>
    <w:semiHidden/>
    <w:unhideWhenUsed/>
    <w:rsid w:val="00EE6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jc w:val="left"/>
    </w:pPr>
    <w:rPr>
      <w:rFonts w:ascii="Courier New" w:eastAsia="Times New Roman" w:hAnsi="Courier New" w:cs="Courier New"/>
      <w:b w:val="0"/>
      <w:bCs w:val="0"/>
      <w:sz w:val="20"/>
      <w:szCs w:val="20"/>
    </w:rPr>
  </w:style>
  <w:style w:type="character" w:customStyle="1" w:styleId="HTMLPreformattedChar">
    <w:name w:val="HTML Preformatted Char"/>
    <w:basedOn w:val="DefaultParagraphFont"/>
    <w:link w:val="HTMLPreformatted"/>
    <w:uiPriority w:val="99"/>
    <w:semiHidden/>
    <w:rsid w:val="00EE6389"/>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A46C88"/>
    <w:rPr>
      <w:color w:val="954F72" w:themeColor="followedHyperlink"/>
      <w:u w:val="single"/>
    </w:rPr>
  </w:style>
  <w:style w:type="character" w:customStyle="1" w:styleId="acopre1">
    <w:name w:val="acopre1"/>
    <w:basedOn w:val="DefaultParagraphFont"/>
    <w:rsid w:val="00B74848"/>
  </w:style>
  <w:style w:type="table" w:customStyle="1" w:styleId="TableGrid1">
    <w:name w:val="Table Grid1"/>
    <w:basedOn w:val="TableNormal"/>
    <w:next w:val="TableGrid"/>
    <w:uiPriority w:val="39"/>
    <w:rsid w:val="001B2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A0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88563">
      <w:bodyDiv w:val="1"/>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sChild>
            <w:div w:id="1307474524">
              <w:marLeft w:val="0"/>
              <w:marRight w:val="0"/>
              <w:marTop w:val="0"/>
              <w:marBottom w:val="0"/>
              <w:divBdr>
                <w:top w:val="none" w:sz="0" w:space="0" w:color="auto"/>
                <w:left w:val="none" w:sz="0" w:space="0" w:color="auto"/>
                <w:bottom w:val="none" w:sz="0" w:space="0" w:color="auto"/>
                <w:right w:val="none" w:sz="0" w:space="0" w:color="auto"/>
              </w:divBdr>
              <w:divsChild>
                <w:div w:id="1913274851">
                  <w:marLeft w:val="0"/>
                  <w:marRight w:val="0"/>
                  <w:marTop w:val="0"/>
                  <w:marBottom w:val="0"/>
                  <w:divBdr>
                    <w:top w:val="none" w:sz="0" w:space="0" w:color="auto"/>
                    <w:left w:val="none" w:sz="0" w:space="0" w:color="auto"/>
                    <w:bottom w:val="none" w:sz="0" w:space="0" w:color="auto"/>
                    <w:right w:val="none" w:sz="0" w:space="0" w:color="auto"/>
                  </w:divBdr>
                  <w:divsChild>
                    <w:div w:id="1791051273">
                      <w:marLeft w:val="0"/>
                      <w:marRight w:val="0"/>
                      <w:marTop w:val="0"/>
                      <w:marBottom w:val="0"/>
                      <w:divBdr>
                        <w:top w:val="none" w:sz="0" w:space="0" w:color="auto"/>
                        <w:left w:val="none" w:sz="0" w:space="0" w:color="auto"/>
                        <w:bottom w:val="none" w:sz="0" w:space="0" w:color="auto"/>
                        <w:right w:val="none" w:sz="0" w:space="0" w:color="auto"/>
                      </w:divBdr>
                      <w:divsChild>
                        <w:div w:id="474680997">
                          <w:marLeft w:val="2700"/>
                          <w:marRight w:val="3960"/>
                          <w:marTop w:val="0"/>
                          <w:marBottom w:val="0"/>
                          <w:divBdr>
                            <w:top w:val="none" w:sz="0" w:space="0" w:color="auto"/>
                            <w:left w:val="none" w:sz="0" w:space="0" w:color="auto"/>
                            <w:bottom w:val="none" w:sz="0" w:space="0" w:color="auto"/>
                            <w:right w:val="none" w:sz="0" w:space="0" w:color="auto"/>
                          </w:divBdr>
                          <w:divsChild>
                            <w:div w:id="108402056">
                              <w:marLeft w:val="0"/>
                              <w:marRight w:val="0"/>
                              <w:marTop w:val="0"/>
                              <w:marBottom w:val="0"/>
                              <w:divBdr>
                                <w:top w:val="none" w:sz="0" w:space="0" w:color="auto"/>
                                <w:left w:val="none" w:sz="0" w:space="0" w:color="auto"/>
                                <w:bottom w:val="none" w:sz="0" w:space="0" w:color="auto"/>
                                <w:right w:val="none" w:sz="0" w:space="0" w:color="auto"/>
                              </w:divBdr>
                              <w:divsChild>
                                <w:div w:id="16927142">
                                  <w:marLeft w:val="0"/>
                                  <w:marRight w:val="0"/>
                                  <w:marTop w:val="0"/>
                                  <w:marBottom w:val="0"/>
                                  <w:divBdr>
                                    <w:top w:val="none" w:sz="0" w:space="0" w:color="auto"/>
                                    <w:left w:val="none" w:sz="0" w:space="0" w:color="auto"/>
                                    <w:bottom w:val="none" w:sz="0" w:space="0" w:color="auto"/>
                                    <w:right w:val="none" w:sz="0" w:space="0" w:color="auto"/>
                                  </w:divBdr>
                                  <w:divsChild>
                                    <w:div w:id="1504780016">
                                      <w:marLeft w:val="0"/>
                                      <w:marRight w:val="0"/>
                                      <w:marTop w:val="0"/>
                                      <w:marBottom w:val="0"/>
                                      <w:divBdr>
                                        <w:top w:val="none" w:sz="0" w:space="0" w:color="auto"/>
                                        <w:left w:val="none" w:sz="0" w:space="0" w:color="auto"/>
                                        <w:bottom w:val="none" w:sz="0" w:space="0" w:color="auto"/>
                                        <w:right w:val="none" w:sz="0" w:space="0" w:color="auto"/>
                                      </w:divBdr>
                                      <w:divsChild>
                                        <w:div w:id="542060890">
                                          <w:marLeft w:val="0"/>
                                          <w:marRight w:val="0"/>
                                          <w:marTop w:val="90"/>
                                          <w:marBottom w:val="0"/>
                                          <w:divBdr>
                                            <w:top w:val="none" w:sz="0" w:space="0" w:color="auto"/>
                                            <w:left w:val="none" w:sz="0" w:space="0" w:color="auto"/>
                                            <w:bottom w:val="none" w:sz="0" w:space="0" w:color="auto"/>
                                            <w:right w:val="none" w:sz="0" w:space="0" w:color="auto"/>
                                          </w:divBdr>
                                          <w:divsChild>
                                            <w:div w:id="243534629">
                                              <w:marLeft w:val="0"/>
                                              <w:marRight w:val="0"/>
                                              <w:marTop w:val="0"/>
                                              <w:marBottom w:val="420"/>
                                              <w:divBdr>
                                                <w:top w:val="none" w:sz="0" w:space="0" w:color="auto"/>
                                                <w:left w:val="none" w:sz="0" w:space="0" w:color="auto"/>
                                                <w:bottom w:val="none" w:sz="0" w:space="0" w:color="auto"/>
                                                <w:right w:val="none" w:sz="0" w:space="0" w:color="auto"/>
                                              </w:divBdr>
                                              <w:divsChild>
                                                <w:div w:id="627198001">
                                                  <w:marLeft w:val="0"/>
                                                  <w:marRight w:val="0"/>
                                                  <w:marTop w:val="0"/>
                                                  <w:marBottom w:val="0"/>
                                                  <w:divBdr>
                                                    <w:top w:val="none" w:sz="0" w:space="0" w:color="auto"/>
                                                    <w:left w:val="none" w:sz="0" w:space="0" w:color="auto"/>
                                                    <w:bottom w:val="none" w:sz="0" w:space="0" w:color="auto"/>
                                                    <w:right w:val="none" w:sz="0" w:space="0" w:color="auto"/>
                                                  </w:divBdr>
                                                  <w:divsChild>
                                                    <w:div w:id="1095127043">
                                                      <w:marLeft w:val="0"/>
                                                      <w:marRight w:val="0"/>
                                                      <w:marTop w:val="0"/>
                                                      <w:marBottom w:val="0"/>
                                                      <w:divBdr>
                                                        <w:top w:val="single" w:sz="6" w:space="0" w:color="DFE1E5"/>
                                                        <w:left w:val="single" w:sz="6" w:space="0" w:color="DFE1E5"/>
                                                        <w:bottom w:val="single" w:sz="6" w:space="0" w:color="DFE1E5"/>
                                                        <w:right w:val="single" w:sz="6" w:space="0" w:color="DFE1E5"/>
                                                      </w:divBdr>
                                                      <w:divsChild>
                                                        <w:div w:id="1683777348">
                                                          <w:marLeft w:val="0"/>
                                                          <w:marRight w:val="0"/>
                                                          <w:marTop w:val="0"/>
                                                          <w:marBottom w:val="0"/>
                                                          <w:divBdr>
                                                            <w:top w:val="none" w:sz="0" w:space="0" w:color="auto"/>
                                                            <w:left w:val="none" w:sz="0" w:space="0" w:color="auto"/>
                                                            <w:bottom w:val="none" w:sz="0" w:space="0" w:color="auto"/>
                                                            <w:right w:val="none" w:sz="0" w:space="0" w:color="auto"/>
                                                          </w:divBdr>
                                                          <w:divsChild>
                                                            <w:div w:id="44450269">
                                                              <w:marLeft w:val="0"/>
                                                              <w:marRight w:val="0"/>
                                                              <w:marTop w:val="0"/>
                                                              <w:marBottom w:val="0"/>
                                                              <w:divBdr>
                                                                <w:top w:val="none" w:sz="0" w:space="0" w:color="auto"/>
                                                                <w:left w:val="none" w:sz="0" w:space="0" w:color="auto"/>
                                                                <w:bottom w:val="none" w:sz="0" w:space="0" w:color="auto"/>
                                                                <w:right w:val="none" w:sz="0" w:space="0" w:color="auto"/>
                                                              </w:divBdr>
                                                              <w:divsChild>
                                                                <w:div w:id="978345403">
                                                                  <w:marLeft w:val="0"/>
                                                                  <w:marRight w:val="0"/>
                                                                  <w:marTop w:val="0"/>
                                                                  <w:marBottom w:val="0"/>
                                                                  <w:divBdr>
                                                                    <w:top w:val="none" w:sz="0" w:space="0" w:color="auto"/>
                                                                    <w:left w:val="none" w:sz="0" w:space="0" w:color="auto"/>
                                                                    <w:bottom w:val="none" w:sz="0" w:space="0" w:color="auto"/>
                                                                    <w:right w:val="none" w:sz="0" w:space="0" w:color="auto"/>
                                                                  </w:divBdr>
                                                                  <w:divsChild>
                                                                    <w:div w:id="947005681">
                                                                      <w:marLeft w:val="0"/>
                                                                      <w:marRight w:val="0"/>
                                                                      <w:marTop w:val="0"/>
                                                                      <w:marBottom w:val="0"/>
                                                                      <w:divBdr>
                                                                        <w:top w:val="none" w:sz="0" w:space="0" w:color="auto"/>
                                                                        <w:left w:val="none" w:sz="0" w:space="0" w:color="auto"/>
                                                                        <w:bottom w:val="none" w:sz="0" w:space="0" w:color="auto"/>
                                                                        <w:right w:val="none" w:sz="0" w:space="0" w:color="auto"/>
                                                                      </w:divBdr>
                                                                      <w:divsChild>
                                                                        <w:div w:id="1461605967">
                                                                          <w:marLeft w:val="0"/>
                                                                          <w:marRight w:val="0"/>
                                                                          <w:marTop w:val="0"/>
                                                                          <w:marBottom w:val="0"/>
                                                                          <w:divBdr>
                                                                            <w:top w:val="none" w:sz="0" w:space="0" w:color="auto"/>
                                                                            <w:left w:val="none" w:sz="0" w:space="0" w:color="auto"/>
                                                                            <w:bottom w:val="none" w:sz="0" w:space="0" w:color="auto"/>
                                                                            <w:right w:val="none" w:sz="0" w:space="0" w:color="auto"/>
                                                                          </w:divBdr>
                                                                          <w:divsChild>
                                                                            <w:div w:id="764229925">
                                                                              <w:marLeft w:val="0"/>
                                                                              <w:marRight w:val="0"/>
                                                                              <w:marTop w:val="0"/>
                                                                              <w:marBottom w:val="0"/>
                                                                              <w:divBdr>
                                                                                <w:top w:val="none" w:sz="0" w:space="0" w:color="auto"/>
                                                                                <w:left w:val="none" w:sz="0" w:space="0" w:color="auto"/>
                                                                                <w:bottom w:val="none" w:sz="0" w:space="0" w:color="auto"/>
                                                                                <w:right w:val="none" w:sz="0" w:space="0" w:color="auto"/>
                                                                              </w:divBdr>
                                                                              <w:divsChild>
                                                                                <w:div w:id="2037654271">
                                                                                  <w:marLeft w:val="0"/>
                                                                                  <w:marRight w:val="0"/>
                                                                                  <w:marTop w:val="0"/>
                                                                                  <w:marBottom w:val="0"/>
                                                                                  <w:divBdr>
                                                                                    <w:top w:val="none" w:sz="0" w:space="0" w:color="auto"/>
                                                                                    <w:left w:val="none" w:sz="0" w:space="0" w:color="auto"/>
                                                                                    <w:bottom w:val="none" w:sz="0" w:space="0" w:color="auto"/>
                                                                                    <w:right w:val="none" w:sz="0" w:space="0" w:color="auto"/>
                                                                                  </w:divBdr>
                                                                                </w:div>
                                                                                <w:div w:id="298069827">
                                                                                  <w:marLeft w:val="0"/>
                                                                                  <w:marRight w:val="0"/>
                                                                                  <w:marTop w:val="0"/>
                                                                                  <w:marBottom w:val="0"/>
                                                                                  <w:divBdr>
                                                                                    <w:top w:val="none" w:sz="0" w:space="0" w:color="auto"/>
                                                                                    <w:left w:val="none" w:sz="0" w:space="0" w:color="auto"/>
                                                                                    <w:bottom w:val="none" w:sz="0" w:space="0" w:color="auto"/>
                                                                                    <w:right w:val="none" w:sz="0" w:space="0" w:color="auto"/>
                                                                                  </w:divBdr>
                                                                                  <w:divsChild>
                                                                                    <w:div w:id="1527980555">
                                                                                      <w:marLeft w:val="0"/>
                                                                                      <w:marRight w:val="0"/>
                                                                                      <w:marTop w:val="0"/>
                                                                                      <w:marBottom w:val="0"/>
                                                                                      <w:divBdr>
                                                                                        <w:top w:val="none" w:sz="0" w:space="0" w:color="auto"/>
                                                                                        <w:left w:val="none" w:sz="0" w:space="0" w:color="auto"/>
                                                                                        <w:bottom w:val="none" w:sz="0" w:space="0" w:color="auto"/>
                                                                                        <w:right w:val="none" w:sz="0" w:space="0" w:color="auto"/>
                                                                                      </w:divBdr>
                                                                                      <w:divsChild>
                                                                                        <w:div w:id="114908219">
                                                                                          <w:marLeft w:val="0"/>
                                                                                          <w:marRight w:val="0"/>
                                                                                          <w:marTop w:val="0"/>
                                                                                          <w:marBottom w:val="0"/>
                                                                                          <w:divBdr>
                                                                                            <w:top w:val="none" w:sz="0" w:space="0" w:color="auto"/>
                                                                                            <w:left w:val="none" w:sz="0" w:space="0" w:color="auto"/>
                                                                                            <w:bottom w:val="none" w:sz="0" w:space="0" w:color="auto"/>
                                                                                            <w:right w:val="none" w:sz="0" w:space="0" w:color="auto"/>
                                                                                          </w:divBdr>
                                                                                          <w:divsChild>
                                                                                            <w:div w:id="652100980">
                                                                                              <w:marLeft w:val="0"/>
                                                                                              <w:marRight w:val="0"/>
                                                                                              <w:marTop w:val="0"/>
                                                                                              <w:marBottom w:val="0"/>
                                                                                              <w:divBdr>
                                                                                                <w:top w:val="none" w:sz="0" w:space="0" w:color="auto"/>
                                                                                                <w:left w:val="none" w:sz="0" w:space="0" w:color="auto"/>
                                                                                                <w:bottom w:val="none" w:sz="0" w:space="0" w:color="auto"/>
                                                                                                <w:right w:val="none" w:sz="0" w:space="0" w:color="auto"/>
                                                                                              </w:divBdr>
                                                                                            </w:div>
                                                                                            <w:div w:id="18817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9315760">
      <w:bodyDiv w:val="1"/>
      <w:marLeft w:val="0"/>
      <w:marRight w:val="0"/>
      <w:marTop w:val="0"/>
      <w:marBottom w:val="0"/>
      <w:divBdr>
        <w:top w:val="none" w:sz="0" w:space="0" w:color="auto"/>
        <w:left w:val="none" w:sz="0" w:space="0" w:color="auto"/>
        <w:bottom w:val="none" w:sz="0" w:space="0" w:color="auto"/>
        <w:right w:val="none" w:sz="0" w:space="0" w:color="auto"/>
      </w:divBdr>
      <w:divsChild>
        <w:div w:id="160005940">
          <w:marLeft w:val="0"/>
          <w:marRight w:val="0"/>
          <w:marTop w:val="0"/>
          <w:marBottom w:val="0"/>
          <w:divBdr>
            <w:top w:val="none" w:sz="0" w:space="0" w:color="auto"/>
            <w:left w:val="none" w:sz="0" w:space="0" w:color="auto"/>
            <w:bottom w:val="none" w:sz="0" w:space="0" w:color="auto"/>
            <w:right w:val="none" w:sz="0" w:space="0" w:color="auto"/>
          </w:divBdr>
          <w:divsChild>
            <w:div w:id="1743483876">
              <w:marLeft w:val="0"/>
              <w:marRight w:val="0"/>
              <w:marTop w:val="0"/>
              <w:marBottom w:val="0"/>
              <w:divBdr>
                <w:top w:val="none" w:sz="0" w:space="0" w:color="auto"/>
                <w:left w:val="none" w:sz="0" w:space="0" w:color="auto"/>
                <w:bottom w:val="none" w:sz="0" w:space="0" w:color="auto"/>
                <w:right w:val="none" w:sz="0" w:space="0" w:color="auto"/>
              </w:divBdr>
              <w:divsChild>
                <w:div w:id="1387292295">
                  <w:marLeft w:val="0"/>
                  <w:marRight w:val="0"/>
                  <w:marTop w:val="0"/>
                  <w:marBottom w:val="0"/>
                  <w:divBdr>
                    <w:top w:val="none" w:sz="0" w:space="0" w:color="auto"/>
                    <w:left w:val="none" w:sz="0" w:space="0" w:color="auto"/>
                    <w:bottom w:val="none" w:sz="0" w:space="0" w:color="auto"/>
                    <w:right w:val="none" w:sz="0" w:space="0" w:color="auto"/>
                  </w:divBdr>
                  <w:divsChild>
                    <w:div w:id="843858267">
                      <w:marLeft w:val="0"/>
                      <w:marRight w:val="0"/>
                      <w:marTop w:val="0"/>
                      <w:marBottom w:val="0"/>
                      <w:divBdr>
                        <w:top w:val="none" w:sz="0" w:space="0" w:color="auto"/>
                        <w:left w:val="none" w:sz="0" w:space="0" w:color="auto"/>
                        <w:bottom w:val="none" w:sz="0" w:space="0" w:color="auto"/>
                        <w:right w:val="none" w:sz="0" w:space="0" w:color="auto"/>
                      </w:divBdr>
                      <w:divsChild>
                        <w:div w:id="1869953469">
                          <w:marLeft w:val="0"/>
                          <w:marRight w:val="0"/>
                          <w:marTop w:val="0"/>
                          <w:marBottom w:val="0"/>
                          <w:divBdr>
                            <w:top w:val="none" w:sz="0" w:space="0" w:color="auto"/>
                            <w:left w:val="none" w:sz="0" w:space="0" w:color="auto"/>
                            <w:bottom w:val="none" w:sz="0" w:space="0" w:color="auto"/>
                            <w:right w:val="none" w:sz="0" w:space="0" w:color="auto"/>
                          </w:divBdr>
                          <w:divsChild>
                            <w:div w:id="404182982">
                              <w:marLeft w:val="2700"/>
                              <w:marRight w:val="3960"/>
                              <w:marTop w:val="0"/>
                              <w:marBottom w:val="0"/>
                              <w:divBdr>
                                <w:top w:val="none" w:sz="0" w:space="0" w:color="auto"/>
                                <w:left w:val="none" w:sz="0" w:space="0" w:color="auto"/>
                                <w:bottom w:val="none" w:sz="0" w:space="0" w:color="auto"/>
                                <w:right w:val="none" w:sz="0" w:space="0" w:color="auto"/>
                              </w:divBdr>
                              <w:divsChild>
                                <w:div w:id="1396968890">
                                  <w:marLeft w:val="0"/>
                                  <w:marRight w:val="0"/>
                                  <w:marTop w:val="0"/>
                                  <w:marBottom w:val="0"/>
                                  <w:divBdr>
                                    <w:top w:val="none" w:sz="0" w:space="0" w:color="auto"/>
                                    <w:left w:val="none" w:sz="0" w:space="0" w:color="auto"/>
                                    <w:bottom w:val="none" w:sz="0" w:space="0" w:color="auto"/>
                                    <w:right w:val="none" w:sz="0" w:space="0" w:color="auto"/>
                                  </w:divBdr>
                                  <w:divsChild>
                                    <w:div w:id="1981114060">
                                      <w:marLeft w:val="0"/>
                                      <w:marRight w:val="0"/>
                                      <w:marTop w:val="0"/>
                                      <w:marBottom w:val="0"/>
                                      <w:divBdr>
                                        <w:top w:val="none" w:sz="0" w:space="0" w:color="auto"/>
                                        <w:left w:val="none" w:sz="0" w:space="0" w:color="auto"/>
                                        <w:bottom w:val="none" w:sz="0" w:space="0" w:color="auto"/>
                                        <w:right w:val="none" w:sz="0" w:space="0" w:color="auto"/>
                                      </w:divBdr>
                                      <w:divsChild>
                                        <w:div w:id="505706701">
                                          <w:marLeft w:val="0"/>
                                          <w:marRight w:val="0"/>
                                          <w:marTop w:val="0"/>
                                          <w:marBottom w:val="0"/>
                                          <w:divBdr>
                                            <w:top w:val="none" w:sz="0" w:space="0" w:color="auto"/>
                                            <w:left w:val="none" w:sz="0" w:space="0" w:color="auto"/>
                                            <w:bottom w:val="none" w:sz="0" w:space="0" w:color="auto"/>
                                            <w:right w:val="none" w:sz="0" w:space="0" w:color="auto"/>
                                          </w:divBdr>
                                          <w:divsChild>
                                            <w:div w:id="539509795">
                                              <w:marLeft w:val="0"/>
                                              <w:marRight w:val="0"/>
                                              <w:marTop w:val="90"/>
                                              <w:marBottom w:val="0"/>
                                              <w:divBdr>
                                                <w:top w:val="none" w:sz="0" w:space="0" w:color="auto"/>
                                                <w:left w:val="none" w:sz="0" w:space="0" w:color="auto"/>
                                                <w:bottom w:val="none" w:sz="0" w:space="0" w:color="auto"/>
                                                <w:right w:val="none" w:sz="0" w:space="0" w:color="auto"/>
                                              </w:divBdr>
                                              <w:divsChild>
                                                <w:div w:id="1324819239">
                                                  <w:marLeft w:val="0"/>
                                                  <w:marRight w:val="0"/>
                                                  <w:marTop w:val="0"/>
                                                  <w:marBottom w:val="420"/>
                                                  <w:divBdr>
                                                    <w:top w:val="none" w:sz="0" w:space="0" w:color="auto"/>
                                                    <w:left w:val="none" w:sz="0" w:space="0" w:color="auto"/>
                                                    <w:bottom w:val="none" w:sz="0" w:space="0" w:color="auto"/>
                                                    <w:right w:val="none" w:sz="0" w:space="0" w:color="auto"/>
                                                  </w:divBdr>
                                                  <w:divsChild>
                                                    <w:div w:id="1266422557">
                                                      <w:marLeft w:val="0"/>
                                                      <w:marRight w:val="0"/>
                                                      <w:marTop w:val="0"/>
                                                      <w:marBottom w:val="0"/>
                                                      <w:divBdr>
                                                        <w:top w:val="none" w:sz="0" w:space="0" w:color="auto"/>
                                                        <w:left w:val="none" w:sz="0" w:space="0" w:color="auto"/>
                                                        <w:bottom w:val="none" w:sz="0" w:space="0" w:color="auto"/>
                                                        <w:right w:val="none" w:sz="0" w:space="0" w:color="auto"/>
                                                      </w:divBdr>
                                                      <w:divsChild>
                                                        <w:div w:id="1477213411">
                                                          <w:marLeft w:val="0"/>
                                                          <w:marRight w:val="0"/>
                                                          <w:marTop w:val="0"/>
                                                          <w:marBottom w:val="0"/>
                                                          <w:divBdr>
                                                            <w:top w:val="single" w:sz="6" w:space="0" w:color="DFE1E5"/>
                                                            <w:left w:val="single" w:sz="6" w:space="0" w:color="DFE1E5"/>
                                                            <w:bottom w:val="single" w:sz="6" w:space="0" w:color="DFE1E5"/>
                                                            <w:right w:val="single" w:sz="6" w:space="0" w:color="DFE1E5"/>
                                                          </w:divBdr>
                                                          <w:divsChild>
                                                            <w:div w:id="1800419961">
                                                              <w:marLeft w:val="0"/>
                                                              <w:marRight w:val="0"/>
                                                              <w:marTop w:val="0"/>
                                                              <w:marBottom w:val="0"/>
                                                              <w:divBdr>
                                                                <w:top w:val="none" w:sz="0" w:space="0" w:color="auto"/>
                                                                <w:left w:val="none" w:sz="0" w:space="0" w:color="auto"/>
                                                                <w:bottom w:val="none" w:sz="0" w:space="0" w:color="auto"/>
                                                                <w:right w:val="none" w:sz="0" w:space="0" w:color="auto"/>
                                                              </w:divBdr>
                                                              <w:divsChild>
                                                                <w:div w:id="1352292511">
                                                                  <w:marLeft w:val="0"/>
                                                                  <w:marRight w:val="0"/>
                                                                  <w:marTop w:val="0"/>
                                                                  <w:marBottom w:val="0"/>
                                                                  <w:divBdr>
                                                                    <w:top w:val="none" w:sz="0" w:space="0" w:color="auto"/>
                                                                    <w:left w:val="none" w:sz="0" w:space="0" w:color="auto"/>
                                                                    <w:bottom w:val="none" w:sz="0" w:space="0" w:color="auto"/>
                                                                    <w:right w:val="none" w:sz="0" w:space="0" w:color="auto"/>
                                                                  </w:divBdr>
                                                                  <w:divsChild>
                                                                    <w:div w:id="943000475">
                                                                      <w:marLeft w:val="0"/>
                                                                      <w:marRight w:val="0"/>
                                                                      <w:marTop w:val="0"/>
                                                                      <w:marBottom w:val="0"/>
                                                                      <w:divBdr>
                                                                        <w:top w:val="none" w:sz="0" w:space="0" w:color="auto"/>
                                                                        <w:left w:val="none" w:sz="0" w:space="0" w:color="auto"/>
                                                                        <w:bottom w:val="none" w:sz="0" w:space="0" w:color="auto"/>
                                                                        <w:right w:val="none" w:sz="0" w:space="0" w:color="auto"/>
                                                                      </w:divBdr>
                                                                      <w:divsChild>
                                                                        <w:div w:id="1894464000">
                                                                          <w:marLeft w:val="0"/>
                                                                          <w:marRight w:val="0"/>
                                                                          <w:marTop w:val="0"/>
                                                                          <w:marBottom w:val="0"/>
                                                                          <w:divBdr>
                                                                            <w:top w:val="none" w:sz="0" w:space="0" w:color="auto"/>
                                                                            <w:left w:val="none" w:sz="0" w:space="0" w:color="auto"/>
                                                                            <w:bottom w:val="none" w:sz="0" w:space="0" w:color="auto"/>
                                                                            <w:right w:val="none" w:sz="0" w:space="0" w:color="auto"/>
                                                                          </w:divBdr>
                                                                          <w:divsChild>
                                                                            <w:div w:id="1812402757">
                                                                              <w:marLeft w:val="0"/>
                                                                              <w:marRight w:val="0"/>
                                                                              <w:marTop w:val="0"/>
                                                                              <w:marBottom w:val="0"/>
                                                                              <w:divBdr>
                                                                                <w:top w:val="none" w:sz="0" w:space="0" w:color="auto"/>
                                                                                <w:left w:val="none" w:sz="0" w:space="0" w:color="auto"/>
                                                                                <w:bottom w:val="none" w:sz="0" w:space="0" w:color="auto"/>
                                                                                <w:right w:val="none" w:sz="0" w:space="0" w:color="auto"/>
                                                                              </w:divBdr>
                                                                              <w:divsChild>
                                                                                <w:div w:id="1654603123">
                                                                                  <w:marLeft w:val="0"/>
                                                                                  <w:marRight w:val="0"/>
                                                                                  <w:marTop w:val="0"/>
                                                                                  <w:marBottom w:val="0"/>
                                                                                  <w:divBdr>
                                                                                    <w:top w:val="none" w:sz="0" w:space="0" w:color="auto"/>
                                                                                    <w:left w:val="none" w:sz="0" w:space="0" w:color="auto"/>
                                                                                    <w:bottom w:val="none" w:sz="0" w:space="0" w:color="auto"/>
                                                                                    <w:right w:val="none" w:sz="0" w:space="0" w:color="auto"/>
                                                                                  </w:divBdr>
                                                                                  <w:divsChild>
                                                                                    <w:div w:id="1063138160">
                                                                                      <w:marLeft w:val="0"/>
                                                                                      <w:marRight w:val="0"/>
                                                                                      <w:marTop w:val="0"/>
                                                                                      <w:marBottom w:val="0"/>
                                                                                      <w:divBdr>
                                                                                        <w:top w:val="none" w:sz="0" w:space="0" w:color="auto"/>
                                                                                        <w:left w:val="none" w:sz="0" w:space="0" w:color="auto"/>
                                                                                        <w:bottom w:val="none" w:sz="0" w:space="0" w:color="auto"/>
                                                                                        <w:right w:val="none" w:sz="0" w:space="0" w:color="auto"/>
                                                                                      </w:divBdr>
                                                                                    </w:div>
                                                                                    <w:div w:id="1686785205">
                                                                                      <w:marLeft w:val="0"/>
                                                                                      <w:marRight w:val="0"/>
                                                                                      <w:marTop w:val="0"/>
                                                                                      <w:marBottom w:val="0"/>
                                                                                      <w:divBdr>
                                                                                        <w:top w:val="none" w:sz="0" w:space="0" w:color="auto"/>
                                                                                        <w:left w:val="none" w:sz="0" w:space="0" w:color="auto"/>
                                                                                        <w:bottom w:val="none" w:sz="0" w:space="0" w:color="auto"/>
                                                                                        <w:right w:val="none" w:sz="0" w:space="0" w:color="auto"/>
                                                                                      </w:divBdr>
                                                                                      <w:divsChild>
                                                                                        <w:div w:id="337856383">
                                                                                          <w:marLeft w:val="0"/>
                                                                                          <w:marRight w:val="0"/>
                                                                                          <w:marTop w:val="0"/>
                                                                                          <w:marBottom w:val="0"/>
                                                                                          <w:divBdr>
                                                                                            <w:top w:val="none" w:sz="0" w:space="0" w:color="auto"/>
                                                                                            <w:left w:val="none" w:sz="0" w:space="0" w:color="auto"/>
                                                                                            <w:bottom w:val="none" w:sz="0" w:space="0" w:color="auto"/>
                                                                                            <w:right w:val="none" w:sz="0" w:space="0" w:color="auto"/>
                                                                                          </w:divBdr>
                                                                                          <w:divsChild>
                                                                                            <w:div w:id="92021936">
                                                                                              <w:marLeft w:val="0"/>
                                                                                              <w:marRight w:val="0"/>
                                                                                              <w:marTop w:val="0"/>
                                                                                              <w:marBottom w:val="0"/>
                                                                                              <w:divBdr>
                                                                                                <w:top w:val="none" w:sz="0" w:space="0" w:color="auto"/>
                                                                                                <w:left w:val="none" w:sz="0" w:space="0" w:color="auto"/>
                                                                                                <w:bottom w:val="none" w:sz="0" w:space="0" w:color="auto"/>
                                                                                                <w:right w:val="none" w:sz="0" w:space="0" w:color="auto"/>
                                                                                              </w:divBdr>
                                                                                              <w:divsChild>
                                                                                                <w:div w:id="1673293568">
                                                                                                  <w:marLeft w:val="0"/>
                                                                                                  <w:marRight w:val="0"/>
                                                                                                  <w:marTop w:val="0"/>
                                                                                                  <w:marBottom w:val="0"/>
                                                                                                  <w:divBdr>
                                                                                                    <w:top w:val="none" w:sz="0" w:space="0" w:color="auto"/>
                                                                                                    <w:left w:val="none" w:sz="0" w:space="0" w:color="auto"/>
                                                                                                    <w:bottom w:val="none" w:sz="0" w:space="0" w:color="auto"/>
                                                                                                    <w:right w:val="none" w:sz="0" w:space="0" w:color="auto"/>
                                                                                                  </w:divBdr>
                                                                                                </w:div>
                                                                                                <w:div w:id="2093118759">
                                                                                                  <w:marLeft w:val="0"/>
                                                                                                  <w:marRight w:val="0"/>
                                                                                                  <w:marTop w:val="0"/>
                                                                                                  <w:marBottom w:val="0"/>
                                                                                                  <w:divBdr>
                                                                                                    <w:top w:val="none" w:sz="0" w:space="0" w:color="auto"/>
                                                                                                    <w:left w:val="none" w:sz="0" w:space="0" w:color="auto"/>
                                                                                                    <w:bottom w:val="none" w:sz="0" w:space="0" w:color="auto"/>
                                                                                                    <w:right w:val="none" w:sz="0" w:space="0" w:color="auto"/>
                                                                                                  </w:divBdr>
                                                                                                </w:div>
                                                                                                <w:div w:id="16155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3571937">
      <w:bodyDiv w:val="1"/>
      <w:marLeft w:val="0"/>
      <w:marRight w:val="0"/>
      <w:marTop w:val="0"/>
      <w:marBottom w:val="0"/>
      <w:divBdr>
        <w:top w:val="none" w:sz="0" w:space="0" w:color="auto"/>
        <w:left w:val="none" w:sz="0" w:space="0" w:color="auto"/>
        <w:bottom w:val="none" w:sz="0" w:space="0" w:color="auto"/>
        <w:right w:val="none" w:sz="0" w:space="0" w:color="auto"/>
      </w:divBdr>
      <w:divsChild>
        <w:div w:id="1947342690">
          <w:marLeft w:val="0"/>
          <w:marRight w:val="0"/>
          <w:marTop w:val="0"/>
          <w:marBottom w:val="0"/>
          <w:divBdr>
            <w:top w:val="none" w:sz="0" w:space="0" w:color="auto"/>
            <w:left w:val="none" w:sz="0" w:space="0" w:color="auto"/>
            <w:bottom w:val="none" w:sz="0" w:space="0" w:color="auto"/>
            <w:right w:val="none" w:sz="0" w:space="0" w:color="auto"/>
          </w:divBdr>
          <w:divsChild>
            <w:div w:id="531648761">
              <w:marLeft w:val="0"/>
              <w:marRight w:val="0"/>
              <w:marTop w:val="0"/>
              <w:marBottom w:val="0"/>
              <w:divBdr>
                <w:top w:val="none" w:sz="0" w:space="0" w:color="auto"/>
                <w:left w:val="none" w:sz="0" w:space="0" w:color="auto"/>
                <w:bottom w:val="none" w:sz="0" w:space="0" w:color="auto"/>
                <w:right w:val="none" w:sz="0" w:space="0" w:color="auto"/>
              </w:divBdr>
              <w:divsChild>
                <w:div w:id="1728145289">
                  <w:marLeft w:val="0"/>
                  <w:marRight w:val="0"/>
                  <w:marTop w:val="0"/>
                  <w:marBottom w:val="0"/>
                  <w:divBdr>
                    <w:top w:val="none" w:sz="0" w:space="0" w:color="auto"/>
                    <w:left w:val="none" w:sz="0" w:space="0" w:color="auto"/>
                    <w:bottom w:val="none" w:sz="0" w:space="0" w:color="auto"/>
                    <w:right w:val="none" w:sz="0" w:space="0" w:color="auto"/>
                  </w:divBdr>
                  <w:divsChild>
                    <w:div w:id="853155057">
                      <w:marLeft w:val="0"/>
                      <w:marRight w:val="0"/>
                      <w:marTop w:val="0"/>
                      <w:marBottom w:val="0"/>
                      <w:divBdr>
                        <w:top w:val="none" w:sz="0" w:space="0" w:color="auto"/>
                        <w:left w:val="none" w:sz="0" w:space="0" w:color="auto"/>
                        <w:bottom w:val="none" w:sz="0" w:space="0" w:color="auto"/>
                        <w:right w:val="none" w:sz="0" w:space="0" w:color="auto"/>
                      </w:divBdr>
                      <w:divsChild>
                        <w:div w:id="735251028">
                          <w:marLeft w:val="0"/>
                          <w:marRight w:val="0"/>
                          <w:marTop w:val="0"/>
                          <w:marBottom w:val="0"/>
                          <w:divBdr>
                            <w:top w:val="none" w:sz="0" w:space="0" w:color="auto"/>
                            <w:left w:val="none" w:sz="0" w:space="0" w:color="auto"/>
                            <w:bottom w:val="none" w:sz="0" w:space="0" w:color="auto"/>
                            <w:right w:val="none" w:sz="0" w:space="0" w:color="auto"/>
                          </w:divBdr>
                          <w:divsChild>
                            <w:div w:id="1953240163">
                              <w:marLeft w:val="2700"/>
                              <w:marRight w:val="3960"/>
                              <w:marTop w:val="0"/>
                              <w:marBottom w:val="0"/>
                              <w:divBdr>
                                <w:top w:val="none" w:sz="0" w:space="0" w:color="auto"/>
                                <w:left w:val="none" w:sz="0" w:space="0" w:color="auto"/>
                                <w:bottom w:val="none" w:sz="0" w:space="0" w:color="auto"/>
                                <w:right w:val="none" w:sz="0" w:space="0" w:color="auto"/>
                              </w:divBdr>
                              <w:divsChild>
                                <w:div w:id="719279867">
                                  <w:marLeft w:val="0"/>
                                  <w:marRight w:val="0"/>
                                  <w:marTop w:val="0"/>
                                  <w:marBottom w:val="0"/>
                                  <w:divBdr>
                                    <w:top w:val="none" w:sz="0" w:space="0" w:color="auto"/>
                                    <w:left w:val="none" w:sz="0" w:space="0" w:color="auto"/>
                                    <w:bottom w:val="none" w:sz="0" w:space="0" w:color="auto"/>
                                    <w:right w:val="none" w:sz="0" w:space="0" w:color="auto"/>
                                  </w:divBdr>
                                  <w:divsChild>
                                    <w:div w:id="2070763594">
                                      <w:marLeft w:val="0"/>
                                      <w:marRight w:val="0"/>
                                      <w:marTop w:val="0"/>
                                      <w:marBottom w:val="0"/>
                                      <w:divBdr>
                                        <w:top w:val="none" w:sz="0" w:space="0" w:color="auto"/>
                                        <w:left w:val="none" w:sz="0" w:space="0" w:color="auto"/>
                                        <w:bottom w:val="none" w:sz="0" w:space="0" w:color="auto"/>
                                        <w:right w:val="none" w:sz="0" w:space="0" w:color="auto"/>
                                      </w:divBdr>
                                      <w:divsChild>
                                        <w:div w:id="574709937">
                                          <w:marLeft w:val="0"/>
                                          <w:marRight w:val="0"/>
                                          <w:marTop w:val="0"/>
                                          <w:marBottom w:val="0"/>
                                          <w:divBdr>
                                            <w:top w:val="none" w:sz="0" w:space="0" w:color="auto"/>
                                            <w:left w:val="none" w:sz="0" w:space="0" w:color="auto"/>
                                            <w:bottom w:val="none" w:sz="0" w:space="0" w:color="auto"/>
                                            <w:right w:val="none" w:sz="0" w:space="0" w:color="auto"/>
                                          </w:divBdr>
                                          <w:divsChild>
                                            <w:div w:id="1488548176">
                                              <w:marLeft w:val="0"/>
                                              <w:marRight w:val="0"/>
                                              <w:marTop w:val="90"/>
                                              <w:marBottom w:val="0"/>
                                              <w:divBdr>
                                                <w:top w:val="none" w:sz="0" w:space="0" w:color="auto"/>
                                                <w:left w:val="none" w:sz="0" w:space="0" w:color="auto"/>
                                                <w:bottom w:val="none" w:sz="0" w:space="0" w:color="auto"/>
                                                <w:right w:val="none" w:sz="0" w:space="0" w:color="auto"/>
                                              </w:divBdr>
                                              <w:divsChild>
                                                <w:div w:id="1199465962">
                                                  <w:marLeft w:val="0"/>
                                                  <w:marRight w:val="0"/>
                                                  <w:marTop w:val="0"/>
                                                  <w:marBottom w:val="0"/>
                                                  <w:divBdr>
                                                    <w:top w:val="none" w:sz="0" w:space="0" w:color="auto"/>
                                                    <w:left w:val="none" w:sz="0" w:space="0" w:color="auto"/>
                                                    <w:bottom w:val="none" w:sz="0" w:space="0" w:color="auto"/>
                                                    <w:right w:val="none" w:sz="0" w:space="0" w:color="auto"/>
                                                  </w:divBdr>
                                                  <w:divsChild>
                                                    <w:div w:id="1499808434">
                                                      <w:marLeft w:val="0"/>
                                                      <w:marRight w:val="0"/>
                                                      <w:marTop w:val="0"/>
                                                      <w:marBottom w:val="420"/>
                                                      <w:divBdr>
                                                        <w:top w:val="none" w:sz="0" w:space="0" w:color="auto"/>
                                                        <w:left w:val="none" w:sz="0" w:space="0" w:color="auto"/>
                                                        <w:bottom w:val="none" w:sz="0" w:space="0" w:color="auto"/>
                                                        <w:right w:val="none" w:sz="0" w:space="0" w:color="auto"/>
                                                      </w:divBdr>
                                                      <w:divsChild>
                                                        <w:div w:id="144785535">
                                                          <w:marLeft w:val="0"/>
                                                          <w:marRight w:val="0"/>
                                                          <w:marTop w:val="0"/>
                                                          <w:marBottom w:val="0"/>
                                                          <w:divBdr>
                                                            <w:top w:val="none" w:sz="0" w:space="0" w:color="auto"/>
                                                            <w:left w:val="none" w:sz="0" w:space="0" w:color="auto"/>
                                                            <w:bottom w:val="none" w:sz="0" w:space="0" w:color="auto"/>
                                                            <w:right w:val="none" w:sz="0" w:space="0" w:color="auto"/>
                                                          </w:divBdr>
                                                          <w:divsChild>
                                                            <w:div w:id="1968470468">
                                                              <w:marLeft w:val="0"/>
                                                              <w:marRight w:val="0"/>
                                                              <w:marTop w:val="0"/>
                                                              <w:marBottom w:val="0"/>
                                                              <w:divBdr>
                                                                <w:top w:val="none" w:sz="0" w:space="0" w:color="auto"/>
                                                                <w:left w:val="none" w:sz="0" w:space="0" w:color="auto"/>
                                                                <w:bottom w:val="none" w:sz="0" w:space="0" w:color="auto"/>
                                                                <w:right w:val="none" w:sz="0" w:space="0" w:color="auto"/>
                                                              </w:divBdr>
                                                              <w:divsChild>
                                                                <w:div w:id="766343827">
                                                                  <w:marLeft w:val="0"/>
                                                                  <w:marRight w:val="0"/>
                                                                  <w:marTop w:val="0"/>
                                                                  <w:marBottom w:val="0"/>
                                                                  <w:divBdr>
                                                                    <w:top w:val="none" w:sz="0" w:space="0" w:color="auto"/>
                                                                    <w:left w:val="none" w:sz="0" w:space="0" w:color="auto"/>
                                                                    <w:bottom w:val="none" w:sz="0" w:space="0" w:color="auto"/>
                                                                    <w:right w:val="none" w:sz="0" w:space="0" w:color="auto"/>
                                                                  </w:divBdr>
                                                                  <w:divsChild>
                                                                    <w:div w:id="1418752383">
                                                                      <w:marLeft w:val="0"/>
                                                                      <w:marRight w:val="0"/>
                                                                      <w:marTop w:val="0"/>
                                                                      <w:marBottom w:val="0"/>
                                                                      <w:divBdr>
                                                                        <w:top w:val="none" w:sz="0" w:space="0" w:color="auto"/>
                                                                        <w:left w:val="none" w:sz="0" w:space="0" w:color="auto"/>
                                                                        <w:bottom w:val="none" w:sz="0" w:space="0" w:color="auto"/>
                                                                        <w:right w:val="none" w:sz="0" w:space="0" w:color="auto"/>
                                                                      </w:divBdr>
                                                                      <w:divsChild>
                                                                        <w:div w:id="164319263">
                                                                          <w:marLeft w:val="0"/>
                                                                          <w:marRight w:val="0"/>
                                                                          <w:marTop w:val="0"/>
                                                                          <w:marBottom w:val="0"/>
                                                                          <w:divBdr>
                                                                            <w:top w:val="none" w:sz="0" w:space="0" w:color="auto"/>
                                                                            <w:left w:val="none" w:sz="0" w:space="0" w:color="auto"/>
                                                                            <w:bottom w:val="none" w:sz="0" w:space="0" w:color="auto"/>
                                                                            <w:right w:val="none" w:sz="0" w:space="0" w:color="auto"/>
                                                                          </w:divBdr>
                                                                          <w:divsChild>
                                                                            <w:div w:id="456223028">
                                                                              <w:marLeft w:val="0"/>
                                                                              <w:marRight w:val="0"/>
                                                                              <w:marTop w:val="0"/>
                                                                              <w:marBottom w:val="0"/>
                                                                              <w:divBdr>
                                                                                <w:top w:val="none" w:sz="0" w:space="0" w:color="auto"/>
                                                                                <w:left w:val="none" w:sz="0" w:space="0" w:color="auto"/>
                                                                                <w:bottom w:val="none" w:sz="0" w:space="0" w:color="auto"/>
                                                                                <w:right w:val="none" w:sz="0" w:space="0" w:color="auto"/>
                                                                              </w:divBdr>
                                                                              <w:divsChild>
                                                                                <w:div w:id="480267257">
                                                                                  <w:marLeft w:val="0"/>
                                                                                  <w:marRight w:val="0"/>
                                                                                  <w:marTop w:val="0"/>
                                                                                  <w:marBottom w:val="0"/>
                                                                                  <w:divBdr>
                                                                                    <w:top w:val="none" w:sz="0" w:space="0" w:color="auto"/>
                                                                                    <w:left w:val="none" w:sz="0" w:space="0" w:color="auto"/>
                                                                                    <w:bottom w:val="none" w:sz="0" w:space="0" w:color="auto"/>
                                                                                    <w:right w:val="none" w:sz="0" w:space="0" w:color="auto"/>
                                                                                  </w:divBdr>
                                                                                  <w:divsChild>
                                                                                    <w:div w:id="2121681192">
                                                                                      <w:marLeft w:val="0"/>
                                                                                      <w:marRight w:val="0"/>
                                                                                      <w:marTop w:val="0"/>
                                                                                      <w:marBottom w:val="0"/>
                                                                                      <w:divBdr>
                                                                                        <w:top w:val="none" w:sz="0" w:space="0" w:color="auto"/>
                                                                                        <w:left w:val="none" w:sz="0" w:space="0" w:color="auto"/>
                                                                                        <w:bottom w:val="none" w:sz="0" w:space="0" w:color="auto"/>
                                                                                        <w:right w:val="none" w:sz="0" w:space="0" w:color="auto"/>
                                                                                      </w:divBdr>
                                                                                      <w:divsChild>
                                                                                        <w:div w:id="9880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221723">
      <w:bodyDiv w:val="1"/>
      <w:marLeft w:val="0"/>
      <w:marRight w:val="0"/>
      <w:marTop w:val="0"/>
      <w:marBottom w:val="0"/>
      <w:divBdr>
        <w:top w:val="none" w:sz="0" w:space="0" w:color="auto"/>
        <w:left w:val="none" w:sz="0" w:space="0" w:color="auto"/>
        <w:bottom w:val="none" w:sz="0" w:space="0" w:color="auto"/>
        <w:right w:val="none" w:sz="0" w:space="0" w:color="auto"/>
      </w:divBdr>
      <w:divsChild>
        <w:div w:id="1237058180">
          <w:marLeft w:val="0"/>
          <w:marRight w:val="0"/>
          <w:marTop w:val="0"/>
          <w:marBottom w:val="0"/>
          <w:divBdr>
            <w:top w:val="none" w:sz="0" w:space="0" w:color="auto"/>
            <w:left w:val="none" w:sz="0" w:space="0" w:color="auto"/>
            <w:bottom w:val="none" w:sz="0" w:space="0" w:color="auto"/>
            <w:right w:val="none" w:sz="0" w:space="0" w:color="auto"/>
          </w:divBdr>
          <w:divsChild>
            <w:div w:id="73162817">
              <w:marLeft w:val="0"/>
              <w:marRight w:val="0"/>
              <w:marTop w:val="0"/>
              <w:marBottom w:val="0"/>
              <w:divBdr>
                <w:top w:val="none" w:sz="0" w:space="0" w:color="auto"/>
                <w:left w:val="none" w:sz="0" w:space="0" w:color="auto"/>
                <w:bottom w:val="none" w:sz="0" w:space="0" w:color="auto"/>
                <w:right w:val="none" w:sz="0" w:space="0" w:color="auto"/>
              </w:divBdr>
              <w:divsChild>
                <w:div w:id="781456445">
                  <w:marLeft w:val="0"/>
                  <w:marRight w:val="0"/>
                  <w:marTop w:val="0"/>
                  <w:marBottom w:val="0"/>
                  <w:divBdr>
                    <w:top w:val="none" w:sz="0" w:space="0" w:color="auto"/>
                    <w:left w:val="none" w:sz="0" w:space="0" w:color="auto"/>
                    <w:bottom w:val="none" w:sz="0" w:space="0" w:color="auto"/>
                    <w:right w:val="none" w:sz="0" w:space="0" w:color="auto"/>
                  </w:divBdr>
                  <w:divsChild>
                    <w:div w:id="132870947">
                      <w:marLeft w:val="0"/>
                      <w:marRight w:val="0"/>
                      <w:marTop w:val="0"/>
                      <w:marBottom w:val="0"/>
                      <w:divBdr>
                        <w:top w:val="none" w:sz="0" w:space="0" w:color="auto"/>
                        <w:left w:val="none" w:sz="0" w:space="0" w:color="auto"/>
                        <w:bottom w:val="none" w:sz="0" w:space="0" w:color="auto"/>
                        <w:right w:val="none" w:sz="0" w:space="0" w:color="auto"/>
                      </w:divBdr>
                      <w:divsChild>
                        <w:div w:id="1853496999">
                          <w:marLeft w:val="0"/>
                          <w:marRight w:val="0"/>
                          <w:marTop w:val="0"/>
                          <w:marBottom w:val="0"/>
                          <w:divBdr>
                            <w:top w:val="none" w:sz="0" w:space="0" w:color="auto"/>
                            <w:left w:val="none" w:sz="0" w:space="0" w:color="auto"/>
                            <w:bottom w:val="none" w:sz="0" w:space="0" w:color="auto"/>
                            <w:right w:val="none" w:sz="0" w:space="0" w:color="auto"/>
                          </w:divBdr>
                          <w:divsChild>
                            <w:div w:id="793444885">
                              <w:marLeft w:val="0"/>
                              <w:marRight w:val="0"/>
                              <w:marTop w:val="0"/>
                              <w:marBottom w:val="0"/>
                              <w:divBdr>
                                <w:top w:val="none" w:sz="0" w:space="0" w:color="auto"/>
                                <w:left w:val="none" w:sz="0" w:space="0" w:color="auto"/>
                                <w:bottom w:val="none" w:sz="0" w:space="0" w:color="auto"/>
                                <w:right w:val="none" w:sz="0" w:space="0" w:color="auto"/>
                              </w:divBdr>
                              <w:divsChild>
                                <w:div w:id="593438120">
                                  <w:marLeft w:val="0"/>
                                  <w:marRight w:val="0"/>
                                  <w:marTop w:val="0"/>
                                  <w:marBottom w:val="0"/>
                                  <w:divBdr>
                                    <w:top w:val="none" w:sz="0" w:space="0" w:color="auto"/>
                                    <w:left w:val="none" w:sz="0" w:space="0" w:color="auto"/>
                                    <w:bottom w:val="none" w:sz="0" w:space="0" w:color="auto"/>
                                    <w:right w:val="none" w:sz="0" w:space="0" w:color="auto"/>
                                  </w:divBdr>
                                  <w:divsChild>
                                    <w:div w:id="1938172478">
                                      <w:marLeft w:val="0"/>
                                      <w:marRight w:val="0"/>
                                      <w:marTop w:val="0"/>
                                      <w:marBottom w:val="0"/>
                                      <w:divBdr>
                                        <w:top w:val="none" w:sz="0" w:space="0" w:color="auto"/>
                                        <w:left w:val="none" w:sz="0" w:space="0" w:color="auto"/>
                                        <w:bottom w:val="none" w:sz="0" w:space="0" w:color="auto"/>
                                        <w:right w:val="none" w:sz="0" w:space="0" w:color="auto"/>
                                      </w:divBdr>
                                      <w:divsChild>
                                        <w:div w:id="973295661">
                                          <w:marLeft w:val="0"/>
                                          <w:marRight w:val="0"/>
                                          <w:marTop w:val="0"/>
                                          <w:marBottom w:val="0"/>
                                          <w:divBdr>
                                            <w:top w:val="none" w:sz="0" w:space="0" w:color="auto"/>
                                            <w:left w:val="none" w:sz="0" w:space="0" w:color="auto"/>
                                            <w:bottom w:val="none" w:sz="0" w:space="0" w:color="auto"/>
                                            <w:right w:val="none" w:sz="0" w:space="0" w:color="auto"/>
                                          </w:divBdr>
                                          <w:divsChild>
                                            <w:div w:id="385449157">
                                              <w:marLeft w:val="0"/>
                                              <w:marRight w:val="0"/>
                                              <w:marTop w:val="0"/>
                                              <w:marBottom w:val="0"/>
                                              <w:divBdr>
                                                <w:top w:val="none" w:sz="0" w:space="0" w:color="auto"/>
                                                <w:left w:val="none" w:sz="0" w:space="0" w:color="auto"/>
                                                <w:bottom w:val="none" w:sz="0" w:space="0" w:color="auto"/>
                                                <w:right w:val="none" w:sz="0" w:space="0" w:color="auto"/>
                                              </w:divBdr>
                                              <w:divsChild>
                                                <w:div w:id="1724863376">
                                                  <w:marLeft w:val="0"/>
                                                  <w:marRight w:val="0"/>
                                                  <w:marTop w:val="0"/>
                                                  <w:marBottom w:val="0"/>
                                                  <w:divBdr>
                                                    <w:top w:val="none" w:sz="0" w:space="0" w:color="auto"/>
                                                    <w:left w:val="none" w:sz="0" w:space="0" w:color="auto"/>
                                                    <w:bottom w:val="single" w:sz="6" w:space="0" w:color="DADCE0"/>
                                                    <w:right w:val="none" w:sz="0" w:space="0" w:color="auto"/>
                                                  </w:divBdr>
                                                  <w:divsChild>
                                                    <w:div w:id="2146463364">
                                                      <w:marLeft w:val="0"/>
                                                      <w:marRight w:val="0"/>
                                                      <w:marTop w:val="0"/>
                                                      <w:marBottom w:val="0"/>
                                                      <w:divBdr>
                                                        <w:top w:val="none" w:sz="0" w:space="0" w:color="auto"/>
                                                        <w:left w:val="none" w:sz="0" w:space="0" w:color="auto"/>
                                                        <w:bottom w:val="none" w:sz="0" w:space="0" w:color="auto"/>
                                                        <w:right w:val="none" w:sz="0" w:space="0" w:color="auto"/>
                                                      </w:divBdr>
                                                      <w:divsChild>
                                                        <w:div w:id="450782259">
                                                          <w:marLeft w:val="0"/>
                                                          <w:marRight w:val="0"/>
                                                          <w:marTop w:val="0"/>
                                                          <w:marBottom w:val="0"/>
                                                          <w:divBdr>
                                                            <w:top w:val="none" w:sz="0" w:space="0" w:color="auto"/>
                                                            <w:left w:val="none" w:sz="0" w:space="0" w:color="auto"/>
                                                            <w:bottom w:val="none" w:sz="0" w:space="0" w:color="auto"/>
                                                            <w:right w:val="none" w:sz="0" w:space="0" w:color="auto"/>
                                                          </w:divBdr>
                                                        </w:div>
                                                        <w:div w:id="5020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70537">
                                                  <w:marLeft w:val="0"/>
                                                  <w:marRight w:val="0"/>
                                                  <w:marTop w:val="0"/>
                                                  <w:marBottom w:val="0"/>
                                                  <w:divBdr>
                                                    <w:top w:val="none" w:sz="0" w:space="0" w:color="auto"/>
                                                    <w:left w:val="none" w:sz="0" w:space="0" w:color="auto"/>
                                                    <w:bottom w:val="single" w:sz="6" w:space="0" w:color="DADCE0"/>
                                                    <w:right w:val="none" w:sz="0" w:space="0" w:color="auto"/>
                                                  </w:divBdr>
                                                  <w:divsChild>
                                                    <w:div w:id="1139570717">
                                                      <w:marLeft w:val="0"/>
                                                      <w:marRight w:val="0"/>
                                                      <w:marTop w:val="0"/>
                                                      <w:marBottom w:val="0"/>
                                                      <w:divBdr>
                                                        <w:top w:val="none" w:sz="0" w:space="0" w:color="auto"/>
                                                        <w:left w:val="none" w:sz="0" w:space="0" w:color="auto"/>
                                                        <w:bottom w:val="none" w:sz="0" w:space="0" w:color="auto"/>
                                                        <w:right w:val="none" w:sz="0" w:space="0" w:color="auto"/>
                                                      </w:divBdr>
                                                      <w:divsChild>
                                                        <w:div w:id="1459835993">
                                                          <w:marLeft w:val="0"/>
                                                          <w:marRight w:val="0"/>
                                                          <w:marTop w:val="0"/>
                                                          <w:marBottom w:val="0"/>
                                                          <w:divBdr>
                                                            <w:top w:val="none" w:sz="0" w:space="0" w:color="auto"/>
                                                            <w:left w:val="none" w:sz="0" w:space="0" w:color="auto"/>
                                                            <w:bottom w:val="none" w:sz="0" w:space="0" w:color="auto"/>
                                                            <w:right w:val="none" w:sz="0" w:space="0" w:color="auto"/>
                                                          </w:divBdr>
                                                        </w:div>
                                                        <w:div w:id="198777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98074">
                                                  <w:marLeft w:val="0"/>
                                                  <w:marRight w:val="0"/>
                                                  <w:marTop w:val="0"/>
                                                  <w:marBottom w:val="0"/>
                                                  <w:divBdr>
                                                    <w:top w:val="none" w:sz="0" w:space="0" w:color="auto"/>
                                                    <w:left w:val="none" w:sz="0" w:space="0" w:color="auto"/>
                                                    <w:bottom w:val="none" w:sz="0" w:space="0" w:color="auto"/>
                                                    <w:right w:val="none" w:sz="0" w:space="0" w:color="auto"/>
                                                  </w:divBdr>
                                                  <w:divsChild>
                                                    <w:div w:id="901216845">
                                                      <w:marLeft w:val="0"/>
                                                      <w:marRight w:val="0"/>
                                                      <w:marTop w:val="0"/>
                                                      <w:marBottom w:val="0"/>
                                                      <w:divBdr>
                                                        <w:top w:val="none" w:sz="0" w:space="0" w:color="auto"/>
                                                        <w:left w:val="none" w:sz="0" w:space="0" w:color="auto"/>
                                                        <w:bottom w:val="none" w:sz="0" w:space="0" w:color="auto"/>
                                                        <w:right w:val="none" w:sz="0" w:space="0" w:color="auto"/>
                                                      </w:divBdr>
                                                      <w:divsChild>
                                                        <w:div w:id="1494491039">
                                                          <w:marLeft w:val="0"/>
                                                          <w:marRight w:val="0"/>
                                                          <w:marTop w:val="0"/>
                                                          <w:marBottom w:val="0"/>
                                                          <w:divBdr>
                                                            <w:top w:val="none" w:sz="0" w:space="0" w:color="auto"/>
                                                            <w:left w:val="none" w:sz="0" w:space="0" w:color="auto"/>
                                                            <w:bottom w:val="none" w:sz="0" w:space="0" w:color="auto"/>
                                                            <w:right w:val="none" w:sz="0" w:space="0" w:color="auto"/>
                                                          </w:divBdr>
                                                        </w:div>
                                                        <w:div w:id="70170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49033">
                                                  <w:marLeft w:val="0"/>
                                                  <w:marRight w:val="0"/>
                                                  <w:marTop w:val="0"/>
                                                  <w:marBottom w:val="0"/>
                                                  <w:divBdr>
                                                    <w:top w:val="none" w:sz="0" w:space="0" w:color="auto"/>
                                                    <w:left w:val="none" w:sz="0" w:space="0" w:color="auto"/>
                                                    <w:bottom w:val="none" w:sz="0" w:space="0" w:color="auto"/>
                                                    <w:right w:val="none" w:sz="0" w:space="0" w:color="auto"/>
                                                  </w:divBdr>
                                                  <w:divsChild>
                                                    <w:div w:id="585892600">
                                                      <w:marLeft w:val="0"/>
                                                      <w:marRight w:val="0"/>
                                                      <w:marTop w:val="0"/>
                                                      <w:marBottom w:val="0"/>
                                                      <w:divBdr>
                                                        <w:top w:val="none" w:sz="0" w:space="0" w:color="auto"/>
                                                        <w:left w:val="none" w:sz="0" w:space="0" w:color="auto"/>
                                                        <w:bottom w:val="none" w:sz="0" w:space="0" w:color="auto"/>
                                                        <w:right w:val="none" w:sz="0" w:space="0" w:color="auto"/>
                                                      </w:divBdr>
                                                      <w:divsChild>
                                                        <w:div w:id="1760252554">
                                                          <w:marLeft w:val="0"/>
                                                          <w:marRight w:val="0"/>
                                                          <w:marTop w:val="0"/>
                                                          <w:marBottom w:val="0"/>
                                                          <w:divBdr>
                                                            <w:top w:val="none" w:sz="0" w:space="0" w:color="auto"/>
                                                            <w:left w:val="none" w:sz="0" w:space="0" w:color="auto"/>
                                                            <w:bottom w:val="none" w:sz="0" w:space="0" w:color="auto"/>
                                                            <w:right w:val="none" w:sz="0" w:space="0" w:color="auto"/>
                                                          </w:divBdr>
                                                          <w:divsChild>
                                                            <w:div w:id="63749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6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1521371">
      <w:bodyDiv w:val="1"/>
      <w:marLeft w:val="0"/>
      <w:marRight w:val="0"/>
      <w:marTop w:val="0"/>
      <w:marBottom w:val="0"/>
      <w:divBdr>
        <w:top w:val="none" w:sz="0" w:space="0" w:color="auto"/>
        <w:left w:val="none" w:sz="0" w:space="0" w:color="auto"/>
        <w:bottom w:val="none" w:sz="0" w:space="0" w:color="auto"/>
        <w:right w:val="none" w:sz="0" w:space="0" w:color="auto"/>
      </w:divBdr>
    </w:div>
    <w:div w:id="676923492">
      <w:bodyDiv w:val="1"/>
      <w:marLeft w:val="0"/>
      <w:marRight w:val="0"/>
      <w:marTop w:val="0"/>
      <w:marBottom w:val="0"/>
      <w:divBdr>
        <w:top w:val="none" w:sz="0" w:space="0" w:color="auto"/>
        <w:left w:val="none" w:sz="0" w:space="0" w:color="auto"/>
        <w:bottom w:val="none" w:sz="0" w:space="0" w:color="auto"/>
        <w:right w:val="none" w:sz="0" w:space="0" w:color="auto"/>
      </w:divBdr>
      <w:divsChild>
        <w:div w:id="1439593828">
          <w:marLeft w:val="0"/>
          <w:marRight w:val="0"/>
          <w:marTop w:val="0"/>
          <w:marBottom w:val="0"/>
          <w:divBdr>
            <w:top w:val="none" w:sz="0" w:space="0" w:color="auto"/>
            <w:left w:val="none" w:sz="0" w:space="0" w:color="auto"/>
            <w:bottom w:val="none" w:sz="0" w:space="0" w:color="auto"/>
            <w:right w:val="none" w:sz="0" w:space="0" w:color="auto"/>
          </w:divBdr>
          <w:divsChild>
            <w:div w:id="174660992">
              <w:marLeft w:val="0"/>
              <w:marRight w:val="0"/>
              <w:marTop w:val="0"/>
              <w:marBottom w:val="0"/>
              <w:divBdr>
                <w:top w:val="none" w:sz="0" w:space="0" w:color="auto"/>
                <w:left w:val="none" w:sz="0" w:space="0" w:color="auto"/>
                <w:bottom w:val="none" w:sz="0" w:space="0" w:color="auto"/>
                <w:right w:val="none" w:sz="0" w:space="0" w:color="auto"/>
              </w:divBdr>
              <w:divsChild>
                <w:div w:id="1906185067">
                  <w:marLeft w:val="0"/>
                  <w:marRight w:val="0"/>
                  <w:marTop w:val="0"/>
                  <w:marBottom w:val="0"/>
                  <w:divBdr>
                    <w:top w:val="none" w:sz="0" w:space="0" w:color="auto"/>
                    <w:left w:val="none" w:sz="0" w:space="0" w:color="auto"/>
                    <w:bottom w:val="none" w:sz="0" w:space="0" w:color="auto"/>
                    <w:right w:val="none" w:sz="0" w:space="0" w:color="auto"/>
                  </w:divBdr>
                  <w:divsChild>
                    <w:div w:id="931427336">
                      <w:marLeft w:val="0"/>
                      <w:marRight w:val="0"/>
                      <w:marTop w:val="0"/>
                      <w:marBottom w:val="0"/>
                      <w:divBdr>
                        <w:top w:val="none" w:sz="0" w:space="0" w:color="auto"/>
                        <w:left w:val="none" w:sz="0" w:space="0" w:color="auto"/>
                        <w:bottom w:val="none" w:sz="0" w:space="0" w:color="auto"/>
                        <w:right w:val="none" w:sz="0" w:space="0" w:color="auto"/>
                      </w:divBdr>
                      <w:divsChild>
                        <w:div w:id="668875845">
                          <w:marLeft w:val="0"/>
                          <w:marRight w:val="0"/>
                          <w:marTop w:val="0"/>
                          <w:marBottom w:val="0"/>
                          <w:divBdr>
                            <w:top w:val="none" w:sz="0" w:space="0" w:color="auto"/>
                            <w:left w:val="none" w:sz="0" w:space="0" w:color="auto"/>
                            <w:bottom w:val="none" w:sz="0" w:space="0" w:color="auto"/>
                            <w:right w:val="none" w:sz="0" w:space="0" w:color="auto"/>
                          </w:divBdr>
                          <w:divsChild>
                            <w:div w:id="391119202">
                              <w:marLeft w:val="2700"/>
                              <w:marRight w:val="3960"/>
                              <w:marTop w:val="0"/>
                              <w:marBottom w:val="0"/>
                              <w:divBdr>
                                <w:top w:val="none" w:sz="0" w:space="0" w:color="auto"/>
                                <w:left w:val="none" w:sz="0" w:space="0" w:color="auto"/>
                                <w:bottom w:val="none" w:sz="0" w:space="0" w:color="auto"/>
                                <w:right w:val="none" w:sz="0" w:space="0" w:color="auto"/>
                              </w:divBdr>
                              <w:divsChild>
                                <w:div w:id="1615673202">
                                  <w:marLeft w:val="0"/>
                                  <w:marRight w:val="0"/>
                                  <w:marTop w:val="0"/>
                                  <w:marBottom w:val="0"/>
                                  <w:divBdr>
                                    <w:top w:val="none" w:sz="0" w:space="0" w:color="auto"/>
                                    <w:left w:val="none" w:sz="0" w:space="0" w:color="auto"/>
                                    <w:bottom w:val="none" w:sz="0" w:space="0" w:color="auto"/>
                                    <w:right w:val="none" w:sz="0" w:space="0" w:color="auto"/>
                                  </w:divBdr>
                                  <w:divsChild>
                                    <w:div w:id="1301769856">
                                      <w:marLeft w:val="0"/>
                                      <w:marRight w:val="0"/>
                                      <w:marTop w:val="0"/>
                                      <w:marBottom w:val="0"/>
                                      <w:divBdr>
                                        <w:top w:val="none" w:sz="0" w:space="0" w:color="auto"/>
                                        <w:left w:val="none" w:sz="0" w:space="0" w:color="auto"/>
                                        <w:bottom w:val="none" w:sz="0" w:space="0" w:color="auto"/>
                                        <w:right w:val="none" w:sz="0" w:space="0" w:color="auto"/>
                                      </w:divBdr>
                                      <w:divsChild>
                                        <w:div w:id="968631357">
                                          <w:marLeft w:val="0"/>
                                          <w:marRight w:val="0"/>
                                          <w:marTop w:val="0"/>
                                          <w:marBottom w:val="0"/>
                                          <w:divBdr>
                                            <w:top w:val="none" w:sz="0" w:space="0" w:color="auto"/>
                                            <w:left w:val="none" w:sz="0" w:space="0" w:color="auto"/>
                                            <w:bottom w:val="none" w:sz="0" w:space="0" w:color="auto"/>
                                            <w:right w:val="none" w:sz="0" w:space="0" w:color="auto"/>
                                          </w:divBdr>
                                          <w:divsChild>
                                            <w:div w:id="350911248">
                                              <w:marLeft w:val="0"/>
                                              <w:marRight w:val="0"/>
                                              <w:marTop w:val="90"/>
                                              <w:marBottom w:val="0"/>
                                              <w:divBdr>
                                                <w:top w:val="none" w:sz="0" w:space="0" w:color="auto"/>
                                                <w:left w:val="none" w:sz="0" w:space="0" w:color="auto"/>
                                                <w:bottom w:val="none" w:sz="0" w:space="0" w:color="auto"/>
                                                <w:right w:val="none" w:sz="0" w:space="0" w:color="auto"/>
                                              </w:divBdr>
                                              <w:divsChild>
                                                <w:div w:id="1055083843">
                                                  <w:marLeft w:val="0"/>
                                                  <w:marRight w:val="0"/>
                                                  <w:marTop w:val="0"/>
                                                  <w:marBottom w:val="0"/>
                                                  <w:divBdr>
                                                    <w:top w:val="none" w:sz="0" w:space="0" w:color="auto"/>
                                                    <w:left w:val="none" w:sz="0" w:space="0" w:color="auto"/>
                                                    <w:bottom w:val="none" w:sz="0" w:space="0" w:color="auto"/>
                                                    <w:right w:val="none" w:sz="0" w:space="0" w:color="auto"/>
                                                  </w:divBdr>
                                                  <w:divsChild>
                                                    <w:div w:id="198248864">
                                                      <w:marLeft w:val="0"/>
                                                      <w:marRight w:val="0"/>
                                                      <w:marTop w:val="0"/>
                                                      <w:marBottom w:val="420"/>
                                                      <w:divBdr>
                                                        <w:top w:val="none" w:sz="0" w:space="0" w:color="auto"/>
                                                        <w:left w:val="none" w:sz="0" w:space="0" w:color="auto"/>
                                                        <w:bottom w:val="none" w:sz="0" w:space="0" w:color="auto"/>
                                                        <w:right w:val="none" w:sz="0" w:space="0" w:color="auto"/>
                                                      </w:divBdr>
                                                      <w:divsChild>
                                                        <w:div w:id="1994096449">
                                                          <w:marLeft w:val="0"/>
                                                          <w:marRight w:val="0"/>
                                                          <w:marTop w:val="0"/>
                                                          <w:marBottom w:val="0"/>
                                                          <w:divBdr>
                                                            <w:top w:val="none" w:sz="0" w:space="0" w:color="auto"/>
                                                            <w:left w:val="none" w:sz="0" w:space="0" w:color="auto"/>
                                                            <w:bottom w:val="none" w:sz="0" w:space="0" w:color="auto"/>
                                                            <w:right w:val="none" w:sz="0" w:space="0" w:color="auto"/>
                                                          </w:divBdr>
                                                          <w:divsChild>
                                                            <w:div w:id="1263033137">
                                                              <w:marLeft w:val="0"/>
                                                              <w:marRight w:val="0"/>
                                                              <w:marTop w:val="0"/>
                                                              <w:marBottom w:val="0"/>
                                                              <w:divBdr>
                                                                <w:top w:val="none" w:sz="0" w:space="0" w:color="auto"/>
                                                                <w:left w:val="none" w:sz="0" w:space="0" w:color="auto"/>
                                                                <w:bottom w:val="none" w:sz="0" w:space="0" w:color="auto"/>
                                                                <w:right w:val="none" w:sz="0" w:space="0" w:color="auto"/>
                                                              </w:divBdr>
                                                              <w:divsChild>
                                                                <w:div w:id="553273598">
                                                                  <w:marLeft w:val="0"/>
                                                                  <w:marRight w:val="0"/>
                                                                  <w:marTop w:val="0"/>
                                                                  <w:marBottom w:val="0"/>
                                                                  <w:divBdr>
                                                                    <w:top w:val="none" w:sz="0" w:space="0" w:color="auto"/>
                                                                    <w:left w:val="none" w:sz="0" w:space="0" w:color="auto"/>
                                                                    <w:bottom w:val="none" w:sz="0" w:space="0" w:color="auto"/>
                                                                    <w:right w:val="none" w:sz="0" w:space="0" w:color="auto"/>
                                                                  </w:divBdr>
                                                                  <w:divsChild>
                                                                    <w:div w:id="704720476">
                                                                      <w:marLeft w:val="0"/>
                                                                      <w:marRight w:val="0"/>
                                                                      <w:marTop w:val="0"/>
                                                                      <w:marBottom w:val="0"/>
                                                                      <w:divBdr>
                                                                        <w:top w:val="none" w:sz="0" w:space="0" w:color="auto"/>
                                                                        <w:left w:val="none" w:sz="0" w:space="0" w:color="auto"/>
                                                                        <w:bottom w:val="none" w:sz="0" w:space="0" w:color="auto"/>
                                                                        <w:right w:val="none" w:sz="0" w:space="0" w:color="auto"/>
                                                                      </w:divBdr>
                                                                      <w:divsChild>
                                                                        <w:div w:id="1631324468">
                                                                          <w:marLeft w:val="0"/>
                                                                          <w:marRight w:val="0"/>
                                                                          <w:marTop w:val="0"/>
                                                                          <w:marBottom w:val="0"/>
                                                                          <w:divBdr>
                                                                            <w:top w:val="none" w:sz="0" w:space="0" w:color="auto"/>
                                                                            <w:left w:val="none" w:sz="0" w:space="0" w:color="auto"/>
                                                                            <w:bottom w:val="none" w:sz="0" w:space="0" w:color="auto"/>
                                                                            <w:right w:val="none" w:sz="0" w:space="0" w:color="auto"/>
                                                                          </w:divBdr>
                                                                          <w:divsChild>
                                                                            <w:div w:id="1985505283">
                                                                              <w:marLeft w:val="0"/>
                                                                              <w:marRight w:val="0"/>
                                                                              <w:marTop w:val="0"/>
                                                                              <w:marBottom w:val="0"/>
                                                                              <w:divBdr>
                                                                                <w:top w:val="none" w:sz="0" w:space="0" w:color="auto"/>
                                                                                <w:left w:val="none" w:sz="0" w:space="0" w:color="auto"/>
                                                                                <w:bottom w:val="none" w:sz="0" w:space="0" w:color="auto"/>
                                                                                <w:right w:val="none" w:sz="0" w:space="0" w:color="auto"/>
                                                                              </w:divBdr>
                                                                              <w:divsChild>
                                                                                <w:div w:id="84425778">
                                                                                  <w:marLeft w:val="0"/>
                                                                                  <w:marRight w:val="0"/>
                                                                                  <w:marTop w:val="0"/>
                                                                                  <w:marBottom w:val="0"/>
                                                                                  <w:divBdr>
                                                                                    <w:top w:val="none" w:sz="0" w:space="0" w:color="auto"/>
                                                                                    <w:left w:val="none" w:sz="0" w:space="0" w:color="auto"/>
                                                                                    <w:bottom w:val="none" w:sz="0" w:space="0" w:color="auto"/>
                                                                                    <w:right w:val="none" w:sz="0" w:space="0" w:color="auto"/>
                                                                                  </w:divBdr>
                                                                                  <w:divsChild>
                                                                                    <w:div w:id="469174369">
                                                                                      <w:marLeft w:val="0"/>
                                                                                      <w:marRight w:val="0"/>
                                                                                      <w:marTop w:val="0"/>
                                                                                      <w:marBottom w:val="0"/>
                                                                                      <w:divBdr>
                                                                                        <w:top w:val="none" w:sz="0" w:space="0" w:color="auto"/>
                                                                                        <w:left w:val="none" w:sz="0" w:space="0" w:color="auto"/>
                                                                                        <w:bottom w:val="none" w:sz="0" w:space="0" w:color="auto"/>
                                                                                        <w:right w:val="none" w:sz="0" w:space="0" w:color="auto"/>
                                                                                      </w:divBdr>
                                                                                      <w:divsChild>
                                                                                        <w:div w:id="1509322895">
                                                                                          <w:marLeft w:val="0"/>
                                                                                          <w:marRight w:val="0"/>
                                                                                          <w:marTop w:val="0"/>
                                                                                          <w:marBottom w:val="0"/>
                                                                                          <w:divBdr>
                                                                                            <w:top w:val="none" w:sz="0" w:space="0" w:color="auto"/>
                                                                                            <w:left w:val="none" w:sz="0" w:space="0" w:color="auto"/>
                                                                                            <w:bottom w:val="none" w:sz="0" w:space="0" w:color="auto"/>
                                                                                            <w:right w:val="none" w:sz="0" w:space="0" w:color="auto"/>
                                                                                          </w:divBdr>
                                                                                        </w:div>
                                                                                        <w:div w:id="1522547937">
                                                                                          <w:marLeft w:val="0"/>
                                                                                          <w:marRight w:val="0"/>
                                                                                          <w:marTop w:val="0"/>
                                                                                          <w:marBottom w:val="0"/>
                                                                                          <w:divBdr>
                                                                                            <w:top w:val="none" w:sz="0" w:space="0" w:color="auto"/>
                                                                                            <w:left w:val="none" w:sz="0" w:space="0" w:color="auto"/>
                                                                                            <w:bottom w:val="none" w:sz="0" w:space="0" w:color="auto"/>
                                                                                            <w:right w:val="none" w:sz="0" w:space="0" w:color="auto"/>
                                                                                          </w:divBdr>
                                                                                          <w:divsChild>
                                                                                            <w:div w:id="784688711">
                                                                                              <w:marLeft w:val="0"/>
                                                                                              <w:marRight w:val="0"/>
                                                                                              <w:marTop w:val="0"/>
                                                                                              <w:marBottom w:val="0"/>
                                                                                              <w:divBdr>
                                                                                                <w:top w:val="none" w:sz="0" w:space="0" w:color="auto"/>
                                                                                                <w:left w:val="none" w:sz="0" w:space="0" w:color="auto"/>
                                                                                                <w:bottom w:val="none" w:sz="0" w:space="0" w:color="auto"/>
                                                                                                <w:right w:val="none" w:sz="0" w:space="0" w:color="auto"/>
                                                                                              </w:divBdr>
                                                                                              <w:divsChild>
                                                                                                <w:div w:id="670721372">
                                                                                                  <w:marLeft w:val="0"/>
                                                                                                  <w:marRight w:val="0"/>
                                                                                                  <w:marTop w:val="0"/>
                                                                                                  <w:marBottom w:val="0"/>
                                                                                                  <w:divBdr>
                                                                                                    <w:top w:val="none" w:sz="0" w:space="0" w:color="auto"/>
                                                                                                    <w:left w:val="none" w:sz="0" w:space="0" w:color="auto"/>
                                                                                                    <w:bottom w:val="none" w:sz="0" w:space="0" w:color="auto"/>
                                                                                                    <w:right w:val="none" w:sz="0" w:space="0" w:color="auto"/>
                                                                                                  </w:divBdr>
                                                                                                  <w:divsChild>
                                                                                                    <w:div w:id="1092818468">
                                                                                                      <w:marLeft w:val="0"/>
                                                                                                      <w:marRight w:val="0"/>
                                                                                                      <w:marTop w:val="0"/>
                                                                                                      <w:marBottom w:val="0"/>
                                                                                                      <w:divBdr>
                                                                                                        <w:top w:val="none" w:sz="0" w:space="0" w:color="auto"/>
                                                                                                        <w:left w:val="none" w:sz="0" w:space="0" w:color="auto"/>
                                                                                                        <w:bottom w:val="none" w:sz="0" w:space="0" w:color="auto"/>
                                                                                                        <w:right w:val="none" w:sz="0" w:space="0" w:color="auto"/>
                                                                                                      </w:divBdr>
                                                                                                    </w:div>
                                                                                                    <w:div w:id="1925140921">
                                                                                                      <w:marLeft w:val="0"/>
                                                                                                      <w:marRight w:val="0"/>
                                                                                                      <w:marTop w:val="0"/>
                                                                                                      <w:marBottom w:val="0"/>
                                                                                                      <w:divBdr>
                                                                                                        <w:top w:val="none" w:sz="0" w:space="0" w:color="auto"/>
                                                                                                        <w:left w:val="none" w:sz="0" w:space="0" w:color="auto"/>
                                                                                                        <w:bottom w:val="none" w:sz="0" w:space="0" w:color="auto"/>
                                                                                                        <w:right w:val="none" w:sz="0" w:space="0" w:color="auto"/>
                                                                                                      </w:divBdr>
                                                                                                    </w:div>
                                                                                                    <w:div w:id="10953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1987778">
      <w:bodyDiv w:val="1"/>
      <w:marLeft w:val="0"/>
      <w:marRight w:val="0"/>
      <w:marTop w:val="0"/>
      <w:marBottom w:val="0"/>
      <w:divBdr>
        <w:top w:val="none" w:sz="0" w:space="0" w:color="auto"/>
        <w:left w:val="none" w:sz="0" w:space="0" w:color="auto"/>
        <w:bottom w:val="none" w:sz="0" w:space="0" w:color="auto"/>
        <w:right w:val="none" w:sz="0" w:space="0" w:color="auto"/>
      </w:divBdr>
      <w:divsChild>
        <w:div w:id="661546836">
          <w:marLeft w:val="0"/>
          <w:marRight w:val="0"/>
          <w:marTop w:val="0"/>
          <w:marBottom w:val="0"/>
          <w:divBdr>
            <w:top w:val="none" w:sz="0" w:space="0" w:color="auto"/>
            <w:left w:val="none" w:sz="0" w:space="0" w:color="auto"/>
            <w:bottom w:val="none" w:sz="0" w:space="0" w:color="auto"/>
            <w:right w:val="none" w:sz="0" w:space="0" w:color="auto"/>
          </w:divBdr>
          <w:divsChild>
            <w:div w:id="886911708">
              <w:marLeft w:val="0"/>
              <w:marRight w:val="0"/>
              <w:marTop w:val="0"/>
              <w:marBottom w:val="0"/>
              <w:divBdr>
                <w:top w:val="none" w:sz="0" w:space="0" w:color="auto"/>
                <w:left w:val="none" w:sz="0" w:space="0" w:color="auto"/>
                <w:bottom w:val="none" w:sz="0" w:space="0" w:color="auto"/>
                <w:right w:val="none" w:sz="0" w:space="0" w:color="auto"/>
              </w:divBdr>
              <w:divsChild>
                <w:div w:id="1268997795">
                  <w:marLeft w:val="0"/>
                  <w:marRight w:val="0"/>
                  <w:marTop w:val="0"/>
                  <w:marBottom w:val="0"/>
                  <w:divBdr>
                    <w:top w:val="none" w:sz="0" w:space="0" w:color="auto"/>
                    <w:left w:val="none" w:sz="0" w:space="0" w:color="auto"/>
                    <w:bottom w:val="none" w:sz="0" w:space="0" w:color="auto"/>
                    <w:right w:val="none" w:sz="0" w:space="0" w:color="auto"/>
                  </w:divBdr>
                  <w:divsChild>
                    <w:div w:id="329918132">
                      <w:marLeft w:val="0"/>
                      <w:marRight w:val="0"/>
                      <w:marTop w:val="0"/>
                      <w:marBottom w:val="0"/>
                      <w:divBdr>
                        <w:top w:val="none" w:sz="0" w:space="0" w:color="auto"/>
                        <w:left w:val="none" w:sz="0" w:space="0" w:color="auto"/>
                        <w:bottom w:val="none" w:sz="0" w:space="0" w:color="auto"/>
                        <w:right w:val="none" w:sz="0" w:space="0" w:color="auto"/>
                      </w:divBdr>
                      <w:divsChild>
                        <w:div w:id="2126847629">
                          <w:marLeft w:val="2700"/>
                          <w:marRight w:val="3960"/>
                          <w:marTop w:val="0"/>
                          <w:marBottom w:val="0"/>
                          <w:divBdr>
                            <w:top w:val="none" w:sz="0" w:space="0" w:color="auto"/>
                            <w:left w:val="none" w:sz="0" w:space="0" w:color="auto"/>
                            <w:bottom w:val="none" w:sz="0" w:space="0" w:color="auto"/>
                            <w:right w:val="none" w:sz="0" w:space="0" w:color="auto"/>
                          </w:divBdr>
                          <w:divsChild>
                            <w:div w:id="2110857028">
                              <w:marLeft w:val="0"/>
                              <w:marRight w:val="0"/>
                              <w:marTop w:val="0"/>
                              <w:marBottom w:val="0"/>
                              <w:divBdr>
                                <w:top w:val="none" w:sz="0" w:space="0" w:color="auto"/>
                                <w:left w:val="none" w:sz="0" w:space="0" w:color="auto"/>
                                <w:bottom w:val="none" w:sz="0" w:space="0" w:color="auto"/>
                                <w:right w:val="none" w:sz="0" w:space="0" w:color="auto"/>
                              </w:divBdr>
                              <w:divsChild>
                                <w:div w:id="166528080">
                                  <w:marLeft w:val="0"/>
                                  <w:marRight w:val="0"/>
                                  <w:marTop w:val="0"/>
                                  <w:marBottom w:val="0"/>
                                  <w:divBdr>
                                    <w:top w:val="none" w:sz="0" w:space="0" w:color="auto"/>
                                    <w:left w:val="none" w:sz="0" w:space="0" w:color="auto"/>
                                    <w:bottom w:val="none" w:sz="0" w:space="0" w:color="auto"/>
                                    <w:right w:val="none" w:sz="0" w:space="0" w:color="auto"/>
                                  </w:divBdr>
                                  <w:divsChild>
                                    <w:div w:id="502207533">
                                      <w:marLeft w:val="0"/>
                                      <w:marRight w:val="0"/>
                                      <w:marTop w:val="0"/>
                                      <w:marBottom w:val="0"/>
                                      <w:divBdr>
                                        <w:top w:val="none" w:sz="0" w:space="0" w:color="auto"/>
                                        <w:left w:val="none" w:sz="0" w:space="0" w:color="auto"/>
                                        <w:bottom w:val="none" w:sz="0" w:space="0" w:color="auto"/>
                                        <w:right w:val="none" w:sz="0" w:space="0" w:color="auto"/>
                                      </w:divBdr>
                                      <w:divsChild>
                                        <w:div w:id="1248612772">
                                          <w:marLeft w:val="0"/>
                                          <w:marRight w:val="0"/>
                                          <w:marTop w:val="90"/>
                                          <w:marBottom w:val="0"/>
                                          <w:divBdr>
                                            <w:top w:val="none" w:sz="0" w:space="0" w:color="auto"/>
                                            <w:left w:val="none" w:sz="0" w:space="0" w:color="auto"/>
                                            <w:bottom w:val="none" w:sz="0" w:space="0" w:color="auto"/>
                                            <w:right w:val="none" w:sz="0" w:space="0" w:color="auto"/>
                                          </w:divBdr>
                                          <w:divsChild>
                                            <w:div w:id="218790742">
                                              <w:marLeft w:val="0"/>
                                              <w:marRight w:val="0"/>
                                              <w:marTop w:val="0"/>
                                              <w:marBottom w:val="420"/>
                                              <w:divBdr>
                                                <w:top w:val="none" w:sz="0" w:space="0" w:color="auto"/>
                                                <w:left w:val="none" w:sz="0" w:space="0" w:color="auto"/>
                                                <w:bottom w:val="none" w:sz="0" w:space="0" w:color="auto"/>
                                                <w:right w:val="none" w:sz="0" w:space="0" w:color="auto"/>
                                              </w:divBdr>
                                              <w:divsChild>
                                                <w:div w:id="1448965655">
                                                  <w:marLeft w:val="0"/>
                                                  <w:marRight w:val="0"/>
                                                  <w:marTop w:val="0"/>
                                                  <w:marBottom w:val="0"/>
                                                  <w:divBdr>
                                                    <w:top w:val="none" w:sz="0" w:space="0" w:color="auto"/>
                                                    <w:left w:val="none" w:sz="0" w:space="0" w:color="auto"/>
                                                    <w:bottom w:val="none" w:sz="0" w:space="0" w:color="auto"/>
                                                    <w:right w:val="none" w:sz="0" w:space="0" w:color="auto"/>
                                                  </w:divBdr>
                                                  <w:divsChild>
                                                    <w:div w:id="629867179">
                                                      <w:marLeft w:val="0"/>
                                                      <w:marRight w:val="0"/>
                                                      <w:marTop w:val="0"/>
                                                      <w:marBottom w:val="0"/>
                                                      <w:divBdr>
                                                        <w:top w:val="single" w:sz="6" w:space="0" w:color="DFE1E5"/>
                                                        <w:left w:val="single" w:sz="6" w:space="0" w:color="DFE1E5"/>
                                                        <w:bottom w:val="single" w:sz="6" w:space="0" w:color="DFE1E5"/>
                                                        <w:right w:val="single" w:sz="6" w:space="0" w:color="DFE1E5"/>
                                                      </w:divBdr>
                                                      <w:divsChild>
                                                        <w:div w:id="1466965105">
                                                          <w:marLeft w:val="0"/>
                                                          <w:marRight w:val="0"/>
                                                          <w:marTop w:val="0"/>
                                                          <w:marBottom w:val="0"/>
                                                          <w:divBdr>
                                                            <w:top w:val="none" w:sz="0" w:space="0" w:color="auto"/>
                                                            <w:left w:val="none" w:sz="0" w:space="0" w:color="auto"/>
                                                            <w:bottom w:val="none" w:sz="0" w:space="0" w:color="auto"/>
                                                            <w:right w:val="none" w:sz="0" w:space="0" w:color="auto"/>
                                                          </w:divBdr>
                                                          <w:divsChild>
                                                            <w:div w:id="608582055">
                                                              <w:marLeft w:val="0"/>
                                                              <w:marRight w:val="0"/>
                                                              <w:marTop w:val="0"/>
                                                              <w:marBottom w:val="0"/>
                                                              <w:divBdr>
                                                                <w:top w:val="none" w:sz="0" w:space="0" w:color="auto"/>
                                                                <w:left w:val="none" w:sz="0" w:space="0" w:color="auto"/>
                                                                <w:bottom w:val="none" w:sz="0" w:space="0" w:color="auto"/>
                                                                <w:right w:val="none" w:sz="0" w:space="0" w:color="auto"/>
                                                              </w:divBdr>
                                                              <w:divsChild>
                                                                <w:div w:id="379280972">
                                                                  <w:marLeft w:val="0"/>
                                                                  <w:marRight w:val="0"/>
                                                                  <w:marTop w:val="0"/>
                                                                  <w:marBottom w:val="0"/>
                                                                  <w:divBdr>
                                                                    <w:top w:val="none" w:sz="0" w:space="0" w:color="auto"/>
                                                                    <w:left w:val="none" w:sz="0" w:space="0" w:color="auto"/>
                                                                    <w:bottom w:val="none" w:sz="0" w:space="0" w:color="auto"/>
                                                                    <w:right w:val="none" w:sz="0" w:space="0" w:color="auto"/>
                                                                  </w:divBdr>
                                                                  <w:divsChild>
                                                                    <w:div w:id="2110420997">
                                                                      <w:marLeft w:val="0"/>
                                                                      <w:marRight w:val="0"/>
                                                                      <w:marTop w:val="0"/>
                                                                      <w:marBottom w:val="0"/>
                                                                      <w:divBdr>
                                                                        <w:top w:val="none" w:sz="0" w:space="0" w:color="auto"/>
                                                                        <w:left w:val="none" w:sz="0" w:space="0" w:color="auto"/>
                                                                        <w:bottom w:val="none" w:sz="0" w:space="0" w:color="auto"/>
                                                                        <w:right w:val="none" w:sz="0" w:space="0" w:color="auto"/>
                                                                      </w:divBdr>
                                                                      <w:divsChild>
                                                                        <w:div w:id="1451970712">
                                                                          <w:marLeft w:val="0"/>
                                                                          <w:marRight w:val="0"/>
                                                                          <w:marTop w:val="0"/>
                                                                          <w:marBottom w:val="0"/>
                                                                          <w:divBdr>
                                                                            <w:top w:val="none" w:sz="0" w:space="0" w:color="auto"/>
                                                                            <w:left w:val="none" w:sz="0" w:space="0" w:color="auto"/>
                                                                            <w:bottom w:val="none" w:sz="0" w:space="0" w:color="auto"/>
                                                                            <w:right w:val="none" w:sz="0" w:space="0" w:color="auto"/>
                                                                          </w:divBdr>
                                                                          <w:divsChild>
                                                                            <w:div w:id="1101684715">
                                                                              <w:marLeft w:val="0"/>
                                                                              <w:marRight w:val="0"/>
                                                                              <w:marTop w:val="0"/>
                                                                              <w:marBottom w:val="0"/>
                                                                              <w:divBdr>
                                                                                <w:top w:val="none" w:sz="0" w:space="0" w:color="auto"/>
                                                                                <w:left w:val="none" w:sz="0" w:space="0" w:color="auto"/>
                                                                                <w:bottom w:val="none" w:sz="0" w:space="0" w:color="auto"/>
                                                                                <w:right w:val="none" w:sz="0" w:space="0" w:color="auto"/>
                                                                              </w:divBdr>
                                                                              <w:divsChild>
                                                                                <w:div w:id="952053469">
                                                                                  <w:marLeft w:val="0"/>
                                                                                  <w:marRight w:val="0"/>
                                                                                  <w:marTop w:val="0"/>
                                                                                  <w:marBottom w:val="0"/>
                                                                                  <w:divBdr>
                                                                                    <w:top w:val="none" w:sz="0" w:space="0" w:color="auto"/>
                                                                                    <w:left w:val="none" w:sz="0" w:space="0" w:color="auto"/>
                                                                                    <w:bottom w:val="none" w:sz="0" w:space="0" w:color="auto"/>
                                                                                    <w:right w:val="none" w:sz="0" w:space="0" w:color="auto"/>
                                                                                  </w:divBdr>
                                                                                </w:div>
                                                                                <w:div w:id="784080730">
                                                                                  <w:marLeft w:val="0"/>
                                                                                  <w:marRight w:val="0"/>
                                                                                  <w:marTop w:val="0"/>
                                                                                  <w:marBottom w:val="0"/>
                                                                                  <w:divBdr>
                                                                                    <w:top w:val="none" w:sz="0" w:space="0" w:color="auto"/>
                                                                                    <w:left w:val="none" w:sz="0" w:space="0" w:color="auto"/>
                                                                                    <w:bottom w:val="none" w:sz="0" w:space="0" w:color="auto"/>
                                                                                    <w:right w:val="none" w:sz="0" w:space="0" w:color="auto"/>
                                                                                  </w:divBdr>
                                                                                  <w:divsChild>
                                                                                    <w:div w:id="248005728">
                                                                                      <w:marLeft w:val="0"/>
                                                                                      <w:marRight w:val="0"/>
                                                                                      <w:marTop w:val="0"/>
                                                                                      <w:marBottom w:val="0"/>
                                                                                      <w:divBdr>
                                                                                        <w:top w:val="none" w:sz="0" w:space="0" w:color="auto"/>
                                                                                        <w:left w:val="none" w:sz="0" w:space="0" w:color="auto"/>
                                                                                        <w:bottom w:val="none" w:sz="0" w:space="0" w:color="auto"/>
                                                                                        <w:right w:val="none" w:sz="0" w:space="0" w:color="auto"/>
                                                                                      </w:divBdr>
                                                                                      <w:divsChild>
                                                                                        <w:div w:id="186215275">
                                                                                          <w:marLeft w:val="0"/>
                                                                                          <w:marRight w:val="0"/>
                                                                                          <w:marTop w:val="0"/>
                                                                                          <w:marBottom w:val="0"/>
                                                                                          <w:divBdr>
                                                                                            <w:top w:val="none" w:sz="0" w:space="0" w:color="auto"/>
                                                                                            <w:left w:val="none" w:sz="0" w:space="0" w:color="auto"/>
                                                                                            <w:bottom w:val="none" w:sz="0" w:space="0" w:color="auto"/>
                                                                                            <w:right w:val="none" w:sz="0" w:space="0" w:color="auto"/>
                                                                                          </w:divBdr>
                                                                                          <w:divsChild>
                                                                                            <w:div w:id="1776634958">
                                                                                              <w:marLeft w:val="0"/>
                                                                                              <w:marRight w:val="0"/>
                                                                                              <w:marTop w:val="0"/>
                                                                                              <w:marBottom w:val="0"/>
                                                                                              <w:divBdr>
                                                                                                <w:top w:val="none" w:sz="0" w:space="0" w:color="auto"/>
                                                                                                <w:left w:val="none" w:sz="0" w:space="0" w:color="auto"/>
                                                                                                <w:bottom w:val="none" w:sz="0" w:space="0" w:color="auto"/>
                                                                                                <w:right w:val="none" w:sz="0" w:space="0" w:color="auto"/>
                                                                                              </w:divBdr>
                                                                                            </w:div>
                                                                                            <w:div w:id="15041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6022831">
      <w:bodyDiv w:val="1"/>
      <w:marLeft w:val="0"/>
      <w:marRight w:val="0"/>
      <w:marTop w:val="0"/>
      <w:marBottom w:val="0"/>
      <w:divBdr>
        <w:top w:val="none" w:sz="0" w:space="0" w:color="auto"/>
        <w:left w:val="none" w:sz="0" w:space="0" w:color="auto"/>
        <w:bottom w:val="none" w:sz="0" w:space="0" w:color="auto"/>
        <w:right w:val="none" w:sz="0" w:space="0" w:color="auto"/>
      </w:divBdr>
      <w:divsChild>
        <w:div w:id="1759011528">
          <w:marLeft w:val="0"/>
          <w:marRight w:val="0"/>
          <w:marTop w:val="0"/>
          <w:marBottom w:val="0"/>
          <w:divBdr>
            <w:top w:val="none" w:sz="0" w:space="0" w:color="auto"/>
            <w:left w:val="none" w:sz="0" w:space="0" w:color="auto"/>
            <w:bottom w:val="none" w:sz="0" w:space="0" w:color="auto"/>
            <w:right w:val="none" w:sz="0" w:space="0" w:color="auto"/>
          </w:divBdr>
          <w:divsChild>
            <w:div w:id="1296788590">
              <w:marLeft w:val="0"/>
              <w:marRight w:val="0"/>
              <w:marTop w:val="0"/>
              <w:marBottom w:val="0"/>
              <w:divBdr>
                <w:top w:val="none" w:sz="0" w:space="0" w:color="auto"/>
                <w:left w:val="none" w:sz="0" w:space="0" w:color="auto"/>
                <w:bottom w:val="none" w:sz="0" w:space="0" w:color="auto"/>
                <w:right w:val="none" w:sz="0" w:space="0" w:color="auto"/>
              </w:divBdr>
              <w:divsChild>
                <w:div w:id="1784768394">
                  <w:marLeft w:val="0"/>
                  <w:marRight w:val="0"/>
                  <w:marTop w:val="0"/>
                  <w:marBottom w:val="0"/>
                  <w:divBdr>
                    <w:top w:val="none" w:sz="0" w:space="0" w:color="auto"/>
                    <w:left w:val="none" w:sz="0" w:space="0" w:color="auto"/>
                    <w:bottom w:val="none" w:sz="0" w:space="0" w:color="auto"/>
                    <w:right w:val="none" w:sz="0" w:space="0" w:color="auto"/>
                  </w:divBdr>
                  <w:divsChild>
                    <w:div w:id="1736854292">
                      <w:marLeft w:val="0"/>
                      <w:marRight w:val="0"/>
                      <w:marTop w:val="0"/>
                      <w:marBottom w:val="0"/>
                      <w:divBdr>
                        <w:top w:val="none" w:sz="0" w:space="0" w:color="auto"/>
                        <w:left w:val="none" w:sz="0" w:space="0" w:color="auto"/>
                        <w:bottom w:val="none" w:sz="0" w:space="0" w:color="auto"/>
                        <w:right w:val="none" w:sz="0" w:space="0" w:color="auto"/>
                      </w:divBdr>
                      <w:divsChild>
                        <w:div w:id="162014360">
                          <w:marLeft w:val="2700"/>
                          <w:marRight w:val="3960"/>
                          <w:marTop w:val="0"/>
                          <w:marBottom w:val="0"/>
                          <w:divBdr>
                            <w:top w:val="none" w:sz="0" w:space="0" w:color="auto"/>
                            <w:left w:val="none" w:sz="0" w:space="0" w:color="auto"/>
                            <w:bottom w:val="none" w:sz="0" w:space="0" w:color="auto"/>
                            <w:right w:val="none" w:sz="0" w:space="0" w:color="auto"/>
                          </w:divBdr>
                          <w:divsChild>
                            <w:div w:id="1273367840">
                              <w:marLeft w:val="0"/>
                              <w:marRight w:val="0"/>
                              <w:marTop w:val="0"/>
                              <w:marBottom w:val="0"/>
                              <w:divBdr>
                                <w:top w:val="none" w:sz="0" w:space="0" w:color="auto"/>
                                <w:left w:val="none" w:sz="0" w:space="0" w:color="auto"/>
                                <w:bottom w:val="none" w:sz="0" w:space="0" w:color="auto"/>
                                <w:right w:val="none" w:sz="0" w:space="0" w:color="auto"/>
                              </w:divBdr>
                              <w:divsChild>
                                <w:div w:id="852493488">
                                  <w:marLeft w:val="0"/>
                                  <w:marRight w:val="0"/>
                                  <w:marTop w:val="0"/>
                                  <w:marBottom w:val="0"/>
                                  <w:divBdr>
                                    <w:top w:val="none" w:sz="0" w:space="0" w:color="auto"/>
                                    <w:left w:val="none" w:sz="0" w:space="0" w:color="auto"/>
                                    <w:bottom w:val="none" w:sz="0" w:space="0" w:color="auto"/>
                                    <w:right w:val="none" w:sz="0" w:space="0" w:color="auto"/>
                                  </w:divBdr>
                                  <w:divsChild>
                                    <w:div w:id="1301888799">
                                      <w:marLeft w:val="0"/>
                                      <w:marRight w:val="0"/>
                                      <w:marTop w:val="0"/>
                                      <w:marBottom w:val="0"/>
                                      <w:divBdr>
                                        <w:top w:val="none" w:sz="0" w:space="0" w:color="auto"/>
                                        <w:left w:val="none" w:sz="0" w:space="0" w:color="auto"/>
                                        <w:bottom w:val="none" w:sz="0" w:space="0" w:color="auto"/>
                                        <w:right w:val="none" w:sz="0" w:space="0" w:color="auto"/>
                                      </w:divBdr>
                                      <w:divsChild>
                                        <w:div w:id="1220247389">
                                          <w:marLeft w:val="0"/>
                                          <w:marRight w:val="0"/>
                                          <w:marTop w:val="90"/>
                                          <w:marBottom w:val="0"/>
                                          <w:divBdr>
                                            <w:top w:val="none" w:sz="0" w:space="0" w:color="auto"/>
                                            <w:left w:val="none" w:sz="0" w:space="0" w:color="auto"/>
                                            <w:bottom w:val="none" w:sz="0" w:space="0" w:color="auto"/>
                                            <w:right w:val="none" w:sz="0" w:space="0" w:color="auto"/>
                                          </w:divBdr>
                                          <w:divsChild>
                                            <w:div w:id="494760006">
                                              <w:marLeft w:val="0"/>
                                              <w:marRight w:val="0"/>
                                              <w:marTop w:val="0"/>
                                              <w:marBottom w:val="420"/>
                                              <w:divBdr>
                                                <w:top w:val="none" w:sz="0" w:space="0" w:color="auto"/>
                                                <w:left w:val="none" w:sz="0" w:space="0" w:color="auto"/>
                                                <w:bottom w:val="none" w:sz="0" w:space="0" w:color="auto"/>
                                                <w:right w:val="none" w:sz="0" w:space="0" w:color="auto"/>
                                              </w:divBdr>
                                              <w:divsChild>
                                                <w:div w:id="1824815734">
                                                  <w:marLeft w:val="0"/>
                                                  <w:marRight w:val="0"/>
                                                  <w:marTop w:val="0"/>
                                                  <w:marBottom w:val="0"/>
                                                  <w:divBdr>
                                                    <w:top w:val="none" w:sz="0" w:space="0" w:color="auto"/>
                                                    <w:left w:val="none" w:sz="0" w:space="0" w:color="auto"/>
                                                    <w:bottom w:val="none" w:sz="0" w:space="0" w:color="auto"/>
                                                    <w:right w:val="none" w:sz="0" w:space="0" w:color="auto"/>
                                                  </w:divBdr>
                                                  <w:divsChild>
                                                    <w:div w:id="1077481603">
                                                      <w:marLeft w:val="0"/>
                                                      <w:marRight w:val="0"/>
                                                      <w:marTop w:val="0"/>
                                                      <w:marBottom w:val="0"/>
                                                      <w:divBdr>
                                                        <w:top w:val="single" w:sz="6" w:space="0" w:color="DFE1E5"/>
                                                        <w:left w:val="single" w:sz="6" w:space="0" w:color="DFE1E5"/>
                                                        <w:bottom w:val="single" w:sz="6" w:space="0" w:color="DFE1E5"/>
                                                        <w:right w:val="single" w:sz="6" w:space="0" w:color="DFE1E5"/>
                                                      </w:divBdr>
                                                      <w:divsChild>
                                                        <w:div w:id="426312732">
                                                          <w:marLeft w:val="0"/>
                                                          <w:marRight w:val="0"/>
                                                          <w:marTop w:val="0"/>
                                                          <w:marBottom w:val="0"/>
                                                          <w:divBdr>
                                                            <w:top w:val="none" w:sz="0" w:space="0" w:color="auto"/>
                                                            <w:left w:val="none" w:sz="0" w:space="0" w:color="auto"/>
                                                            <w:bottom w:val="none" w:sz="0" w:space="0" w:color="auto"/>
                                                            <w:right w:val="none" w:sz="0" w:space="0" w:color="auto"/>
                                                          </w:divBdr>
                                                          <w:divsChild>
                                                            <w:div w:id="1743406769">
                                                              <w:marLeft w:val="0"/>
                                                              <w:marRight w:val="0"/>
                                                              <w:marTop w:val="0"/>
                                                              <w:marBottom w:val="0"/>
                                                              <w:divBdr>
                                                                <w:top w:val="none" w:sz="0" w:space="0" w:color="auto"/>
                                                                <w:left w:val="none" w:sz="0" w:space="0" w:color="auto"/>
                                                                <w:bottom w:val="none" w:sz="0" w:space="0" w:color="auto"/>
                                                                <w:right w:val="none" w:sz="0" w:space="0" w:color="auto"/>
                                                              </w:divBdr>
                                                              <w:divsChild>
                                                                <w:div w:id="560479666">
                                                                  <w:marLeft w:val="0"/>
                                                                  <w:marRight w:val="0"/>
                                                                  <w:marTop w:val="0"/>
                                                                  <w:marBottom w:val="0"/>
                                                                  <w:divBdr>
                                                                    <w:top w:val="none" w:sz="0" w:space="0" w:color="auto"/>
                                                                    <w:left w:val="none" w:sz="0" w:space="0" w:color="auto"/>
                                                                    <w:bottom w:val="none" w:sz="0" w:space="0" w:color="auto"/>
                                                                    <w:right w:val="none" w:sz="0" w:space="0" w:color="auto"/>
                                                                  </w:divBdr>
                                                                  <w:divsChild>
                                                                    <w:div w:id="40860104">
                                                                      <w:marLeft w:val="0"/>
                                                                      <w:marRight w:val="0"/>
                                                                      <w:marTop w:val="0"/>
                                                                      <w:marBottom w:val="0"/>
                                                                      <w:divBdr>
                                                                        <w:top w:val="none" w:sz="0" w:space="0" w:color="auto"/>
                                                                        <w:left w:val="none" w:sz="0" w:space="0" w:color="auto"/>
                                                                        <w:bottom w:val="none" w:sz="0" w:space="0" w:color="auto"/>
                                                                        <w:right w:val="none" w:sz="0" w:space="0" w:color="auto"/>
                                                                      </w:divBdr>
                                                                      <w:divsChild>
                                                                        <w:div w:id="2016760050">
                                                                          <w:marLeft w:val="0"/>
                                                                          <w:marRight w:val="0"/>
                                                                          <w:marTop w:val="0"/>
                                                                          <w:marBottom w:val="0"/>
                                                                          <w:divBdr>
                                                                            <w:top w:val="none" w:sz="0" w:space="0" w:color="auto"/>
                                                                            <w:left w:val="none" w:sz="0" w:space="0" w:color="auto"/>
                                                                            <w:bottom w:val="none" w:sz="0" w:space="0" w:color="auto"/>
                                                                            <w:right w:val="none" w:sz="0" w:space="0" w:color="auto"/>
                                                                          </w:divBdr>
                                                                          <w:divsChild>
                                                                            <w:div w:id="633633493">
                                                                              <w:marLeft w:val="0"/>
                                                                              <w:marRight w:val="0"/>
                                                                              <w:marTop w:val="0"/>
                                                                              <w:marBottom w:val="0"/>
                                                                              <w:divBdr>
                                                                                <w:top w:val="none" w:sz="0" w:space="0" w:color="auto"/>
                                                                                <w:left w:val="none" w:sz="0" w:space="0" w:color="auto"/>
                                                                                <w:bottom w:val="none" w:sz="0" w:space="0" w:color="auto"/>
                                                                                <w:right w:val="none" w:sz="0" w:space="0" w:color="auto"/>
                                                                              </w:divBdr>
                                                                              <w:divsChild>
                                                                                <w:div w:id="930046932">
                                                                                  <w:marLeft w:val="0"/>
                                                                                  <w:marRight w:val="0"/>
                                                                                  <w:marTop w:val="0"/>
                                                                                  <w:marBottom w:val="0"/>
                                                                                  <w:divBdr>
                                                                                    <w:top w:val="none" w:sz="0" w:space="0" w:color="auto"/>
                                                                                    <w:left w:val="none" w:sz="0" w:space="0" w:color="auto"/>
                                                                                    <w:bottom w:val="none" w:sz="0" w:space="0" w:color="auto"/>
                                                                                    <w:right w:val="none" w:sz="0" w:space="0" w:color="auto"/>
                                                                                  </w:divBdr>
                                                                                </w:div>
                                                                                <w:div w:id="805977447">
                                                                                  <w:marLeft w:val="0"/>
                                                                                  <w:marRight w:val="0"/>
                                                                                  <w:marTop w:val="0"/>
                                                                                  <w:marBottom w:val="0"/>
                                                                                  <w:divBdr>
                                                                                    <w:top w:val="none" w:sz="0" w:space="0" w:color="auto"/>
                                                                                    <w:left w:val="none" w:sz="0" w:space="0" w:color="auto"/>
                                                                                    <w:bottom w:val="none" w:sz="0" w:space="0" w:color="auto"/>
                                                                                    <w:right w:val="none" w:sz="0" w:space="0" w:color="auto"/>
                                                                                  </w:divBdr>
                                                                                  <w:divsChild>
                                                                                    <w:div w:id="1849520988">
                                                                                      <w:marLeft w:val="0"/>
                                                                                      <w:marRight w:val="0"/>
                                                                                      <w:marTop w:val="0"/>
                                                                                      <w:marBottom w:val="0"/>
                                                                                      <w:divBdr>
                                                                                        <w:top w:val="none" w:sz="0" w:space="0" w:color="auto"/>
                                                                                        <w:left w:val="none" w:sz="0" w:space="0" w:color="auto"/>
                                                                                        <w:bottom w:val="none" w:sz="0" w:space="0" w:color="auto"/>
                                                                                        <w:right w:val="none" w:sz="0" w:space="0" w:color="auto"/>
                                                                                      </w:divBdr>
                                                                                      <w:divsChild>
                                                                                        <w:div w:id="945163521">
                                                                                          <w:marLeft w:val="0"/>
                                                                                          <w:marRight w:val="0"/>
                                                                                          <w:marTop w:val="0"/>
                                                                                          <w:marBottom w:val="0"/>
                                                                                          <w:divBdr>
                                                                                            <w:top w:val="none" w:sz="0" w:space="0" w:color="auto"/>
                                                                                            <w:left w:val="none" w:sz="0" w:space="0" w:color="auto"/>
                                                                                            <w:bottom w:val="none" w:sz="0" w:space="0" w:color="auto"/>
                                                                                            <w:right w:val="none" w:sz="0" w:space="0" w:color="auto"/>
                                                                                          </w:divBdr>
                                                                                          <w:divsChild>
                                                                                            <w:div w:id="1476950437">
                                                                                              <w:marLeft w:val="0"/>
                                                                                              <w:marRight w:val="0"/>
                                                                                              <w:marTop w:val="0"/>
                                                                                              <w:marBottom w:val="0"/>
                                                                                              <w:divBdr>
                                                                                                <w:top w:val="none" w:sz="0" w:space="0" w:color="auto"/>
                                                                                                <w:left w:val="none" w:sz="0" w:space="0" w:color="auto"/>
                                                                                                <w:bottom w:val="none" w:sz="0" w:space="0" w:color="auto"/>
                                                                                                <w:right w:val="none" w:sz="0" w:space="0" w:color="auto"/>
                                                                                              </w:divBdr>
                                                                                            </w:div>
                                                                                            <w:div w:id="146114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4917346">
      <w:bodyDiv w:val="1"/>
      <w:marLeft w:val="0"/>
      <w:marRight w:val="0"/>
      <w:marTop w:val="0"/>
      <w:marBottom w:val="0"/>
      <w:divBdr>
        <w:top w:val="none" w:sz="0" w:space="0" w:color="auto"/>
        <w:left w:val="none" w:sz="0" w:space="0" w:color="auto"/>
        <w:bottom w:val="none" w:sz="0" w:space="0" w:color="auto"/>
        <w:right w:val="none" w:sz="0" w:space="0" w:color="auto"/>
      </w:divBdr>
      <w:divsChild>
        <w:div w:id="142966574">
          <w:marLeft w:val="0"/>
          <w:marRight w:val="0"/>
          <w:marTop w:val="0"/>
          <w:marBottom w:val="0"/>
          <w:divBdr>
            <w:top w:val="none" w:sz="0" w:space="0" w:color="auto"/>
            <w:left w:val="none" w:sz="0" w:space="0" w:color="auto"/>
            <w:bottom w:val="none" w:sz="0" w:space="0" w:color="auto"/>
            <w:right w:val="none" w:sz="0" w:space="0" w:color="auto"/>
          </w:divBdr>
          <w:divsChild>
            <w:div w:id="659314591">
              <w:marLeft w:val="0"/>
              <w:marRight w:val="0"/>
              <w:marTop w:val="0"/>
              <w:marBottom w:val="0"/>
              <w:divBdr>
                <w:top w:val="none" w:sz="0" w:space="0" w:color="auto"/>
                <w:left w:val="none" w:sz="0" w:space="0" w:color="auto"/>
                <w:bottom w:val="none" w:sz="0" w:space="0" w:color="auto"/>
                <w:right w:val="none" w:sz="0" w:space="0" w:color="auto"/>
              </w:divBdr>
              <w:divsChild>
                <w:div w:id="878594461">
                  <w:marLeft w:val="0"/>
                  <w:marRight w:val="0"/>
                  <w:marTop w:val="0"/>
                  <w:marBottom w:val="0"/>
                  <w:divBdr>
                    <w:top w:val="none" w:sz="0" w:space="0" w:color="auto"/>
                    <w:left w:val="none" w:sz="0" w:space="0" w:color="auto"/>
                    <w:bottom w:val="none" w:sz="0" w:space="0" w:color="auto"/>
                    <w:right w:val="none" w:sz="0" w:space="0" w:color="auto"/>
                  </w:divBdr>
                  <w:divsChild>
                    <w:div w:id="478159285">
                      <w:marLeft w:val="0"/>
                      <w:marRight w:val="0"/>
                      <w:marTop w:val="0"/>
                      <w:marBottom w:val="0"/>
                      <w:divBdr>
                        <w:top w:val="none" w:sz="0" w:space="0" w:color="auto"/>
                        <w:left w:val="none" w:sz="0" w:space="0" w:color="auto"/>
                        <w:bottom w:val="none" w:sz="0" w:space="0" w:color="auto"/>
                        <w:right w:val="none" w:sz="0" w:space="0" w:color="auto"/>
                      </w:divBdr>
                      <w:divsChild>
                        <w:div w:id="418259047">
                          <w:marLeft w:val="2700"/>
                          <w:marRight w:val="3960"/>
                          <w:marTop w:val="0"/>
                          <w:marBottom w:val="0"/>
                          <w:divBdr>
                            <w:top w:val="none" w:sz="0" w:space="0" w:color="auto"/>
                            <w:left w:val="none" w:sz="0" w:space="0" w:color="auto"/>
                            <w:bottom w:val="none" w:sz="0" w:space="0" w:color="auto"/>
                            <w:right w:val="none" w:sz="0" w:space="0" w:color="auto"/>
                          </w:divBdr>
                          <w:divsChild>
                            <w:div w:id="835416212">
                              <w:marLeft w:val="0"/>
                              <w:marRight w:val="0"/>
                              <w:marTop w:val="0"/>
                              <w:marBottom w:val="0"/>
                              <w:divBdr>
                                <w:top w:val="none" w:sz="0" w:space="0" w:color="auto"/>
                                <w:left w:val="none" w:sz="0" w:space="0" w:color="auto"/>
                                <w:bottom w:val="none" w:sz="0" w:space="0" w:color="auto"/>
                                <w:right w:val="none" w:sz="0" w:space="0" w:color="auto"/>
                              </w:divBdr>
                              <w:divsChild>
                                <w:div w:id="13656502">
                                  <w:marLeft w:val="0"/>
                                  <w:marRight w:val="0"/>
                                  <w:marTop w:val="0"/>
                                  <w:marBottom w:val="0"/>
                                  <w:divBdr>
                                    <w:top w:val="none" w:sz="0" w:space="0" w:color="auto"/>
                                    <w:left w:val="none" w:sz="0" w:space="0" w:color="auto"/>
                                    <w:bottom w:val="none" w:sz="0" w:space="0" w:color="auto"/>
                                    <w:right w:val="none" w:sz="0" w:space="0" w:color="auto"/>
                                  </w:divBdr>
                                  <w:divsChild>
                                    <w:div w:id="772625117">
                                      <w:marLeft w:val="0"/>
                                      <w:marRight w:val="0"/>
                                      <w:marTop w:val="0"/>
                                      <w:marBottom w:val="0"/>
                                      <w:divBdr>
                                        <w:top w:val="none" w:sz="0" w:space="0" w:color="auto"/>
                                        <w:left w:val="none" w:sz="0" w:space="0" w:color="auto"/>
                                        <w:bottom w:val="none" w:sz="0" w:space="0" w:color="auto"/>
                                        <w:right w:val="none" w:sz="0" w:space="0" w:color="auto"/>
                                      </w:divBdr>
                                      <w:divsChild>
                                        <w:div w:id="1388451059">
                                          <w:marLeft w:val="0"/>
                                          <w:marRight w:val="0"/>
                                          <w:marTop w:val="90"/>
                                          <w:marBottom w:val="0"/>
                                          <w:divBdr>
                                            <w:top w:val="none" w:sz="0" w:space="0" w:color="auto"/>
                                            <w:left w:val="none" w:sz="0" w:space="0" w:color="auto"/>
                                            <w:bottom w:val="none" w:sz="0" w:space="0" w:color="auto"/>
                                            <w:right w:val="none" w:sz="0" w:space="0" w:color="auto"/>
                                          </w:divBdr>
                                          <w:divsChild>
                                            <w:div w:id="1422412971">
                                              <w:marLeft w:val="0"/>
                                              <w:marRight w:val="0"/>
                                              <w:marTop w:val="0"/>
                                              <w:marBottom w:val="420"/>
                                              <w:divBdr>
                                                <w:top w:val="none" w:sz="0" w:space="0" w:color="auto"/>
                                                <w:left w:val="none" w:sz="0" w:space="0" w:color="auto"/>
                                                <w:bottom w:val="none" w:sz="0" w:space="0" w:color="auto"/>
                                                <w:right w:val="none" w:sz="0" w:space="0" w:color="auto"/>
                                              </w:divBdr>
                                              <w:divsChild>
                                                <w:div w:id="1605962425">
                                                  <w:marLeft w:val="0"/>
                                                  <w:marRight w:val="0"/>
                                                  <w:marTop w:val="0"/>
                                                  <w:marBottom w:val="0"/>
                                                  <w:divBdr>
                                                    <w:top w:val="none" w:sz="0" w:space="0" w:color="auto"/>
                                                    <w:left w:val="none" w:sz="0" w:space="0" w:color="auto"/>
                                                    <w:bottom w:val="none" w:sz="0" w:space="0" w:color="auto"/>
                                                    <w:right w:val="none" w:sz="0" w:space="0" w:color="auto"/>
                                                  </w:divBdr>
                                                  <w:divsChild>
                                                    <w:div w:id="20788694">
                                                      <w:marLeft w:val="0"/>
                                                      <w:marRight w:val="0"/>
                                                      <w:marTop w:val="0"/>
                                                      <w:marBottom w:val="0"/>
                                                      <w:divBdr>
                                                        <w:top w:val="single" w:sz="6" w:space="0" w:color="DFE1E5"/>
                                                        <w:left w:val="single" w:sz="6" w:space="0" w:color="DFE1E5"/>
                                                        <w:bottom w:val="single" w:sz="6" w:space="0" w:color="DFE1E5"/>
                                                        <w:right w:val="single" w:sz="6" w:space="0" w:color="DFE1E5"/>
                                                      </w:divBdr>
                                                      <w:divsChild>
                                                        <w:div w:id="1712070048">
                                                          <w:marLeft w:val="0"/>
                                                          <w:marRight w:val="0"/>
                                                          <w:marTop w:val="0"/>
                                                          <w:marBottom w:val="0"/>
                                                          <w:divBdr>
                                                            <w:top w:val="none" w:sz="0" w:space="0" w:color="auto"/>
                                                            <w:left w:val="none" w:sz="0" w:space="0" w:color="auto"/>
                                                            <w:bottom w:val="none" w:sz="0" w:space="0" w:color="auto"/>
                                                            <w:right w:val="none" w:sz="0" w:space="0" w:color="auto"/>
                                                          </w:divBdr>
                                                          <w:divsChild>
                                                            <w:div w:id="1289312255">
                                                              <w:marLeft w:val="0"/>
                                                              <w:marRight w:val="0"/>
                                                              <w:marTop w:val="0"/>
                                                              <w:marBottom w:val="0"/>
                                                              <w:divBdr>
                                                                <w:top w:val="none" w:sz="0" w:space="0" w:color="auto"/>
                                                                <w:left w:val="none" w:sz="0" w:space="0" w:color="auto"/>
                                                                <w:bottom w:val="none" w:sz="0" w:space="0" w:color="auto"/>
                                                                <w:right w:val="none" w:sz="0" w:space="0" w:color="auto"/>
                                                              </w:divBdr>
                                                              <w:divsChild>
                                                                <w:div w:id="446891878">
                                                                  <w:marLeft w:val="0"/>
                                                                  <w:marRight w:val="0"/>
                                                                  <w:marTop w:val="0"/>
                                                                  <w:marBottom w:val="0"/>
                                                                  <w:divBdr>
                                                                    <w:top w:val="none" w:sz="0" w:space="0" w:color="auto"/>
                                                                    <w:left w:val="none" w:sz="0" w:space="0" w:color="auto"/>
                                                                    <w:bottom w:val="none" w:sz="0" w:space="0" w:color="auto"/>
                                                                    <w:right w:val="none" w:sz="0" w:space="0" w:color="auto"/>
                                                                  </w:divBdr>
                                                                  <w:divsChild>
                                                                    <w:div w:id="181669749">
                                                                      <w:marLeft w:val="0"/>
                                                                      <w:marRight w:val="0"/>
                                                                      <w:marTop w:val="0"/>
                                                                      <w:marBottom w:val="0"/>
                                                                      <w:divBdr>
                                                                        <w:top w:val="none" w:sz="0" w:space="0" w:color="auto"/>
                                                                        <w:left w:val="none" w:sz="0" w:space="0" w:color="auto"/>
                                                                        <w:bottom w:val="none" w:sz="0" w:space="0" w:color="auto"/>
                                                                        <w:right w:val="none" w:sz="0" w:space="0" w:color="auto"/>
                                                                      </w:divBdr>
                                                                      <w:divsChild>
                                                                        <w:div w:id="1206060102">
                                                                          <w:marLeft w:val="0"/>
                                                                          <w:marRight w:val="0"/>
                                                                          <w:marTop w:val="0"/>
                                                                          <w:marBottom w:val="0"/>
                                                                          <w:divBdr>
                                                                            <w:top w:val="none" w:sz="0" w:space="0" w:color="auto"/>
                                                                            <w:left w:val="none" w:sz="0" w:space="0" w:color="auto"/>
                                                                            <w:bottom w:val="none" w:sz="0" w:space="0" w:color="auto"/>
                                                                            <w:right w:val="none" w:sz="0" w:space="0" w:color="auto"/>
                                                                          </w:divBdr>
                                                                          <w:divsChild>
                                                                            <w:div w:id="103159588">
                                                                              <w:marLeft w:val="0"/>
                                                                              <w:marRight w:val="0"/>
                                                                              <w:marTop w:val="0"/>
                                                                              <w:marBottom w:val="0"/>
                                                                              <w:divBdr>
                                                                                <w:top w:val="none" w:sz="0" w:space="0" w:color="auto"/>
                                                                                <w:left w:val="none" w:sz="0" w:space="0" w:color="auto"/>
                                                                                <w:bottom w:val="none" w:sz="0" w:space="0" w:color="auto"/>
                                                                                <w:right w:val="none" w:sz="0" w:space="0" w:color="auto"/>
                                                                              </w:divBdr>
                                                                              <w:divsChild>
                                                                                <w:div w:id="1428884690">
                                                                                  <w:marLeft w:val="0"/>
                                                                                  <w:marRight w:val="0"/>
                                                                                  <w:marTop w:val="0"/>
                                                                                  <w:marBottom w:val="0"/>
                                                                                  <w:divBdr>
                                                                                    <w:top w:val="none" w:sz="0" w:space="0" w:color="auto"/>
                                                                                    <w:left w:val="none" w:sz="0" w:space="0" w:color="auto"/>
                                                                                    <w:bottom w:val="none" w:sz="0" w:space="0" w:color="auto"/>
                                                                                    <w:right w:val="none" w:sz="0" w:space="0" w:color="auto"/>
                                                                                  </w:divBdr>
                                                                                </w:div>
                                                                                <w:div w:id="1886870584">
                                                                                  <w:marLeft w:val="0"/>
                                                                                  <w:marRight w:val="0"/>
                                                                                  <w:marTop w:val="0"/>
                                                                                  <w:marBottom w:val="0"/>
                                                                                  <w:divBdr>
                                                                                    <w:top w:val="none" w:sz="0" w:space="0" w:color="auto"/>
                                                                                    <w:left w:val="none" w:sz="0" w:space="0" w:color="auto"/>
                                                                                    <w:bottom w:val="none" w:sz="0" w:space="0" w:color="auto"/>
                                                                                    <w:right w:val="none" w:sz="0" w:space="0" w:color="auto"/>
                                                                                  </w:divBdr>
                                                                                  <w:divsChild>
                                                                                    <w:div w:id="349531497">
                                                                                      <w:marLeft w:val="0"/>
                                                                                      <w:marRight w:val="0"/>
                                                                                      <w:marTop w:val="0"/>
                                                                                      <w:marBottom w:val="0"/>
                                                                                      <w:divBdr>
                                                                                        <w:top w:val="none" w:sz="0" w:space="0" w:color="auto"/>
                                                                                        <w:left w:val="none" w:sz="0" w:space="0" w:color="auto"/>
                                                                                        <w:bottom w:val="none" w:sz="0" w:space="0" w:color="auto"/>
                                                                                        <w:right w:val="none" w:sz="0" w:space="0" w:color="auto"/>
                                                                                      </w:divBdr>
                                                                                      <w:divsChild>
                                                                                        <w:div w:id="171453146">
                                                                                          <w:marLeft w:val="0"/>
                                                                                          <w:marRight w:val="0"/>
                                                                                          <w:marTop w:val="0"/>
                                                                                          <w:marBottom w:val="0"/>
                                                                                          <w:divBdr>
                                                                                            <w:top w:val="none" w:sz="0" w:space="0" w:color="auto"/>
                                                                                            <w:left w:val="none" w:sz="0" w:space="0" w:color="auto"/>
                                                                                            <w:bottom w:val="none" w:sz="0" w:space="0" w:color="auto"/>
                                                                                            <w:right w:val="none" w:sz="0" w:space="0" w:color="auto"/>
                                                                                          </w:divBdr>
                                                                                          <w:divsChild>
                                                                                            <w:div w:id="1534348361">
                                                                                              <w:marLeft w:val="0"/>
                                                                                              <w:marRight w:val="0"/>
                                                                                              <w:marTop w:val="0"/>
                                                                                              <w:marBottom w:val="0"/>
                                                                                              <w:divBdr>
                                                                                                <w:top w:val="none" w:sz="0" w:space="0" w:color="auto"/>
                                                                                                <w:left w:val="none" w:sz="0" w:space="0" w:color="auto"/>
                                                                                                <w:bottom w:val="none" w:sz="0" w:space="0" w:color="auto"/>
                                                                                                <w:right w:val="none" w:sz="0" w:space="0" w:color="auto"/>
                                                                                              </w:divBdr>
                                                                                            </w:div>
                                                                                            <w:div w:id="43629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sChild>
        <w:div w:id="711425728">
          <w:marLeft w:val="0"/>
          <w:marRight w:val="0"/>
          <w:marTop w:val="0"/>
          <w:marBottom w:val="0"/>
          <w:divBdr>
            <w:top w:val="none" w:sz="0" w:space="0" w:color="auto"/>
            <w:left w:val="none" w:sz="0" w:space="0" w:color="auto"/>
            <w:bottom w:val="none" w:sz="0" w:space="0" w:color="auto"/>
            <w:right w:val="none" w:sz="0" w:space="0" w:color="auto"/>
          </w:divBdr>
          <w:divsChild>
            <w:div w:id="155459864">
              <w:marLeft w:val="0"/>
              <w:marRight w:val="0"/>
              <w:marTop w:val="0"/>
              <w:marBottom w:val="0"/>
              <w:divBdr>
                <w:top w:val="none" w:sz="0" w:space="0" w:color="auto"/>
                <w:left w:val="none" w:sz="0" w:space="0" w:color="auto"/>
                <w:bottom w:val="none" w:sz="0" w:space="0" w:color="auto"/>
                <w:right w:val="none" w:sz="0" w:space="0" w:color="auto"/>
              </w:divBdr>
              <w:divsChild>
                <w:div w:id="1526092212">
                  <w:marLeft w:val="0"/>
                  <w:marRight w:val="0"/>
                  <w:marTop w:val="0"/>
                  <w:marBottom w:val="0"/>
                  <w:divBdr>
                    <w:top w:val="none" w:sz="0" w:space="0" w:color="auto"/>
                    <w:left w:val="none" w:sz="0" w:space="0" w:color="auto"/>
                    <w:bottom w:val="none" w:sz="0" w:space="0" w:color="auto"/>
                    <w:right w:val="none" w:sz="0" w:space="0" w:color="auto"/>
                  </w:divBdr>
                  <w:divsChild>
                    <w:div w:id="2018144133">
                      <w:marLeft w:val="0"/>
                      <w:marRight w:val="0"/>
                      <w:marTop w:val="0"/>
                      <w:marBottom w:val="0"/>
                      <w:divBdr>
                        <w:top w:val="none" w:sz="0" w:space="0" w:color="auto"/>
                        <w:left w:val="none" w:sz="0" w:space="0" w:color="auto"/>
                        <w:bottom w:val="none" w:sz="0" w:space="0" w:color="auto"/>
                        <w:right w:val="none" w:sz="0" w:space="0" w:color="auto"/>
                      </w:divBdr>
                      <w:divsChild>
                        <w:div w:id="807556338">
                          <w:marLeft w:val="0"/>
                          <w:marRight w:val="0"/>
                          <w:marTop w:val="0"/>
                          <w:marBottom w:val="0"/>
                          <w:divBdr>
                            <w:top w:val="none" w:sz="0" w:space="0" w:color="auto"/>
                            <w:left w:val="none" w:sz="0" w:space="0" w:color="auto"/>
                            <w:bottom w:val="none" w:sz="0" w:space="0" w:color="auto"/>
                            <w:right w:val="none" w:sz="0" w:space="0" w:color="auto"/>
                          </w:divBdr>
                          <w:divsChild>
                            <w:div w:id="707995825">
                              <w:marLeft w:val="2700"/>
                              <w:marRight w:val="3960"/>
                              <w:marTop w:val="0"/>
                              <w:marBottom w:val="0"/>
                              <w:divBdr>
                                <w:top w:val="none" w:sz="0" w:space="0" w:color="auto"/>
                                <w:left w:val="none" w:sz="0" w:space="0" w:color="auto"/>
                                <w:bottom w:val="none" w:sz="0" w:space="0" w:color="auto"/>
                                <w:right w:val="none" w:sz="0" w:space="0" w:color="auto"/>
                              </w:divBdr>
                              <w:divsChild>
                                <w:div w:id="409741279">
                                  <w:marLeft w:val="0"/>
                                  <w:marRight w:val="0"/>
                                  <w:marTop w:val="0"/>
                                  <w:marBottom w:val="0"/>
                                  <w:divBdr>
                                    <w:top w:val="none" w:sz="0" w:space="0" w:color="auto"/>
                                    <w:left w:val="none" w:sz="0" w:space="0" w:color="auto"/>
                                    <w:bottom w:val="none" w:sz="0" w:space="0" w:color="auto"/>
                                    <w:right w:val="none" w:sz="0" w:space="0" w:color="auto"/>
                                  </w:divBdr>
                                  <w:divsChild>
                                    <w:div w:id="1798647261">
                                      <w:marLeft w:val="0"/>
                                      <w:marRight w:val="0"/>
                                      <w:marTop w:val="0"/>
                                      <w:marBottom w:val="0"/>
                                      <w:divBdr>
                                        <w:top w:val="none" w:sz="0" w:space="0" w:color="auto"/>
                                        <w:left w:val="none" w:sz="0" w:space="0" w:color="auto"/>
                                        <w:bottom w:val="none" w:sz="0" w:space="0" w:color="auto"/>
                                        <w:right w:val="none" w:sz="0" w:space="0" w:color="auto"/>
                                      </w:divBdr>
                                      <w:divsChild>
                                        <w:div w:id="381639129">
                                          <w:marLeft w:val="0"/>
                                          <w:marRight w:val="0"/>
                                          <w:marTop w:val="0"/>
                                          <w:marBottom w:val="0"/>
                                          <w:divBdr>
                                            <w:top w:val="none" w:sz="0" w:space="0" w:color="auto"/>
                                            <w:left w:val="none" w:sz="0" w:space="0" w:color="auto"/>
                                            <w:bottom w:val="none" w:sz="0" w:space="0" w:color="auto"/>
                                            <w:right w:val="none" w:sz="0" w:space="0" w:color="auto"/>
                                          </w:divBdr>
                                          <w:divsChild>
                                            <w:div w:id="1221677052">
                                              <w:marLeft w:val="0"/>
                                              <w:marRight w:val="0"/>
                                              <w:marTop w:val="90"/>
                                              <w:marBottom w:val="0"/>
                                              <w:divBdr>
                                                <w:top w:val="none" w:sz="0" w:space="0" w:color="auto"/>
                                                <w:left w:val="none" w:sz="0" w:space="0" w:color="auto"/>
                                                <w:bottom w:val="none" w:sz="0" w:space="0" w:color="auto"/>
                                                <w:right w:val="none" w:sz="0" w:space="0" w:color="auto"/>
                                              </w:divBdr>
                                              <w:divsChild>
                                                <w:div w:id="1664550063">
                                                  <w:marLeft w:val="0"/>
                                                  <w:marRight w:val="0"/>
                                                  <w:marTop w:val="0"/>
                                                  <w:marBottom w:val="420"/>
                                                  <w:divBdr>
                                                    <w:top w:val="none" w:sz="0" w:space="0" w:color="auto"/>
                                                    <w:left w:val="none" w:sz="0" w:space="0" w:color="auto"/>
                                                    <w:bottom w:val="none" w:sz="0" w:space="0" w:color="auto"/>
                                                    <w:right w:val="none" w:sz="0" w:space="0" w:color="auto"/>
                                                  </w:divBdr>
                                                  <w:divsChild>
                                                    <w:div w:id="1801412070">
                                                      <w:marLeft w:val="0"/>
                                                      <w:marRight w:val="0"/>
                                                      <w:marTop w:val="0"/>
                                                      <w:marBottom w:val="0"/>
                                                      <w:divBdr>
                                                        <w:top w:val="none" w:sz="0" w:space="0" w:color="auto"/>
                                                        <w:left w:val="none" w:sz="0" w:space="0" w:color="auto"/>
                                                        <w:bottom w:val="none" w:sz="0" w:space="0" w:color="auto"/>
                                                        <w:right w:val="none" w:sz="0" w:space="0" w:color="auto"/>
                                                      </w:divBdr>
                                                      <w:divsChild>
                                                        <w:div w:id="1196113113">
                                                          <w:marLeft w:val="0"/>
                                                          <w:marRight w:val="0"/>
                                                          <w:marTop w:val="0"/>
                                                          <w:marBottom w:val="0"/>
                                                          <w:divBdr>
                                                            <w:top w:val="single" w:sz="6" w:space="0" w:color="DFE1E5"/>
                                                            <w:left w:val="single" w:sz="6" w:space="0" w:color="DFE1E5"/>
                                                            <w:bottom w:val="single" w:sz="6" w:space="0" w:color="DFE1E5"/>
                                                            <w:right w:val="single" w:sz="6" w:space="0" w:color="DFE1E5"/>
                                                          </w:divBdr>
                                                          <w:divsChild>
                                                            <w:div w:id="68314514">
                                                              <w:marLeft w:val="0"/>
                                                              <w:marRight w:val="0"/>
                                                              <w:marTop w:val="0"/>
                                                              <w:marBottom w:val="0"/>
                                                              <w:divBdr>
                                                                <w:top w:val="none" w:sz="0" w:space="0" w:color="auto"/>
                                                                <w:left w:val="none" w:sz="0" w:space="0" w:color="auto"/>
                                                                <w:bottom w:val="none" w:sz="0" w:space="0" w:color="auto"/>
                                                                <w:right w:val="none" w:sz="0" w:space="0" w:color="auto"/>
                                                              </w:divBdr>
                                                              <w:divsChild>
                                                                <w:div w:id="1736196277">
                                                                  <w:marLeft w:val="0"/>
                                                                  <w:marRight w:val="0"/>
                                                                  <w:marTop w:val="0"/>
                                                                  <w:marBottom w:val="0"/>
                                                                  <w:divBdr>
                                                                    <w:top w:val="none" w:sz="0" w:space="0" w:color="auto"/>
                                                                    <w:left w:val="none" w:sz="0" w:space="0" w:color="auto"/>
                                                                    <w:bottom w:val="none" w:sz="0" w:space="0" w:color="auto"/>
                                                                    <w:right w:val="none" w:sz="0" w:space="0" w:color="auto"/>
                                                                  </w:divBdr>
                                                                  <w:divsChild>
                                                                    <w:div w:id="1546600962">
                                                                      <w:marLeft w:val="0"/>
                                                                      <w:marRight w:val="0"/>
                                                                      <w:marTop w:val="0"/>
                                                                      <w:marBottom w:val="0"/>
                                                                      <w:divBdr>
                                                                        <w:top w:val="none" w:sz="0" w:space="0" w:color="auto"/>
                                                                        <w:left w:val="none" w:sz="0" w:space="0" w:color="auto"/>
                                                                        <w:bottom w:val="none" w:sz="0" w:space="0" w:color="auto"/>
                                                                        <w:right w:val="none" w:sz="0" w:space="0" w:color="auto"/>
                                                                      </w:divBdr>
                                                                      <w:divsChild>
                                                                        <w:div w:id="204803659">
                                                                          <w:marLeft w:val="0"/>
                                                                          <w:marRight w:val="0"/>
                                                                          <w:marTop w:val="0"/>
                                                                          <w:marBottom w:val="0"/>
                                                                          <w:divBdr>
                                                                            <w:top w:val="none" w:sz="0" w:space="0" w:color="auto"/>
                                                                            <w:left w:val="none" w:sz="0" w:space="0" w:color="auto"/>
                                                                            <w:bottom w:val="none" w:sz="0" w:space="0" w:color="auto"/>
                                                                            <w:right w:val="none" w:sz="0" w:space="0" w:color="auto"/>
                                                                          </w:divBdr>
                                                                          <w:divsChild>
                                                                            <w:div w:id="2050181222">
                                                                              <w:marLeft w:val="0"/>
                                                                              <w:marRight w:val="0"/>
                                                                              <w:marTop w:val="0"/>
                                                                              <w:marBottom w:val="0"/>
                                                                              <w:divBdr>
                                                                                <w:top w:val="none" w:sz="0" w:space="0" w:color="auto"/>
                                                                                <w:left w:val="none" w:sz="0" w:space="0" w:color="auto"/>
                                                                                <w:bottom w:val="none" w:sz="0" w:space="0" w:color="auto"/>
                                                                                <w:right w:val="none" w:sz="0" w:space="0" w:color="auto"/>
                                                                              </w:divBdr>
                                                                              <w:divsChild>
                                                                                <w:div w:id="247623154">
                                                                                  <w:marLeft w:val="0"/>
                                                                                  <w:marRight w:val="0"/>
                                                                                  <w:marTop w:val="0"/>
                                                                                  <w:marBottom w:val="0"/>
                                                                                  <w:divBdr>
                                                                                    <w:top w:val="none" w:sz="0" w:space="0" w:color="auto"/>
                                                                                    <w:left w:val="none" w:sz="0" w:space="0" w:color="auto"/>
                                                                                    <w:bottom w:val="none" w:sz="0" w:space="0" w:color="auto"/>
                                                                                    <w:right w:val="none" w:sz="0" w:space="0" w:color="auto"/>
                                                                                  </w:divBdr>
                                                                                  <w:divsChild>
                                                                                    <w:div w:id="822239066">
                                                                                      <w:marLeft w:val="0"/>
                                                                                      <w:marRight w:val="0"/>
                                                                                      <w:marTop w:val="0"/>
                                                                                      <w:marBottom w:val="0"/>
                                                                                      <w:divBdr>
                                                                                        <w:top w:val="none" w:sz="0" w:space="0" w:color="auto"/>
                                                                                        <w:left w:val="none" w:sz="0" w:space="0" w:color="auto"/>
                                                                                        <w:bottom w:val="none" w:sz="0" w:space="0" w:color="auto"/>
                                                                                        <w:right w:val="none" w:sz="0" w:space="0" w:color="auto"/>
                                                                                      </w:divBdr>
                                                                                    </w:div>
                                                                                    <w:div w:id="982083415">
                                                                                      <w:marLeft w:val="0"/>
                                                                                      <w:marRight w:val="0"/>
                                                                                      <w:marTop w:val="0"/>
                                                                                      <w:marBottom w:val="0"/>
                                                                                      <w:divBdr>
                                                                                        <w:top w:val="none" w:sz="0" w:space="0" w:color="auto"/>
                                                                                        <w:left w:val="none" w:sz="0" w:space="0" w:color="auto"/>
                                                                                        <w:bottom w:val="none" w:sz="0" w:space="0" w:color="auto"/>
                                                                                        <w:right w:val="none" w:sz="0" w:space="0" w:color="auto"/>
                                                                                      </w:divBdr>
                                                                                      <w:divsChild>
                                                                                        <w:div w:id="248850089">
                                                                                          <w:marLeft w:val="0"/>
                                                                                          <w:marRight w:val="0"/>
                                                                                          <w:marTop w:val="0"/>
                                                                                          <w:marBottom w:val="0"/>
                                                                                          <w:divBdr>
                                                                                            <w:top w:val="none" w:sz="0" w:space="0" w:color="auto"/>
                                                                                            <w:left w:val="none" w:sz="0" w:space="0" w:color="auto"/>
                                                                                            <w:bottom w:val="none" w:sz="0" w:space="0" w:color="auto"/>
                                                                                            <w:right w:val="none" w:sz="0" w:space="0" w:color="auto"/>
                                                                                          </w:divBdr>
                                                                                          <w:divsChild>
                                                                                            <w:div w:id="1285119917">
                                                                                              <w:marLeft w:val="0"/>
                                                                                              <w:marRight w:val="0"/>
                                                                                              <w:marTop w:val="0"/>
                                                                                              <w:marBottom w:val="0"/>
                                                                                              <w:divBdr>
                                                                                                <w:top w:val="none" w:sz="0" w:space="0" w:color="auto"/>
                                                                                                <w:left w:val="none" w:sz="0" w:space="0" w:color="auto"/>
                                                                                                <w:bottom w:val="none" w:sz="0" w:space="0" w:color="auto"/>
                                                                                                <w:right w:val="none" w:sz="0" w:space="0" w:color="auto"/>
                                                                                              </w:divBdr>
                                                                                              <w:divsChild>
                                                                                                <w:div w:id="351031306">
                                                                                                  <w:marLeft w:val="0"/>
                                                                                                  <w:marRight w:val="0"/>
                                                                                                  <w:marTop w:val="0"/>
                                                                                                  <w:marBottom w:val="0"/>
                                                                                                  <w:divBdr>
                                                                                                    <w:top w:val="none" w:sz="0" w:space="0" w:color="auto"/>
                                                                                                    <w:left w:val="none" w:sz="0" w:space="0" w:color="auto"/>
                                                                                                    <w:bottom w:val="none" w:sz="0" w:space="0" w:color="auto"/>
                                                                                                    <w:right w:val="none" w:sz="0" w:space="0" w:color="auto"/>
                                                                                                  </w:divBdr>
                                                                                                </w:div>
                                                                                                <w:div w:id="767969276">
                                                                                                  <w:marLeft w:val="0"/>
                                                                                                  <w:marRight w:val="0"/>
                                                                                                  <w:marTop w:val="0"/>
                                                                                                  <w:marBottom w:val="0"/>
                                                                                                  <w:divBdr>
                                                                                                    <w:top w:val="none" w:sz="0" w:space="0" w:color="auto"/>
                                                                                                    <w:left w:val="none" w:sz="0" w:space="0" w:color="auto"/>
                                                                                                    <w:bottom w:val="none" w:sz="0" w:space="0" w:color="auto"/>
                                                                                                    <w:right w:val="none" w:sz="0" w:space="0" w:color="auto"/>
                                                                                                  </w:divBdr>
                                                                                                </w:div>
                                                                                                <w:div w:id="81094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6000370">
      <w:bodyDiv w:val="1"/>
      <w:marLeft w:val="0"/>
      <w:marRight w:val="0"/>
      <w:marTop w:val="0"/>
      <w:marBottom w:val="0"/>
      <w:divBdr>
        <w:top w:val="none" w:sz="0" w:space="0" w:color="auto"/>
        <w:left w:val="none" w:sz="0" w:space="0" w:color="auto"/>
        <w:bottom w:val="none" w:sz="0" w:space="0" w:color="auto"/>
        <w:right w:val="none" w:sz="0" w:space="0" w:color="auto"/>
      </w:divBdr>
      <w:divsChild>
        <w:div w:id="1694064281">
          <w:marLeft w:val="0"/>
          <w:marRight w:val="0"/>
          <w:marTop w:val="0"/>
          <w:marBottom w:val="0"/>
          <w:divBdr>
            <w:top w:val="none" w:sz="0" w:space="0" w:color="auto"/>
            <w:left w:val="none" w:sz="0" w:space="0" w:color="auto"/>
            <w:bottom w:val="none" w:sz="0" w:space="0" w:color="auto"/>
            <w:right w:val="none" w:sz="0" w:space="0" w:color="auto"/>
          </w:divBdr>
          <w:divsChild>
            <w:div w:id="36975375">
              <w:marLeft w:val="0"/>
              <w:marRight w:val="0"/>
              <w:marTop w:val="0"/>
              <w:marBottom w:val="0"/>
              <w:divBdr>
                <w:top w:val="none" w:sz="0" w:space="0" w:color="auto"/>
                <w:left w:val="none" w:sz="0" w:space="0" w:color="auto"/>
                <w:bottom w:val="none" w:sz="0" w:space="0" w:color="auto"/>
                <w:right w:val="none" w:sz="0" w:space="0" w:color="auto"/>
              </w:divBdr>
              <w:divsChild>
                <w:div w:id="1942178448">
                  <w:marLeft w:val="0"/>
                  <w:marRight w:val="0"/>
                  <w:marTop w:val="0"/>
                  <w:marBottom w:val="0"/>
                  <w:divBdr>
                    <w:top w:val="none" w:sz="0" w:space="0" w:color="auto"/>
                    <w:left w:val="none" w:sz="0" w:space="0" w:color="auto"/>
                    <w:bottom w:val="none" w:sz="0" w:space="0" w:color="auto"/>
                    <w:right w:val="none" w:sz="0" w:space="0" w:color="auto"/>
                  </w:divBdr>
                  <w:divsChild>
                    <w:div w:id="1139762920">
                      <w:marLeft w:val="0"/>
                      <w:marRight w:val="0"/>
                      <w:marTop w:val="0"/>
                      <w:marBottom w:val="0"/>
                      <w:divBdr>
                        <w:top w:val="none" w:sz="0" w:space="0" w:color="auto"/>
                        <w:left w:val="none" w:sz="0" w:space="0" w:color="auto"/>
                        <w:bottom w:val="none" w:sz="0" w:space="0" w:color="auto"/>
                        <w:right w:val="none" w:sz="0" w:space="0" w:color="auto"/>
                      </w:divBdr>
                      <w:divsChild>
                        <w:div w:id="109130110">
                          <w:marLeft w:val="0"/>
                          <w:marRight w:val="0"/>
                          <w:marTop w:val="0"/>
                          <w:marBottom w:val="0"/>
                          <w:divBdr>
                            <w:top w:val="none" w:sz="0" w:space="0" w:color="auto"/>
                            <w:left w:val="none" w:sz="0" w:space="0" w:color="auto"/>
                            <w:bottom w:val="none" w:sz="0" w:space="0" w:color="auto"/>
                            <w:right w:val="none" w:sz="0" w:space="0" w:color="auto"/>
                          </w:divBdr>
                          <w:divsChild>
                            <w:div w:id="979384884">
                              <w:marLeft w:val="2700"/>
                              <w:marRight w:val="3960"/>
                              <w:marTop w:val="0"/>
                              <w:marBottom w:val="0"/>
                              <w:divBdr>
                                <w:top w:val="none" w:sz="0" w:space="0" w:color="auto"/>
                                <w:left w:val="none" w:sz="0" w:space="0" w:color="auto"/>
                                <w:bottom w:val="none" w:sz="0" w:space="0" w:color="auto"/>
                                <w:right w:val="none" w:sz="0" w:space="0" w:color="auto"/>
                              </w:divBdr>
                              <w:divsChild>
                                <w:div w:id="873661532">
                                  <w:marLeft w:val="0"/>
                                  <w:marRight w:val="0"/>
                                  <w:marTop w:val="0"/>
                                  <w:marBottom w:val="0"/>
                                  <w:divBdr>
                                    <w:top w:val="none" w:sz="0" w:space="0" w:color="auto"/>
                                    <w:left w:val="none" w:sz="0" w:space="0" w:color="auto"/>
                                    <w:bottom w:val="none" w:sz="0" w:space="0" w:color="auto"/>
                                    <w:right w:val="none" w:sz="0" w:space="0" w:color="auto"/>
                                  </w:divBdr>
                                  <w:divsChild>
                                    <w:div w:id="914587378">
                                      <w:marLeft w:val="0"/>
                                      <w:marRight w:val="0"/>
                                      <w:marTop w:val="0"/>
                                      <w:marBottom w:val="0"/>
                                      <w:divBdr>
                                        <w:top w:val="none" w:sz="0" w:space="0" w:color="auto"/>
                                        <w:left w:val="none" w:sz="0" w:space="0" w:color="auto"/>
                                        <w:bottom w:val="none" w:sz="0" w:space="0" w:color="auto"/>
                                        <w:right w:val="none" w:sz="0" w:space="0" w:color="auto"/>
                                      </w:divBdr>
                                      <w:divsChild>
                                        <w:div w:id="2142914383">
                                          <w:marLeft w:val="0"/>
                                          <w:marRight w:val="0"/>
                                          <w:marTop w:val="0"/>
                                          <w:marBottom w:val="0"/>
                                          <w:divBdr>
                                            <w:top w:val="none" w:sz="0" w:space="0" w:color="auto"/>
                                            <w:left w:val="none" w:sz="0" w:space="0" w:color="auto"/>
                                            <w:bottom w:val="none" w:sz="0" w:space="0" w:color="auto"/>
                                            <w:right w:val="none" w:sz="0" w:space="0" w:color="auto"/>
                                          </w:divBdr>
                                          <w:divsChild>
                                            <w:div w:id="1603952303">
                                              <w:marLeft w:val="0"/>
                                              <w:marRight w:val="0"/>
                                              <w:marTop w:val="90"/>
                                              <w:marBottom w:val="0"/>
                                              <w:divBdr>
                                                <w:top w:val="none" w:sz="0" w:space="0" w:color="auto"/>
                                                <w:left w:val="none" w:sz="0" w:space="0" w:color="auto"/>
                                                <w:bottom w:val="none" w:sz="0" w:space="0" w:color="auto"/>
                                                <w:right w:val="none" w:sz="0" w:space="0" w:color="auto"/>
                                              </w:divBdr>
                                              <w:divsChild>
                                                <w:div w:id="917832430">
                                                  <w:marLeft w:val="0"/>
                                                  <w:marRight w:val="0"/>
                                                  <w:marTop w:val="0"/>
                                                  <w:marBottom w:val="420"/>
                                                  <w:divBdr>
                                                    <w:top w:val="none" w:sz="0" w:space="0" w:color="auto"/>
                                                    <w:left w:val="none" w:sz="0" w:space="0" w:color="auto"/>
                                                    <w:bottom w:val="none" w:sz="0" w:space="0" w:color="auto"/>
                                                    <w:right w:val="none" w:sz="0" w:space="0" w:color="auto"/>
                                                  </w:divBdr>
                                                  <w:divsChild>
                                                    <w:div w:id="838154342">
                                                      <w:marLeft w:val="0"/>
                                                      <w:marRight w:val="0"/>
                                                      <w:marTop w:val="0"/>
                                                      <w:marBottom w:val="0"/>
                                                      <w:divBdr>
                                                        <w:top w:val="none" w:sz="0" w:space="0" w:color="auto"/>
                                                        <w:left w:val="none" w:sz="0" w:space="0" w:color="auto"/>
                                                        <w:bottom w:val="none" w:sz="0" w:space="0" w:color="auto"/>
                                                        <w:right w:val="none" w:sz="0" w:space="0" w:color="auto"/>
                                                      </w:divBdr>
                                                      <w:divsChild>
                                                        <w:div w:id="1257860615">
                                                          <w:marLeft w:val="0"/>
                                                          <w:marRight w:val="0"/>
                                                          <w:marTop w:val="0"/>
                                                          <w:marBottom w:val="0"/>
                                                          <w:divBdr>
                                                            <w:top w:val="single" w:sz="6" w:space="0" w:color="DFE1E5"/>
                                                            <w:left w:val="single" w:sz="6" w:space="0" w:color="DFE1E5"/>
                                                            <w:bottom w:val="single" w:sz="6" w:space="0" w:color="DFE1E5"/>
                                                            <w:right w:val="single" w:sz="6" w:space="0" w:color="DFE1E5"/>
                                                          </w:divBdr>
                                                          <w:divsChild>
                                                            <w:div w:id="2076076698">
                                                              <w:marLeft w:val="0"/>
                                                              <w:marRight w:val="0"/>
                                                              <w:marTop w:val="0"/>
                                                              <w:marBottom w:val="0"/>
                                                              <w:divBdr>
                                                                <w:top w:val="none" w:sz="0" w:space="0" w:color="auto"/>
                                                                <w:left w:val="none" w:sz="0" w:space="0" w:color="auto"/>
                                                                <w:bottom w:val="none" w:sz="0" w:space="0" w:color="auto"/>
                                                                <w:right w:val="none" w:sz="0" w:space="0" w:color="auto"/>
                                                              </w:divBdr>
                                                              <w:divsChild>
                                                                <w:div w:id="998458753">
                                                                  <w:marLeft w:val="0"/>
                                                                  <w:marRight w:val="0"/>
                                                                  <w:marTop w:val="0"/>
                                                                  <w:marBottom w:val="0"/>
                                                                  <w:divBdr>
                                                                    <w:top w:val="none" w:sz="0" w:space="0" w:color="auto"/>
                                                                    <w:left w:val="none" w:sz="0" w:space="0" w:color="auto"/>
                                                                    <w:bottom w:val="none" w:sz="0" w:space="0" w:color="auto"/>
                                                                    <w:right w:val="none" w:sz="0" w:space="0" w:color="auto"/>
                                                                  </w:divBdr>
                                                                  <w:divsChild>
                                                                    <w:div w:id="1010135606">
                                                                      <w:marLeft w:val="0"/>
                                                                      <w:marRight w:val="0"/>
                                                                      <w:marTop w:val="0"/>
                                                                      <w:marBottom w:val="0"/>
                                                                      <w:divBdr>
                                                                        <w:top w:val="none" w:sz="0" w:space="0" w:color="auto"/>
                                                                        <w:left w:val="none" w:sz="0" w:space="0" w:color="auto"/>
                                                                        <w:bottom w:val="none" w:sz="0" w:space="0" w:color="auto"/>
                                                                        <w:right w:val="none" w:sz="0" w:space="0" w:color="auto"/>
                                                                      </w:divBdr>
                                                                      <w:divsChild>
                                                                        <w:div w:id="782574412">
                                                                          <w:marLeft w:val="0"/>
                                                                          <w:marRight w:val="0"/>
                                                                          <w:marTop w:val="0"/>
                                                                          <w:marBottom w:val="0"/>
                                                                          <w:divBdr>
                                                                            <w:top w:val="none" w:sz="0" w:space="0" w:color="auto"/>
                                                                            <w:left w:val="none" w:sz="0" w:space="0" w:color="auto"/>
                                                                            <w:bottom w:val="none" w:sz="0" w:space="0" w:color="auto"/>
                                                                            <w:right w:val="none" w:sz="0" w:space="0" w:color="auto"/>
                                                                          </w:divBdr>
                                                                          <w:divsChild>
                                                                            <w:div w:id="1718234690">
                                                                              <w:marLeft w:val="0"/>
                                                                              <w:marRight w:val="0"/>
                                                                              <w:marTop w:val="0"/>
                                                                              <w:marBottom w:val="0"/>
                                                                              <w:divBdr>
                                                                                <w:top w:val="none" w:sz="0" w:space="0" w:color="auto"/>
                                                                                <w:left w:val="none" w:sz="0" w:space="0" w:color="auto"/>
                                                                                <w:bottom w:val="none" w:sz="0" w:space="0" w:color="auto"/>
                                                                                <w:right w:val="none" w:sz="0" w:space="0" w:color="auto"/>
                                                                              </w:divBdr>
                                                                              <w:divsChild>
                                                                                <w:div w:id="1093360716">
                                                                                  <w:marLeft w:val="0"/>
                                                                                  <w:marRight w:val="0"/>
                                                                                  <w:marTop w:val="0"/>
                                                                                  <w:marBottom w:val="0"/>
                                                                                  <w:divBdr>
                                                                                    <w:top w:val="none" w:sz="0" w:space="0" w:color="auto"/>
                                                                                    <w:left w:val="none" w:sz="0" w:space="0" w:color="auto"/>
                                                                                    <w:bottom w:val="none" w:sz="0" w:space="0" w:color="auto"/>
                                                                                    <w:right w:val="none" w:sz="0" w:space="0" w:color="auto"/>
                                                                                  </w:divBdr>
                                                                                  <w:divsChild>
                                                                                    <w:div w:id="1266037791">
                                                                                      <w:marLeft w:val="0"/>
                                                                                      <w:marRight w:val="0"/>
                                                                                      <w:marTop w:val="0"/>
                                                                                      <w:marBottom w:val="0"/>
                                                                                      <w:divBdr>
                                                                                        <w:top w:val="none" w:sz="0" w:space="0" w:color="auto"/>
                                                                                        <w:left w:val="none" w:sz="0" w:space="0" w:color="auto"/>
                                                                                        <w:bottom w:val="none" w:sz="0" w:space="0" w:color="auto"/>
                                                                                        <w:right w:val="none" w:sz="0" w:space="0" w:color="auto"/>
                                                                                      </w:divBdr>
                                                                                    </w:div>
                                                                                    <w:div w:id="111901723">
                                                                                      <w:marLeft w:val="0"/>
                                                                                      <w:marRight w:val="0"/>
                                                                                      <w:marTop w:val="0"/>
                                                                                      <w:marBottom w:val="0"/>
                                                                                      <w:divBdr>
                                                                                        <w:top w:val="none" w:sz="0" w:space="0" w:color="auto"/>
                                                                                        <w:left w:val="none" w:sz="0" w:space="0" w:color="auto"/>
                                                                                        <w:bottom w:val="none" w:sz="0" w:space="0" w:color="auto"/>
                                                                                        <w:right w:val="none" w:sz="0" w:space="0" w:color="auto"/>
                                                                                      </w:divBdr>
                                                                                      <w:divsChild>
                                                                                        <w:div w:id="143083598">
                                                                                          <w:marLeft w:val="0"/>
                                                                                          <w:marRight w:val="0"/>
                                                                                          <w:marTop w:val="0"/>
                                                                                          <w:marBottom w:val="0"/>
                                                                                          <w:divBdr>
                                                                                            <w:top w:val="none" w:sz="0" w:space="0" w:color="auto"/>
                                                                                            <w:left w:val="none" w:sz="0" w:space="0" w:color="auto"/>
                                                                                            <w:bottom w:val="none" w:sz="0" w:space="0" w:color="auto"/>
                                                                                            <w:right w:val="none" w:sz="0" w:space="0" w:color="auto"/>
                                                                                          </w:divBdr>
                                                                                          <w:divsChild>
                                                                                            <w:div w:id="878392174">
                                                                                              <w:marLeft w:val="0"/>
                                                                                              <w:marRight w:val="0"/>
                                                                                              <w:marTop w:val="0"/>
                                                                                              <w:marBottom w:val="0"/>
                                                                                              <w:divBdr>
                                                                                                <w:top w:val="none" w:sz="0" w:space="0" w:color="auto"/>
                                                                                                <w:left w:val="none" w:sz="0" w:space="0" w:color="auto"/>
                                                                                                <w:bottom w:val="none" w:sz="0" w:space="0" w:color="auto"/>
                                                                                                <w:right w:val="none" w:sz="0" w:space="0" w:color="auto"/>
                                                                                              </w:divBdr>
                                                                                              <w:divsChild>
                                                                                                <w:div w:id="236330452">
                                                                                                  <w:marLeft w:val="0"/>
                                                                                                  <w:marRight w:val="0"/>
                                                                                                  <w:marTop w:val="0"/>
                                                                                                  <w:marBottom w:val="0"/>
                                                                                                  <w:divBdr>
                                                                                                    <w:top w:val="none" w:sz="0" w:space="0" w:color="auto"/>
                                                                                                    <w:left w:val="none" w:sz="0" w:space="0" w:color="auto"/>
                                                                                                    <w:bottom w:val="none" w:sz="0" w:space="0" w:color="auto"/>
                                                                                                    <w:right w:val="none" w:sz="0" w:space="0" w:color="auto"/>
                                                                                                  </w:divBdr>
                                                                                                </w:div>
                                                                                                <w:div w:id="1393457859">
                                                                                                  <w:marLeft w:val="0"/>
                                                                                                  <w:marRight w:val="0"/>
                                                                                                  <w:marTop w:val="0"/>
                                                                                                  <w:marBottom w:val="0"/>
                                                                                                  <w:divBdr>
                                                                                                    <w:top w:val="none" w:sz="0" w:space="0" w:color="auto"/>
                                                                                                    <w:left w:val="none" w:sz="0" w:space="0" w:color="auto"/>
                                                                                                    <w:bottom w:val="none" w:sz="0" w:space="0" w:color="auto"/>
                                                                                                    <w:right w:val="none" w:sz="0" w:space="0" w:color="auto"/>
                                                                                                  </w:divBdr>
                                                                                                </w:div>
                                                                                                <w:div w:id="8278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0141">
      <w:bodyDiv w:val="1"/>
      <w:marLeft w:val="0"/>
      <w:marRight w:val="0"/>
      <w:marTop w:val="0"/>
      <w:marBottom w:val="0"/>
      <w:divBdr>
        <w:top w:val="none" w:sz="0" w:space="0" w:color="auto"/>
        <w:left w:val="none" w:sz="0" w:space="0" w:color="auto"/>
        <w:bottom w:val="none" w:sz="0" w:space="0" w:color="auto"/>
        <w:right w:val="none" w:sz="0" w:space="0" w:color="auto"/>
      </w:divBdr>
      <w:divsChild>
        <w:div w:id="395410">
          <w:marLeft w:val="0"/>
          <w:marRight w:val="0"/>
          <w:marTop w:val="0"/>
          <w:marBottom w:val="0"/>
          <w:divBdr>
            <w:top w:val="none" w:sz="0" w:space="0" w:color="auto"/>
            <w:left w:val="none" w:sz="0" w:space="0" w:color="auto"/>
            <w:bottom w:val="none" w:sz="0" w:space="0" w:color="auto"/>
            <w:right w:val="none" w:sz="0" w:space="0" w:color="auto"/>
          </w:divBdr>
          <w:divsChild>
            <w:div w:id="580870074">
              <w:marLeft w:val="0"/>
              <w:marRight w:val="0"/>
              <w:marTop w:val="0"/>
              <w:marBottom w:val="0"/>
              <w:divBdr>
                <w:top w:val="none" w:sz="0" w:space="0" w:color="auto"/>
                <w:left w:val="none" w:sz="0" w:space="0" w:color="auto"/>
                <w:bottom w:val="none" w:sz="0" w:space="0" w:color="auto"/>
                <w:right w:val="none" w:sz="0" w:space="0" w:color="auto"/>
              </w:divBdr>
              <w:divsChild>
                <w:div w:id="1421870548">
                  <w:marLeft w:val="0"/>
                  <w:marRight w:val="0"/>
                  <w:marTop w:val="0"/>
                  <w:marBottom w:val="0"/>
                  <w:divBdr>
                    <w:top w:val="none" w:sz="0" w:space="0" w:color="auto"/>
                    <w:left w:val="none" w:sz="0" w:space="0" w:color="auto"/>
                    <w:bottom w:val="none" w:sz="0" w:space="0" w:color="auto"/>
                    <w:right w:val="none" w:sz="0" w:space="0" w:color="auto"/>
                  </w:divBdr>
                  <w:divsChild>
                    <w:div w:id="1600600764">
                      <w:marLeft w:val="0"/>
                      <w:marRight w:val="0"/>
                      <w:marTop w:val="0"/>
                      <w:marBottom w:val="0"/>
                      <w:divBdr>
                        <w:top w:val="none" w:sz="0" w:space="0" w:color="auto"/>
                        <w:left w:val="none" w:sz="0" w:space="0" w:color="auto"/>
                        <w:bottom w:val="none" w:sz="0" w:space="0" w:color="auto"/>
                        <w:right w:val="none" w:sz="0" w:space="0" w:color="auto"/>
                      </w:divBdr>
                      <w:divsChild>
                        <w:div w:id="29382751">
                          <w:marLeft w:val="0"/>
                          <w:marRight w:val="0"/>
                          <w:marTop w:val="0"/>
                          <w:marBottom w:val="0"/>
                          <w:divBdr>
                            <w:top w:val="none" w:sz="0" w:space="0" w:color="auto"/>
                            <w:left w:val="none" w:sz="0" w:space="0" w:color="auto"/>
                            <w:bottom w:val="none" w:sz="0" w:space="0" w:color="auto"/>
                            <w:right w:val="none" w:sz="0" w:space="0" w:color="auto"/>
                          </w:divBdr>
                          <w:divsChild>
                            <w:div w:id="1179198727">
                              <w:marLeft w:val="2700"/>
                              <w:marRight w:val="3960"/>
                              <w:marTop w:val="0"/>
                              <w:marBottom w:val="0"/>
                              <w:divBdr>
                                <w:top w:val="none" w:sz="0" w:space="0" w:color="auto"/>
                                <w:left w:val="none" w:sz="0" w:space="0" w:color="auto"/>
                                <w:bottom w:val="none" w:sz="0" w:space="0" w:color="auto"/>
                                <w:right w:val="none" w:sz="0" w:space="0" w:color="auto"/>
                              </w:divBdr>
                              <w:divsChild>
                                <w:div w:id="578750523">
                                  <w:marLeft w:val="0"/>
                                  <w:marRight w:val="0"/>
                                  <w:marTop w:val="0"/>
                                  <w:marBottom w:val="0"/>
                                  <w:divBdr>
                                    <w:top w:val="none" w:sz="0" w:space="0" w:color="auto"/>
                                    <w:left w:val="none" w:sz="0" w:space="0" w:color="auto"/>
                                    <w:bottom w:val="none" w:sz="0" w:space="0" w:color="auto"/>
                                    <w:right w:val="none" w:sz="0" w:space="0" w:color="auto"/>
                                  </w:divBdr>
                                  <w:divsChild>
                                    <w:div w:id="2089841012">
                                      <w:marLeft w:val="0"/>
                                      <w:marRight w:val="0"/>
                                      <w:marTop w:val="0"/>
                                      <w:marBottom w:val="0"/>
                                      <w:divBdr>
                                        <w:top w:val="none" w:sz="0" w:space="0" w:color="auto"/>
                                        <w:left w:val="none" w:sz="0" w:space="0" w:color="auto"/>
                                        <w:bottom w:val="none" w:sz="0" w:space="0" w:color="auto"/>
                                        <w:right w:val="none" w:sz="0" w:space="0" w:color="auto"/>
                                      </w:divBdr>
                                      <w:divsChild>
                                        <w:div w:id="2098936072">
                                          <w:marLeft w:val="0"/>
                                          <w:marRight w:val="0"/>
                                          <w:marTop w:val="0"/>
                                          <w:marBottom w:val="0"/>
                                          <w:divBdr>
                                            <w:top w:val="none" w:sz="0" w:space="0" w:color="auto"/>
                                            <w:left w:val="none" w:sz="0" w:space="0" w:color="auto"/>
                                            <w:bottom w:val="none" w:sz="0" w:space="0" w:color="auto"/>
                                            <w:right w:val="none" w:sz="0" w:space="0" w:color="auto"/>
                                          </w:divBdr>
                                          <w:divsChild>
                                            <w:div w:id="1747263794">
                                              <w:marLeft w:val="0"/>
                                              <w:marRight w:val="0"/>
                                              <w:marTop w:val="90"/>
                                              <w:marBottom w:val="0"/>
                                              <w:divBdr>
                                                <w:top w:val="none" w:sz="0" w:space="0" w:color="auto"/>
                                                <w:left w:val="none" w:sz="0" w:space="0" w:color="auto"/>
                                                <w:bottom w:val="none" w:sz="0" w:space="0" w:color="auto"/>
                                                <w:right w:val="none" w:sz="0" w:space="0" w:color="auto"/>
                                              </w:divBdr>
                                              <w:divsChild>
                                                <w:div w:id="1132094457">
                                                  <w:marLeft w:val="0"/>
                                                  <w:marRight w:val="0"/>
                                                  <w:marTop w:val="0"/>
                                                  <w:marBottom w:val="0"/>
                                                  <w:divBdr>
                                                    <w:top w:val="none" w:sz="0" w:space="0" w:color="auto"/>
                                                    <w:left w:val="none" w:sz="0" w:space="0" w:color="auto"/>
                                                    <w:bottom w:val="none" w:sz="0" w:space="0" w:color="auto"/>
                                                    <w:right w:val="none" w:sz="0" w:space="0" w:color="auto"/>
                                                  </w:divBdr>
                                                  <w:divsChild>
                                                    <w:div w:id="703407542">
                                                      <w:marLeft w:val="0"/>
                                                      <w:marRight w:val="0"/>
                                                      <w:marTop w:val="0"/>
                                                      <w:marBottom w:val="420"/>
                                                      <w:divBdr>
                                                        <w:top w:val="none" w:sz="0" w:space="0" w:color="auto"/>
                                                        <w:left w:val="none" w:sz="0" w:space="0" w:color="auto"/>
                                                        <w:bottom w:val="none" w:sz="0" w:space="0" w:color="auto"/>
                                                        <w:right w:val="none" w:sz="0" w:space="0" w:color="auto"/>
                                                      </w:divBdr>
                                                      <w:divsChild>
                                                        <w:div w:id="855846799">
                                                          <w:marLeft w:val="0"/>
                                                          <w:marRight w:val="0"/>
                                                          <w:marTop w:val="0"/>
                                                          <w:marBottom w:val="0"/>
                                                          <w:divBdr>
                                                            <w:top w:val="none" w:sz="0" w:space="0" w:color="auto"/>
                                                            <w:left w:val="none" w:sz="0" w:space="0" w:color="auto"/>
                                                            <w:bottom w:val="none" w:sz="0" w:space="0" w:color="auto"/>
                                                            <w:right w:val="none" w:sz="0" w:space="0" w:color="auto"/>
                                                          </w:divBdr>
                                                          <w:divsChild>
                                                            <w:div w:id="934871278">
                                                              <w:marLeft w:val="0"/>
                                                              <w:marRight w:val="0"/>
                                                              <w:marTop w:val="0"/>
                                                              <w:marBottom w:val="0"/>
                                                              <w:divBdr>
                                                                <w:top w:val="none" w:sz="0" w:space="0" w:color="auto"/>
                                                                <w:left w:val="none" w:sz="0" w:space="0" w:color="auto"/>
                                                                <w:bottom w:val="none" w:sz="0" w:space="0" w:color="auto"/>
                                                                <w:right w:val="none" w:sz="0" w:space="0" w:color="auto"/>
                                                              </w:divBdr>
                                                              <w:divsChild>
                                                                <w:div w:id="138621977">
                                                                  <w:marLeft w:val="0"/>
                                                                  <w:marRight w:val="0"/>
                                                                  <w:marTop w:val="0"/>
                                                                  <w:marBottom w:val="0"/>
                                                                  <w:divBdr>
                                                                    <w:top w:val="none" w:sz="0" w:space="0" w:color="auto"/>
                                                                    <w:left w:val="none" w:sz="0" w:space="0" w:color="auto"/>
                                                                    <w:bottom w:val="none" w:sz="0" w:space="0" w:color="auto"/>
                                                                    <w:right w:val="none" w:sz="0" w:space="0" w:color="auto"/>
                                                                  </w:divBdr>
                                                                  <w:divsChild>
                                                                    <w:div w:id="3020862">
                                                                      <w:marLeft w:val="0"/>
                                                                      <w:marRight w:val="0"/>
                                                                      <w:marTop w:val="0"/>
                                                                      <w:marBottom w:val="0"/>
                                                                      <w:divBdr>
                                                                        <w:top w:val="none" w:sz="0" w:space="0" w:color="auto"/>
                                                                        <w:left w:val="none" w:sz="0" w:space="0" w:color="auto"/>
                                                                        <w:bottom w:val="none" w:sz="0" w:space="0" w:color="auto"/>
                                                                        <w:right w:val="none" w:sz="0" w:space="0" w:color="auto"/>
                                                                      </w:divBdr>
                                                                      <w:divsChild>
                                                                        <w:div w:id="873738156">
                                                                          <w:marLeft w:val="0"/>
                                                                          <w:marRight w:val="0"/>
                                                                          <w:marTop w:val="0"/>
                                                                          <w:marBottom w:val="0"/>
                                                                          <w:divBdr>
                                                                            <w:top w:val="none" w:sz="0" w:space="0" w:color="auto"/>
                                                                            <w:left w:val="none" w:sz="0" w:space="0" w:color="auto"/>
                                                                            <w:bottom w:val="none" w:sz="0" w:space="0" w:color="auto"/>
                                                                            <w:right w:val="none" w:sz="0" w:space="0" w:color="auto"/>
                                                                          </w:divBdr>
                                                                          <w:divsChild>
                                                                            <w:div w:id="699008772">
                                                                              <w:marLeft w:val="0"/>
                                                                              <w:marRight w:val="0"/>
                                                                              <w:marTop w:val="0"/>
                                                                              <w:marBottom w:val="0"/>
                                                                              <w:divBdr>
                                                                                <w:top w:val="none" w:sz="0" w:space="0" w:color="auto"/>
                                                                                <w:left w:val="none" w:sz="0" w:space="0" w:color="auto"/>
                                                                                <w:bottom w:val="none" w:sz="0" w:space="0" w:color="auto"/>
                                                                                <w:right w:val="none" w:sz="0" w:space="0" w:color="auto"/>
                                                                              </w:divBdr>
                                                                              <w:divsChild>
                                                                                <w:div w:id="1142162326">
                                                                                  <w:marLeft w:val="0"/>
                                                                                  <w:marRight w:val="0"/>
                                                                                  <w:marTop w:val="0"/>
                                                                                  <w:marBottom w:val="0"/>
                                                                                  <w:divBdr>
                                                                                    <w:top w:val="none" w:sz="0" w:space="0" w:color="auto"/>
                                                                                    <w:left w:val="none" w:sz="0" w:space="0" w:color="auto"/>
                                                                                    <w:bottom w:val="none" w:sz="0" w:space="0" w:color="auto"/>
                                                                                    <w:right w:val="none" w:sz="0" w:space="0" w:color="auto"/>
                                                                                  </w:divBdr>
                                                                                  <w:divsChild>
                                                                                    <w:div w:id="701200884">
                                                                                      <w:marLeft w:val="0"/>
                                                                                      <w:marRight w:val="0"/>
                                                                                      <w:marTop w:val="0"/>
                                                                                      <w:marBottom w:val="0"/>
                                                                                      <w:divBdr>
                                                                                        <w:top w:val="none" w:sz="0" w:space="0" w:color="auto"/>
                                                                                        <w:left w:val="none" w:sz="0" w:space="0" w:color="auto"/>
                                                                                        <w:bottom w:val="none" w:sz="0" w:space="0" w:color="auto"/>
                                                                                        <w:right w:val="none" w:sz="0" w:space="0" w:color="auto"/>
                                                                                      </w:divBdr>
                                                                                      <w:divsChild>
                                                                                        <w:div w:id="13514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1731512">
      <w:bodyDiv w:val="1"/>
      <w:marLeft w:val="0"/>
      <w:marRight w:val="0"/>
      <w:marTop w:val="0"/>
      <w:marBottom w:val="0"/>
      <w:divBdr>
        <w:top w:val="none" w:sz="0" w:space="0" w:color="auto"/>
        <w:left w:val="none" w:sz="0" w:space="0" w:color="auto"/>
        <w:bottom w:val="none" w:sz="0" w:space="0" w:color="auto"/>
        <w:right w:val="none" w:sz="0" w:space="0" w:color="auto"/>
      </w:divBdr>
      <w:divsChild>
        <w:div w:id="1839423019">
          <w:marLeft w:val="0"/>
          <w:marRight w:val="0"/>
          <w:marTop w:val="0"/>
          <w:marBottom w:val="0"/>
          <w:divBdr>
            <w:top w:val="none" w:sz="0" w:space="0" w:color="auto"/>
            <w:left w:val="none" w:sz="0" w:space="0" w:color="auto"/>
            <w:bottom w:val="none" w:sz="0" w:space="0" w:color="auto"/>
            <w:right w:val="none" w:sz="0" w:space="0" w:color="auto"/>
          </w:divBdr>
          <w:divsChild>
            <w:div w:id="1664702893">
              <w:marLeft w:val="0"/>
              <w:marRight w:val="0"/>
              <w:marTop w:val="0"/>
              <w:marBottom w:val="0"/>
              <w:divBdr>
                <w:top w:val="none" w:sz="0" w:space="0" w:color="auto"/>
                <w:left w:val="none" w:sz="0" w:space="0" w:color="auto"/>
                <w:bottom w:val="none" w:sz="0" w:space="0" w:color="auto"/>
                <w:right w:val="none" w:sz="0" w:space="0" w:color="auto"/>
              </w:divBdr>
              <w:divsChild>
                <w:div w:id="1207567199">
                  <w:marLeft w:val="0"/>
                  <w:marRight w:val="0"/>
                  <w:marTop w:val="0"/>
                  <w:marBottom w:val="0"/>
                  <w:divBdr>
                    <w:top w:val="none" w:sz="0" w:space="0" w:color="auto"/>
                    <w:left w:val="none" w:sz="0" w:space="0" w:color="auto"/>
                    <w:bottom w:val="none" w:sz="0" w:space="0" w:color="auto"/>
                    <w:right w:val="none" w:sz="0" w:space="0" w:color="auto"/>
                  </w:divBdr>
                  <w:divsChild>
                    <w:div w:id="776292015">
                      <w:marLeft w:val="0"/>
                      <w:marRight w:val="0"/>
                      <w:marTop w:val="0"/>
                      <w:marBottom w:val="0"/>
                      <w:divBdr>
                        <w:top w:val="none" w:sz="0" w:space="0" w:color="auto"/>
                        <w:left w:val="none" w:sz="0" w:space="0" w:color="auto"/>
                        <w:bottom w:val="none" w:sz="0" w:space="0" w:color="auto"/>
                        <w:right w:val="none" w:sz="0" w:space="0" w:color="auto"/>
                      </w:divBdr>
                      <w:divsChild>
                        <w:div w:id="517275919">
                          <w:marLeft w:val="0"/>
                          <w:marRight w:val="0"/>
                          <w:marTop w:val="0"/>
                          <w:marBottom w:val="0"/>
                          <w:divBdr>
                            <w:top w:val="none" w:sz="0" w:space="0" w:color="auto"/>
                            <w:left w:val="none" w:sz="0" w:space="0" w:color="auto"/>
                            <w:bottom w:val="none" w:sz="0" w:space="0" w:color="auto"/>
                            <w:right w:val="none" w:sz="0" w:space="0" w:color="auto"/>
                          </w:divBdr>
                          <w:divsChild>
                            <w:div w:id="1377194688">
                              <w:marLeft w:val="2700"/>
                              <w:marRight w:val="3960"/>
                              <w:marTop w:val="0"/>
                              <w:marBottom w:val="0"/>
                              <w:divBdr>
                                <w:top w:val="none" w:sz="0" w:space="0" w:color="auto"/>
                                <w:left w:val="none" w:sz="0" w:space="0" w:color="auto"/>
                                <w:bottom w:val="none" w:sz="0" w:space="0" w:color="auto"/>
                                <w:right w:val="none" w:sz="0" w:space="0" w:color="auto"/>
                              </w:divBdr>
                              <w:divsChild>
                                <w:div w:id="41826423">
                                  <w:marLeft w:val="0"/>
                                  <w:marRight w:val="0"/>
                                  <w:marTop w:val="0"/>
                                  <w:marBottom w:val="0"/>
                                  <w:divBdr>
                                    <w:top w:val="none" w:sz="0" w:space="0" w:color="auto"/>
                                    <w:left w:val="none" w:sz="0" w:space="0" w:color="auto"/>
                                    <w:bottom w:val="none" w:sz="0" w:space="0" w:color="auto"/>
                                    <w:right w:val="none" w:sz="0" w:space="0" w:color="auto"/>
                                  </w:divBdr>
                                  <w:divsChild>
                                    <w:div w:id="1435786727">
                                      <w:marLeft w:val="0"/>
                                      <w:marRight w:val="0"/>
                                      <w:marTop w:val="0"/>
                                      <w:marBottom w:val="0"/>
                                      <w:divBdr>
                                        <w:top w:val="none" w:sz="0" w:space="0" w:color="auto"/>
                                        <w:left w:val="none" w:sz="0" w:space="0" w:color="auto"/>
                                        <w:bottom w:val="none" w:sz="0" w:space="0" w:color="auto"/>
                                        <w:right w:val="none" w:sz="0" w:space="0" w:color="auto"/>
                                      </w:divBdr>
                                      <w:divsChild>
                                        <w:div w:id="68426966">
                                          <w:marLeft w:val="0"/>
                                          <w:marRight w:val="0"/>
                                          <w:marTop w:val="0"/>
                                          <w:marBottom w:val="0"/>
                                          <w:divBdr>
                                            <w:top w:val="none" w:sz="0" w:space="0" w:color="auto"/>
                                            <w:left w:val="none" w:sz="0" w:space="0" w:color="auto"/>
                                            <w:bottom w:val="none" w:sz="0" w:space="0" w:color="auto"/>
                                            <w:right w:val="none" w:sz="0" w:space="0" w:color="auto"/>
                                          </w:divBdr>
                                          <w:divsChild>
                                            <w:div w:id="587546628">
                                              <w:marLeft w:val="0"/>
                                              <w:marRight w:val="0"/>
                                              <w:marTop w:val="90"/>
                                              <w:marBottom w:val="0"/>
                                              <w:divBdr>
                                                <w:top w:val="none" w:sz="0" w:space="0" w:color="auto"/>
                                                <w:left w:val="none" w:sz="0" w:space="0" w:color="auto"/>
                                                <w:bottom w:val="none" w:sz="0" w:space="0" w:color="auto"/>
                                                <w:right w:val="none" w:sz="0" w:space="0" w:color="auto"/>
                                              </w:divBdr>
                                              <w:divsChild>
                                                <w:div w:id="698163660">
                                                  <w:marLeft w:val="0"/>
                                                  <w:marRight w:val="0"/>
                                                  <w:marTop w:val="0"/>
                                                  <w:marBottom w:val="0"/>
                                                  <w:divBdr>
                                                    <w:top w:val="none" w:sz="0" w:space="0" w:color="auto"/>
                                                    <w:left w:val="none" w:sz="0" w:space="0" w:color="auto"/>
                                                    <w:bottom w:val="none" w:sz="0" w:space="0" w:color="auto"/>
                                                    <w:right w:val="none" w:sz="0" w:space="0" w:color="auto"/>
                                                  </w:divBdr>
                                                  <w:divsChild>
                                                    <w:div w:id="1988313407">
                                                      <w:marLeft w:val="0"/>
                                                      <w:marRight w:val="0"/>
                                                      <w:marTop w:val="0"/>
                                                      <w:marBottom w:val="420"/>
                                                      <w:divBdr>
                                                        <w:top w:val="none" w:sz="0" w:space="0" w:color="auto"/>
                                                        <w:left w:val="none" w:sz="0" w:space="0" w:color="auto"/>
                                                        <w:bottom w:val="none" w:sz="0" w:space="0" w:color="auto"/>
                                                        <w:right w:val="none" w:sz="0" w:space="0" w:color="auto"/>
                                                      </w:divBdr>
                                                      <w:divsChild>
                                                        <w:div w:id="330960319">
                                                          <w:marLeft w:val="0"/>
                                                          <w:marRight w:val="0"/>
                                                          <w:marTop w:val="0"/>
                                                          <w:marBottom w:val="0"/>
                                                          <w:divBdr>
                                                            <w:top w:val="none" w:sz="0" w:space="0" w:color="auto"/>
                                                            <w:left w:val="none" w:sz="0" w:space="0" w:color="auto"/>
                                                            <w:bottom w:val="none" w:sz="0" w:space="0" w:color="auto"/>
                                                            <w:right w:val="none" w:sz="0" w:space="0" w:color="auto"/>
                                                          </w:divBdr>
                                                          <w:divsChild>
                                                            <w:div w:id="800459494">
                                                              <w:marLeft w:val="0"/>
                                                              <w:marRight w:val="0"/>
                                                              <w:marTop w:val="0"/>
                                                              <w:marBottom w:val="0"/>
                                                              <w:divBdr>
                                                                <w:top w:val="none" w:sz="0" w:space="0" w:color="auto"/>
                                                                <w:left w:val="none" w:sz="0" w:space="0" w:color="auto"/>
                                                                <w:bottom w:val="none" w:sz="0" w:space="0" w:color="auto"/>
                                                                <w:right w:val="none" w:sz="0" w:space="0" w:color="auto"/>
                                                              </w:divBdr>
                                                              <w:divsChild>
                                                                <w:div w:id="1907376854">
                                                                  <w:marLeft w:val="0"/>
                                                                  <w:marRight w:val="0"/>
                                                                  <w:marTop w:val="0"/>
                                                                  <w:marBottom w:val="0"/>
                                                                  <w:divBdr>
                                                                    <w:top w:val="none" w:sz="0" w:space="0" w:color="auto"/>
                                                                    <w:left w:val="none" w:sz="0" w:space="0" w:color="auto"/>
                                                                    <w:bottom w:val="none" w:sz="0" w:space="0" w:color="auto"/>
                                                                    <w:right w:val="none" w:sz="0" w:space="0" w:color="auto"/>
                                                                  </w:divBdr>
                                                                  <w:divsChild>
                                                                    <w:div w:id="1760981840">
                                                                      <w:marLeft w:val="0"/>
                                                                      <w:marRight w:val="0"/>
                                                                      <w:marTop w:val="0"/>
                                                                      <w:marBottom w:val="0"/>
                                                                      <w:divBdr>
                                                                        <w:top w:val="none" w:sz="0" w:space="0" w:color="auto"/>
                                                                        <w:left w:val="none" w:sz="0" w:space="0" w:color="auto"/>
                                                                        <w:bottom w:val="none" w:sz="0" w:space="0" w:color="auto"/>
                                                                        <w:right w:val="none" w:sz="0" w:space="0" w:color="auto"/>
                                                                      </w:divBdr>
                                                                      <w:divsChild>
                                                                        <w:div w:id="1544827436">
                                                                          <w:marLeft w:val="0"/>
                                                                          <w:marRight w:val="0"/>
                                                                          <w:marTop w:val="0"/>
                                                                          <w:marBottom w:val="0"/>
                                                                          <w:divBdr>
                                                                            <w:top w:val="none" w:sz="0" w:space="0" w:color="auto"/>
                                                                            <w:left w:val="none" w:sz="0" w:space="0" w:color="auto"/>
                                                                            <w:bottom w:val="none" w:sz="0" w:space="0" w:color="auto"/>
                                                                            <w:right w:val="none" w:sz="0" w:space="0" w:color="auto"/>
                                                                          </w:divBdr>
                                                                          <w:divsChild>
                                                                            <w:div w:id="2101441343">
                                                                              <w:marLeft w:val="0"/>
                                                                              <w:marRight w:val="0"/>
                                                                              <w:marTop w:val="0"/>
                                                                              <w:marBottom w:val="0"/>
                                                                              <w:divBdr>
                                                                                <w:top w:val="none" w:sz="0" w:space="0" w:color="auto"/>
                                                                                <w:left w:val="none" w:sz="0" w:space="0" w:color="auto"/>
                                                                                <w:bottom w:val="none" w:sz="0" w:space="0" w:color="auto"/>
                                                                                <w:right w:val="none" w:sz="0" w:space="0" w:color="auto"/>
                                                                              </w:divBdr>
                                                                              <w:divsChild>
                                                                                <w:div w:id="428239559">
                                                                                  <w:marLeft w:val="0"/>
                                                                                  <w:marRight w:val="0"/>
                                                                                  <w:marTop w:val="0"/>
                                                                                  <w:marBottom w:val="0"/>
                                                                                  <w:divBdr>
                                                                                    <w:top w:val="none" w:sz="0" w:space="0" w:color="auto"/>
                                                                                    <w:left w:val="none" w:sz="0" w:space="0" w:color="auto"/>
                                                                                    <w:bottom w:val="none" w:sz="0" w:space="0" w:color="auto"/>
                                                                                    <w:right w:val="none" w:sz="0" w:space="0" w:color="auto"/>
                                                                                  </w:divBdr>
                                                                                  <w:divsChild>
                                                                                    <w:div w:id="994914925">
                                                                                      <w:marLeft w:val="0"/>
                                                                                      <w:marRight w:val="0"/>
                                                                                      <w:marTop w:val="0"/>
                                                                                      <w:marBottom w:val="0"/>
                                                                                      <w:divBdr>
                                                                                        <w:top w:val="none" w:sz="0" w:space="0" w:color="auto"/>
                                                                                        <w:left w:val="none" w:sz="0" w:space="0" w:color="auto"/>
                                                                                        <w:bottom w:val="none" w:sz="0" w:space="0" w:color="auto"/>
                                                                                        <w:right w:val="none" w:sz="0" w:space="0" w:color="auto"/>
                                                                                      </w:divBdr>
                                                                                      <w:divsChild>
                                                                                        <w:div w:id="1081487040">
                                                                                          <w:marLeft w:val="0"/>
                                                                                          <w:marRight w:val="0"/>
                                                                                          <w:marTop w:val="0"/>
                                                                                          <w:marBottom w:val="0"/>
                                                                                          <w:divBdr>
                                                                                            <w:top w:val="none" w:sz="0" w:space="0" w:color="auto"/>
                                                                                            <w:left w:val="none" w:sz="0" w:space="0" w:color="auto"/>
                                                                                            <w:bottom w:val="none" w:sz="0" w:space="0" w:color="auto"/>
                                                                                            <w:right w:val="none" w:sz="0" w:space="0" w:color="auto"/>
                                                                                          </w:divBdr>
                                                                                        </w:div>
                                                                                        <w:div w:id="1142844552">
                                                                                          <w:marLeft w:val="0"/>
                                                                                          <w:marRight w:val="0"/>
                                                                                          <w:marTop w:val="0"/>
                                                                                          <w:marBottom w:val="0"/>
                                                                                          <w:divBdr>
                                                                                            <w:top w:val="none" w:sz="0" w:space="0" w:color="auto"/>
                                                                                            <w:left w:val="none" w:sz="0" w:space="0" w:color="auto"/>
                                                                                            <w:bottom w:val="none" w:sz="0" w:space="0" w:color="auto"/>
                                                                                            <w:right w:val="none" w:sz="0" w:space="0" w:color="auto"/>
                                                                                          </w:divBdr>
                                                                                          <w:divsChild>
                                                                                            <w:div w:id="1807696419">
                                                                                              <w:marLeft w:val="0"/>
                                                                                              <w:marRight w:val="0"/>
                                                                                              <w:marTop w:val="0"/>
                                                                                              <w:marBottom w:val="0"/>
                                                                                              <w:divBdr>
                                                                                                <w:top w:val="none" w:sz="0" w:space="0" w:color="auto"/>
                                                                                                <w:left w:val="none" w:sz="0" w:space="0" w:color="auto"/>
                                                                                                <w:bottom w:val="none" w:sz="0" w:space="0" w:color="auto"/>
                                                                                                <w:right w:val="none" w:sz="0" w:space="0" w:color="auto"/>
                                                                                              </w:divBdr>
                                                                                              <w:divsChild>
                                                                                                <w:div w:id="1306203207">
                                                                                                  <w:marLeft w:val="0"/>
                                                                                                  <w:marRight w:val="0"/>
                                                                                                  <w:marTop w:val="0"/>
                                                                                                  <w:marBottom w:val="0"/>
                                                                                                  <w:divBdr>
                                                                                                    <w:top w:val="none" w:sz="0" w:space="0" w:color="auto"/>
                                                                                                    <w:left w:val="none" w:sz="0" w:space="0" w:color="auto"/>
                                                                                                    <w:bottom w:val="none" w:sz="0" w:space="0" w:color="auto"/>
                                                                                                    <w:right w:val="none" w:sz="0" w:space="0" w:color="auto"/>
                                                                                                  </w:divBdr>
                                                                                                  <w:divsChild>
                                                                                                    <w:div w:id="245891664">
                                                                                                      <w:marLeft w:val="0"/>
                                                                                                      <w:marRight w:val="0"/>
                                                                                                      <w:marTop w:val="0"/>
                                                                                                      <w:marBottom w:val="0"/>
                                                                                                      <w:divBdr>
                                                                                                        <w:top w:val="none" w:sz="0" w:space="0" w:color="auto"/>
                                                                                                        <w:left w:val="none" w:sz="0" w:space="0" w:color="auto"/>
                                                                                                        <w:bottom w:val="none" w:sz="0" w:space="0" w:color="auto"/>
                                                                                                        <w:right w:val="none" w:sz="0" w:space="0" w:color="auto"/>
                                                                                                      </w:divBdr>
                                                                                                    </w:div>
                                                                                                    <w:div w:id="851913754">
                                                                                                      <w:marLeft w:val="0"/>
                                                                                                      <w:marRight w:val="0"/>
                                                                                                      <w:marTop w:val="0"/>
                                                                                                      <w:marBottom w:val="0"/>
                                                                                                      <w:divBdr>
                                                                                                        <w:top w:val="none" w:sz="0" w:space="0" w:color="auto"/>
                                                                                                        <w:left w:val="none" w:sz="0" w:space="0" w:color="auto"/>
                                                                                                        <w:bottom w:val="none" w:sz="0" w:space="0" w:color="auto"/>
                                                                                                        <w:right w:val="none" w:sz="0" w:space="0" w:color="auto"/>
                                                                                                      </w:divBdr>
                                                                                                    </w:div>
                                                                                                    <w:div w:id="200069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3918666">
      <w:bodyDiv w:val="1"/>
      <w:marLeft w:val="0"/>
      <w:marRight w:val="0"/>
      <w:marTop w:val="0"/>
      <w:marBottom w:val="0"/>
      <w:divBdr>
        <w:top w:val="none" w:sz="0" w:space="0" w:color="auto"/>
        <w:left w:val="none" w:sz="0" w:space="0" w:color="auto"/>
        <w:bottom w:val="none" w:sz="0" w:space="0" w:color="auto"/>
        <w:right w:val="none" w:sz="0" w:space="0" w:color="auto"/>
      </w:divBdr>
      <w:divsChild>
        <w:div w:id="1943761229">
          <w:marLeft w:val="0"/>
          <w:marRight w:val="0"/>
          <w:marTop w:val="0"/>
          <w:marBottom w:val="0"/>
          <w:divBdr>
            <w:top w:val="none" w:sz="0" w:space="0" w:color="auto"/>
            <w:left w:val="none" w:sz="0" w:space="0" w:color="auto"/>
            <w:bottom w:val="none" w:sz="0" w:space="0" w:color="auto"/>
            <w:right w:val="none" w:sz="0" w:space="0" w:color="auto"/>
          </w:divBdr>
          <w:divsChild>
            <w:div w:id="382415288">
              <w:marLeft w:val="0"/>
              <w:marRight w:val="0"/>
              <w:marTop w:val="0"/>
              <w:marBottom w:val="0"/>
              <w:divBdr>
                <w:top w:val="none" w:sz="0" w:space="0" w:color="auto"/>
                <w:left w:val="none" w:sz="0" w:space="0" w:color="auto"/>
                <w:bottom w:val="none" w:sz="0" w:space="0" w:color="auto"/>
                <w:right w:val="none" w:sz="0" w:space="0" w:color="auto"/>
              </w:divBdr>
              <w:divsChild>
                <w:div w:id="2087920319">
                  <w:marLeft w:val="0"/>
                  <w:marRight w:val="0"/>
                  <w:marTop w:val="0"/>
                  <w:marBottom w:val="0"/>
                  <w:divBdr>
                    <w:top w:val="none" w:sz="0" w:space="0" w:color="auto"/>
                    <w:left w:val="none" w:sz="0" w:space="0" w:color="auto"/>
                    <w:bottom w:val="none" w:sz="0" w:space="0" w:color="auto"/>
                    <w:right w:val="none" w:sz="0" w:space="0" w:color="auto"/>
                  </w:divBdr>
                  <w:divsChild>
                    <w:div w:id="1147669608">
                      <w:marLeft w:val="0"/>
                      <w:marRight w:val="0"/>
                      <w:marTop w:val="0"/>
                      <w:marBottom w:val="0"/>
                      <w:divBdr>
                        <w:top w:val="none" w:sz="0" w:space="0" w:color="auto"/>
                        <w:left w:val="none" w:sz="0" w:space="0" w:color="auto"/>
                        <w:bottom w:val="none" w:sz="0" w:space="0" w:color="auto"/>
                        <w:right w:val="none" w:sz="0" w:space="0" w:color="auto"/>
                      </w:divBdr>
                      <w:divsChild>
                        <w:div w:id="1620641330">
                          <w:marLeft w:val="0"/>
                          <w:marRight w:val="0"/>
                          <w:marTop w:val="0"/>
                          <w:marBottom w:val="0"/>
                          <w:divBdr>
                            <w:top w:val="none" w:sz="0" w:space="0" w:color="auto"/>
                            <w:left w:val="none" w:sz="0" w:space="0" w:color="auto"/>
                            <w:bottom w:val="none" w:sz="0" w:space="0" w:color="auto"/>
                            <w:right w:val="none" w:sz="0" w:space="0" w:color="auto"/>
                          </w:divBdr>
                          <w:divsChild>
                            <w:div w:id="300305793">
                              <w:marLeft w:val="2700"/>
                              <w:marRight w:val="3960"/>
                              <w:marTop w:val="0"/>
                              <w:marBottom w:val="0"/>
                              <w:divBdr>
                                <w:top w:val="none" w:sz="0" w:space="0" w:color="auto"/>
                                <w:left w:val="none" w:sz="0" w:space="0" w:color="auto"/>
                                <w:bottom w:val="none" w:sz="0" w:space="0" w:color="auto"/>
                                <w:right w:val="none" w:sz="0" w:space="0" w:color="auto"/>
                              </w:divBdr>
                              <w:divsChild>
                                <w:div w:id="218638129">
                                  <w:marLeft w:val="0"/>
                                  <w:marRight w:val="0"/>
                                  <w:marTop w:val="0"/>
                                  <w:marBottom w:val="0"/>
                                  <w:divBdr>
                                    <w:top w:val="none" w:sz="0" w:space="0" w:color="auto"/>
                                    <w:left w:val="none" w:sz="0" w:space="0" w:color="auto"/>
                                    <w:bottom w:val="none" w:sz="0" w:space="0" w:color="auto"/>
                                    <w:right w:val="none" w:sz="0" w:space="0" w:color="auto"/>
                                  </w:divBdr>
                                  <w:divsChild>
                                    <w:div w:id="1042635426">
                                      <w:marLeft w:val="0"/>
                                      <w:marRight w:val="0"/>
                                      <w:marTop w:val="0"/>
                                      <w:marBottom w:val="0"/>
                                      <w:divBdr>
                                        <w:top w:val="none" w:sz="0" w:space="0" w:color="auto"/>
                                        <w:left w:val="none" w:sz="0" w:space="0" w:color="auto"/>
                                        <w:bottom w:val="none" w:sz="0" w:space="0" w:color="auto"/>
                                        <w:right w:val="none" w:sz="0" w:space="0" w:color="auto"/>
                                      </w:divBdr>
                                      <w:divsChild>
                                        <w:div w:id="288166004">
                                          <w:marLeft w:val="0"/>
                                          <w:marRight w:val="0"/>
                                          <w:marTop w:val="0"/>
                                          <w:marBottom w:val="0"/>
                                          <w:divBdr>
                                            <w:top w:val="none" w:sz="0" w:space="0" w:color="auto"/>
                                            <w:left w:val="none" w:sz="0" w:space="0" w:color="auto"/>
                                            <w:bottom w:val="none" w:sz="0" w:space="0" w:color="auto"/>
                                            <w:right w:val="none" w:sz="0" w:space="0" w:color="auto"/>
                                          </w:divBdr>
                                          <w:divsChild>
                                            <w:div w:id="1014915696">
                                              <w:marLeft w:val="0"/>
                                              <w:marRight w:val="0"/>
                                              <w:marTop w:val="90"/>
                                              <w:marBottom w:val="0"/>
                                              <w:divBdr>
                                                <w:top w:val="none" w:sz="0" w:space="0" w:color="auto"/>
                                                <w:left w:val="none" w:sz="0" w:space="0" w:color="auto"/>
                                                <w:bottom w:val="none" w:sz="0" w:space="0" w:color="auto"/>
                                                <w:right w:val="none" w:sz="0" w:space="0" w:color="auto"/>
                                              </w:divBdr>
                                              <w:divsChild>
                                                <w:div w:id="439378796">
                                                  <w:marLeft w:val="0"/>
                                                  <w:marRight w:val="0"/>
                                                  <w:marTop w:val="0"/>
                                                  <w:marBottom w:val="0"/>
                                                  <w:divBdr>
                                                    <w:top w:val="none" w:sz="0" w:space="0" w:color="auto"/>
                                                    <w:left w:val="none" w:sz="0" w:space="0" w:color="auto"/>
                                                    <w:bottom w:val="none" w:sz="0" w:space="0" w:color="auto"/>
                                                    <w:right w:val="none" w:sz="0" w:space="0" w:color="auto"/>
                                                  </w:divBdr>
                                                  <w:divsChild>
                                                    <w:div w:id="2059357770">
                                                      <w:marLeft w:val="0"/>
                                                      <w:marRight w:val="0"/>
                                                      <w:marTop w:val="0"/>
                                                      <w:marBottom w:val="420"/>
                                                      <w:divBdr>
                                                        <w:top w:val="none" w:sz="0" w:space="0" w:color="auto"/>
                                                        <w:left w:val="none" w:sz="0" w:space="0" w:color="auto"/>
                                                        <w:bottom w:val="none" w:sz="0" w:space="0" w:color="auto"/>
                                                        <w:right w:val="none" w:sz="0" w:space="0" w:color="auto"/>
                                                      </w:divBdr>
                                                      <w:divsChild>
                                                        <w:div w:id="282881692">
                                                          <w:marLeft w:val="0"/>
                                                          <w:marRight w:val="0"/>
                                                          <w:marTop w:val="0"/>
                                                          <w:marBottom w:val="0"/>
                                                          <w:divBdr>
                                                            <w:top w:val="none" w:sz="0" w:space="0" w:color="auto"/>
                                                            <w:left w:val="none" w:sz="0" w:space="0" w:color="auto"/>
                                                            <w:bottom w:val="none" w:sz="0" w:space="0" w:color="auto"/>
                                                            <w:right w:val="none" w:sz="0" w:space="0" w:color="auto"/>
                                                          </w:divBdr>
                                                          <w:divsChild>
                                                            <w:div w:id="235171828">
                                                              <w:marLeft w:val="0"/>
                                                              <w:marRight w:val="0"/>
                                                              <w:marTop w:val="0"/>
                                                              <w:marBottom w:val="0"/>
                                                              <w:divBdr>
                                                                <w:top w:val="none" w:sz="0" w:space="0" w:color="auto"/>
                                                                <w:left w:val="none" w:sz="0" w:space="0" w:color="auto"/>
                                                                <w:bottom w:val="none" w:sz="0" w:space="0" w:color="auto"/>
                                                                <w:right w:val="none" w:sz="0" w:space="0" w:color="auto"/>
                                                              </w:divBdr>
                                                              <w:divsChild>
                                                                <w:div w:id="478617152">
                                                                  <w:marLeft w:val="0"/>
                                                                  <w:marRight w:val="0"/>
                                                                  <w:marTop w:val="0"/>
                                                                  <w:marBottom w:val="0"/>
                                                                  <w:divBdr>
                                                                    <w:top w:val="none" w:sz="0" w:space="0" w:color="auto"/>
                                                                    <w:left w:val="none" w:sz="0" w:space="0" w:color="auto"/>
                                                                    <w:bottom w:val="none" w:sz="0" w:space="0" w:color="auto"/>
                                                                    <w:right w:val="none" w:sz="0" w:space="0" w:color="auto"/>
                                                                  </w:divBdr>
                                                                  <w:divsChild>
                                                                    <w:div w:id="883635454">
                                                                      <w:marLeft w:val="0"/>
                                                                      <w:marRight w:val="0"/>
                                                                      <w:marTop w:val="0"/>
                                                                      <w:marBottom w:val="0"/>
                                                                      <w:divBdr>
                                                                        <w:top w:val="none" w:sz="0" w:space="0" w:color="auto"/>
                                                                        <w:left w:val="none" w:sz="0" w:space="0" w:color="auto"/>
                                                                        <w:bottom w:val="none" w:sz="0" w:space="0" w:color="auto"/>
                                                                        <w:right w:val="none" w:sz="0" w:space="0" w:color="auto"/>
                                                                      </w:divBdr>
                                                                      <w:divsChild>
                                                                        <w:div w:id="534272201">
                                                                          <w:marLeft w:val="0"/>
                                                                          <w:marRight w:val="0"/>
                                                                          <w:marTop w:val="0"/>
                                                                          <w:marBottom w:val="0"/>
                                                                          <w:divBdr>
                                                                            <w:top w:val="none" w:sz="0" w:space="0" w:color="auto"/>
                                                                            <w:left w:val="none" w:sz="0" w:space="0" w:color="auto"/>
                                                                            <w:bottom w:val="none" w:sz="0" w:space="0" w:color="auto"/>
                                                                            <w:right w:val="none" w:sz="0" w:space="0" w:color="auto"/>
                                                                          </w:divBdr>
                                                                          <w:divsChild>
                                                                            <w:div w:id="2126923642">
                                                                              <w:marLeft w:val="0"/>
                                                                              <w:marRight w:val="0"/>
                                                                              <w:marTop w:val="0"/>
                                                                              <w:marBottom w:val="0"/>
                                                                              <w:divBdr>
                                                                                <w:top w:val="none" w:sz="0" w:space="0" w:color="auto"/>
                                                                                <w:left w:val="none" w:sz="0" w:space="0" w:color="auto"/>
                                                                                <w:bottom w:val="none" w:sz="0" w:space="0" w:color="auto"/>
                                                                                <w:right w:val="none" w:sz="0" w:space="0" w:color="auto"/>
                                                                              </w:divBdr>
                                                                              <w:divsChild>
                                                                                <w:div w:id="962538943">
                                                                                  <w:marLeft w:val="0"/>
                                                                                  <w:marRight w:val="0"/>
                                                                                  <w:marTop w:val="0"/>
                                                                                  <w:marBottom w:val="0"/>
                                                                                  <w:divBdr>
                                                                                    <w:top w:val="none" w:sz="0" w:space="0" w:color="auto"/>
                                                                                    <w:left w:val="none" w:sz="0" w:space="0" w:color="auto"/>
                                                                                    <w:bottom w:val="none" w:sz="0" w:space="0" w:color="auto"/>
                                                                                    <w:right w:val="none" w:sz="0" w:space="0" w:color="auto"/>
                                                                                  </w:divBdr>
                                                                                  <w:divsChild>
                                                                                    <w:div w:id="19278616">
                                                                                      <w:marLeft w:val="0"/>
                                                                                      <w:marRight w:val="0"/>
                                                                                      <w:marTop w:val="0"/>
                                                                                      <w:marBottom w:val="0"/>
                                                                                      <w:divBdr>
                                                                                        <w:top w:val="none" w:sz="0" w:space="0" w:color="auto"/>
                                                                                        <w:left w:val="none" w:sz="0" w:space="0" w:color="auto"/>
                                                                                        <w:bottom w:val="none" w:sz="0" w:space="0" w:color="auto"/>
                                                                                        <w:right w:val="none" w:sz="0" w:space="0" w:color="auto"/>
                                                                                      </w:divBdr>
                                                                                      <w:divsChild>
                                                                                        <w:div w:id="117526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861127">
      <w:bodyDiv w:val="1"/>
      <w:marLeft w:val="0"/>
      <w:marRight w:val="0"/>
      <w:marTop w:val="0"/>
      <w:marBottom w:val="0"/>
      <w:divBdr>
        <w:top w:val="none" w:sz="0" w:space="0" w:color="auto"/>
        <w:left w:val="none" w:sz="0" w:space="0" w:color="auto"/>
        <w:bottom w:val="none" w:sz="0" w:space="0" w:color="auto"/>
        <w:right w:val="none" w:sz="0" w:space="0" w:color="auto"/>
      </w:divBdr>
      <w:divsChild>
        <w:div w:id="1597790240">
          <w:marLeft w:val="0"/>
          <w:marRight w:val="0"/>
          <w:marTop w:val="0"/>
          <w:marBottom w:val="0"/>
          <w:divBdr>
            <w:top w:val="none" w:sz="0" w:space="0" w:color="auto"/>
            <w:left w:val="none" w:sz="0" w:space="0" w:color="auto"/>
            <w:bottom w:val="none" w:sz="0" w:space="0" w:color="auto"/>
            <w:right w:val="none" w:sz="0" w:space="0" w:color="auto"/>
          </w:divBdr>
          <w:divsChild>
            <w:div w:id="1230924957">
              <w:marLeft w:val="0"/>
              <w:marRight w:val="0"/>
              <w:marTop w:val="0"/>
              <w:marBottom w:val="0"/>
              <w:divBdr>
                <w:top w:val="none" w:sz="0" w:space="0" w:color="auto"/>
                <w:left w:val="none" w:sz="0" w:space="0" w:color="auto"/>
                <w:bottom w:val="none" w:sz="0" w:space="0" w:color="auto"/>
                <w:right w:val="none" w:sz="0" w:space="0" w:color="auto"/>
              </w:divBdr>
              <w:divsChild>
                <w:div w:id="1973829038">
                  <w:marLeft w:val="0"/>
                  <w:marRight w:val="0"/>
                  <w:marTop w:val="0"/>
                  <w:marBottom w:val="0"/>
                  <w:divBdr>
                    <w:top w:val="none" w:sz="0" w:space="0" w:color="auto"/>
                    <w:left w:val="none" w:sz="0" w:space="0" w:color="auto"/>
                    <w:bottom w:val="none" w:sz="0" w:space="0" w:color="auto"/>
                    <w:right w:val="none" w:sz="0" w:space="0" w:color="auto"/>
                  </w:divBdr>
                  <w:divsChild>
                    <w:div w:id="1552498001">
                      <w:marLeft w:val="0"/>
                      <w:marRight w:val="0"/>
                      <w:marTop w:val="0"/>
                      <w:marBottom w:val="0"/>
                      <w:divBdr>
                        <w:top w:val="none" w:sz="0" w:space="0" w:color="auto"/>
                        <w:left w:val="none" w:sz="0" w:space="0" w:color="auto"/>
                        <w:bottom w:val="none" w:sz="0" w:space="0" w:color="auto"/>
                        <w:right w:val="none" w:sz="0" w:space="0" w:color="auto"/>
                      </w:divBdr>
                      <w:divsChild>
                        <w:div w:id="1500199305">
                          <w:marLeft w:val="0"/>
                          <w:marRight w:val="0"/>
                          <w:marTop w:val="0"/>
                          <w:marBottom w:val="0"/>
                          <w:divBdr>
                            <w:top w:val="none" w:sz="0" w:space="0" w:color="auto"/>
                            <w:left w:val="none" w:sz="0" w:space="0" w:color="auto"/>
                            <w:bottom w:val="none" w:sz="0" w:space="0" w:color="auto"/>
                            <w:right w:val="none" w:sz="0" w:space="0" w:color="auto"/>
                          </w:divBdr>
                          <w:divsChild>
                            <w:div w:id="821385925">
                              <w:marLeft w:val="0"/>
                              <w:marRight w:val="0"/>
                              <w:marTop w:val="0"/>
                              <w:marBottom w:val="0"/>
                              <w:divBdr>
                                <w:top w:val="none" w:sz="0" w:space="0" w:color="auto"/>
                                <w:left w:val="none" w:sz="0" w:space="0" w:color="auto"/>
                                <w:bottom w:val="none" w:sz="0" w:space="0" w:color="auto"/>
                                <w:right w:val="none" w:sz="0" w:space="0" w:color="auto"/>
                              </w:divBdr>
                              <w:divsChild>
                                <w:div w:id="170727524">
                                  <w:marLeft w:val="0"/>
                                  <w:marRight w:val="0"/>
                                  <w:marTop w:val="0"/>
                                  <w:marBottom w:val="0"/>
                                  <w:divBdr>
                                    <w:top w:val="none" w:sz="0" w:space="0" w:color="auto"/>
                                    <w:left w:val="none" w:sz="0" w:space="0" w:color="auto"/>
                                    <w:bottom w:val="none" w:sz="0" w:space="0" w:color="auto"/>
                                    <w:right w:val="none" w:sz="0" w:space="0" w:color="auto"/>
                                  </w:divBdr>
                                  <w:divsChild>
                                    <w:div w:id="914390609">
                                      <w:marLeft w:val="0"/>
                                      <w:marRight w:val="0"/>
                                      <w:marTop w:val="0"/>
                                      <w:marBottom w:val="0"/>
                                      <w:divBdr>
                                        <w:top w:val="none" w:sz="0" w:space="0" w:color="auto"/>
                                        <w:left w:val="none" w:sz="0" w:space="0" w:color="auto"/>
                                        <w:bottom w:val="none" w:sz="0" w:space="0" w:color="auto"/>
                                        <w:right w:val="none" w:sz="0" w:space="0" w:color="auto"/>
                                      </w:divBdr>
                                      <w:divsChild>
                                        <w:div w:id="391346546">
                                          <w:marLeft w:val="0"/>
                                          <w:marRight w:val="0"/>
                                          <w:marTop w:val="0"/>
                                          <w:marBottom w:val="0"/>
                                          <w:divBdr>
                                            <w:top w:val="none" w:sz="0" w:space="0" w:color="auto"/>
                                            <w:left w:val="none" w:sz="0" w:space="0" w:color="auto"/>
                                            <w:bottom w:val="none" w:sz="0" w:space="0" w:color="auto"/>
                                            <w:right w:val="none" w:sz="0" w:space="0" w:color="auto"/>
                                          </w:divBdr>
                                          <w:divsChild>
                                            <w:div w:id="1743289547">
                                              <w:marLeft w:val="0"/>
                                              <w:marRight w:val="0"/>
                                              <w:marTop w:val="0"/>
                                              <w:marBottom w:val="0"/>
                                              <w:divBdr>
                                                <w:top w:val="none" w:sz="0" w:space="0" w:color="auto"/>
                                                <w:left w:val="none" w:sz="0" w:space="0" w:color="auto"/>
                                                <w:bottom w:val="none" w:sz="0" w:space="0" w:color="auto"/>
                                                <w:right w:val="none" w:sz="0" w:space="0" w:color="auto"/>
                                              </w:divBdr>
                                              <w:divsChild>
                                                <w:div w:id="634335162">
                                                  <w:marLeft w:val="0"/>
                                                  <w:marRight w:val="0"/>
                                                  <w:marTop w:val="0"/>
                                                  <w:marBottom w:val="0"/>
                                                  <w:divBdr>
                                                    <w:top w:val="none" w:sz="0" w:space="0" w:color="auto"/>
                                                    <w:left w:val="none" w:sz="0" w:space="0" w:color="auto"/>
                                                    <w:bottom w:val="single" w:sz="6" w:space="0" w:color="DADCE0"/>
                                                    <w:right w:val="none" w:sz="0" w:space="0" w:color="auto"/>
                                                  </w:divBdr>
                                                  <w:divsChild>
                                                    <w:div w:id="1853184034">
                                                      <w:marLeft w:val="0"/>
                                                      <w:marRight w:val="0"/>
                                                      <w:marTop w:val="0"/>
                                                      <w:marBottom w:val="0"/>
                                                      <w:divBdr>
                                                        <w:top w:val="none" w:sz="0" w:space="0" w:color="auto"/>
                                                        <w:left w:val="none" w:sz="0" w:space="0" w:color="auto"/>
                                                        <w:bottom w:val="none" w:sz="0" w:space="0" w:color="auto"/>
                                                        <w:right w:val="none" w:sz="0" w:space="0" w:color="auto"/>
                                                      </w:divBdr>
                                                      <w:divsChild>
                                                        <w:div w:id="269554174">
                                                          <w:marLeft w:val="0"/>
                                                          <w:marRight w:val="0"/>
                                                          <w:marTop w:val="0"/>
                                                          <w:marBottom w:val="0"/>
                                                          <w:divBdr>
                                                            <w:top w:val="none" w:sz="0" w:space="0" w:color="auto"/>
                                                            <w:left w:val="none" w:sz="0" w:space="0" w:color="auto"/>
                                                            <w:bottom w:val="none" w:sz="0" w:space="0" w:color="auto"/>
                                                            <w:right w:val="none" w:sz="0" w:space="0" w:color="auto"/>
                                                          </w:divBdr>
                                                        </w:div>
                                                        <w:div w:id="13600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87161">
                                                  <w:marLeft w:val="0"/>
                                                  <w:marRight w:val="0"/>
                                                  <w:marTop w:val="0"/>
                                                  <w:marBottom w:val="0"/>
                                                  <w:divBdr>
                                                    <w:top w:val="none" w:sz="0" w:space="0" w:color="auto"/>
                                                    <w:left w:val="none" w:sz="0" w:space="0" w:color="auto"/>
                                                    <w:bottom w:val="single" w:sz="6" w:space="0" w:color="DADCE0"/>
                                                    <w:right w:val="none" w:sz="0" w:space="0" w:color="auto"/>
                                                  </w:divBdr>
                                                  <w:divsChild>
                                                    <w:div w:id="1920359128">
                                                      <w:marLeft w:val="0"/>
                                                      <w:marRight w:val="0"/>
                                                      <w:marTop w:val="0"/>
                                                      <w:marBottom w:val="0"/>
                                                      <w:divBdr>
                                                        <w:top w:val="none" w:sz="0" w:space="0" w:color="auto"/>
                                                        <w:left w:val="none" w:sz="0" w:space="0" w:color="auto"/>
                                                        <w:bottom w:val="none" w:sz="0" w:space="0" w:color="auto"/>
                                                        <w:right w:val="none" w:sz="0" w:space="0" w:color="auto"/>
                                                      </w:divBdr>
                                                      <w:divsChild>
                                                        <w:div w:id="464664787">
                                                          <w:marLeft w:val="0"/>
                                                          <w:marRight w:val="0"/>
                                                          <w:marTop w:val="0"/>
                                                          <w:marBottom w:val="0"/>
                                                          <w:divBdr>
                                                            <w:top w:val="none" w:sz="0" w:space="0" w:color="auto"/>
                                                            <w:left w:val="none" w:sz="0" w:space="0" w:color="auto"/>
                                                            <w:bottom w:val="none" w:sz="0" w:space="0" w:color="auto"/>
                                                            <w:right w:val="none" w:sz="0" w:space="0" w:color="auto"/>
                                                          </w:divBdr>
                                                        </w:div>
                                                        <w:div w:id="184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60205">
                                                  <w:marLeft w:val="0"/>
                                                  <w:marRight w:val="0"/>
                                                  <w:marTop w:val="0"/>
                                                  <w:marBottom w:val="0"/>
                                                  <w:divBdr>
                                                    <w:top w:val="none" w:sz="0" w:space="0" w:color="auto"/>
                                                    <w:left w:val="none" w:sz="0" w:space="0" w:color="auto"/>
                                                    <w:bottom w:val="none" w:sz="0" w:space="0" w:color="auto"/>
                                                    <w:right w:val="none" w:sz="0" w:space="0" w:color="auto"/>
                                                  </w:divBdr>
                                                  <w:divsChild>
                                                    <w:div w:id="1267081716">
                                                      <w:marLeft w:val="0"/>
                                                      <w:marRight w:val="0"/>
                                                      <w:marTop w:val="0"/>
                                                      <w:marBottom w:val="0"/>
                                                      <w:divBdr>
                                                        <w:top w:val="none" w:sz="0" w:space="0" w:color="auto"/>
                                                        <w:left w:val="none" w:sz="0" w:space="0" w:color="auto"/>
                                                        <w:bottom w:val="none" w:sz="0" w:space="0" w:color="auto"/>
                                                        <w:right w:val="none" w:sz="0" w:space="0" w:color="auto"/>
                                                      </w:divBdr>
                                                      <w:divsChild>
                                                        <w:div w:id="1274902756">
                                                          <w:marLeft w:val="0"/>
                                                          <w:marRight w:val="0"/>
                                                          <w:marTop w:val="0"/>
                                                          <w:marBottom w:val="0"/>
                                                          <w:divBdr>
                                                            <w:top w:val="none" w:sz="0" w:space="0" w:color="auto"/>
                                                            <w:left w:val="none" w:sz="0" w:space="0" w:color="auto"/>
                                                            <w:bottom w:val="none" w:sz="0" w:space="0" w:color="auto"/>
                                                            <w:right w:val="none" w:sz="0" w:space="0" w:color="auto"/>
                                                          </w:divBdr>
                                                        </w:div>
                                                        <w:div w:id="16267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43091">
                                                  <w:marLeft w:val="0"/>
                                                  <w:marRight w:val="0"/>
                                                  <w:marTop w:val="0"/>
                                                  <w:marBottom w:val="0"/>
                                                  <w:divBdr>
                                                    <w:top w:val="none" w:sz="0" w:space="0" w:color="auto"/>
                                                    <w:left w:val="none" w:sz="0" w:space="0" w:color="auto"/>
                                                    <w:bottom w:val="none" w:sz="0" w:space="0" w:color="auto"/>
                                                    <w:right w:val="none" w:sz="0" w:space="0" w:color="auto"/>
                                                  </w:divBdr>
                                                  <w:divsChild>
                                                    <w:div w:id="228808984">
                                                      <w:marLeft w:val="0"/>
                                                      <w:marRight w:val="0"/>
                                                      <w:marTop w:val="0"/>
                                                      <w:marBottom w:val="0"/>
                                                      <w:divBdr>
                                                        <w:top w:val="none" w:sz="0" w:space="0" w:color="auto"/>
                                                        <w:left w:val="none" w:sz="0" w:space="0" w:color="auto"/>
                                                        <w:bottom w:val="none" w:sz="0" w:space="0" w:color="auto"/>
                                                        <w:right w:val="none" w:sz="0" w:space="0" w:color="auto"/>
                                                      </w:divBdr>
                                                      <w:divsChild>
                                                        <w:div w:id="213780214">
                                                          <w:marLeft w:val="0"/>
                                                          <w:marRight w:val="0"/>
                                                          <w:marTop w:val="0"/>
                                                          <w:marBottom w:val="0"/>
                                                          <w:divBdr>
                                                            <w:top w:val="none" w:sz="0" w:space="0" w:color="auto"/>
                                                            <w:left w:val="none" w:sz="0" w:space="0" w:color="auto"/>
                                                            <w:bottom w:val="none" w:sz="0" w:space="0" w:color="auto"/>
                                                            <w:right w:val="none" w:sz="0" w:space="0" w:color="auto"/>
                                                          </w:divBdr>
                                                          <w:divsChild>
                                                            <w:div w:id="118721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729315">
      <w:bodyDiv w:val="1"/>
      <w:marLeft w:val="0"/>
      <w:marRight w:val="0"/>
      <w:marTop w:val="0"/>
      <w:marBottom w:val="0"/>
      <w:divBdr>
        <w:top w:val="none" w:sz="0" w:space="0" w:color="auto"/>
        <w:left w:val="none" w:sz="0" w:space="0" w:color="auto"/>
        <w:bottom w:val="none" w:sz="0" w:space="0" w:color="auto"/>
        <w:right w:val="none" w:sz="0" w:space="0" w:color="auto"/>
      </w:divBdr>
      <w:divsChild>
        <w:div w:id="1536233108">
          <w:marLeft w:val="0"/>
          <w:marRight w:val="0"/>
          <w:marTop w:val="0"/>
          <w:marBottom w:val="0"/>
          <w:divBdr>
            <w:top w:val="none" w:sz="0" w:space="0" w:color="auto"/>
            <w:left w:val="none" w:sz="0" w:space="0" w:color="auto"/>
            <w:bottom w:val="none" w:sz="0" w:space="0" w:color="auto"/>
            <w:right w:val="none" w:sz="0" w:space="0" w:color="auto"/>
          </w:divBdr>
          <w:divsChild>
            <w:div w:id="1229801002">
              <w:marLeft w:val="0"/>
              <w:marRight w:val="0"/>
              <w:marTop w:val="0"/>
              <w:marBottom w:val="0"/>
              <w:divBdr>
                <w:top w:val="none" w:sz="0" w:space="0" w:color="auto"/>
                <w:left w:val="none" w:sz="0" w:space="0" w:color="auto"/>
                <w:bottom w:val="none" w:sz="0" w:space="0" w:color="auto"/>
                <w:right w:val="none" w:sz="0" w:space="0" w:color="auto"/>
              </w:divBdr>
              <w:divsChild>
                <w:div w:id="1128818036">
                  <w:marLeft w:val="0"/>
                  <w:marRight w:val="0"/>
                  <w:marTop w:val="0"/>
                  <w:marBottom w:val="0"/>
                  <w:divBdr>
                    <w:top w:val="none" w:sz="0" w:space="0" w:color="auto"/>
                    <w:left w:val="none" w:sz="0" w:space="0" w:color="auto"/>
                    <w:bottom w:val="none" w:sz="0" w:space="0" w:color="auto"/>
                    <w:right w:val="none" w:sz="0" w:space="0" w:color="auto"/>
                  </w:divBdr>
                  <w:divsChild>
                    <w:div w:id="1003169876">
                      <w:marLeft w:val="0"/>
                      <w:marRight w:val="0"/>
                      <w:marTop w:val="0"/>
                      <w:marBottom w:val="0"/>
                      <w:divBdr>
                        <w:top w:val="none" w:sz="0" w:space="0" w:color="auto"/>
                        <w:left w:val="none" w:sz="0" w:space="0" w:color="auto"/>
                        <w:bottom w:val="none" w:sz="0" w:space="0" w:color="auto"/>
                        <w:right w:val="none" w:sz="0" w:space="0" w:color="auto"/>
                      </w:divBdr>
                      <w:divsChild>
                        <w:div w:id="142741486">
                          <w:marLeft w:val="0"/>
                          <w:marRight w:val="0"/>
                          <w:marTop w:val="0"/>
                          <w:marBottom w:val="0"/>
                          <w:divBdr>
                            <w:top w:val="none" w:sz="0" w:space="0" w:color="auto"/>
                            <w:left w:val="none" w:sz="0" w:space="0" w:color="auto"/>
                            <w:bottom w:val="none" w:sz="0" w:space="0" w:color="auto"/>
                            <w:right w:val="none" w:sz="0" w:space="0" w:color="auto"/>
                          </w:divBdr>
                          <w:divsChild>
                            <w:div w:id="1138910719">
                              <w:marLeft w:val="2700"/>
                              <w:marRight w:val="3960"/>
                              <w:marTop w:val="0"/>
                              <w:marBottom w:val="0"/>
                              <w:divBdr>
                                <w:top w:val="none" w:sz="0" w:space="0" w:color="auto"/>
                                <w:left w:val="none" w:sz="0" w:space="0" w:color="auto"/>
                                <w:bottom w:val="none" w:sz="0" w:space="0" w:color="auto"/>
                                <w:right w:val="none" w:sz="0" w:space="0" w:color="auto"/>
                              </w:divBdr>
                              <w:divsChild>
                                <w:div w:id="1492212784">
                                  <w:marLeft w:val="0"/>
                                  <w:marRight w:val="0"/>
                                  <w:marTop w:val="0"/>
                                  <w:marBottom w:val="0"/>
                                  <w:divBdr>
                                    <w:top w:val="none" w:sz="0" w:space="0" w:color="auto"/>
                                    <w:left w:val="none" w:sz="0" w:space="0" w:color="auto"/>
                                    <w:bottom w:val="none" w:sz="0" w:space="0" w:color="auto"/>
                                    <w:right w:val="none" w:sz="0" w:space="0" w:color="auto"/>
                                  </w:divBdr>
                                  <w:divsChild>
                                    <w:div w:id="1818568022">
                                      <w:marLeft w:val="0"/>
                                      <w:marRight w:val="0"/>
                                      <w:marTop w:val="0"/>
                                      <w:marBottom w:val="0"/>
                                      <w:divBdr>
                                        <w:top w:val="none" w:sz="0" w:space="0" w:color="auto"/>
                                        <w:left w:val="none" w:sz="0" w:space="0" w:color="auto"/>
                                        <w:bottom w:val="none" w:sz="0" w:space="0" w:color="auto"/>
                                        <w:right w:val="none" w:sz="0" w:space="0" w:color="auto"/>
                                      </w:divBdr>
                                      <w:divsChild>
                                        <w:div w:id="86849152">
                                          <w:marLeft w:val="0"/>
                                          <w:marRight w:val="0"/>
                                          <w:marTop w:val="0"/>
                                          <w:marBottom w:val="0"/>
                                          <w:divBdr>
                                            <w:top w:val="none" w:sz="0" w:space="0" w:color="auto"/>
                                            <w:left w:val="none" w:sz="0" w:space="0" w:color="auto"/>
                                            <w:bottom w:val="none" w:sz="0" w:space="0" w:color="auto"/>
                                            <w:right w:val="none" w:sz="0" w:space="0" w:color="auto"/>
                                          </w:divBdr>
                                          <w:divsChild>
                                            <w:div w:id="1607423983">
                                              <w:marLeft w:val="0"/>
                                              <w:marRight w:val="0"/>
                                              <w:marTop w:val="90"/>
                                              <w:marBottom w:val="0"/>
                                              <w:divBdr>
                                                <w:top w:val="none" w:sz="0" w:space="0" w:color="auto"/>
                                                <w:left w:val="none" w:sz="0" w:space="0" w:color="auto"/>
                                                <w:bottom w:val="none" w:sz="0" w:space="0" w:color="auto"/>
                                                <w:right w:val="none" w:sz="0" w:space="0" w:color="auto"/>
                                              </w:divBdr>
                                              <w:divsChild>
                                                <w:div w:id="660736440">
                                                  <w:marLeft w:val="0"/>
                                                  <w:marRight w:val="0"/>
                                                  <w:marTop w:val="0"/>
                                                  <w:marBottom w:val="0"/>
                                                  <w:divBdr>
                                                    <w:top w:val="none" w:sz="0" w:space="0" w:color="auto"/>
                                                    <w:left w:val="none" w:sz="0" w:space="0" w:color="auto"/>
                                                    <w:bottom w:val="none" w:sz="0" w:space="0" w:color="auto"/>
                                                    <w:right w:val="none" w:sz="0" w:space="0" w:color="auto"/>
                                                  </w:divBdr>
                                                  <w:divsChild>
                                                    <w:div w:id="1200554712">
                                                      <w:marLeft w:val="0"/>
                                                      <w:marRight w:val="0"/>
                                                      <w:marTop w:val="0"/>
                                                      <w:marBottom w:val="420"/>
                                                      <w:divBdr>
                                                        <w:top w:val="none" w:sz="0" w:space="0" w:color="auto"/>
                                                        <w:left w:val="none" w:sz="0" w:space="0" w:color="auto"/>
                                                        <w:bottom w:val="none" w:sz="0" w:space="0" w:color="auto"/>
                                                        <w:right w:val="none" w:sz="0" w:space="0" w:color="auto"/>
                                                      </w:divBdr>
                                                      <w:divsChild>
                                                        <w:div w:id="1623269413">
                                                          <w:marLeft w:val="0"/>
                                                          <w:marRight w:val="0"/>
                                                          <w:marTop w:val="0"/>
                                                          <w:marBottom w:val="0"/>
                                                          <w:divBdr>
                                                            <w:top w:val="none" w:sz="0" w:space="0" w:color="auto"/>
                                                            <w:left w:val="none" w:sz="0" w:space="0" w:color="auto"/>
                                                            <w:bottom w:val="none" w:sz="0" w:space="0" w:color="auto"/>
                                                            <w:right w:val="none" w:sz="0" w:space="0" w:color="auto"/>
                                                          </w:divBdr>
                                                          <w:divsChild>
                                                            <w:div w:id="716009252">
                                                              <w:marLeft w:val="0"/>
                                                              <w:marRight w:val="0"/>
                                                              <w:marTop w:val="0"/>
                                                              <w:marBottom w:val="0"/>
                                                              <w:divBdr>
                                                                <w:top w:val="none" w:sz="0" w:space="0" w:color="auto"/>
                                                                <w:left w:val="none" w:sz="0" w:space="0" w:color="auto"/>
                                                                <w:bottom w:val="none" w:sz="0" w:space="0" w:color="auto"/>
                                                                <w:right w:val="none" w:sz="0" w:space="0" w:color="auto"/>
                                                              </w:divBdr>
                                                              <w:divsChild>
                                                                <w:div w:id="627509246">
                                                                  <w:marLeft w:val="0"/>
                                                                  <w:marRight w:val="0"/>
                                                                  <w:marTop w:val="0"/>
                                                                  <w:marBottom w:val="0"/>
                                                                  <w:divBdr>
                                                                    <w:top w:val="none" w:sz="0" w:space="0" w:color="auto"/>
                                                                    <w:left w:val="none" w:sz="0" w:space="0" w:color="auto"/>
                                                                    <w:bottom w:val="none" w:sz="0" w:space="0" w:color="auto"/>
                                                                    <w:right w:val="none" w:sz="0" w:space="0" w:color="auto"/>
                                                                  </w:divBdr>
                                                                  <w:divsChild>
                                                                    <w:div w:id="1022779867">
                                                                      <w:marLeft w:val="0"/>
                                                                      <w:marRight w:val="0"/>
                                                                      <w:marTop w:val="0"/>
                                                                      <w:marBottom w:val="0"/>
                                                                      <w:divBdr>
                                                                        <w:top w:val="none" w:sz="0" w:space="0" w:color="auto"/>
                                                                        <w:left w:val="none" w:sz="0" w:space="0" w:color="auto"/>
                                                                        <w:bottom w:val="none" w:sz="0" w:space="0" w:color="auto"/>
                                                                        <w:right w:val="none" w:sz="0" w:space="0" w:color="auto"/>
                                                                      </w:divBdr>
                                                                      <w:divsChild>
                                                                        <w:div w:id="1366441740">
                                                                          <w:marLeft w:val="0"/>
                                                                          <w:marRight w:val="0"/>
                                                                          <w:marTop w:val="0"/>
                                                                          <w:marBottom w:val="0"/>
                                                                          <w:divBdr>
                                                                            <w:top w:val="none" w:sz="0" w:space="0" w:color="auto"/>
                                                                            <w:left w:val="none" w:sz="0" w:space="0" w:color="auto"/>
                                                                            <w:bottom w:val="none" w:sz="0" w:space="0" w:color="auto"/>
                                                                            <w:right w:val="none" w:sz="0" w:space="0" w:color="auto"/>
                                                                          </w:divBdr>
                                                                          <w:divsChild>
                                                                            <w:div w:id="1420754996">
                                                                              <w:marLeft w:val="0"/>
                                                                              <w:marRight w:val="0"/>
                                                                              <w:marTop w:val="0"/>
                                                                              <w:marBottom w:val="0"/>
                                                                              <w:divBdr>
                                                                                <w:top w:val="none" w:sz="0" w:space="0" w:color="auto"/>
                                                                                <w:left w:val="none" w:sz="0" w:space="0" w:color="auto"/>
                                                                                <w:bottom w:val="none" w:sz="0" w:space="0" w:color="auto"/>
                                                                                <w:right w:val="none" w:sz="0" w:space="0" w:color="auto"/>
                                                                              </w:divBdr>
                                                                              <w:divsChild>
                                                                                <w:div w:id="406542037">
                                                                                  <w:marLeft w:val="0"/>
                                                                                  <w:marRight w:val="0"/>
                                                                                  <w:marTop w:val="0"/>
                                                                                  <w:marBottom w:val="0"/>
                                                                                  <w:divBdr>
                                                                                    <w:top w:val="none" w:sz="0" w:space="0" w:color="auto"/>
                                                                                    <w:left w:val="none" w:sz="0" w:space="0" w:color="auto"/>
                                                                                    <w:bottom w:val="none" w:sz="0" w:space="0" w:color="auto"/>
                                                                                    <w:right w:val="none" w:sz="0" w:space="0" w:color="auto"/>
                                                                                  </w:divBdr>
                                                                                  <w:divsChild>
                                                                                    <w:div w:id="1501890928">
                                                                                      <w:marLeft w:val="0"/>
                                                                                      <w:marRight w:val="0"/>
                                                                                      <w:marTop w:val="0"/>
                                                                                      <w:marBottom w:val="0"/>
                                                                                      <w:divBdr>
                                                                                        <w:top w:val="none" w:sz="0" w:space="0" w:color="auto"/>
                                                                                        <w:left w:val="none" w:sz="0" w:space="0" w:color="auto"/>
                                                                                        <w:bottom w:val="none" w:sz="0" w:space="0" w:color="auto"/>
                                                                                        <w:right w:val="none" w:sz="0" w:space="0" w:color="auto"/>
                                                                                      </w:divBdr>
                                                                                      <w:divsChild>
                                                                                        <w:div w:id="77444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2912963">
      <w:bodyDiv w:val="1"/>
      <w:marLeft w:val="0"/>
      <w:marRight w:val="0"/>
      <w:marTop w:val="0"/>
      <w:marBottom w:val="0"/>
      <w:divBdr>
        <w:top w:val="none" w:sz="0" w:space="0" w:color="auto"/>
        <w:left w:val="none" w:sz="0" w:space="0" w:color="auto"/>
        <w:bottom w:val="none" w:sz="0" w:space="0" w:color="auto"/>
        <w:right w:val="none" w:sz="0" w:space="0" w:color="auto"/>
      </w:divBdr>
      <w:divsChild>
        <w:div w:id="1138183666">
          <w:marLeft w:val="0"/>
          <w:marRight w:val="0"/>
          <w:marTop w:val="0"/>
          <w:marBottom w:val="0"/>
          <w:divBdr>
            <w:top w:val="none" w:sz="0" w:space="0" w:color="auto"/>
            <w:left w:val="none" w:sz="0" w:space="0" w:color="auto"/>
            <w:bottom w:val="none" w:sz="0" w:space="0" w:color="auto"/>
            <w:right w:val="none" w:sz="0" w:space="0" w:color="auto"/>
          </w:divBdr>
          <w:divsChild>
            <w:div w:id="809246223">
              <w:marLeft w:val="0"/>
              <w:marRight w:val="0"/>
              <w:marTop w:val="0"/>
              <w:marBottom w:val="0"/>
              <w:divBdr>
                <w:top w:val="none" w:sz="0" w:space="0" w:color="auto"/>
                <w:left w:val="none" w:sz="0" w:space="0" w:color="auto"/>
                <w:bottom w:val="none" w:sz="0" w:space="0" w:color="auto"/>
                <w:right w:val="none" w:sz="0" w:space="0" w:color="auto"/>
              </w:divBdr>
              <w:divsChild>
                <w:div w:id="440228498">
                  <w:marLeft w:val="0"/>
                  <w:marRight w:val="0"/>
                  <w:marTop w:val="0"/>
                  <w:marBottom w:val="0"/>
                  <w:divBdr>
                    <w:top w:val="none" w:sz="0" w:space="0" w:color="auto"/>
                    <w:left w:val="none" w:sz="0" w:space="0" w:color="auto"/>
                    <w:bottom w:val="none" w:sz="0" w:space="0" w:color="auto"/>
                    <w:right w:val="none" w:sz="0" w:space="0" w:color="auto"/>
                  </w:divBdr>
                  <w:divsChild>
                    <w:div w:id="1132014669">
                      <w:marLeft w:val="0"/>
                      <w:marRight w:val="0"/>
                      <w:marTop w:val="0"/>
                      <w:marBottom w:val="0"/>
                      <w:divBdr>
                        <w:top w:val="none" w:sz="0" w:space="0" w:color="auto"/>
                        <w:left w:val="none" w:sz="0" w:space="0" w:color="auto"/>
                        <w:bottom w:val="none" w:sz="0" w:space="0" w:color="auto"/>
                        <w:right w:val="none" w:sz="0" w:space="0" w:color="auto"/>
                      </w:divBdr>
                      <w:divsChild>
                        <w:div w:id="1943873637">
                          <w:marLeft w:val="0"/>
                          <w:marRight w:val="0"/>
                          <w:marTop w:val="0"/>
                          <w:marBottom w:val="0"/>
                          <w:divBdr>
                            <w:top w:val="none" w:sz="0" w:space="0" w:color="auto"/>
                            <w:left w:val="none" w:sz="0" w:space="0" w:color="auto"/>
                            <w:bottom w:val="none" w:sz="0" w:space="0" w:color="auto"/>
                            <w:right w:val="none" w:sz="0" w:space="0" w:color="auto"/>
                          </w:divBdr>
                          <w:divsChild>
                            <w:div w:id="971666373">
                              <w:marLeft w:val="2700"/>
                              <w:marRight w:val="3960"/>
                              <w:marTop w:val="0"/>
                              <w:marBottom w:val="0"/>
                              <w:divBdr>
                                <w:top w:val="none" w:sz="0" w:space="0" w:color="auto"/>
                                <w:left w:val="none" w:sz="0" w:space="0" w:color="auto"/>
                                <w:bottom w:val="none" w:sz="0" w:space="0" w:color="auto"/>
                                <w:right w:val="none" w:sz="0" w:space="0" w:color="auto"/>
                              </w:divBdr>
                              <w:divsChild>
                                <w:div w:id="158621878">
                                  <w:marLeft w:val="0"/>
                                  <w:marRight w:val="0"/>
                                  <w:marTop w:val="0"/>
                                  <w:marBottom w:val="0"/>
                                  <w:divBdr>
                                    <w:top w:val="none" w:sz="0" w:space="0" w:color="auto"/>
                                    <w:left w:val="none" w:sz="0" w:space="0" w:color="auto"/>
                                    <w:bottom w:val="none" w:sz="0" w:space="0" w:color="auto"/>
                                    <w:right w:val="none" w:sz="0" w:space="0" w:color="auto"/>
                                  </w:divBdr>
                                  <w:divsChild>
                                    <w:div w:id="532808981">
                                      <w:marLeft w:val="0"/>
                                      <w:marRight w:val="0"/>
                                      <w:marTop w:val="0"/>
                                      <w:marBottom w:val="0"/>
                                      <w:divBdr>
                                        <w:top w:val="none" w:sz="0" w:space="0" w:color="auto"/>
                                        <w:left w:val="none" w:sz="0" w:space="0" w:color="auto"/>
                                        <w:bottom w:val="none" w:sz="0" w:space="0" w:color="auto"/>
                                        <w:right w:val="none" w:sz="0" w:space="0" w:color="auto"/>
                                      </w:divBdr>
                                      <w:divsChild>
                                        <w:div w:id="1421829108">
                                          <w:marLeft w:val="0"/>
                                          <w:marRight w:val="0"/>
                                          <w:marTop w:val="0"/>
                                          <w:marBottom w:val="0"/>
                                          <w:divBdr>
                                            <w:top w:val="none" w:sz="0" w:space="0" w:color="auto"/>
                                            <w:left w:val="none" w:sz="0" w:space="0" w:color="auto"/>
                                            <w:bottom w:val="none" w:sz="0" w:space="0" w:color="auto"/>
                                            <w:right w:val="none" w:sz="0" w:space="0" w:color="auto"/>
                                          </w:divBdr>
                                          <w:divsChild>
                                            <w:div w:id="1459369753">
                                              <w:marLeft w:val="0"/>
                                              <w:marRight w:val="0"/>
                                              <w:marTop w:val="90"/>
                                              <w:marBottom w:val="0"/>
                                              <w:divBdr>
                                                <w:top w:val="none" w:sz="0" w:space="0" w:color="auto"/>
                                                <w:left w:val="none" w:sz="0" w:space="0" w:color="auto"/>
                                                <w:bottom w:val="none" w:sz="0" w:space="0" w:color="auto"/>
                                                <w:right w:val="none" w:sz="0" w:space="0" w:color="auto"/>
                                              </w:divBdr>
                                              <w:divsChild>
                                                <w:div w:id="46493663">
                                                  <w:marLeft w:val="0"/>
                                                  <w:marRight w:val="0"/>
                                                  <w:marTop w:val="0"/>
                                                  <w:marBottom w:val="0"/>
                                                  <w:divBdr>
                                                    <w:top w:val="none" w:sz="0" w:space="0" w:color="auto"/>
                                                    <w:left w:val="none" w:sz="0" w:space="0" w:color="auto"/>
                                                    <w:bottom w:val="none" w:sz="0" w:space="0" w:color="auto"/>
                                                    <w:right w:val="none" w:sz="0" w:space="0" w:color="auto"/>
                                                  </w:divBdr>
                                                  <w:divsChild>
                                                    <w:div w:id="1683431136">
                                                      <w:marLeft w:val="0"/>
                                                      <w:marRight w:val="0"/>
                                                      <w:marTop w:val="0"/>
                                                      <w:marBottom w:val="420"/>
                                                      <w:divBdr>
                                                        <w:top w:val="none" w:sz="0" w:space="0" w:color="auto"/>
                                                        <w:left w:val="none" w:sz="0" w:space="0" w:color="auto"/>
                                                        <w:bottom w:val="none" w:sz="0" w:space="0" w:color="auto"/>
                                                        <w:right w:val="none" w:sz="0" w:space="0" w:color="auto"/>
                                                      </w:divBdr>
                                                      <w:divsChild>
                                                        <w:div w:id="941109768">
                                                          <w:marLeft w:val="0"/>
                                                          <w:marRight w:val="0"/>
                                                          <w:marTop w:val="0"/>
                                                          <w:marBottom w:val="0"/>
                                                          <w:divBdr>
                                                            <w:top w:val="none" w:sz="0" w:space="0" w:color="auto"/>
                                                            <w:left w:val="none" w:sz="0" w:space="0" w:color="auto"/>
                                                            <w:bottom w:val="none" w:sz="0" w:space="0" w:color="auto"/>
                                                            <w:right w:val="none" w:sz="0" w:space="0" w:color="auto"/>
                                                          </w:divBdr>
                                                          <w:divsChild>
                                                            <w:div w:id="406344761">
                                                              <w:marLeft w:val="0"/>
                                                              <w:marRight w:val="0"/>
                                                              <w:marTop w:val="0"/>
                                                              <w:marBottom w:val="0"/>
                                                              <w:divBdr>
                                                                <w:top w:val="none" w:sz="0" w:space="0" w:color="auto"/>
                                                                <w:left w:val="none" w:sz="0" w:space="0" w:color="auto"/>
                                                                <w:bottom w:val="none" w:sz="0" w:space="0" w:color="auto"/>
                                                                <w:right w:val="none" w:sz="0" w:space="0" w:color="auto"/>
                                                              </w:divBdr>
                                                              <w:divsChild>
                                                                <w:div w:id="1990665913">
                                                                  <w:marLeft w:val="0"/>
                                                                  <w:marRight w:val="0"/>
                                                                  <w:marTop w:val="0"/>
                                                                  <w:marBottom w:val="0"/>
                                                                  <w:divBdr>
                                                                    <w:top w:val="none" w:sz="0" w:space="0" w:color="auto"/>
                                                                    <w:left w:val="none" w:sz="0" w:space="0" w:color="auto"/>
                                                                    <w:bottom w:val="none" w:sz="0" w:space="0" w:color="auto"/>
                                                                    <w:right w:val="none" w:sz="0" w:space="0" w:color="auto"/>
                                                                  </w:divBdr>
                                                                  <w:divsChild>
                                                                    <w:div w:id="180701035">
                                                                      <w:marLeft w:val="0"/>
                                                                      <w:marRight w:val="0"/>
                                                                      <w:marTop w:val="0"/>
                                                                      <w:marBottom w:val="0"/>
                                                                      <w:divBdr>
                                                                        <w:top w:val="none" w:sz="0" w:space="0" w:color="auto"/>
                                                                        <w:left w:val="none" w:sz="0" w:space="0" w:color="auto"/>
                                                                        <w:bottom w:val="none" w:sz="0" w:space="0" w:color="auto"/>
                                                                        <w:right w:val="none" w:sz="0" w:space="0" w:color="auto"/>
                                                                      </w:divBdr>
                                                                      <w:divsChild>
                                                                        <w:div w:id="397364166">
                                                                          <w:marLeft w:val="0"/>
                                                                          <w:marRight w:val="0"/>
                                                                          <w:marTop w:val="0"/>
                                                                          <w:marBottom w:val="0"/>
                                                                          <w:divBdr>
                                                                            <w:top w:val="none" w:sz="0" w:space="0" w:color="auto"/>
                                                                            <w:left w:val="none" w:sz="0" w:space="0" w:color="auto"/>
                                                                            <w:bottom w:val="none" w:sz="0" w:space="0" w:color="auto"/>
                                                                            <w:right w:val="none" w:sz="0" w:space="0" w:color="auto"/>
                                                                          </w:divBdr>
                                                                          <w:divsChild>
                                                                            <w:div w:id="725573035">
                                                                              <w:marLeft w:val="0"/>
                                                                              <w:marRight w:val="0"/>
                                                                              <w:marTop w:val="0"/>
                                                                              <w:marBottom w:val="0"/>
                                                                              <w:divBdr>
                                                                                <w:top w:val="none" w:sz="0" w:space="0" w:color="auto"/>
                                                                                <w:left w:val="none" w:sz="0" w:space="0" w:color="auto"/>
                                                                                <w:bottom w:val="none" w:sz="0" w:space="0" w:color="auto"/>
                                                                                <w:right w:val="none" w:sz="0" w:space="0" w:color="auto"/>
                                                                              </w:divBdr>
                                                                              <w:divsChild>
                                                                                <w:div w:id="304315685">
                                                                                  <w:marLeft w:val="0"/>
                                                                                  <w:marRight w:val="0"/>
                                                                                  <w:marTop w:val="0"/>
                                                                                  <w:marBottom w:val="0"/>
                                                                                  <w:divBdr>
                                                                                    <w:top w:val="none" w:sz="0" w:space="0" w:color="auto"/>
                                                                                    <w:left w:val="none" w:sz="0" w:space="0" w:color="auto"/>
                                                                                    <w:bottom w:val="none" w:sz="0" w:space="0" w:color="auto"/>
                                                                                    <w:right w:val="none" w:sz="0" w:space="0" w:color="auto"/>
                                                                                  </w:divBdr>
                                                                                  <w:divsChild>
                                                                                    <w:div w:id="1789424522">
                                                                                      <w:marLeft w:val="0"/>
                                                                                      <w:marRight w:val="0"/>
                                                                                      <w:marTop w:val="0"/>
                                                                                      <w:marBottom w:val="0"/>
                                                                                      <w:divBdr>
                                                                                        <w:top w:val="none" w:sz="0" w:space="0" w:color="auto"/>
                                                                                        <w:left w:val="none" w:sz="0" w:space="0" w:color="auto"/>
                                                                                        <w:bottom w:val="none" w:sz="0" w:space="0" w:color="auto"/>
                                                                                        <w:right w:val="none" w:sz="0" w:space="0" w:color="auto"/>
                                                                                      </w:divBdr>
                                                                                      <w:divsChild>
                                                                                        <w:div w:id="86213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301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EAF29-E0E7-441F-9275-506329995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38555</TotalTime>
  <Pages>1</Pages>
  <Words>28773</Words>
  <Characters>148759</Characters>
  <Application>Microsoft Office Word</Application>
  <DocSecurity>0</DocSecurity>
  <Lines>5950</Lines>
  <Paragraphs>3550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Raneem T. Hussein</dc:creator>
  <cp:keywords/>
  <dc:description/>
  <cp:lastModifiedBy>Raneem T. Hussein</cp:lastModifiedBy>
  <cp:revision>357</cp:revision>
  <cp:lastPrinted>2021-02-27T19:42:00Z</cp:lastPrinted>
  <dcterms:created xsi:type="dcterms:W3CDTF">2020-10-16T08:20:00Z</dcterms:created>
  <dcterms:modified xsi:type="dcterms:W3CDTF">2021-02-27T19:43:00Z</dcterms:modified>
</cp:coreProperties>
</file>