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4EC" w:rsidRPr="004451F4" w:rsidRDefault="00EE04EC" w:rsidP="00BC4DA1">
      <w:pPr>
        <w:bidi/>
        <w:spacing w:line="240" w:lineRule="auto"/>
        <w:ind w:left="-6"/>
        <w:jc w:val="lowKashida"/>
        <w:outlineLvl w:val="0"/>
        <w:rPr>
          <w:rFonts w:ascii="Simplified Arabic" w:hAnsi="Simplified Arabic" w:cs="Simplified Arabic"/>
          <w:sz w:val="30"/>
          <w:szCs w:val="30"/>
        </w:rPr>
      </w:pPr>
      <w:r w:rsidRPr="004451F4">
        <w:rPr>
          <w:rFonts w:ascii="Simplified Arabic" w:hAnsi="Simplified Arabic" w:cs="Simplified Arabic"/>
          <w:sz w:val="32"/>
          <w:szCs w:val="32"/>
          <w:rtl/>
        </w:rPr>
        <w:t xml:space="preserve">    </w:t>
      </w:r>
      <w:r w:rsidRPr="004451F4">
        <w:rPr>
          <w:rFonts w:ascii="Simplified Arabic" w:hAnsi="Simplified Arabic" w:cs="Simplified Arabic"/>
          <w:sz w:val="30"/>
          <w:szCs w:val="30"/>
          <w:rtl/>
        </w:rPr>
        <w:t>10/1/</w:t>
      </w:r>
      <w:r w:rsidR="00FE2097">
        <w:rPr>
          <w:rFonts w:ascii="Simplified Arabic" w:hAnsi="Simplified Arabic" w:cs="Simplified Arabic" w:hint="cs"/>
          <w:sz w:val="30"/>
          <w:szCs w:val="30"/>
          <w:rtl/>
        </w:rPr>
        <w:t>7859</w:t>
      </w:r>
    </w:p>
    <w:p w:rsidR="00EE04EC" w:rsidRPr="004451F4" w:rsidRDefault="00FE2097" w:rsidP="00922175">
      <w:pPr>
        <w:bidi/>
        <w:spacing w:line="240" w:lineRule="auto"/>
        <w:ind w:left="-6"/>
        <w:jc w:val="lowKashida"/>
        <w:rPr>
          <w:rFonts w:ascii="Simplified Arabic" w:hAnsi="Simplified Arabic" w:cs="Simplified Arabic"/>
          <w:sz w:val="30"/>
          <w:szCs w:val="30"/>
          <w:rtl/>
        </w:rPr>
      </w:pPr>
      <w:r>
        <w:rPr>
          <w:rFonts w:ascii="Simplified Arabic" w:hAnsi="Simplified Arabic" w:cs="Simplified Arabic" w:hint="cs"/>
          <w:sz w:val="30"/>
          <w:szCs w:val="30"/>
          <w:rtl/>
        </w:rPr>
        <w:t xml:space="preserve"> </w:t>
      </w:r>
      <w:r w:rsidR="00EE04EC" w:rsidRPr="004451F4">
        <w:rPr>
          <w:rFonts w:ascii="Simplified Arabic" w:hAnsi="Simplified Arabic" w:cs="Simplified Arabic"/>
          <w:sz w:val="30"/>
          <w:szCs w:val="30"/>
          <w:rtl/>
        </w:rPr>
        <w:t xml:space="preserve">    </w:t>
      </w:r>
      <w:r>
        <w:rPr>
          <w:rFonts w:ascii="Simplified Arabic" w:hAnsi="Simplified Arabic" w:cs="Simplified Arabic" w:hint="cs"/>
          <w:sz w:val="30"/>
          <w:szCs w:val="30"/>
          <w:rtl/>
        </w:rPr>
        <w:t>13</w:t>
      </w:r>
      <w:r w:rsidR="00EE04EC" w:rsidRPr="004451F4">
        <w:rPr>
          <w:rFonts w:ascii="Simplified Arabic" w:hAnsi="Simplified Arabic" w:cs="Simplified Arabic"/>
          <w:sz w:val="30"/>
          <w:szCs w:val="30"/>
          <w:rtl/>
        </w:rPr>
        <w:t xml:space="preserve">/ </w:t>
      </w:r>
      <w:r>
        <w:rPr>
          <w:rFonts w:ascii="Simplified Arabic" w:hAnsi="Simplified Arabic" w:cs="Simplified Arabic" w:hint="cs"/>
          <w:sz w:val="30"/>
          <w:szCs w:val="30"/>
          <w:rtl/>
        </w:rPr>
        <w:t>11</w:t>
      </w:r>
      <w:r w:rsidR="00EE04EC" w:rsidRPr="004451F4">
        <w:rPr>
          <w:rFonts w:ascii="Simplified Arabic" w:hAnsi="Simplified Arabic" w:cs="Simplified Arabic"/>
          <w:sz w:val="30"/>
          <w:szCs w:val="30"/>
          <w:rtl/>
        </w:rPr>
        <w:t xml:space="preserve"> /144</w:t>
      </w:r>
      <w:r w:rsidR="007505CF" w:rsidRPr="004451F4">
        <w:rPr>
          <w:rFonts w:ascii="Simplified Arabic" w:hAnsi="Simplified Arabic" w:cs="Simplified Arabic"/>
          <w:sz w:val="30"/>
          <w:szCs w:val="30"/>
          <w:rtl/>
          <w:lang w:bidi="ar-JO"/>
        </w:rPr>
        <w:t>1</w:t>
      </w:r>
      <w:r w:rsidR="00EE04EC" w:rsidRPr="004451F4">
        <w:rPr>
          <w:rFonts w:ascii="Simplified Arabic" w:hAnsi="Simplified Arabic" w:cs="Simplified Arabic"/>
          <w:sz w:val="30"/>
          <w:szCs w:val="30"/>
          <w:rtl/>
        </w:rPr>
        <w:t>هـ</w:t>
      </w:r>
    </w:p>
    <w:p w:rsidR="00EE04EC" w:rsidRDefault="00FE2097" w:rsidP="002B4BF9">
      <w:pPr>
        <w:bidi/>
        <w:spacing w:line="240" w:lineRule="auto"/>
        <w:ind w:left="-6"/>
        <w:jc w:val="lowKashida"/>
        <w:rPr>
          <w:rFonts w:ascii="Simplified Arabic" w:hAnsi="Simplified Arabic" w:cs="Simplified Arabic"/>
          <w:sz w:val="30"/>
          <w:szCs w:val="30"/>
          <w:rtl/>
        </w:rPr>
      </w:pPr>
      <w:r>
        <w:rPr>
          <w:rFonts w:ascii="Simplified Arabic" w:hAnsi="Simplified Arabic" w:cs="Simplified Arabic"/>
          <w:sz w:val="30"/>
          <w:szCs w:val="30"/>
          <w:rtl/>
        </w:rPr>
        <w:t xml:space="preserve">   </w:t>
      </w:r>
      <w:r>
        <w:rPr>
          <w:rFonts w:ascii="Simplified Arabic" w:hAnsi="Simplified Arabic" w:cs="Simplified Arabic" w:hint="cs"/>
          <w:sz w:val="30"/>
          <w:szCs w:val="30"/>
          <w:rtl/>
        </w:rPr>
        <w:t xml:space="preserve"> </w:t>
      </w:r>
      <w:bookmarkStart w:id="0" w:name="_GoBack"/>
      <w:bookmarkEnd w:id="0"/>
      <w:r w:rsidR="00EE04EC" w:rsidRPr="004451F4">
        <w:rPr>
          <w:rFonts w:ascii="Simplified Arabic" w:hAnsi="Simplified Arabic" w:cs="Simplified Arabic"/>
          <w:sz w:val="30"/>
          <w:szCs w:val="30"/>
          <w:rtl/>
        </w:rPr>
        <w:t xml:space="preserve">  </w:t>
      </w:r>
      <w:r>
        <w:rPr>
          <w:rFonts w:ascii="Simplified Arabic" w:hAnsi="Simplified Arabic" w:cs="Simplified Arabic" w:hint="cs"/>
          <w:sz w:val="30"/>
          <w:szCs w:val="30"/>
          <w:rtl/>
        </w:rPr>
        <w:t>5</w:t>
      </w:r>
      <w:r w:rsidR="00EE04EC" w:rsidRPr="004451F4">
        <w:rPr>
          <w:rFonts w:ascii="Simplified Arabic" w:hAnsi="Simplified Arabic" w:cs="Simplified Arabic"/>
          <w:sz w:val="30"/>
          <w:szCs w:val="30"/>
          <w:rtl/>
        </w:rPr>
        <w:t xml:space="preserve">/ </w:t>
      </w:r>
      <w:r>
        <w:rPr>
          <w:rFonts w:ascii="Simplified Arabic" w:hAnsi="Simplified Arabic" w:cs="Simplified Arabic" w:hint="cs"/>
          <w:sz w:val="30"/>
          <w:szCs w:val="30"/>
          <w:rtl/>
        </w:rPr>
        <w:t>7</w:t>
      </w:r>
      <w:r w:rsidR="00EE04EC" w:rsidRPr="004451F4">
        <w:rPr>
          <w:rFonts w:ascii="Simplified Arabic" w:hAnsi="Simplified Arabic" w:cs="Simplified Arabic"/>
          <w:sz w:val="30"/>
          <w:szCs w:val="30"/>
          <w:rtl/>
        </w:rPr>
        <w:t xml:space="preserve"> /20</w:t>
      </w:r>
      <w:r w:rsidR="002B4BF9" w:rsidRPr="004451F4">
        <w:rPr>
          <w:rFonts w:ascii="Simplified Arabic" w:hAnsi="Simplified Arabic" w:cs="Simplified Arabic"/>
          <w:sz w:val="30"/>
          <w:szCs w:val="30"/>
          <w:rtl/>
        </w:rPr>
        <w:t>20</w:t>
      </w:r>
      <w:r w:rsidR="00EE04EC" w:rsidRPr="004451F4">
        <w:rPr>
          <w:rFonts w:ascii="Simplified Arabic" w:hAnsi="Simplified Arabic" w:cs="Simplified Arabic"/>
          <w:sz w:val="30"/>
          <w:szCs w:val="30"/>
          <w:rtl/>
        </w:rPr>
        <w:t xml:space="preserve"> م</w:t>
      </w:r>
    </w:p>
    <w:p w:rsidR="006F4035" w:rsidRPr="004451F4" w:rsidRDefault="006F4035" w:rsidP="006F4035">
      <w:pPr>
        <w:bidi/>
        <w:spacing w:line="240" w:lineRule="auto"/>
        <w:ind w:left="-6"/>
        <w:jc w:val="lowKashida"/>
        <w:rPr>
          <w:rFonts w:ascii="Simplified Arabic" w:hAnsi="Simplified Arabic" w:cs="Simplified Arabic"/>
          <w:sz w:val="30"/>
          <w:szCs w:val="30"/>
          <w:rtl/>
        </w:rPr>
      </w:pPr>
    </w:p>
    <w:p w:rsidR="00EE04EC" w:rsidRPr="004451F4" w:rsidRDefault="00EE04EC" w:rsidP="00EE04EC">
      <w:pPr>
        <w:keepNext/>
        <w:bidi/>
        <w:spacing w:after="60"/>
        <w:jc w:val="center"/>
        <w:outlineLvl w:val="0"/>
        <w:rPr>
          <w:rFonts w:ascii="Simplified Arabic" w:hAnsi="Simplified Arabic" w:cs="Simplified Arabic"/>
          <w:b/>
          <w:bCs/>
          <w:sz w:val="32"/>
          <w:szCs w:val="32"/>
          <w:rtl/>
        </w:rPr>
      </w:pPr>
    </w:p>
    <w:p w:rsidR="00EE04EC" w:rsidRPr="004451F4" w:rsidRDefault="00EE04EC" w:rsidP="004451F4">
      <w:pPr>
        <w:keepNext/>
        <w:bidi/>
        <w:spacing w:after="60" w:line="240" w:lineRule="auto"/>
        <w:jc w:val="center"/>
        <w:outlineLvl w:val="0"/>
        <w:rPr>
          <w:rFonts w:ascii="Simplified Arabic" w:hAnsi="Simplified Arabic" w:cs="Simplified Arabic"/>
          <w:b/>
          <w:bCs/>
          <w:sz w:val="32"/>
          <w:szCs w:val="32"/>
          <w:rtl/>
          <w:lang w:bidi="ar-JO"/>
        </w:rPr>
      </w:pPr>
      <w:r w:rsidRPr="004451F4">
        <w:rPr>
          <w:rFonts w:ascii="Simplified Arabic" w:hAnsi="Simplified Arabic" w:cs="Simplified Arabic"/>
          <w:b/>
          <w:bCs/>
          <w:sz w:val="32"/>
          <w:szCs w:val="32"/>
          <w:rtl/>
          <w:lang w:bidi="ar-JO"/>
        </w:rPr>
        <w:t xml:space="preserve">تعليمات تطبيق معايير المحاسبة المالية الصادرة عن هيئة المحاسبة والمراجعة للمؤسسات المالية الإسلامية </w:t>
      </w:r>
      <w:r w:rsidRPr="004451F4">
        <w:rPr>
          <w:rFonts w:ascii="Simplified Arabic" w:hAnsi="Simplified Arabic" w:cs="Simplified Arabic"/>
          <w:b/>
          <w:bCs/>
          <w:sz w:val="32"/>
          <w:szCs w:val="32"/>
          <w:lang w:bidi="ar-JO"/>
        </w:rPr>
        <w:t>AAOIFI</w:t>
      </w:r>
      <w:r w:rsidRPr="004451F4">
        <w:rPr>
          <w:rFonts w:ascii="Simplified Arabic" w:hAnsi="Simplified Arabic" w:cs="Simplified Arabic"/>
          <w:b/>
          <w:bCs/>
          <w:sz w:val="32"/>
          <w:szCs w:val="32"/>
          <w:rtl/>
          <w:lang w:bidi="ar-JO"/>
        </w:rPr>
        <w:t xml:space="preserve"> رقم </w:t>
      </w:r>
      <w:r w:rsidR="00185877" w:rsidRPr="004451F4">
        <w:rPr>
          <w:rFonts w:ascii="Simplified Arabic" w:hAnsi="Simplified Arabic" w:cs="Simplified Arabic"/>
          <w:b/>
          <w:bCs/>
          <w:sz w:val="32"/>
          <w:szCs w:val="32"/>
          <w:rtl/>
          <w:lang w:bidi="ar-JO"/>
        </w:rPr>
        <w:t>(30) " اضمحلال الموجودات، والخسائر الائتمانية والالتزامات ذات المخاطر المرتفعة"، (35) "احتياطيات المخاطر"، (33) "</w:t>
      </w:r>
      <w:r w:rsidR="004451F4" w:rsidRPr="004451F4">
        <w:rPr>
          <w:rFonts w:ascii="Simplified Arabic" w:hAnsi="Simplified Arabic" w:cs="Simplified Arabic"/>
          <w:b/>
          <w:bCs/>
          <w:sz w:val="32"/>
          <w:szCs w:val="32"/>
          <w:rtl/>
          <w:lang w:bidi="ar-JO"/>
        </w:rPr>
        <w:t>استثمارات البنوك الإسلامية للأسهم والحصص في رؤوس أموال الشركات، الصكوك</w:t>
      </w:r>
      <w:r w:rsidR="00185877" w:rsidRPr="004451F4">
        <w:rPr>
          <w:rFonts w:ascii="Simplified Arabic" w:hAnsi="Simplified Arabic" w:cs="Simplified Arabic"/>
          <w:b/>
          <w:bCs/>
          <w:sz w:val="32"/>
          <w:szCs w:val="32"/>
          <w:rtl/>
          <w:lang w:bidi="ar-JO"/>
        </w:rPr>
        <w:t xml:space="preserve"> "و </w:t>
      </w:r>
      <w:r w:rsidRPr="004451F4">
        <w:rPr>
          <w:rFonts w:ascii="Simplified Arabic" w:hAnsi="Simplified Arabic" w:cs="Simplified Arabic"/>
          <w:b/>
          <w:bCs/>
          <w:sz w:val="32"/>
          <w:szCs w:val="32"/>
          <w:rtl/>
          <w:lang w:bidi="ar-JO"/>
        </w:rPr>
        <w:t>(26) "الاستثمارات في العقار</w:t>
      </w:r>
      <w:r w:rsidR="00185877" w:rsidRPr="004451F4">
        <w:rPr>
          <w:rFonts w:ascii="Simplified Arabic" w:hAnsi="Simplified Arabic" w:cs="Simplified Arabic"/>
          <w:b/>
          <w:bCs/>
          <w:sz w:val="32"/>
          <w:szCs w:val="32"/>
          <w:rtl/>
          <w:lang w:bidi="ar-JO"/>
        </w:rPr>
        <w:t>ا</w:t>
      </w:r>
      <w:r w:rsidRPr="004451F4">
        <w:rPr>
          <w:rFonts w:ascii="Simplified Arabic" w:hAnsi="Simplified Arabic" w:cs="Simplified Arabic"/>
          <w:b/>
          <w:bCs/>
          <w:sz w:val="32"/>
          <w:szCs w:val="32"/>
          <w:rtl/>
          <w:lang w:bidi="ar-JO"/>
        </w:rPr>
        <w:t>ت"</w:t>
      </w:r>
      <w:r w:rsidR="00551AF6" w:rsidRPr="004451F4">
        <w:rPr>
          <w:rFonts w:ascii="Simplified Arabic" w:hAnsi="Simplified Arabic" w:cs="Simplified Arabic"/>
          <w:b/>
          <w:bCs/>
          <w:sz w:val="32"/>
          <w:szCs w:val="32"/>
          <w:rtl/>
          <w:lang w:bidi="ar-JO"/>
        </w:rPr>
        <w:t xml:space="preserve"> </w:t>
      </w:r>
    </w:p>
    <w:p w:rsidR="00EE04EC" w:rsidRPr="004451F4" w:rsidRDefault="00EE04EC" w:rsidP="002159CB">
      <w:pPr>
        <w:keepNext/>
        <w:bidi/>
        <w:spacing w:after="60" w:line="240" w:lineRule="auto"/>
        <w:jc w:val="center"/>
        <w:outlineLvl w:val="0"/>
        <w:rPr>
          <w:rFonts w:ascii="Simplified Arabic" w:hAnsi="Simplified Arabic" w:cs="Simplified Arabic"/>
          <w:b/>
          <w:bCs/>
          <w:sz w:val="32"/>
          <w:szCs w:val="32"/>
          <w:rtl/>
        </w:rPr>
      </w:pPr>
      <w:r w:rsidRPr="004451F4">
        <w:rPr>
          <w:rFonts w:ascii="Simplified Arabic" w:hAnsi="Simplified Arabic" w:cs="Simplified Arabic"/>
          <w:b/>
          <w:bCs/>
          <w:sz w:val="32"/>
          <w:szCs w:val="32"/>
          <w:rtl/>
        </w:rPr>
        <w:t xml:space="preserve">رقم </w:t>
      </w:r>
      <w:proofErr w:type="gramStart"/>
      <w:r w:rsidRPr="004451F4">
        <w:rPr>
          <w:rFonts w:ascii="Simplified Arabic" w:hAnsi="Simplified Arabic" w:cs="Simplified Arabic"/>
          <w:b/>
          <w:bCs/>
          <w:sz w:val="32"/>
          <w:szCs w:val="32"/>
          <w:rtl/>
        </w:rPr>
        <w:t xml:space="preserve">( </w:t>
      </w:r>
      <w:r w:rsidR="002159CB">
        <w:rPr>
          <w:rFonts w:ascii="Simplified Arabic" w:hAnsi="Simplified Arabic" w:cs="Simplified Arabic" w:hint="cs"/>
          <w:b/>
          <w:bCs/>
          <w:sz w:val="32"/>
          <w:szCs w:val="32"/>
          <w:rtl/>
        </w:rPr>
        <w:t>6</w:t>
      </w:r>
      <w:proofErr w:type="gramEnd"/>
      <w:r w:rsidRPr="004451F4">
        <w:rPr>
          <w:rFonts w:ascii="Simplified Arabic" w:hAnsi="Simplified Arabic" w:cs="Simplified Arabic"/>
          <w:b/>
          <w:bCs/>
          <w:sz w:val="32"/>
          <w:szCs w:val="32"/>
          <w:rtl/>
        </w:rPr>
        <w:t xml:space="preserve"> /20</w:t>
      </w:r>
      <w:r w:rsidR="002B4BF9" w:rsidRPr="004451F4">
        <w:rPr>
          <w:rFonts w:ascii="Simplified Arabic" w:hAnsi="Simplified Arabic" w:cs="Simplified Arabic"/>
          <w:b/>
          <w:bCs/>
          <w:sz w:val="32"/>
          <w:szCs w:val="32"/>
          <w:rtl/>
        </w:rPr>
        <w:t>20</w:t>
      </w:r>
      <w:r w:rsidRPr="004451F4">
        <w:rPr>
          <w:rFonts w:ascii="Simplified Arabic" w:hAnsi="Simplified Arabic" w:cs="Simplified Arabic"/>
          <w:b/>
          <w:bCs/>
          <w:sz w:val="32"/>
          <w:szCs w:val="32"/>
          <w:rtl/>
        </w:rPr>
        <w:t>)</w:t>
      </w:r>
    </w:p>
    <w:p w:rsidR="00EE04EC" w:rsidRPr="004451F4" w:rsidRDefault="00EE04EC" w:rsidP="005C068E">
      <w:pPr>
        <w:keepNext/>
        <w:bidi/>
        <w:spacing w:after="60" w:line="240" w:lineRule="auto"/>
        <w:jc w:val="center"/>
        <w:outlineLvl w:val="0"/>
        <w:rPr>
          <w:rFonts w:ascii="Simplified Arabic" w:hAnsi="Simplified Arabic" w:cs="Simplified Arabic"/>
          <w:b/>
          <w:bCs/>
          <w:kern w:val="32"/>
          <w:sz w:val="32"/>
          <w:szCs w:val="32"/>
          <w:u w:val="single"/>
          <w:rtl/>
          <w:lang w:bidi="ar-JO"/>
        </w:rPr>
      </w:pPr>
      <w:r w:rsidRPr="004451F4">
        <w:rPr>
          <w:rFonts w:ascii="Simplified Arabic" w:hAnsi="Simplified Arabic" w:cs="Simplified Arabic"/>
          <w:b/>
          <w:bCs/>
          <w:sz w:val="32"/>
          <w:szCs w:val="32"/>
          <w:rtl/>
        </w:rPr>
        <w:t>ـــــــــــــــــــــــــــــــــــــــــــــــــــــــــــــــــــــــــــــــــــــ</w:t>
      </w:r>
    </w:p>
    <w:p w:rsidR="00EE04EC" w:rsidRPr="004451F4" w:rsidRDefault="00EE04EC" w:rsidP="005C068E">
      <w:pPr>
        <w:bidi/>
        <w:spacing w:after="240" w:line="240" w:lineRule="auto"/>
        <w:jc w:val="lowKashida"/>
        <w:rPr>
          <w:rFonts w:ascii="Simplified Arabic" w:hAnsi="Simplified Arabic" w:cs="Simplified Arabic"/>
          <w:b/>
          <w:bCs/>
          <w:sz w:val="32"/>
          <w:szCs w:val="32"/>
          <w:rtl/>
          <w:lang w:bidi="ar-JO"/>
        </w:rPr>
      </w:pPr>
      <w:r w:rsidRPr="004451F4">
        <w:rPr>
          <w:rFonts w:ascii="Simplified Arabic" w:hAnsi="Simplified Arabic" w:cs="Simplified Arabic"/>
          <w:b/>
          <w:bCs/>
          <w:sz w:val="32"/>
          <w:szCs w:val="32"/>
          <w:rtl/>
          <w:lang w:bidi="ar-JO"/>
        </w:rPr>
        <w:t xml:space="preserve">تحية طيبة </w:t>
      </w:r>
      <w:proofErr w:type="gramStart"/>
      <w:r w:rsidR="00185877" w:rsidRPr="004451F4">
        <w:rPr>
          <w:rFonts w:ascii="Simplified Arabic" w:hAnsi="Simplified Arabic" w:cs="Simplified Arabic"/>
          <w:b/>
          <w:bCs/>
          <w:sz w:val="32"/>
          <w:szCs w:val="32"/>
          <w:rtl/>
          <w:lang w:bidi="ar-JO"/>
        </w:rPr>
        <w:t>وبعد،،،</w:t>
      </w:r>
      <w:proofErr w:type="gramEnd"/>
    </w:p>
    <w:p w:rsidR="00EE04EC" w:rsidRPr="004451F4" w:rsidRDefault="004451F4" w:rsidP="004451F4">
      <w:pPr>
        <w:keepNext/>
        <w:bidi/>
        <w:spacing w:after="0" w:line="276" w:lineRule="auto"/>
        <w:jc w:val="lowKashida"/>
        <w:outlineLvl w:val="0"/>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EE04EC" w:rsidRPr="004451F4">
        <w:rPr>
          <w:rFonts w:ascii="Simplified Arabic" w:hAnsi="Simplified Arabic" w:cs="Simplified Arabic"/>
          <w:sz w:val="28"/>
          <w:szCs w:val="28"/>
          <w:rtl/>
          <w:lang w:bidi="ar-JO"/>
        </w:rPr>
        <w:t>استناداً لأحكام المادة (99/ب) من قانون البنوك رقم (28) لسنة 2000 وتعديلاته</w:t>
      </w:r>
      <w:r w:rsidR="00B21592">
        <w:rPr>
          <w:rFonts w:ascii="Simplified Arabic" w:hAnsi="Simplified Arabic" w:cs="Simplified Arabic"/>
          <w:sz w:val="28"/>
          <w:szCs w:val="28"/>
          <w:shd w:val="clear" w:color="auto" w:fill="FFFFFF" w:themeFill="background1"/>
          <w:rtl/>
          <w:lang w:bidi="ar-JO"/>
        </w:rPr>
        <w:t xml:space="preserve">، </w:t>
      </w:r>
      <w:r w:rsidR="00EE04EC" w:rsidRPr="004451F4">
        <w:rPr>
          <w:rFonts w:ascii="Simplified Arabic" w:hAnsi="Simplified Arabic" w:cs="Simplified Arabic"/>
          <w:sz w:val="28"/>
          <w:szCs w:val="28"/>
          <w:rtl/>
          <w:lang w:bidi="ar-JO"/>
        </w:rPr>
        <w:t>نرفق لكم طياً قرص مدمج (</w:t>
      </w:r>
      <w:r w:rsidR="00EE04EC" w:rsidRPr="004451F4">
        <w:rPr>
          <w:rFonts w:ascii="Simplified Arabic" w:hAnsi="Simplified Arabic" w:cs="Simplified Arabic"/>
          <w:sz w:val="28"/>
          <w:szCs w:val="28"/>
          <w:lang w:bidi="ar-JO"/>
        </w:rPr>
        <w:t>CD</w:t>
      </w:r>
      <w:r w:rsidR="00EE04EC" w:rsidRPr="004451F4">
        <w:rPr>
          <w:rFonts w:ascii="Simplified Arabic" w:hAnsi="Simplified Arabic" w:cs="Simplified Arabic"/>
          <w:sz w:val="28"/>
          <w:szCs w:val="28"/>
          <w:rtl/>
          <w:lang w:bidi="ar-JO"/>
        </w:rPr>
        <w:t xml:space="preserve">) يتضمن تعليمات تطبيق </w:t>
      </w:r>
      <w:r w:rsidR="00551AF6" w:rsidRPr="004451F4">
        <w:rPr>
          <w:rFonts w:ascii="Simplified Arabic" w:hAnsi="Simplified Arabic" w:cs="Simplified Arabic"/>
          <w:sz w:val="28"/>
          <w:szCs w:val="28"/>
          <w:rtl/>
          <w:lang w:bidi="ar-JO"/>
        </w:rPr>
        <w:t xml:space="preserve">معايير المحاسبة المالية الصادرة عن هيئة المحاسبة والمراجعة للمؤسسات المالية الإسلامية </w:t>
      </w:r>
      <w:r w:rsidR="00551AF6" w:rsidRPr="004451F4">
        <w:rPr>
          <w:rFonts w:ascii="Simplified Arabic" w:hAnsi="Simplified Arabic" w:cs="Simplified Arabic"/>
          <w:sz w:val="28"/>
          <w:szCs w:val="28"/>
          <w:lang w:bidi="ar-JO"/>
        </w:rPr>
        <w:t>AAOIFI</w:t>
      </w:r>
      <w:r w:rsidR="00551AF6" w:rsidRPr="004451F4">
        <w:rPr>
          <w:rFonts w:ascii="Simplified Arabic" w:hAnsi="Simplified Arabic" w:cs="Simplified Arabic"/>
          <w:sz w:val="28"/>
          <w:szCs w:val="28"/>
          <w:rtl/>
          <w:lang w:bidi="ar-JO"/>
        </w:rPr>
        <w:t xml:space="preserve"> </w:t>
      </w:r>
      <w:r w:rsidR="00127025" w:rsidRPr="004451F4">
        <w:rPr>
          <w:rFonts w:ascii="Simplified Arabic" w:hAnsi="Simplified Arabic" w:cs="Simplified Arabic"/>
          <w:sz w:val="28"/>
          <w:szCs w:val="28"/>
          <w:rtl/>
          <w:lang w:bidi="ar-JO"/>
        </w:rPr>
        <w:t>رقم (30) " اضمحلال الموجودات، والخسائر الائتمانية والالتزامات ذات المخاطر المرتفعة"، (35) "احتياطيات المخاطر"، (33) "</w:t>
      </w:r>
      <w:r w:rsidRPr="004451F4">
        <w:rPr>
          <w:rFonts w:ascii="Simplified Arabic" w:hAnsi="Simplified Arabic" w:cs="Simplified Arabic"/>
          <w:sz w:val="28"/>
          <w:szCs w:val="28"/>
          <w:rtl/>
          <w:lang w:bidi="ar-JO"/>
        </w:rPr>
        <w:t xml:space="preserve">استثمارات البنوك الإسلامية للأسهم والحصص في رؤوس أموال الشركات، الصكوك </w:t>
      </w:r>
      <w:r w:rsidR="00127025" w:rsidRPr="004451F4">
        <w:rPr>
          <w:rFonts w:ascii="Simplified Arabic" w:hAnsi="Simplified Arabic" w:cs="Simplified Arabic"/>
          <w:sz w:val="28"/>
          <w:szCs w:val="28"/>
          <w:rtl/>
          <w:lang w:bidi="ar-JO"/>
        </w:rPr>
        <w:t>" و (26) "الاستثمارات في العقارات"،</w:t>
      </w:r>
      <w:r w:rsidR="00127025" w:rsidRPr="004451F4">
        <w:rPr>
          <w:rFonts w:ascii="Simplified Arabic" w:hAnsi="Simplified Arabic" w:cs="Simplified Arabic"/>
          <w:b/>
          <w:bCs/>
          <w:sz w:val="28"/>
          <w:szCs w:val="28"/>
          <w:rtl/>
          <w:lang w:bidi="ar-JO"/>
        </w:rPr>
        <w:t xml:space="preserve"> </w:t>
      </w:r>
      <w:r w:rsidR="00EE04EC" w:rsidRPr="004451F4">
        <w:rPr>
          <w:rFonts w:ascii="Simplified Arabic" w:hAnsi="Simplified Arabic" w:cs="Simplified Arabic"/>
          <w:sz w:val="28"/>
          <w:szCs w:val="28"/>
          <w:rtl/>
          <w:lang w:bidi="ar-JO"/>
        </w:rPr>
        <w:t xml:space="preserve">مشيرين إلى </w:t>
      </w:r>
      <w:proofErr w:type="gramStart"/>
      <w:r w:rsidR="00EE04EC" w:rsidRPr="004451F4">
        <w:rPr>
          <w:rFonts w:ascii="Simplified Arabic" w:hAnsi="Simplified Arabic" w:cs="Simplified Arabic"/>
          <w:sz w:val="28"/>
          <w:szCs w:val="28"/>
          <w:rtl/>
          <w:lang w:bidi="ar-JO"/>
        </w:rPr>
        <w:t>الآتي:-</w:t>
      </w:r>
      <w:proofErr w:type="gramEnd"/>
      <w:r w:rsidR="00EE04EC" w:rsidRPr="004451F4">
        <w:rPr>
          <w:rFonts w:ascii="Simplified Arabic" w:hAnsi="Simplified Arabic" w:cs="Simplified Arabic"/>
          <w:sz w:val="28"/>
          <w:szCs w:val="28"/>
          <w:rtl/>
          <w:lang w:bidi="ar-JO"/>
        </w:rPr>
        <w:t xml:space="preserve"> </w:t>
      </w:r>
    </w:p>
    <w:p w:rsidR="00BE1658" w:rsidRDefault="002D4848" w:rsidP="00007EBE">
      <w:pPr>
        <w:shd w:val="clear" w:color="auto" w:fill="FFFFFF" w:themeFill="background1"/>
        <w:bidi/>
        <w:spacing w:after="0" w:line="276" w:lineRule="auto"/>
        <w:ind w:left="615" w:hanging="567"/>
        <w:jc w:val="lowKashida"/>
        <w:rPr>
          <w:rFonts w:ascii="Simplified Arabic" w:hAnsi="Simplified Arabic" w:cs="Simplified Arabic"/>
          <w:sz w:val="28"/>
          <w:szCs w:val="28"/>
          <w:rtl/>
          <w:lang w:bidi="ar-JO"/>
        </w:rPr>
      </w:pPr>
      <w:r w:rsidRPr="004451F4">
        <w:rPr>
          <w:rFonts w:ascii="Simplified Arabic" w:hAnsi="Simplified Arabic" w:cs="Simplified Arabic"/>
          <w:b/>
          <w:bCs/>
          <w:sz w:val="28"/>
          <w:szCs w:val="28"/>
          <w:rtl/>
          <w:lang w:bidi="ar-JO"/>
        </w:rPr>
        <w:t>أولاً:</w:t>
      </w:r>
      <w:r w:rsidRPr="004451F4">
        <w:rPr>
          <w:rFonts w:ascii="Simplified Arabic" w:hAnsi="Simplified Arabic" w:cs="Simplified Arabic"/>
          <w:sz w:val="28"/>
          <w:szCs w:val="28"/>
          <w:rtl/>
          <w:lang w:bidi="ar-JO"/>
        </w:rPr>
        <w:t xml:space="preserve"> </w:t>
      </w:r>
      <w:r w:rsidR="00BE1658" w:rsidRPr="004451F4">
        <w:rPr>
          <w:rFonts w:ascii="Simplified Arabic" w:hAnsi="Simplified Arabic" w:cs="Simplified Arabic"/>
          <w:sz w:val="28"/>
          <w:szCs w:val="28"/>
          <w:rtl/>
          <w:lang w:bidi="ar-JO"/>
        </w:rPr>
        <w:t>إن</w:t>
      </w:r>
      <w:r w:rsidR="00BE1658" w:rsidRPr="004451F4">
        <w:rPr>
          <w:rFonts w:ascii="Simplified Arabic" w:hAnsi="Simplified Arabic" w:cs="Simplified Arabic"/>
          <w:b/>
          <w:bCs/>
          <w:sz w:val="28"/>
          <w:szCs w:val="28"/>
          <w:rtl/>
          <w:lang w:bidi="ar-JO"/>
        </w:rPr>
        <w:t xml:space="preserve"> </w:t>
      </w:r>
      <w:r w:rsidR="00BE1658" w:rsidRPr="004451F4">
        <w:rPr>
          <w:rFonts w:ascii="Simplified Arabic" w:hAnsi="Simplified Arabic" w:cs="Simplified Arabic"/>
          <w:sz w:val="28"/>
          <w:szCs w:val="28"/>
          <w:rtl/>
          <w:lang w:bidi="ar-JO"/>
        </w:rPr>
        <w:t xml:space="preserve">تطبيق معيار المحاسبة المالية رقم (30) يتضمن (علاوة على الإطار المحاسبي) منهجية لإدارة المخاطر وتحديداً إدارة مخاطر الائتمان بهدف المحافظة على سلامة ومتانة الوضع المالي للبنك، الأمر الذي يتطلب من مجلس إدارة البنك واللجان ذات العلاقة المنبثقة عنه التحقق من وجود وتطبيق سياسات ملائمة لإدارة مخاطر الائتمان وما </w:t>
      </w:r>
      <w:proofErr w:type="spellStart"/>
      <w:r w:rsidR="00BE1658" w:rsidRPr="004451F4">
        <w:rPr>
          <w:rFonts w:ascii="Simplified Arabic" w:hAnsi="Simplified Arabic" w:cs="Simplified Arabic"/>
          <w:sz w:val="28"/>
          <w:szCs w:val="28"/>
          <w:rtl/>
          <w:lang w:bidi="ar-JO"/>
        </w:rPr>
        <w:t>يتطلبه</w:t>
      </w:r>
      <w:proofErr w:type="spellEnd"/>
      <w:r w:rsidR="00BE1658" w:rsidRPr="004451F4">
        <w:rPr>
          <w:rFonts w:ascii="Simplified Arabic" w:hAnsi="Simplified Arabic" w:cs="Simplified Arabic"/>
          <w:sz w:val="28"/>
          <w:szCs w:val="28"/>
          <w:rtl/>
          <w:lang w:bidi="ar-JO"/>
        </w:rPr>
        <w:t xml:space="preserve"> ذلك من وجود وتطبيق أنظمة رقابة داخلية فعّالة وأنظمة تصنيف ائتماني داخلية وأنظمة آلية لاحتساب الخسائر الائتمانية المتوقعة وإجراءات الفحص والتحقق المناسبة بحيث تكون هذه المنظومة قادرة على الوصول إلى النتائج التي تضمن التحوُّط الكافي مقابل مخاطر الائتمان المتوقعة، وعليه فإن على مجلس الإدارة توفير هيكل الحاكمية المناسب لضمان التطبيق السليم لمتطلبات هذه المعايير.</w:t>
      </w:r>
    </w:p>
    <w:p w:rsidR="00EE04EC" w:rsidRPr="004451F4" w:rsidRDefault="002D4848" w:rsidP="00007EBE">
      <w:pPr>
        <w:shd w:val="clear" w:color="auto" w:fill="FFFFFF" w:themeFill="background1"/>
        <w:bidi/>
        <w:spacing w:after="0" w:line="276" w:lineRule="auto"/>
        <w:ind w:left="615" w:hanging="567"/>
        <w:jc w:val="lowKashida"/>
        <w:rPr>
          <w:rFonts w:ascii="Simplified Arabic" w:hAnsi="Simplified Arabic" w:cs="Simplified Arabic"/>
          <w:sz w:val="28"/>
          <w:szCs w:val="28"/>
          <w:rtl/>
          <w:lang w:bidi="ar-JO"/>
        </w:rPr>
      </w:pPr>
      <w:r w:rsidRPr="004451F4">
        <w:rPr>
          <w:rFonts w:ascii="Simplified Arabic" w:hAnsi="Simplified Arabic" w:cs="Simplified Arabic"/>
          <w:b/>
          <w:bCs/>
          <w:sz w:val="28"/>
          <w:szCs w:val="28"/>
          <w:rtl/>
          <w:lang w:bidi="ar-JO"/>
        </w:rPr>
        <w:t>ثانياً</w:t>
      </w:r>
      <w:r w:rsidR="00F51811" w:rsidRPr="004451F4">
        <w:rPr>
          <w:rFonts w:ascii="Simplified Arabic" w:hAnsi="Simplified Arabic" w:cs="Simplified Arabic"/>
          <w:b/>
          <w:bCs/>
          <w:sz w:val="28"/>
          <w:szCs w:val="28"/>
          <w:rtl/>
          <w:lang w:bidi="ar-JO"/>
        </w:rPr>
        <w:t xml:space="preserve">: </w:t>
      </w:r>
      <w:r w:rsidR="00BE1658" w:rsidRPr="004451F4">
        <w:rPr>
          <w:rFonts w:ascii="Simplified Arabic" w:hAnsi="Simplified Arabic" w:cs="Simplified Arabic"/>
          <w:sz w:val="28"/>
          <w:szCs w:val="28"/>
          <w:rtl/>
          <w:lang w:bidi="ar-JO"/>
        </w:rPr>
        <w:t xml:space="preserve">يهدف معيار المحاسبة المالية رقم (35) </w:t>
      </w:r>
      <w:r w:rsidR="00BE1658" w:rsidRPr="004451F4">
        <w:rPr>
          <w:rFonts w:ascii="Simplified Arabic" w:eastAsia="Times New Roman" w:hAnsi="Simplified Arabic" w:cs="Simplified Arabic"/>
          <w:sz w:val="28"/>
          <w:szCs w:val="28"/>
          <w:rtl/>
          <w:lang w:eastAsia="ar-SA" w:bidi="ar-JO"/>
        </w:rPr>
        <w:t xml:space="preserve">إلى تحديد ووضع مبادئ المحاسبة والإفصاح المالي لاحتياطيات المخاطر بما يتماشى مع أفضل الممارسات العالمية للمحاسبة وإدارة المخاطر للتخفيف من المخاطر المتنوعة التي </w:t>
      </w:r>
      <w:proofErr w:type="spellStart"/>
      <w:r w:rsidR="00BE1658" w:rsidRPr="004451F4">
        <w:rPr>
          <w:rFonts w:ascii="Simplified Arabic" w:eastAsia="Times New Roman" w:hAnsi="Simplified Arabic" w:cs="Simplified Arabic"/>
          <w:sz w:val="28"/>
          <w:szCs w:val="28"/>
          <w:rtl/>
          <w:lang w:eastAsia="ar-SA" w:bidi="ar-JO"/>
        </w:rPr>
        <w:t>يواجهها</w:t>
      </w:r>
      <w:proofErr w:type="spellEnd"/>
      <w:r w:rsidR="00BE1658" w:rsidRPr="004451F4">
        <w:rPr>
          <w:rFonts w:ascii="Simplified Arabic" w:eastAsia="Times New Roman" w:hAnsi="Simplified Arabic" w:cs="Simplified Arabic"/>
          <w:sz w:val="28"/>
          <w:szCs w:val="28"/>
          <w:rtl/>
          <w:lang w:eastAsia="ar-SA" w:bidi="ar-JO"/>
        </w:rPr>
        <w:t xml:space="preserve"> أصحاب حسابات الاستثمار والمساهمين، المتمثلة في الأرباح </w:t>
      </w:r>
      <w:r w:rsidR="00BE1658" w:rsidRPr="004451F4">
        <w:rPr>
          <w:rFonts w:ascii="Simplified Arabic" w:eastAsia="Times New Roman" w:hAnsi="Simplified Arabic" w:cs="Simplified Arabic"/>
          <w:sz w:val="28"/>
          <w:szCs w:val="28"/>
          <w:rtl/>
          <w:lang w:eastAsia="ar-SA" w:bidi="ar-JO"/>
        </w:rPr>
        <w:lastRenderedPageBreak/>
        <w:t>والخسائر المحصّلة من المستثمرين في البنوك الإسلامية، كما يوفر إرشادات للحفاظ على الاحتياطيات، التقييم والمحاسبة للمخاطر المختلفة، وكذلك الاعتراف بالحاجة إلى مستويات متفاوتة من الاحتياطيات بما يتماشى مع طبيعة المخاطر.</w:t>
      </w:r>
    </w:p>
    <w:p w:rsidR="002D4848" w:rsidRPr="004451F4" w:rsidRDefault="002D4848" w:rsidP="00007EBE">
      <w:pPr>
        <w:shd w:val="clear" w:color="auto" w:fill="FFFFFF" w:themeFill="background1"/>
        <w:bidi/>
        <w:spacing w:after="0" w:line="276" w:lineRule="auto"/>
        <w:ind w:left="540" w:hanging="567"/>
        <w:jc w:val="lowKashida"/>
        <w:rPr>
          <w:rFonts w:ascii="Simplified Arabic" w:hAnsi="Simplified Arabic" w:cs="Simplified Arabic"/>
          <w:sz w:val="28"/>
          <w:szCs w:val="28"/>
          <w:rtl/>
          <w:lang w:bidi="ar-JO"/>
        </w:rPr>
      </w:pPr>
      <w:r w:rsidRPr="004451F4">
        <w:rPr>
          <w:rFonts w:ascii="Simplified Arabic" w:hAnsi="Simplified Arabic" w:cs="Simplified Arabic"/>
          <w:b/>
          <w:bCs/>
          <w:sz w:val="28"/>
          <w:szCs w:val="28"/>
          <w:rtl/>
          <w:lang w:bidi="ar-JO"/>
        </w:rPr>
        <w:t xml:space="preserve">ثالثاً: </w:t>
      </w:r>
      <w:r w:rsidRPr="004451F4">
        <w:rPr>
          <w:rFonts w:ascii="Simplified Arabic" w:hAnsi="Simplified Arabic" w:cs="Simplified Arabic"/>
          <w:sz w:val="28"/>
          <w:szCs w:val="28"/>
          <w:rtl/>
          <w:lang w:bidi="ar-JO"/>
        </w:rPr>
        <w:t>يحدد معيار المحاسبة المالية رقم (33) أنواع الأدوات الرئيسية للاستثمارات المُتوافقة مع الشّريعة الإسلامية ويُحدد المعالجات المُحاسبية بما يتناسب مع خصائص نموذج الأعمال للبنك التي يتم بموجبها إدارة الاستثمارات، ويهدف إلى وضع مبادئ للتّصنيف والاعتراف والقياس والعرض والإفصاح عن الاستثمار في الصكوك والأسهم وغيرها من الأدوات المُماثلة.</w:t>
      </w:r>
    </w:p>
    <w:p w:rsidR="00BE1658" w:rsidRPr="004451F4" w:rsidRDefault="002D4848" w:rsidP="00007EBE">
      <w:pPr>
        <w:shd w:val="clear" w:color="auto" w:fill="FFFFFF" w:themeFill="background1"/>
        <w:bidi/>
        <w:spacing w:after="0" w:line="276" w:lineRule="auto"/>
        <w:ind w:left="450" w:hanging="567"/>
        <w:jc w:val="lowKashida"/>
        <w:rPr>
          <w:rFonts w:ascii="Simplified Arabic" w:hAnsi="Simplified Arabic" w:cs="Simplified Arabic"/>
          <w:sz w:val="28"/>
          <w:szCs w:val="28"/>
          <w:rtl/>
          <w:lang w:bidi="ar-JO"/>
        </w:rPr>
      </w:pPr>
      <w:r w:rsidRPr="004451F4">
        <w:rPr>
          <w:rFonts w:ascii="Simplified Arabic" w:hAnsi="Simplified Arabic" w:cs="Simplified Arabic"/>
          <w:b/>
          <w:bCs/>
          <w:sz w:val="28"/>
          <w:szCs w:val="28"/>
          <w:rtl/>
          <w:lang w:bidi="ar-JO"/>
        </w:rPr>
        <w:t xml:space="preserve">رابعاً: </w:t>
      </w:r>
      <w:r w:rsidR="00BE1658" w:rsidRPr="004451F4">
        <w:rPr>
          <w:rFonts w:ascii="Simplified Arabic" w:hAnsi="Simplified Arabic" w:cs="Simplified Arabic"/>
          <w:sz w:val="28"/>
          <w:szCs w:val="28"/>
          <w:rtl/>
          <w:lang w:bidi="ar-JO"/>
        </w:rPr>
        <w:t xml:space="preserve">وفق </w:t>
      </w:r>
      <w:r w:rsidR="00007EBE">
        <w:rPr>
          <w:rFonts w:ascii="Simplified Arabic" w:hAnsi="Simplified Arabic" w:cs="Simplified Arabic"/>
          <w:sz w:val="28"/>
          <w:szCs w:val="28"/>
          <w:rtl/>
          <w:lang w:bidi="ar-JO"/>
        </w:rPr>
        <w:t>معيار المحاسبة المالية رقم (26</w:t>
      </w:r>
      <w:r w:rsidR="00007EBE">
        <w:rPr>
          <w:rFonts w:ascii="Simplified Arabic" w:hAnsi="Simplified Arabic" w:cs="Simplified Arabic" w:hint="cs"/>
          <w:sz w:val="28"/>
          <w:szCs w:val="28"/>
          <w:rtl/>
          <w:lang w:bidi="ar-JO"/>
        </w:rPr>
        <w:t>)،</w:t>
      </w:r>
      <w:r w:rsidR="00007EBE" w:rsidRPr="004451F4">
        <w:rPr>
          <w:rFonts w:ascii="Simplified Arabic" w:hAnsi="Simplified Arabic" w:cs="Simplified Arabic" w:hint="cs"/>
          <w:sz w:val="28"/>
          <w:szCs w:val="28"/>
          <w:rtl/>
          <w:lang w:bidi="ar-JO"/>
        </w:rPr>
        <w:t xml:space="preserve"> عل</w:t>
      </w:r>
      <w:r w:rsidR="00007EBE" w:rsidRPr="004451F4">
        <w:rPr>
          <w:rFonts w:ascii="Simplified Arabic" w:hAnsi="Simplified Arabic" w:cs="Simplified Arabic" w:hint="eastAsia"/>
          <w:sz w:val="28"/>
          <w:szCs w:val="28"/>
          <w:rtl/>
          <w:lang w:bidi="ar-JO"/>
        </w:rPr>
        <w:t>ى</w:t>
      </w:r>
      <w:r w:rsidR="00BE1658" w:rsidRPr="004451F4">
        <w:rPr>
          <w:rFonts w:ascii="Simplified Arabic" w:hAnsi="Simplified Arabic" w:cs="Simplified Arabic"/>
          <w:sz w:val="28"/>
          <w:szCs w:val="28"/>
          <w:rtl/>
          <w:lang w:bidi="ar-JO"/>
        </w:rPr>
        <w:t xml:space="preserve"> البنك وضع القواعد المحاسبية التي تحكم الإثبات والقياس والعرض والإفصاح عن الاستثمارات التي تقوم بها البنوك الإسلامية في العقارات </w:t>
      </w:r>
      <w:proofErr w:type="spellStart"/>
      <w:r w:rsidR="00BE1658" w:rsidRPr="004451F4">
        <w:rPr>
          <w:rFonts w:ascii="Simplified Arabic" w:hAnsi="Simplified Arabic" w:cs="Simplified Arabic"/>
          <w:sz w:val="28"/>
          <w:szCs w:val="28"/>
          <w:rtl/>
          <w:lang w:bidi="ar-JO"/>
        </w:rPr>
        <w:t>المقتناة</w:t>
      </w:r>
      <w:proofErr w:type="spellEnd"/>
      <w:r w:rsidR="00BE1658" w:rsidRPr="004451F4">
        <w:rPr>
          <w:rFonts w:ascii="Simplified Arabic" w:hAnsi="Simplified Arabic" w:cs="Simplified Arabic"/>
          <w:sz w:val="28"/>
          <w:szCs w:val="28"/>
          <w:rtl/>
          <w:lang w:bidi="ar-JO"/>
        </w:rPr>
        <w:t xml:space="preserve"> لغرض الحصول على إيراد دوري، أو لغرض توقع الزيادة في قيمتها في المستقبل، أو للغرضين كليهما.</w:t>
      </w:r>
    </w:p>
    <w:p w:rsidR="002D4848" w:rsidRPr="004451F4" w:rsidRDefault="002D4848" w:rsidP="00BE1658">
      <w:pPr>
        <w:bidi/>
        <w:spacing w:after="0" w:line="276" w:lineRule="auto"/>
        <w:ind w:left="540" w:hanging="630"/>
        <w:jc w:val="lowKashida"/>
        <w:rPr>
          <w:rFonts w:ascii="Simplified Arabic" w:eastAsia="Times New Roman" w:hAnsi="Simplified Arabic" w:cs="Simplified Arabic"/>
          <w:sz w:val="28"/>
          <w:szCs w:val="28"/>
          <w:lang w:eastAsia="ar-SA" w:bidi="ar-JO"/>
        </w:rPr>
      </w:pPr>
    </w:p>
    <w:p w:rsidR="00EE04EC" w:rsidRPr="004451F4" w:rsidRDefault="002D4848" w:rsidP="00B24ED0">
      <w:pPr>
        <w:bidi/>
        <w:spacing w:after="0" w:line="276" w:lineRule="auto"/>
        <w:ind w:left="540" w:hanging="540"/>
        <w:jc w:val="lowKashida"/>
        <w:rPr>
          <w:rFonts w:ascii="Simplified Arabic" w:hAnsi="Simplified Arabic" w:cs="Simplified Arabic"/>
          <w:sz w:val="28"/>
          <w:szCs w:val="28"/>
          <w:rtl/>
          <w:lang w:bidi="ar-JO"/>
        </w:rPr>
      </w:pPr>
      <w:r w:rsidRPr="004451F4">
        <w:rPr>
          <w:rFonts w:ascii="Simplified Arabic" w:hAnsi="Simplified Arabic" w:cs="Simplified Arabic"/>
          <w:b/>
          <w:bCs/>
          <w:sz w:val="28"/>
          <w:szCs w:val="28"/>
          <w:rtl/>
          <w:lang w:bidi="ar-JO"/>
        </w:rPr>
        <w:t>خامساً</w:t>
      </w:r>
      <w:r w:rsidR="00EE04EC" w:rsidRPr="004451F4">
        <w:rPr>
          <w:rFonts w:ascii="Simplified Arabic" w:hAnsi="Simplified Arabic" w:cs="Simplified Arabic"/>
          <w:b/>
          <w:bCs/>
          <w:sz w:val="28"/>
          <w:szCs w:val="28"/>
          <w:rtl/>
          <w:lang w:bidi="ar-JO"/>
        </w:rPr>
        <w:t>:</w:t>
      </w:r>
      <w:r w:rsidR="00EE04EC" w:rsidRPr="004451F4">
        <w:rPr>
          <w:rFonts w:ascii="Simplified Arabic" w:hAnsi="Simplified Arabic" w:cs="Simplified Arabic"/>
          <w:sz w:val="28"/>
          <w:szCs w:val="28"/>
          <w:rtl/>
          <w:lang w:bidi="ar-JO"/>
        </w:rPr>
        <w:t xml:space="preserve"> </w:t>
      </w:r>
    </w:p>
    <w:p w:rsidR="00E775C9" w:rsidRPr="00E775C9" w:rsidRDefault="00E775C9" w:rsidP="00E775C9">
      <w:pPr>
        <w:pStyle w:val="ListParagraph"/>
        <w:numPr>
          <w:ilvl w:val="0"/>
          <w:numId w:val="1"/>
        </w:numPr>
        <w:spacing w:line="276" w:lineRule="auto"/>
        <w:ind w:left="450"/>
        <w:jc w:val="lowKashida"/>
        <w:rPr>
          <w:rFonts w:ascii="Simplified Arabic" w:hAnsi="Simplified Arabic" w:cs="Simplified Arabic"/>
          <w:sz w:val="28"/>
          <w:szCs w:val="28"/>
          <w:lang w:bidi="ar-JO"/>
        </w:rPr>
      </w:pPr>
      <w:r w:rsidRPr="00E775C9">
        <w:rPr>
          <w:rFonts w:ascii="Simplified Arabic" w:hAnsi="Simplified Arabic" w:cs="Simplified Arabic" w:hint="cs"/>
          <w:sz w:val="28"/>
          <w:szCs w:val="28"/>
          <w:rtl/>
          <w:lang w:bidi="ar-JO"/>
        </w:rPr>
        <w:t xml:space="preserve">الإبقاء على فائض رصيد بند احتياطي المخاطر المصرفية العامة (إن وجد) مقيد التصرف به ولا يجوز توزيعه كأرباح على المساهمين، ولا يجوز استخدامه لأي أغراض أخرى إلا بموافقة مسبقة من البنك المركزي. </w:t>
      </w:r>
    </w:p>
    <w:p w:rsidR="00EE04EC" w:rsidRPr="001176C1" w:rsidRDefault="00EE04EC" w:rsidP="001176C1">
      <w:pPr>
        <w:pStyle w:val="ListParagraph"/>
        <w:numPr>
          <w:ilvl w:val="0"/>
          <w:numId w:val="1"/>
        </w:numPr>
        <w:spacing w:line="276" w:lineRule="auto"/>
        <w:ind w:left="450"/>
        <w:jc w:val="lowKashida"/>
        <w:rPr>
          <w:rFonts w:ascii="Simplified Arabic" w:hAnsi="Simplified Arabic" w:cs="Simplified Arabic"/>
          <w:sz w:val="28"/>
          <w:szCs w:val="28"/>
          <w:lang w:bidi="ar-JO"/>
        </w:rPr>
      </w:pPr>
      <w:r w:rsidRPr="001176C1">
        <w:rPr>
          <w:rFonts w:ascii="Simplified Arabic" w:hAnsi="Simplified Arabic" w:cs="Simplified Arabic"/>
          <w:sz w:val="28"/>
          <w:szCs w:val="28"/>
          <w:rtl/>
          <w:lang w:bidi="ar-JO"/>
        </w:rPr>
        <w:t>لغرض احتساب رأس المال التنظيمي (الشريحة الثانية/</w:t>
      </w:r>
      <w:r w:rsidRPr="001176C1">
        <w:rPr>
          <w:rFonts w:ascii="Simplified Arabic" w:hAnsi="Simplified Arabic" w:cs="Simplified Arabic"/>
          <w:sz w:val="28"/>
          <w:szCs w:val="28"/>
          <w:lang w:bidi="ar-JO"/>
        </w:rPr>
        <w:t>Tier 2 Capital</w:t>
      </w:r>
      <w:r w:rsidRPr="001176C1">
        <w:rPr>
          <w:rFonts w:ascii="Simplified Arabic" w:hAnsi="Simplified Arabic" w:cs="Simplified Arabic"/>
          <w:sz w:val="28"/>
          <w:szCs w:val="28"/>
          <w:rtl/>
          <w:lang w:bidi="ar-JO"/>
        </w:rPr>
        <w:t>) يؤخذ بالاعتبار ما يعادل رصيد المخصصات المطلوبة مقابل أدوات الدين/</w:t>
      </w:r>
      <w:proofErr w:type="spellStart"/>
      <w:r w:rsidRPr="001176C1">
        <w:rPr>
          <w:rFonts w:ascii="Simplified Arabic" w:hAnsi="Simplified Arabic" w:cs="Simplified Arabic"/>
          <w:sz w:val="28"/>
          <w:szCs w:val="28"/>
          <w:rtl/>
          <w:lang w:bidi="ar-JO"/>
        </w:rPr>
        <w:t>التعرضات</w:t>
      </w:r>
      <w:proofErr w:type="spellEnd"/>
      <w:r w:rsidRPr="001176C1">
        <w:rPr>
          <w:rFonts w:ascii="Simplified Arabic" w:hAnsi="Simplified Arabic" w:cs="Simplified Arabic"/>
          <w:sz w:val="28"/>
          <w:szCs w:val="28"/>
          <w:rtl/>
          <w:lang w:bidi="ar-JO"/>
        </w:rPr>
        <w:t xml:space="preserve"> الائتمانية المدرجة في المرحلة الأولى </w:t>
      </w:r>
      <w:r w:rsidRPr="001176C1">
        <w:rPr>
          <w:rFonts w:ascii="Simplified Arabic" w:hAnsi="Simplified Arabic" w:cs="Simplified Arabic"/>
          <w:sz w:val="28"/>
          <w:szCs w:val="28"/>
          <w:lang w:bidi="ar-JO"/>
        </w:rPr>
        <w:t>(Stage 1)</w:t>
      </w:r>
      <w:r w:rsidRPr="001176C1">
        <w:rPr>
          <w:rFonts w:ascii="Simplified Arabic" w:hAnsi="Simplified Arabic" w:cs="Simplified Arabic"/>
          <w:sz w:val="28"/>
          <w:szCs w:val="28"/>
          <w:rtl/>
          <w:lang w:bidi="ar-JO"/>
        </w:rPr>
        <w:t xml:space="preserve"> وبما لا يزيد عن (1.25%) من مجموع الموجودات المرجحة لمخاطر الائتمان محتسبة وفق الطريقة المعيارية، على </w:t>
      </w:r>
      <w:proofErr w:type="gramStart"/>
      <w:r w:rsidRPr="001176C1">
        <w:rPr>
          <w:rFonts w:ascii="Simplified Arabic" w:hAnsi="Simplified Arabic" w:cs="Simplified Arabic"/>
          <w:sz w:val="28"/>
          <w:szCs w:val="28"/>
          <w:rtl/>
          <w:lang w:bidi="ar-JO"/>
        </w:rPr>
        <w:t>أن لا</w:t>
      </w:r>
      <w:proofErr w:type="gramEnd"/>
      <w:r w:rsidRPr="001176C1">
        <w:rPr>
          <w:rFonts w:ascii="Simplified Arabic" w:hAnsi="Simplified Arabic" w:cs="Simplified Arabic"/>
          <w:sz w:val="28"/>
          <w:szCs w:val="28"/>
          <w:rtl/>
          <w:lang w:bidi="ar-JO"/>
        </w:rPr>
        <w:t xml:space="preserve"> يتم طرح قيمة تلك المخصصات من مبلغ </w:t>
      </w:r>
      <w:proofErr w:type="spellStart"/>
      <w:r w:rsidRPr="001176C1">
        <w:rPr>
          <w:rFonts w:ascii="Simplified Arabic" w:hAnsi="Simplified Arabic" w:cs="Simplified Arabic"/>
          <w:sz w:val="28"/>
          <w:szCs w:val="28"/>
          <w:rtl/>
          <w:lang w:bidi="ar-JO"/>
        </w:rPr>
        <w:t>التعرضات</w:t>
      </w:r>
      <w:proofErr w:type="spellEnd"/>
      <w:r w:rsidRPr="001176C1">
        <w:rPr>
          <w:rFonts w:ascii="Simplified Arabic" w:hAnsi="Simplified Arabic" w:cs="Simplified Arabic"/>
          <w:sz w:val="28"/>
          <w:szCs w:val="28"/>
          <w:rtl/>
          <w:lang w:bidi="ar-JO"/>
        </w:rPr>
        <w:t xml:space="preserve"> الائتمانية (مقام نسبة كفاية رأس المال)، إلا بالمقدار الذي يتجاوز (1.25%) من مجموع الموجودات المرجحة بمخاطر الائتمان وفق الطريقة المعيارية. </w:t>
      </w:r>
    </w:p>
    <w:p w:rsidR="00EE04EC" w:rsidRPr="004451F4" w:rsidRDefault="00EE04EC" w:rsidP="004451F4">
      <w:pPr>
        <w:pStyle w:val="ListParagraph"/>
        <w:numPr>
          <w:ilvl w:val="0"/>
          <w:numId w:val="1"/>
        </w:numPr>
        <w:ind w:left="519"/>
        <w:jc w:val="lowKashida"/>
        <w:rPr>
          <w:rFonts w:ascii="Simplified Arabic" w:hAnsi="Simplified Arabic" w:cs="Simplified Arabic"/>
          <w:sz w:val="28"/>
          <w:szCs w:val="28"/>
          <w:lang w:bidi="ar-JO"/>
        </w:rPr>
      </w:pPr>
      <w:r w:rsidRPr="004451F4">
        <w:rPr>
          <w:rFonts w:ascii="Simplified Arabic" w:hAnsi="Simplified Arabic" w:cs="Simplified Arabic"/>
          <w:sz w:val="28"/>
          <w:szCs w:val="28"/>
          <w:rtl/>
          <w:lang w:bidi="ar-JO"/>
        </w:rPr>
        <w:t xml:space="preserve">يستمر العمل بتعليمات البنك المركزي رقم (47/2009) تاريخ 10/12/2009 وتعديلاتها </w:t>
      </w:r>
      <w:r w:rsidR="000D276E" w:rsidRPr="004451F4">
        <w:rPr>
          <w:rFonts w:ascii="Simplified Arabic" w:hAnsi="Simplified Arabic" w:cs="Simplified Arabic"/>
          <w:sz w:val="28"/>
          <w:szCs w:val="28"/>
          <w:rtl/>
          <w:lang w:bidi="ar-JO"/>
        </w:rPr>
        <w:t>وتعليماتنا رقم (60/2014) تاريخ 17/11/</w:t>
      </w:r>
      <w:proofErr w:type="gramStart"/>
      <w:r w:rsidR="000D276E" w:rsidRPr="004451F4">
        <w:rPr>
          <w:rFonts w:ascii="Simplified Arabic" w:hAnsi="Simplified Arabic" w:cs="Simplified Arabic"/>
          <w:sz w:val="28"/>
          <w:szCs w:val="28"/>
          <w:rtl/>
          <w:lang w:bidi="ar-JO"/>
        </w:rPr>
        <w:t>2014 ،</w:t>
      </w:r>
      <w:proofErr w:type="gramEnd"/>
      <w:r w:rsidR="000D276E" w:rsidRPr="004451F4">
        <w:rPr>
          <w:rFonts w:ascii="Simplified Arabic" w:hAnsi="Simplified Arabic" w:cs="Simplified Arabic"/>
          <w:sz w:val="28"/>
          <w:szCs w:val="28"/>
          <w:rtl/>
          <w:lang w:bidi="ar-JO"/>
        </w:rPr>
        <w:t xml:space="preserve"> </w:t>
      </w:r>
      <w:r w:rsidRPr="004451F4">
        <w:rPr>
          <w:rFonts w:ascii="Simplified Arabic" w:hAnsi="Simplified Arabic" w:cs="Simplified Arabic"/>
          <w:sz w:val="28"/>
          <w:szCs w:val="28"/>
          <w:rtl/>
          <w:lang w:bidi="ar-JO"/>
        </w:rPr>
        <w:t>وأخذ النتائج الأشد بالاعتبار [على أن يتم مقارنة النتائج للمخصصات المحتسبة لكل من المرحلة الثانية والمرحلة الثالثة على حدة (إجمالي كل مرحلة)</w:t>
      </w:r>
      <w:r w:rsidR="00BE1658">
        <w:rPr>
          <w:rFonts w:ascii="Simplified Arabic" w:hAnsi="Simplified Arabic" w:cs="Simplified Arabic" w:hint="cs"/>
          <w:sz w:val="28"/>
          <w:szCs w:val="28"/>
          <w:rtl/>
          <w:lang w:bidi="ar-JO"/>
        </w:rPr>
        <w:t>]</w:t>
      </w:r>
      <w:r w:rsidRPr="004451F4">
        <w:rPr>
          <w:rFonts w:ascii="Simplified Arabic" w:hAnsi="Simplified Arabic" w:cs="Simplified Arabic"/>
          <w:sz w:val="28"/>
          <w:szCs w:val="28"/>
          <w:rtl/>
          <w:lang w:bidi="ar-JO"/>
        </w:rPr>
        <w:t xml:space="preserve"> من خلال عمل مقاربة </w:t>
      </w:r>
      <w:r w:rsidRPr="004451F4">
        <w:rPr>
          <w:rFonts w:ascii="Simplified Arabic" w:hAnsi="Simplified Arabic" w:cs="Simplified Arabic"/>
          <w:sz w:val="28"/>
          <w:szCs w:val="28"/>
          <w:lang w:bidi="ar-JO"/>
        </w:rPr>
        <w:t>(Mapping)</w:t>
      </w:r>
      <w:r w:rsidRPr="004451F4">
        <w:rPr>
          <w:rFonts w:ascii="Simplified Arabic" w:hAnsi="Simplified Arabic" w:cs="Simplified Arabic"/>
          <w:sz w:val="28"/>
          <w:szCs w:val="28"/>
          <w:rtl/>
          <w:lang w:bidi="ar-JO"/>
        </w:rPr>
        <w:t xml:space="preserve"> ما بين المرحلة الثانية والمرحلة الثالثة حسب متطلبات المعيار (</w:t>
      </w:r>
      <w:r w:rsidR="000D276E" w:rsidRPr="004451F4">
        <w:rPr>
          <w:rFonts w:ascii="Simplified Arabic" w:hAnsi="Simplified Arabic" w:cs="Simplified Arabic"/>
          <w:sz w:val="28"/>
          <w:szCs w:val="28"/>
          <w:rtl/>
          <w:lang w:bidi="ar-JO"/>
        </w:rPr>
        <w:t>30</w:t>
      </w:r>
      <w:r w:rsidRPr="004451F4">
        <w:rPr>
          <w:rFonts w:ascii="Simplified Arabic" w:hAnsi="Simplified Arabic" w:cs="Simplified Arabic"/>
          <w:sz w:val="28"/>
          <w:szCs w:val="28"/>
          <w:rtl/>
          <w:lang w:bidi="ar-JO"/>
        </w:rPr>
        <w:t>) مع مطالبات الائتمان تحت المراقبة ومطالبات الائتمان غير العاملة على التوالي حسب التعليمات رقم (47/2009).</w:t>
      </w:r>
    </w:p>
    <w:p w:rsidR="00EE04EC" w:rsidRPr="004451F4" w:rsidRDefault="00EE04EC" w:rsidP="003300BB">
      <w:pPr>
        <w:pStyle w:val="ListParagraph"/>
        <w:numPr>
          <w:ilvl w:val="0"/>
          <w:numId w:val="1"/>
        </w:numPr>
        <w:spacing w:line="276" w:lineRule="auto"/>
        <w:ind w:left="519"/>
        <w:jc w:val="lowKashida"/>
        <w:rPr>
          <w:rFonts w:ascii="Simplified Arabic" w:hAnsi="Simplified Arabic" w:cs="Simplified Arabic"/>
          <w:sz w:val="28"/>
          <w:szCs w:val="28"/>
          <w:lang w:bidi="ar-JO"/>
        </w:rPr>
      </w:pPr>
      <w:r w:rsidRPr="004451F4">
        <w:rPr>
          <w:rFonts w:ascii="Simplified Arabic" w:hAnsi="Simplified Arabic" w:cs="Simplified Arabic"/>
          <w:sz w:val="28"/>
          <w:szCs w:val="28"/>
          <w:rtl/>
          <w:lang w:bidi="ar-JO"/>
        </w:rPr>
        <w:t>أي تعديل في رصيد الخسارة الائتمانية المتوقعة ناتج عن تغيير في المنهجية والأنظمة المطبقة لدى البنك يتم قيد الفرق ضمن رصي</w:t>
      </w:r>
      <w:r w:rsidR="00272C36" w:rsidRPr="004451F4">
        <w:rPr>
          <w:rFonts w:ascii="Simplified Arabic" w:hAnsi="Simplified Arabic" w:cs="Simplified Arabic"/>
          <w:sz w:val="28"/>
          <w:szCs w:val="28"/>
          <w:rtl/>
          <w:lang w:bidi="ar-JO"/>
        </w:rPr>
        <w:t>د الأرباح المدورة/حقوق الملكية بالنسبة للتمويلات الذاتية.</w:t>
      </w:r>
    </w:p>
    <w:p w:rsidR="00EE04EC" w:rsidRPr="004451F4" w:rsidRDefault="00EE04EC" w:rsidP="003300BB">
      <w:pPr>
        <w:pStyle w:val="ListParagraph"/>
        <w:numPr>
          <w:ilvl w:val="0"/>
          <w:numId w:val="1"/>
        </w:numPr>
        <w:spacing w:line="276" w:lineRule="auto"/>
        <w:ind w:left="519"/>
        <w:jc w:val="lowKashida"/>
        <w:rPr>
          <w:rFonts w:ascii="Simplified Arabic" w:hAnsi="Simplified Arabic" w:cs="Simplified Arabic"/>
          <w:sz w:val="28"/>
          <w:szCs w:val="28"/>
          <w:lang w:bidi="ar-JO"/>
        </w:rPr>
      </w:pPr>
      <w:r w:rsidRPr="004451F4">
        <w:rPr>
          <w:rFonts w:ascii="Simplified Arabic" w:hAnsi="Simplified Arabic" w:cs="Simplified Arabic"/>
          <w:sz w:val="28"/>
          <w:szCs w:val="28"/>
          <w:rtl/>
          <w:lang w:bidi="ar-JO"/>
        </w:rPr>
        <w:t xml:space="preserve">تقع على مسؤولية مدقق الحسابات الخارجي التحقق من سلامة إجراءات البنك بخصوص منهجية واحتساب الخسارة الائتمانية المتوقعة وأن يتم تزويد البنك المركزي بشهادة من المدقق الخارجي بخصوص سلامة الإجراءات وكفاية مبلغ الخسارة الائتمانية المتوقعة المحتسب من قبل البنك مع كل بيانات مالية. </w:t>
      </w:r>
    </w:p>
    <w:p w:rsidR="00951F95" w:rsidRPr="004451F4" w:rsidRDefault="00951F95" w:rsidP="00016E23">
      <w:pPr>
        <w:numPr>
          <w:ilvl w:val="0"/>
          <w:numId w:val="1"/>
        </w:numPr>
        <w:bidi/>
        <w:spacing w:after="0" w:line="276" w:lineRule="auto"/>
        <w:ind w:left="450" w:hanging="450"/>
        <w:contextualSpacing/>
        <w:jc w:val="both"/>
        <w:rPr>
          <w:rFonts w:ascii="Simplified Arabic" w:eastAsia="Calibri" w:hAnsi="Simplified Arabic" w:cs="Simplified Arabic"/>
          <w:sz w:val="28"/>
          <w:szCs w:val="28"/>
          <w:lang w:bidi="ar-JO"/>
        </w:rPr>
      </w:pPr>
      <w:r w:rsidRPr="004451F4">
        <w:rPr>
          <w:rFonts w:ascii="Simplified Arabic" w:eastAsia="Calibri" w:hAnsi="Simplified Arabic" w:cs="Simplified Arabic"/>
          <w:sz w:val="28"/>
          <w:szCs w:val="28"/>
          <w:rtl/>
          <w:lang w:bidi="ar-JO"/>
        </w:rPr>
        <w:lastRenderedPageBreak/>
        <w:t xml:space="preserve">لا يجوز أن تزيد اجمالي التمويلات العقارية </w:t>
      </w:r>
      <w:r w:rsidR="0071287A" w:rsidRPr="004451F4">
        <w:rPr>
          <w:rFonts w:ascii="Simplified Arabic" w:eastAsia="Calibri" w:hAnsi="Simplified Arabic" w:cs="Simplified Arabic"/>
          <w:sz w:val="28"/>
          <w:szCs w:val="28"/>
          <w:rtl/>
          <w:lang w:bidi="ar-JO"/>
        </w:rPr>
        <w:t>والاجارة المنتهية</w:t>
      </w:r>
      <w:r w:rsidRPr="004451F4">
        <w:rPr>
          <w:rFonts w:ascii="Simplified Arabic" w:eastAsia="Calibri" w:hAnsi="Simplified Arabic" w:cs="Simplified Arabic"/>
          <w:sz w:val="28"/>
          <w:szCs w:val="28"/>
          <w:rtl/>
          <w:lang w:bidi="ar-JO"/>
        </w:rPr>
        <w:t xml:space="preserve"> بالتمليك (عقارات) والاستثمار في الع</w:t>
      </w:r>
      <w:r w:rsidR="007505CF" w:rsidRPr="004451F4">
        <w:rPr>
          <w:rFonts w:ascii="Simplified Arabic" w:eastAsia="Calibri" w:hAnsi="Simplified Arabic" w:cs="Simplified Arabic"/>
          <w:sz w:val="28"/>
          <w:szCs w:val="28"/>
          <w:rtl/>
          <w:lang w:bidi="ar-JO"/>
        </w:rPr>
        <w:t xml:space="preserve">قار عما نسبته (50%) من اجمالي </w:t>
      </w:r>
      <w:r w:rsidRPr="004451F4">
        <w:rPr>
          <w:rFonts w:ascii="Simplified Arabic" w:eastAsia="Calibri" w:hAnsi="Simplified Arabic" w:cs="Simplified Arabic"/>
          <w:sz w:val="28"/>
          <w:szCs w:val="28"/>
          <w:rtl/>
          <w:lang w:bidi="ar-JO"/>
        </w:rPr>
        <w:t>ودائع</w:t>
      </w:r>
      <w:r w:rsidR="007505CF" w:rsidRPr="004451F4">
        <w:rPr>
          <w:rFonts w:ascii="Simplified Arabic" w:eastAsia="Calibri" w:hAnsi="Simplified Arabic" w:cs="Simplified Arabic"/>
          <w:sz w:val="28"/>
          <w:szCs w:val="28"/>
          <w:rtl/>
          <w:lang w:bidi="ar-JO"/>
        </w:rPr>
        <w:t xml:space="preserve"> العملاء</w:t>
      </w:r>
      <w:r w:rsidR="002B4BF9" w:rsidRPr="004451F4">
        <w:rPr>
          <w:rFonts w:ascii="Simplified Arabic" w:eastAsia="Calibri" w:hAnsi="Simplified Arabic" w:cs="Simplified Arabic"/>
          <w:sz w:val="28"/>
          <w:szCs w:val="28"/>
          <w:rtl/>
          <w:lang w:bidi="ar-JO"/>
        </w:rPr>
        <w:t xml:space="preserve"> بالدينار، على أن يتم تطبيق هذه النسبة اعتباراً من 1/1/2021.</w:t>
      </w:r>
    </w:p>
    <w:p w:rsidR="0071287A" w:rsidRPr="00007EBE" w:rsidRDefault="00016E23" w:rsidP="00007EBE">
      <w:pPr>
        <w:numPr>
          <w:ilvl w:val="0"/>
          <w:numId w:val="1"/>
        </w:numPr>
        <w:tabs>
          <w:tab w:val="right" w:pos="384"/>
          <w:tab w:val="left" w:pos="474"/>
        </w:tabs>
        <w:bidi/>
        <w:spacing w:after="0"/>
        <w:ind w:left="450"/>
        <w:contextualSpacing/>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لا يجوز ان يزيد</w:t>
      </w:r>
      <w:r w:rsidRPr="000D2F28">
        <w:rPr>
          <w:rFonts w:ascii="Simplified Arabic" w:hAnsi="Simplified Arabic" w:cs="Simplified Arabic"/>
          <w:sz w:val="28"/>
          <w:szCs w:val="28"/>
          <w:rtl/>
          <w:lang w:bidi="ar-JO"/>
        </w:rPr>
        <w:t xml:space="preserve"> </w:t>
      </w:r>
      <w:r>
        <w:rPr>
          <w:rFonts w:ascii="Simplified Arabic" w:hAnsi="Simplified Arabic" w:cs="Simplified Arabic"/>
          <w:sz w:val="28"/>
          <w:szCs w:val="28"/>
          <w:rtl/>
          <w:lang w:bidi="ar-JO"/>
        </w:rPr>
        <w:t>إجمالي الاستثمار في العقارات ع</w:t>
      </w:r>
      <w:r w:rsidRPr="000D2F28">
        <w:rPr>
          <w:rFonts w:ascii="Simplified Arabic" w:hAnsi="Simplified Arabic" w:cs="Simplified Arabic"/>
          <w:sz w:val="28"/>
          <w:szCs w:val="28"/>
          <w:rtl/>
          <w:lang w:bidi="ar-JO"/>
        </w:rPr>
        <w:t xml:space="preserve">ما نسبته (40%) من رأس مال البنك التّنظيمي أو (10%) من </w:t>
      </w:r>
      <w:r>
        <w:rPr>
          <w:rFonts w:ascii="Simplified Arabic" w:hAnsi="Simplified Arabic" w:cs="Simplified Arabic" w:hint="cs"/>
          <w:sz w:val="28"/>
          <w:szCs w:val="28"/>
          <w:rtl/>
          <w:lang w:bidi="ar-JO"/>
        </w:rPr>
        <w:t>إ</w:t>
      </w:r>
      <w:r w:rsidRPr="000D2F28">
        <w:rPr>
          <w:rFonts w:ascii="Simplified Arabic" w:hAnsi="Simplified Arabic" w:cs="Simplified Arabic"/>
          <w:sz w:val="28"/>
          <w:szCs w:val="28"/>
          <w:rtl/>
          <w:lang w:bidi="ar-JO"/>
        </w:rPr>
        <w:t>جمالي ودائع العملاء بالدينار</w:t>
      </w:r>
      <w:r w:rsidRPr="000D2F28">
        <w:rPr>
          <w:rFonts w:ascii="Simplified Arabic" w:hAnsi="Simplified Arabic" w:cs="Simplified Arabic"/>
          <w:sz w:val="28"/>
          <w:szCs w:val="28"/>
          <w:lang w:bidi="ar-JO"/>
        </w:rPr>
        <w:t xml:space="preserve"> </w:t>
      </w:r>
      <w:r w:rsidRPr="000D2F28">
        <w:rPr>
          <w:rFonts w:ascii="Simplified Arabic" w:hAnsi="Simplified Arabic" w:cs="Simplified Arabic"/>
          <w:sz w:val="28"/>
          <w:szCs w:val="28"/>
          <w:rtl/>
          <w:lang w:bidi="ar-JO"/>
        </w:rPr>
        <w:t xml:space="preserve">أيهما اقل. </w:t>
      </w:r>
      <w:r w:rsidR="0071287A" w:rsidRPr="00007EBE">
        <w:rPr>
          <w:rFonts w:ascii="Simplified Arabic" w:eastAsia="Calibri" w:hAnsi="Simplified Arabic" w:cs="Simplified Arabic"/>
          <w:sz w:val="28"/>
          <w:szCs w:val="28"/>
          <w:rtl/>
        </w:rPr>
        <w:t xml:space="preserve"> </w:t>
      </w:r>
    </w:p>
    <w:p w:rsidR="00EE04EC" w:rsidRPr="004451F4" w:rsidRDefault="00EE04EC" w:rsidP="00016E23">
      <w:pPr>
        <w:pStyle w:val="ListParagraph"/>
        <w:numPr>
          <w:ilvl w:val="0"/>
          <w:numId w:val="1"/>
        </w:numPr>
        <w:spacing w:line="276" w:lineRule="auto"/>
        <w:ind w:left="450" w:hanging="450"/>
        <w:jc w:val="lowKashida"/>
        <w:rPr>
          <w:rFonts w:ascii="Simplified Arabic" w:hAnsi="Simplified Arabic" w:cs="Simplified Arabic"/>
          <w:sz w:val="28"/>
          <w:szCs w:val="28"/>
          <w:lang w:bidi="ar-JO"/>
        </w:rPr>
      </w:pPr>
      <w:r w:rsidRPr="004451F4">
        <w:rPr>
          <w:rFonts w:ascii="Simplified Arabic" w:hAnsi="Simplified Arabic" w:cs="Simplified Arabic"/>
          <w:sz w:val="28"/>
          <w:szCs w:val="28"/>
          <w:rtl/>
          <w:lang w:bidi="ar-JO"/>
        </w:rPr>
        <w:t xml:space="preserve">سيقوم البنك المركزي باتخاذ الإجراءات اللازمة للتحقق من سلامة المنهجيات والآليات المطبقة من البنوك لاحتساب الخسارة الائتمانية المتوقعة من خلال زيارات ميدانية للبنوك، حيث سيتم إعلام كل بنك بالترتيبات التي سيتم اتباعها. </w:t>
      </w:r>
    </w:p>
    <w:p w:rsidR="00EE04EC" w:rsidRPr="004451F4" w:rsidRDefault="00EE04EC" w:rsidP="00016E23">
      <w:pPr>
        <w:pStyle w:val="ListParagraph"/>
        <w:numPr>
          <w:ilvl w:val="0"/>
          <w:numId w:val="1"/>
        </w:numPr>
        <w:spacing w:line="276" w:lineRule="auto"/>
        <w:ind w:left="450" w:hanging="450"/>
        <w:jc w:val="lowKashida"/>
        <w:rPr>
          <w:rFonts w:ascii="Simplified Arabic" w:hAnsi="Simplified Arabic" w:cs="Simplified Arabic"/>
          <w:sz w:val="28"/>
          <w:szCs w:val="28"/>
          <w:lang w:bidi="ar-JO"/>
        </w:rPr>
      </w:pPr>
      <w:r w:rsidRPr="004451F4">
        <w:rPr>
          <w:rFonts w:ascii="Simplified Arabic" w:hAnsi="Simplified Arabic" w:cs="Simplified Arabic"/>
          <w:sz w:val="28"/>
          <w:szCs w:val="28"/>
          <w:rtl/>
          <w:lang w:bidi="ar-JO"/>
        </w:rPr>
        <w:t xml:space="preserve">ضرورة الالتزام </w:t>
      </w:r>
      <w:proofErr w:type="spellStart"/>
      <w:r w:rsidRPr="004451F4">
        <w:rPr>
          <w:rFonts w:ascii="Simplified Arabic" w:hAnsi="Simplified Arabic" w:cs="Simplified Arabic"/>
          <w:sz w:val="28"/>
          <w:szCs w:val="28"/>
          <w:rtl/>
          <w:lang w:bidi="ar-JO"/>
        </w:rPr>
        <w:t>بالإفصاحات</w:t>
      </w:r>
      <w:proofErr w:type="spellEnd"/>
      <w:r w:rsidRPr="004451F4">
        <w:rPr>
          <w:rFonts w:ascii="Simplified Arabic" w:hAnsi="Simplified Arabic" w:cs="Simplified Arabic"/>
          <w:sz w:val="28"/>
          <w:szCs w:val="28"/>
          <w:rtl/>
          <w:lang w:bidi="ar-JO"/>
        </w:rPr>
        <w:t xml:space="preserve"> الكمية والنوعية المرفقة طي التعليمات وأية </w:t>
      </w:r>
      <w:proofErr w:type="spellStart"/>
      <w:r w:rsidRPr="004451F4">
        <w:rPr>
          <w:rFonts w:ascii="Simplified Arabic" w:hAnsi="Simplified Arabic" w:cs="Simplified Arabic"/>
          <w:sz w:val="28"/>
          <w:szCs w:val="28"/>
          <w:rtl/>
          <w:lang w:bidi="ar-JO"/>
        </w:rPr>
        <w:t>إفصاحات</w:t>
      </w:r>
      <w:proofErr w:type="spellEnd"/>
      <w:r w:rsidRPr="004451F4">
        <w:rPr>
          <w:rFonts w:ascii="Simplified Arabic" w:hAnsi="Simplified Arabic" w:cs="Simplified Arabic"/>
          <w:sz w:val="28"/>
          <w:szCs w:val="28"/>
          <w:rtl/>
          <w:lang w:bidi="ar-JO"/>
        </w:rPr>
        <w:t xml:space="preserve"> أخرى مطلوبة بموجب المعايير </w:t>
      </w:r>
      <w:r w:rsidR="00272C36" w:rsidRPr="004451F4">
        <w:rPr>
          <w:rFonts w:ascii="Simplified Arabic" w:hAnsi="Simplified Arabic" w:cs="Simplified Arabic"/>
          <w:sz w:val="28"/>
          <w:szCs w:val="28"/>
          <w:rtl/>
          <w:lang w:bidi="ar-JO"/>
        </w:rPr>
        <w:t xml:space="preserve">الصادرة عن هيئة المحاسبة والمراجعة للمؤسسات المالية الإسلامية </w:t>
      </w:r>
      <w:r w:rsidR="00272C36" w:rsidRPr="004451F4">
        <w:rPr>
          <w:rFonts w:ascii="Simplified Arabic" w:hAnsi="Simplified Arabic" w:cs="Simplified Arabic"/>
          <w:sz w:val="28"/>
          <w:szCs w:val="28"/>
          <w:lang w:bidi="ar-JO"/>
        </w:rPr>
        <w:t>AAOIFI</w:t>
      </w:r>
      <w:r w:rsidRPr="004451F4">
        <w:rPr>
          <w:rFonts w:ascii="Simplified Arabic" w:hAnsi="Simplified Arabic" w:cs="Simplified Arabic"/>
          <w:sz w:val="28"/>
          <w:szCs w:val="28"/>
          <w:rtl/>
          <w:lang w:bidi="ar-JO"/>
        </w:rPr>
        <w:t xml:space="preserve"> وكذلك تزويد البنك المركزي بالكشوفات المرفقة طي هذه التعليمات مع كل بيانات مالية. </w:t>
      </w:r>
    </w:p>
    <w:p w:rsidR="003300BB" w:rsidRPr="004451F4" w:rsidRDefault="003300BB" w:rsidP="003300BB">
      <w:pPr>
        <w:bidi/>
        <w:jc w:val="lowKashida"/>
        <w:rPr>
          <w:rFonts w:ascii="Simplified Arabic" w:hAnsi="Simplified Arabic" w:cs="Simplified Arabic"/>
          <w:sz w:val="32"/>
          <w:szCs w:val="32"/>
          <w:lang w:bidi="ar-JO"/>
        </w:rPr>
      </w:pPr>
    </w:p>
    <w:p w:rsidR="002B4BF9" w:rsidRDefault="00EE04EC" w:rsidP="003300BB">
      <w:pPr>
        <w:bidi/>
        <w:spacing w:line="14" w:lineRule="atLeast"/>
        <w:jc w:val="center"/>
        <w:rPr>
          <w:rFonts w:ascii="Simplified Arabic" w:hAnsi="Simplified Arabic" w:cs="Simplified Arabic"/>
          <w:b/>
          <w:bCs/>
          <w:sz w:val="32"/>
          <w:szCs w:val="32"/>
          <w:rtl/>
        </w:rPr>
      </w:pPr>
      <w:r w:rsidRPr="004451F4">
        <w:rPr>
          <w:rFonts w:ascii="Simplified Arabic" w:hAnsi="Simplified Arabic" w:cs="Simplified Arabic"/>
          <w:b/>
          <w:bCs/>
          <w:sz w:val="32"/>
          <w:szCs w:val="32"/>
          <w:rtl/>
        </w:rPr>
        <w:t xml:space="preserve">وتفضلوا بقبول فائق </w:t>
      </w:r>
      <w:proofErr w:type="gramStart"/>
      <w:r w:rsidRPr="004451F4">
        <w:rPr>
          <w:rFonts w:ascii="Simplified Arabic" w:hAnsi="Simplified Arabic" w:cs="Simplified Arabic"/>
          <w:b/>
          <w:bCs/>
          <w:sz w:val="32"/>
          <w:szCs w:val="32"/>
          <w:rtl/>
        </w:rPr>
        <w:t>الاحترام ،</w:t>
      </w:r>
      <w:proofErr w:type="gramEnd"/>
      <w:r w:rsidRPr="004451F4">
        <w:rPr>
          <w:rFonts w:ascii="Simplified Arabic" w:hAnsi="Simplified Arabic" w:cs="Simplified Arabic"/>
          <w:b/>
          <w:bCs/>
          <w:sz w:val="32"/>
          <w:szCs w:val="32"/>
          <w:rtl/>
        </w:rPr>
        <w:t>،،</w:t>
      </w:r>
    </w:p>
    <w:p w:rsidR="00BE1658" w:rsidRDefault="00BE1658" w:rsidP="00BE1658">
      <w:pPr>
        <w:bidi/>
        <w:spacing w:line="14" w:lineRule="atLeast"/>
        <w:jc w:val="center"/>
        <w:rPr>
          <w:rFonts w:ascii="Simplified Arabic" w:hAnsi="Simplified Arabic" w:cs="Simplified Arabic"/>
          <w:b/>
          <w:bCs/>
          <w:sz w:val="32"/>
          <w:szCs w:val="32"/>
        </w:rPr>
      </w:pPr>
    </w:p>
    <w:p w:rsidR="00BE1658" w:rsidRPr="004451F4" w:rsidRDefault="00BE1658" w:rsidP="00BE1658">
      <w:pPr>
        <w:bidi/>
        <w:spacing w:line="14" w:lineRule="atLeast"/>
        <w:jc w:val="center"/>
        <w:rPr>
          <w:rFonts w:ascii="Simplified Arabic" w:hAnsi="Simplified Arabic" w:cs="Simplified Arabic"/>
          <w:b/>
          <w:bCs/>
          <w:sz w:val="32"/>
          <w:szCs w:val="32"/>
          <w:rtl/>
        </w:rPr>
      </w:pPr>
    </w:p>
    <w:tbl>
      <w:tblPr>
        <w:tblStyle w:val="TableGrid"/>
        <w:bidiVisual/>
        <w:tblW w:w="1618" w:type="dxa"/>
        <w:tblInd w:w="7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tblGrid>
      <w:tr w:rsidR="002B6E7A" w:rsidRPr="004451F4" w:rsidTr="008E3058">
        <w:trPr>
          <w:trHeight w:val="49"/>
        </w:trPr>
        <w:tc>
          <w:tcPr>
            <w:tcW w:w="1618" w:type="dxa"/>
            <w:hideMark/>
          </w:tcPr>
          <w:p w:rsidR="002B6E7A" w:rsidRPr="004451F4" w:rsidRDefault="002B6E7A" w:rsidP="008E3058">
            <w:pPr>
              <w:spacing w:line="14" w:lineRule="atLeast"/>
              <w:rPr>
                <w:rFonts w:ascii="Simplified Arabic" w:hAnsi="Simplified Arabic" w:cs="Simplified Arabic"/>
                <w:b/>
                <w:bCs/>
                <w:sz w:val="32"/>
                <w:szCs w:val="32"/>
                <w:rtl/>
                <w:lang w:bidi="ar-JO"/>
              </w:rPr>
            </w:pPr>
            <w:r w:rsidRPr="004451F4">
              <w:rPr>
                <w:rFonts w:ascii="Simplified Arabic" w:hAnsi="Simplified Arabic" w:cs="Simplified Arabic"/>
                <w:b/>
                <w:bCs/>
                <w:sz w:val="32"/>
                <w:szCs w:val="32"/>
                <w:rtl/>
                <w:lang w:bidi="ar-JO"/>
              </w:rPr>
              <w:t xml:space="preserve">المحافظ   </w:t>
            </w:r>
          </w:p>
        </w:tc>
      </w:tr>
      <w:tr w:rsidR="002B6E7A" w:rsidRPr="004451F4" w:rsidTr="008E3058">
        <w:trPr>
          <w:trHeight w:val="477"/>
        </w:trPr>
        <w:tc>
          <w:tcPr>
            <w:tcW w:w="1618" w:type="dxa"/>
            <w:hideMark/>
          </w:tcPr>
          <w:p w:rsidR="002B6E7A" w:rsidRPr="004451F4" w:rsidRDefault="002B6E7A" w:rsidP="002B6E7A">
            <w:pPr>
              <w:spacing w:line="14" w:lineRule="atLeast"/>
              <w:rPr>
                <w:rFonts w:ascii="Simplified Arabic" w:hAnsi="Simplified Arabic" w:cs="Simplified Arabic"/>
                <w:b/>
                <w:bCs/>
                <w:sz w:val="32"/>
                <w:szCs w:val="32"/>
                <w:rtl/>
                <w:lang w:bidi="ar-JO"/>
              </w:rPr>
            </w:pPr>
            <w:r w:rsidRPr="004451F4">
              <w:rPr>
                <w:rFonts w:ascii="Simplified Arabic" w:hAnsi="Simplified Arabic" w:cs="Simplified Arabic"/>
                <w:b/>
                <w:bCs/>
                <w:sz w:val="32"/>
                <w:szCs w:val="32"/>
                <w:rtl/>
                <w:lang w:bidi="ar-JO"/>
              </w:rPr>
              <w:t>د. زياد فريز</w:t>
            </w:r>
          </w:p>
        </w:tc>
      </w:tr>
    </w:tbl>
    <w:p w:rsidR="00BE1658" w:rsidRDefault="00BE1658" w:rsidP="00B46194">
      <w:pPr>
        <w:pStyle w:val="ListParagraph"/>
        <w:spacing w:line="14" w:lineRule="atLeast"/>
        <w:ind w:left="-180"/>
        <w:outlineLvl w:val="0"/>
        <w:rPr>
          <w:rFonts w:ascii="Simplified Arabic" w:hAnsi="Simplified Arabic" w:cs="Simplified Arabic"/>
          <w:b/>
          <w:bCs/>
          <w:u w:val="single"/>
          <w:lang w:bidi="ar-JO"/>
        </w:rPr>
      </w:pPr>
    </w:p>
    <w:p w:rsidR="001176C1" w:rsidRDefault="001176C1" w:rsidP="00B46194">
      <w:pPr>
        <w:pStyle w:val="ListParagraph"/>
        <w:spacing w:line="14" w:lineRule="atLeast"/>
        <w:ind w:left="-180"/>
        <w:outlineLvl w:val="0"/>
        <w:rPr>
          <w:rFonts w:ascii="Simplified Arabic" w:hAnsi="Simplified Arabic" w:cs="Simplified Arabic"/>
          <w:b/>
          <w:bCs/>
          <w:u w:val="single"/>
          <w:rtl/>
          <w:lang w:bidi="ar-JO"/>
        </w:rPr>
      </w:pPr>
    </w:p>
    <w:p w:rsidR="00007EBE" w:rsidRDefault="00007EBE" w:rsidP="00B46194">
      <w:pPr>
        <w:pStyle w:val="ListParagraph"/>
        <w:spacing w:line="14" w:lineRule="atLeast"/>
        <w:ind w:left="-180"/>
        <w:outlineLvl w:val="0"/>
        <w:rPr>
          <w:rFonts w:ascii="Simplified Arabic" w:hAnsi="Simplified Arabic" w:cs="Simplified Arabic"/>
          <w:b/>
          <w:bCs/>
          <w:u w:val="single"/>
          <w:rtl/>
          <w:lang w:bidi="ar-JO"/>
        </w:rPr>
      </w:pPr>
    </w:p>
    <w:p w:rsidR="00007EBE" w:rsidRDefault="00007EBE" w:rsidP="00B46194">
      <w:pPr>
        <w:pStyle w:val="ListParagraph"/>
        <w:spacing w:line="14" w:lineRule="atLeast"/>
        <w:ind w:left="-180"/>
        <w:outlineLvl w:val="0"/>
        <w:rPr>
          <w:rFonts w:ascii="Simplified Arabic" w:hAnsi="Simplified Arabic" w:cs="Simplified Arabic"/>
          <w:b/>
          <w:bCs/>
          <w:u w:val="single"/>
          <w:rtl/>
          <w:lang w:bidi="ar-JO"/>
        </w:rPr>
      </w:pPr>
    </w:p>
    <w:p w:rsidR="00EE04EC" w:rsidRPr="004451F4" w:rsidRDefault="00EE04EC" w:rsidP="00B46194">
      <w:pPr>
        <w:pStyle w:val="ListParagraph"/>
        <w:spacing w:line="14" w:lineRule="atLeast"/>
        <w:ind w:left="-180"/>
        <w:outlineLvl w:val="0"/>
        <w:rPr>
          <w:rFonts w:ascii="Simplified Arabic" w:hAnsi="Simplified Arabic" w:cs="Simplified Arabic"/>
          <w:b/>
          <w:bCs/>
          <w:u w:val="single"/>
          <w:lang w:bidi="ar-JO"/>
        </w:rPr>
      </w:pPr>
      <w:r w:rsidRPr="004451F4">
        <w:rPr>
          <w:rFonts w:ascii="Simplified Arabic" w:hAnsi="Simplified Arabic" w:cs="Simplified Arabic"/>
          <w:b/>
          <w:bCs/>
          <w:u w:val="single"/>
          <w:rtl/>
          <w:lang w:bidi="ar-JO"/>
        </w:rPr>
        <w:t>مرفق</w:t>
      </w:r>
      <w:r w:rsidR="005972B8" w:rsidRPr="004451F4">
        <w:rPr>
          <w:rFonts w:ascii="Simplified Arabic" w:hAnsi="Simplified Arabic" w:cs="Simplified Arabic"/>
          <w:b/>
          <w:bCs/>
          <w:u w:val="single"/>
          <w:rtl/>
          <w:lang w:bidi="ar-JO"/>
        </w:rPr>
        <w:t>ات</w:t>
      </w:r>
      <w:r w:rsidRPr="004451F4">
        <w:rPr>
          <w:rFonts w:ascii="Simplified Arabic" w:hAnsi="Simplified Arabic" w:cs="Simplified Arabic"/>
          <w:b/>
          <w:bCs/>
          <w:u w:val="single"/>
          <w:rtl/>
          <w:lang w:bidi="ar-JO"/>
        </w:rPr>
        <w:t>:</w:t>
      </w:r>
    </w:p>
    <w:p w:rsidR="00EE04EC" w:rsidRPr="004451F4" w:rsidRDefault="007505CF" w:rsidP="00B46194">
      <w:pPr>
        <w:pStyle w:val="ListParagraph"/>
        <w:numPr>
          <w:ilvl w:val="0"/>
          <w:numId w:val="4"/>
        </w:numPr>
        <w:spacing w:line="14" w:lineRule="atLeast"/>
        <w:ind w:left="90"/>
        <w:jc w:val="lowKashida"/>
        <w:rPr>
          <w:rFonts w:ascii="Simplified Arabic" w:hAnsi="Simplified Arabic" w:cs="Simplified Arabic"/>
          <w:b/>
          <w:bCs/>
          <w:lang w:bidi="ar-JO"/>
        </w:rPr>
      </w:pPr>
      <w:r w:rsidRPr="004451F4">
        <w:rPr>
          <w:rFonts w:ascii="Simplified Arabic" w:hAnsi="Simplified Arabic" w:cs="Simplified Arabic"/>
          <w:b/>
          <w:bCs/>
          <w:rtl/>
          <w:lang w:bidi="ar-JO"/>
        </w:rPr>
        <w:t>التعليمات.</w:t>
      </w:r>
    </w:p>
    <w:p w:rsidR="00EE04EC" w:rsidRPr="004451F4" w:rsidRDefault="00EE04EC" w:rsidP="00B46194">
      <w:pPr>
        <w:pStyle w:val="ListParagraph"/>
        <w:numPr>
          <w:ilvl w:val="0"/>
          <w:numId w:val="4"/>
        </w:numPr>
        <w:spacing w:line="14" w:lineRule="atLeast"/>
        <w:ind w:left="90"/>
        <w:jc w:val="lowKashida"/>
        <w:outlineLvl w:val="0"/>
        <w:rPr>
          <w:rFonts w:ascii="Simplified Arabic" w:hAnsi="Simplified Arabic" w:cs="Simplified Arabic"/>
          <w:b/>
          <w:bCs/>
          <w:lang w:bidi="ar-JO"/>
        </w:rPr>
      </w:pPr>
      <w:proofErr w:type="spellStart"/>
      <w:r w:rsidRPr="004451F4">
        <w:rPr>
          <w:rFonts w:ascii="Simplified Arabic" w:hAnsi="Simplified Arabic" w:cs="Simplified Arabic"/>
          <w:b/>
          <w:bCs/>
          <w:rtl/>
          <w:lang w:bidi="ar-JO"/>
        </w:rPr>
        <w:t>الإفصاحات</w:t>
      </w:r>
      <w:proofErr w:type="spellEnd"/>
      <w:r w:rsidRPr="004451F4">
        <w:rPr>
          <w:rFonts w:ascii="Simplified Arabic" w:hAnsi="Simplified Arabic" w:cs="Simplified Arabic"/>
          <w:b/>
          <w:bCs/>
          <w:rtl/>
          <w:lang w:bidi="ar-JO"/>
        </w:rPr>
        <w:t xml:space="preserve"> الكمية والنوعية المطلوبة. </w:t>
      </w:r>
    </w:p>
    <w:p w:rsidR="004451F4" w:rsidRDefault="00016E23" w:rsidP="004451F4">
      <w:pPr>
        <w:pStyle w:val="ListParagraph"/>
        <w:numPr>
          <w:ilvl w:val="0"/>
          <w:numId w:val="4"/>
        </w:numPr>
        <w:spacing w:line="14" w:lineRule="atLeast"/>
        <w:ind w:left="90"/>
        <w:outlineLvl w:val="0"/>
        <w:rPr>
          <w:rFonts w:ascii="Simplified Arabic" w:hAnsi="Simplified Arabic" w:cs="Simplified Arabic"/>
          <w:b/>
          <w:bCs/>
          <w:lang w:bidi="ar-JO"/>
        </w:rPr>
      </w:pPr>
      <w:r>
        <w:rPr>
          <w:rFonts w:ascii="Simplified Arabic" w:hAnsi="Simplified Arabic" w:cs="Simplified Arabic" w:hint="cs"/>
          <w:b/>
          <w:bCs/>
          <w:rtl/>
          <w:lang w:bidi="ar-JO"/>
        </w:rPr>
        <w:t xml:space="preserve">قرص مدمج </w:t>
      </w:r>
      <w:r>
        <w:rPr>
          <w:rFonts w:ascii="Simplified Arabic" w:hAnsi="Simplified Arabic" w:cs="Simplified Arabic"/>
          <w:b/>
          <w:bCs/>
          <w:lang w:bidi="ar-JO"/>
        </w:rPr>
        <w:t>(CD)</w:t>
      </w:r>
      <w:r>
        <w:rPr>
          <w:rFonts w:ascii="Simplified Arabic" w:hAnsi="Simplified Arabic" w:cs="Simplified Arabic" w:hint="cs"/>
          <w:b/>
          <w:bCs/>
          <w:rtl/>
          <w:lang w:bidi="ar-JO"/>
        </w:rPr>
        <w:t xml:space="preserve"> متضمن </w:t>
      </w:r>
      <w:r w:rsidR="00EE04EC" w:rsidRPr="004451F4">
        <w:rPr>
          <w:rFonts w:ascii="Simplified Arabic" w:hAnsi="Simplified Arabic" w:cs="Simplified Arabic"/>
          <w:b/>
          <w:bCs/>
          <w:rtl/>
          <w:lang w:bidi="ar-JO"/>
        </w:rPr>
        <w:t>الكشوفات المطلوبة لأغراض البنك المركزي.</w:t>
      </w:r>
    </w:p>
    <w:p w:rsidR="00007EBE" w:rsidRDefault="00007EBE" w:rsidP="00007EBE">
      <w:pPr>
        <w:bidi/>
        <w:spacing w:line="14" w:lineRule="atLeast"/>
        <w:outlineLvl w:val="0"/>
        <w:rPr>
          <w:rFonts w:ascii="Simplified Arabic" w:hAnsi="Simplified Arabic" w:cs="Simplified Arabic"/>
          <w:b/>
          <w:bCs/>
          <w:rtl/>
          <w:lang w:bidi="ar-JO"/>
        </w:rPr>
      </w:pPr>
    </w:p>
    <w:p w:rsidR="00007EBE" w:rsidRDefault="00007EBE" w:rsidP="00007EBE">
      <w:pPr>
        <w:bidi/>
        <w:spacing w:line="14" w:lineRule="atLeast"/>
        <w:outlineLvl w:val="0"/>
        <w:rPr>
          <w:rFonts w:ascii="Simplified Arabic" w:hAnsi="Simplified Arabic" w:cs="Simplified Arabic"/>
          <w:b/>
          <w:bCs/>
          <w:rtl/>
          <w:lang w:bidi="ar-JO"/>
        </w:rPr>
      </w:pPr>
    </w:p>
    <w:p w:rsidR="00007EBE" w:rsidRDefault="00007EBE" w:rsidP="00007EBE">
      <w:pPr>
        <w:bidi/>
        <w:spacing w:line="14" w:lineRule="atLeast"/>
        <w:outlineLvl w:val="0"/>
        <w:rPr>
          <w:rFonts w:ascii="Simplified Arabic" w:hAnsi="Simplified Arabic" w:cs="Simplified Arabic"/>
          <w:b/>
          <w:bCs/>
          <w:rtl/>
          <w:lang w:bidi="ar-JO"/>
        </w:rPr>
      </w:pPr>
    </w:p>
    <w:p w:rsidR="00007EBE" w:rsidRDefault="00007EBE" w:rsidP="00007EBE">
      <w:pPr>
        <w:bidi/>
        <w:spacing w:line="14" w:lineRule="atLeast"/>
        <w:outlineLvl w:val="0"/>
        <w:rPr>
          <w:rFonts w:ascii="Simplified Arabic" w:hAnsi="Simplified Arabic" w:cs="Simplified Arabic"/>
          <w:b/>
          <w:bCs/>
          <w:rtl/>
          <w:lang w:bidi="ar-JO"/>
        </w:rPr>
      </w:pPr>
    </w:p>
    <w:p w:rsidR="00007EBE" w:rsidRDefault="00007EBE" w:rsidP="00007EBE">
      <w:pPr>
        <w:bidi/>
        <w:spacing w:line="14" w:lineRule="atLeast"/>
        <w:outlineLvl w:val="0"/>
        <w:rPr>
          <w:rFonts w:ascii="Simplified Arabic" w:hAnsi="Simplified Arabic" w:cs="Simplified Arabic"/>
          <w:b/>
          <w:bCs/>
          <w:rtl/>
          <w:lang w:bidi="ar-JO"/>
        </w:rPr>
      </w:pPr>
    </w:p>
    <w:p w:rsidR="00016E23" w:rsidRDefault="00016E23" w:rsidP="00BE1658">
      <w:pPr>
        <w:bidi/>
        <w:ind w:left="-450"/>
        <w:outlineLvl w:val="0"/>
        <w:rPr>
          <w:rFonts w:ascii="Simplified Arabic" w:hAnsi="Simplified Arabic" w:cs="Simplified Arabic"/>
          <w:b/>
          <w:bCs/>
          <w:rtl/>
          <w:lang w:bidi="ar-JO"/>
        </w:rPr>
      </w:pPr>
    </w:p>
    <w:p w:rsidR="00007EBE" w:rsidRDefault="00007EBE" w:rsidP="00007EBE">
      <w:pPr>
        <w:bidi/>
        <w:ind w:left="-450"/>
        <w:outlineLvl w:val="0"/>
        <w:rPr>
          <w:rFonts w:ascii="Simplified Arabic" w:hAnsi="Simplified Arabic" w:cs="Simplified Arabic"/>
          <w:b/>
          <w:bCs/>
          <w:rtl/>
          <w:lang w:bidi="ar-JO"/>
        </w:rPr>
      </w:pPr>
    </w:p>
    <w:p w:rsidR="004451F4" w:rsidRPr="00BE1658" w:rsidRDefault="004451F4" w:rsidP="00016E23">
      <w:pPr>
        <w:bidi/>
        <w:ind w:left="-450"/>
        <w:outlineLvl w:val="0"/>
        <w:rPr>
          <w:rFonts w:ascii="Simplified Arabic" w:hAnsi="Simplified Arabic" w:cs="Simplified Arabic"/>
          <w:color w:val="1F4E79" w:themeColor="accent1" w:themeShade="80"/>
          <w:sz w:val="20"/>
          <w:szCs w:val="20"/>
          <w:lang w:bidi="ar-JO"/>
        </w:rPr>
      </w:pPr>
      <w:r w:rsidRPr="00BE1658">
        <w:rPr>
          <w:rFonts w:ascii="Simplified Arabic" w:hAnsi="Simplified Arabic" w:cs="Simplified Arabic"/>
          <w:color w:val="1F4E79" w:themeColor="accent1" w:themeShade="80"/>
          <w:sz w:val="20"/>
          <w:szCs w:val="20"/>
          <w:rtl/>
          <w:lang w:bidi="ar-JO"/>
        </w:rPr>
        <w:t>تعليمات تطبيق معايير المحاسبة الاسلامية / 2020 فوزي الصوص</w:t>
      </w:r>
    </w:p>
    <w:sectPr w:rsidR="004451F4" w:rsidRPr="00BE1658" w:rsidSect="006F4035">
      <w:footerReference w:type="default" r:id="rId7"/>
      <w:pgSz w:w="12240" w:h="15840"/>
      <w:pgMar w:top="2070" w:right="1440" w:bottom="135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114" w:rsidRDefault="00F90114" w:rsidP="005972B8">
      <w:pPr>
        <w:spacing w:after="0" w:line="240" w:lineRule="auto"/>
      </w:pPr>
      <w:r>
        <w:separator/>
      </w:r>
    </w:p>
  </w:endnote>
  <w:endnote w:type="continuationSeparator" w:id="0">
    <w:p w:rsidR="00F90114" w:rsidRDefault="00F90114" w:rsidP="00597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altName w:val="Times New Roman"/>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1F4" w:rsidRDefault="004451F4" w:rsidP="004451F4">
    <w:pPr>
      <w:bidi/>
      <w:ind w:left="-450"/>
      <w:outlineLvl w:val="0"/>
      <w:rPr>
        <w:rFonts w:ascii="Simplified Arabic" w:hAnsi="Simplified Arabic" w:cs="Simplified Arabic"/>
        <w:color w:val="1F4E79" w:themeColor="accent1" w:themeShade="80"/>
        <w:sz w:val="20"/>
        <w:szCs w:val="20"/>
        <w:rtl/>
        <w:lang w:bidi="ar-JO"/>
      </w:rPr>
    </w:pPr>
  </w:p>
  <w:p w:rsidR="004451F4" w:rsidRDefault="004451F4" w:rsidP="004451F4">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114" w:rsidRDefault="00F90114" w:rsidP="005972B8">
      <w:pPr>
        <w:spacing w:after="0" w:line="240" w:lineRule="auto"/>
      </w:pPr>
      <w:r>
        <w:separator/>
      </w:r>
    </w:p>
  </w:footnote>
  <w:footnote w:type="continuationSeparator" w:id="0">
    <w:p w:rsidR="00F90114" w:rsidRDefault="00F90114" w:rsidP="00597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3CB5"/>
    <w:multiLevelType w:val="hybridMultilevel"/>
    <w:tmpl w:val="FE7C8B30"/>
    <w:lvl w:ilvl="0" w:tplc="11B21604">
      <w:start w:val="8"/>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E44F1D"/>
    <w:multiLevelType w:val="hybridMultilevel"/>
    <w:tmpl w:val="DFD48C5E"/>
    <w:lvl w:ilvl="0" w:tplc="B3C29A24">
      <w:start w:val="1"/>
      <w:numFmt w:val="arabicAlpha"/>
      <w:lvlText w:val="%1."/>
      <w:lvlJc w:val="left"/>
      <w:pPr>
        <w:ind w:left="879" w:hanging="360"/>
      </w:pPr>
    </w:lvl>
    <w:lvl w:ilvl="1" w:tplc="04090019">
      <w:start w:val="1"/>
      <w:numFmt w:val="lowerLetter"/>
      <w:lvlText w:val="%2."/>
      <w:lvlJc w:val="left"/>
      <w:pPr>
        <w:ind w:left="1599" w:hanging="360"/>
      </w:pPr>
    </w:lvl>
    <w:lvl w:ilvl="2" w:tplc="0409001B">
      <w:start w:val="1"/>
      <w:numFmt w:val="lowerRoman"/>
      <w:lvlText w:val="%3."/>
      <w:lvlJc w:val="right"/>
      <w:pPr>
        <w:ind w:left="2319" w:hanging="180"/>
      </w:pPr>
    </w:lvl>
    <w:lvl w:ilvl="3" w:tplc="0409000F">
      <w:start w:val="1"/>
      <w:numFmt w:val="decimal"/>
      <w:lvlText w:val="%4."/>
      <w:lvlJc w:val="left"/>
      <w:pPr>
        <w:ind w:left="3039" w:hanging="360"/>
      </w:pPr>
    </w:lvl>
    <w:lvl w:ilvl="4" w:tplc="04090019">
      <w:start w:val="1"/>
      <w:numFmt w:val="lowerLetter"/>
      <w:lvlText w:val="%5."/>
      <w:lvlJc w:val="left"/>
      <w:pPr>
        <w:ind w:left="3759" w:hanging="360"/>
      </w:pPr>
    </w:lvl>
    <w:lvl w:ilvl="5" w:tplc="0409001B">
      <w:start w:val="1"/>
      <w:numFmt w:val="lowerRoman"/>
      <w:lvlText w:val="%6."/>
      <w:lvlJc w:val="right"/>
      <w:pPr>
        <w:ind w:left="4479" w:hanging="180"/>
      </w:pPr>
    </w:lvl>
    <w:lvl w:ilvl="6" w:tplc="0409000F">
      <w:start w:val="1"/>
      <w:numFmt w:val="decimal"/>
      <w:lvlText w:val="%7."/>
      <w:lvlJc w:val="left"/>
      <w:pPr>
        <w:ind w:left="5199" w:hanging="360"/>
      </w:pPr>
    </w:lvl>
    <w:lvl w:ilvl="7" w:tplc="04090019">
      <w:start w:val="1"/>
      <w:numFmt w:val="lowerLetter"/>
      <w:lvlText w:val="%8."/>
      <w:lvlJc w:val="left"/>
      <w:pPr>
        <w:ind w:left="5919" w:hanging="360"/>
      </w:pPr>
    </w:lvl>
    <w:lvl w:ilvl="8" w:tplc="0409001B">
      <w:start w:val="1"/>
      <w:numFmt w:val="lowerRoman"/>
      <w:lvlText w:val="%9."/>
      <w:lvlJc w:val="right"/>
      <w:pPr>
        <w:ind w:left="6639" w:hanging="180"/>
      </w:pPr>
    </w:lvl>
  </w:abstractNum>
  <w:abstractNum w:abstractNumId="2" w15:restartNumberingAfterBreak="0">
    <w:nsid w:val="323D14E0"/>
    <w:multiLevelType w:val="hybridMultilevel"/>
    <w:tmpl w:val="ED5207E6"/>
    <w:lvl w:ilvl="0" w:tplc="49DCF10E">
      <w:numFmt w:val="bullet"/>
      <w:lvlText w:val="-"/>
      <w:lvlJc w:val="left"/>
      <w:pPr>
        <w:ind w:left="-798" w:hanging="360"/>
      </w:pPr>
      <w:rPr>
        <w:rFonts w:ascii="Simplified Arabic" w:eastAsia="Times New Roman" w:hAnsi="Simplified Arabic" w:cs="Simplified Arabic" w:hint="default"/>
        <w:b w:val="0"/>
        <w:bCs w:val="0"/>
      </w:rPr>
    </w:lvl>
    <w:lvl w:ilvl="1" w:tplc="04090003">
      <w:start w:val="1"/>
      <w:numFmt w:val="bullet"/>
      <w:lvlText w:val="o"/>
      <w:lvlJc w:val="left"/>
      <w:pPr>
        <w:ind w:left="-78" w:hanging="360"/>
      </w:pPr>
      <w:rPr>
        <w:rFonts w:ascii="Courier New" w:hAnsi="Courier New" w:cs="Courier New" w:hint="default"/>
      </w:rPr>
    </w:lvl>
    <w:lvl w:ilvl="2" w:tplc="04090005" w:tentative="1">
      <w:start w:val="1"/>
      <w:numFmt w:val="bullet"/>
      <w:lvlText w:val=""/>
      <w:lvlJc w:val="left"/>
      <w:pPr>
        <w:ind w:left="642" w:hanging="360"/>
      </w:pPr>
      <w:rPr>
        <w:rFonts w:ascii="Wingdings" w:hAnsi="Wingdings" w:hint="default"/>
      </w:rPr>
    </w:lvl>
    <w:lvl w:ilvl="3" w:tplc="04090001" w:tentative="1">
      <w:start w:val="1"/>
      <w:numFmt w:val="bullet"/>
      <w:lvlText w:val=""/>
      <w:lvlJc w:val="left"/>
      <w:pPr>
        <w:ind w:left="1362" w:hanging="360"/>
      </w:pPr>
      <w:rPr>
        <w:rFonts w:ascii="Symbol" w:hAnsi="Symbol" w:hint="default"/>
      </w:rPr>
    </w:lvl>
    <w:lvl w:ilvl="4" w:tplc="04090003" w:tentative="1">
      <w:start w:val="1"/>
      <w:numFmt w:val="bullet"/>
      <w:lvlText w:val="o"/>
      <w:lvlJc w:val="left"/>
      <w:pPr>
        <w:ind w:left="2082" w:hanging="360"/>
      </w:pPr>
      <w:rPr>
        <w:rFonts w:ascii="Courier New" w:hAnsi="Courier New" w:cs="Courier New" w:hint="default"/>
      </w:rPr>
    </w:lvl>
    <w:lvl w:ilvl="5" w:tplc="04090005" w:tentative="1">
      <w:start w:val="1"/>
      <w:numFmt w:val="bullet"/>
      <w:lvlText w:val=""/>
      <w:lvlJc w:val="left"/>
      <w:pPr>
        <w:ind w:left="2802" w:hanging="360"/>
      </w:pPr>
      <w:rPr>
        <w:rFonts w:ascii="Wingdings" w:hAnsi="Wingdings" w:hint="default"/>
      </w:rPr>
    </w:lvl>
    <w:lvl w:ilvl="6" w:tplc="04090001" w:tentative="1">
      <w:start w:val="1"/>
      <w:numFmt w:val="bullet"/>
      <w:lvlText w:val=""/>
      <w:lvlJc w:val="left"/>
      <w:pPr>
        <w:ind w:left="3522" w:hanging="360"/>
      </w:pPr>
      <w:rPr>
        <w:rFonts w:ascii="Symbol" w:hAnsi="Symbol" w:hint="default"/>
      </w:rPr>
    </w:lvl>
    <w:lvl w:ilvl="7" w:tplc="04090003" w:tentative="1">
      <w:start w:val="1"/>
      <w:numFmt w:val="bullet"/>
      <w:lvlText w:val="o"/>
      <w:lvlJc w:val="left"/>
      <w:pPr>
        <w:ind w:left="4242" w:hanging="360"/>
      </w:pPr>
      <w:rPr>
        <w:rFonts w:ascii="Courier New" w:hAnsi="Courier New" w:cs="Courier New" w:hint="default"/>
      </w:rPr>
    </w:lvl>
    <w:lvl w:ilvl="8" w:tplc="04090005" w:tentative="1">
      <w:start w:val="1"/>
      <w:numFmt w:val="bullet"/>
      <w:lvlText w:val=""/>
      <w:lvlJc w:val="left"/>
      <w:pPr>
        <w:ind w:left="4962" w:hanging="360"/>
      </w:pPr>
      <w:rPr>
        <w:rFonts w:ascii="Wingdings" w:hAnsi="Wingdings" w:hint="default"/>
      </w:rPr>
    </w:lvl>
  </w:abstractNum>
  <w:abstractNum w:abstractNumId="3" w15:restartNumberingAfterBreak="0">
    <w:nsid w:val="33DE7AB9"/>
    <w:multiLevelType w:val="hybridMultilevel"/>
    <w:tmpl w:val="48E60DB2"/>
    <w:lvl w:ilvl="0" w:tplc="7FF0872C">
      <w:start w:val="1"/>
      <w:numFmt w:val="decimal"/>
      <w:lvlText w:val="%1."/>
      <w:lvlJc w:val="left"/>
      <w:pPr>
        <w:ind w:left="116" w:hanging="360"/>
      </w:pPr>
      <w:rPr>
        <w:rFonts w:hint="default"/>
      </w:rPr>
    </w:lvl>
    <w:lvl w:ilvl="1" w:tplc="04090019" w:tentative="1">
      <w:start w:val="1"/>
      <w:numFmt w:val="lowerLetter"/>
      <w:lvlText w:val="%2."/>
      <w:lvlJc w:val="left"/>
      <w:pPr>
        <w:ind w:left="836" w:hanging="360"/>
      </w:pPr>
    </w:lvl>
    <w:lvl w:ilvl="2" w:tplc="0409001B" w:tentative="1">
      <w:start w:val="1"/>
      <w:numFmt w:val="lowerRoman"/>
      <w:lvlText w:val="%3."/>
      <w:lvlJc w:val="right"/>
      <w:pPr>
        <w:ind w:left="1556" w:hanging="180"/>
      </w:pPr>
    </w:lvl>
    <w:lvl w:ilvl="3" w:tplc="0409000F" w:tentative="1">
      <w:start w:val="1"/>
      <w:numFmt w:val="decimal"/>
      <w:lvlText w:val="%4."/>
      <w:lvlJc w:val="left"/>
      <w:pPr>
        <w:ind w:left="2276" w:hanging="360"/>
      </w:pPr>
    </w:lvl>
    <w:lvl w:ilvl="4" w:tplc="04090019" w:tentative="1">
      <w:start w:val="1"/>
      <w:numFmt w:val="lowerLetter"/>
      <w:lvlText w:val="%5."/>
      <w:lvlJc w:val="left"/>
      <w:pPr>
        <w:ind w:left="2996" w:hanging="360"/>
      </w:pPr>
    </w:lvl>
    <w:lvl w:ilvl="5" w:tplc="0409001B" w:tentative="1">
      <w:start w:val="1"/>
      <w:numFmt w:val="lowerRoman"/>
      <w:lvlText w:val="%6."/>
      <w:lvlJc w:val="right"/>
      <w:pPr>
        <w:ind w:left="3716" w:hanging="180"/>
      </w:pPr>
    </w:lvl>
    <w:lvl w:ilvl="6" w:tplc="0409000F" w:tentative="1">
      <w:start w:val="1"/>
      <w:numFmt w:val="decimal"/>
      <w:lvlText w:val="%7."/>
      <w:lvlJc w:val="left"/>
      <w:pPr>
        <w:ind w:left="4436" w:hanging="360"/>
      </w:pPr>
    </w:lvl>
    <w:lvl w:ilvl="7" w:tplc="04090019" w:tentative="1">
      <w:start w:val="1"/>
      <w:numFmt w:val="lowerLetter"/>
      <w:lvlText w:val="%8."/>
      <w:lvlJc w:val="left"/>
      <w:pPr>
        <w:ind w:left="5156" w:hanging="360"/>
      </w:pPr>
    </w:lvl>
    <w:lvl w:ilvl="8" w:tplc="0409001B" w:tentative="1">
      <w:start w:val="1"/>
      <w:numFmt w:val="lowerRoman"/>
      <w:lvlText w:val="%9."/>
      <w:lvlJc w:val="right"/>
      <w:pPr>
        <w:ind w:left="5876" w:hanging="180"/>
      </w:pPr>
    </w:lvl>
  </w:abstractNum>
  <w:abstractNum w:abstractNumId="4" w15:restartNumberingAfterBreak="0">
    <w:nsid w:val="35E83F62"/>
    <w:multiLevelType w:val="hybridMultilevel"/>
    <w:tmpl w:val="5A003E04"/>
    <w:lvl w:ilvl="0" w:tplc="D6D2CBD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38D5952"/>
    <w:multiLevelType w:val="hybridMultilevel"/>
    <w:tmpl w:val="931E6BFE"/>
    <w:lvl w:ilvl="0" w:tplc="4F34DE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DA34804"/>
    <w:multiLevelType w:val="multilevel"/>
    <w:tmpl w:val="140E9B9E"/>
    <w:lvl w:ilvl="0">
      <w:start w:val="1"/>
      <w:numFmt w:val="decimal"/>
      <w:lvlText w:val="%1."/>
      <w:lvlJc w:val="left"/>
      <w:pPr>
        <w:ind w:left="1800" w:hanging="360"/>
      </w:pPr>
      <w:rPr>
        <w:b/>
        <w:bCs/>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2"/>
  </w:num>
  <w:num w:numId="7">
    <w:abstractNumId w:val="3"/>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1D"/>
    <w:rsid w:val="00004E57"/>
    <w:rsid w:val="00007EBE"/>
    <w:rsid w:val="00016E23"/>
    <w:rsid w:val="00041720"/>
    <w:rsid w:val="00052A77"/>
    <w:rsid w:val="00054C7A"/>
    <w:rsid w:val="000D1176"/>
    <w:rsid w:val="000D276E"/>
    <w:rsid w:val="000E6B8D"/>
    <w:rsid w:val="001176C1"/>
    <w:rsid w:val="00127025"/>
    <w:rsid w:val="00185877"/>
    <w:rsid w:val="002159CB"/>
    <w:rsid w:val="0022485C"/>
    <w:rsid w:val="00251116"/>
    <w:rsid w:val="00272C36"/>
    <w:rsid w:val="002B4BF9"/>
    <w:rsid w:val="002B6E7A"/>
    <w:rsid w:val="002D4848"/>
    <w:rsid w:val="003300BB"/>
    <w:rsid w:val="003D77D7"/>
    <w:rsid w:val="004451F4"/>
    <w:rsid w:val="004572AF"/>
    <w:rsid w:val="004E0F11"/>
    <w:rsid w:val="00511639"/>
    <w:rsid w:val="00551AF6"/>
    <w:rsid w:val="00596568"/>
    <w:rsid w:val="005972B8"/>
    <w:rsid w:val="005C068E"/>
    <w:rsid w:val="005F541C"/>
    <w:rsid w:val="0060633C"/>
    <w:rsid w:val="00643287"/>
    <w:rsid w:val="006908B0"/>
    <w:rsid w:val="006A3CFA"/>
    <w:rsid w:val="006F29B0"/>
    <w:rsid w:val="006F4035"/>
    <w:rsid w:val="0071287A"/>
    <w:rsid w:val="00726AB9"/>
    <w:rsid w:val="007505CF"/>
    <w:rsid w:val="00773652"/>
    <w:rsid w:val="00881206"/>
    <w:rsid w:val="008A5788"/>
    <w:rsid w:val="00922175"/>
    <w:rsid w:val="00951F95"/>
    <w:rsid w:val="009E1BEB"/>
    <w:rsid w:val="00A0217D"/>
    <w:rsid w:val="00A07AC6"/>
    <w:rsid w:val="00A45C87"/>
    <w:rsid w:val="00A96D24"/>
    <w:rsid w:val="00B21592"/>
    <w:rsid w:val="00B24ED0"/>
    <w:rsid w:val="00B46194"/>
    <w:rsid w:val="00BC4DA1"/>
    <w:rsid w:val="00BE1658"/>
    <w:rsid w:val="00BF231D"/>
    <w:rsid w:val="00CA7390"/>
    <w:rsid w:val="00CD4B36"/>
    <w:rsid w:val="00DD2028"/>
    <w:rsid w:val="00E04278"/>
    <w:rsid w:val="00E206F5"/>
    <w:rsid w:val="00E7224C"/>
    <w:rsid w:val="00E775C9"/>
    <w:rsid w:val="00E85FC8"/>
    <w:rsid w:val="00EA19FE"/>
    <w:rsid w:val="00EA765E"/>
    <w:rsid w:val="00ED73B9"/>
    <w:rsid w:val="00EE04EC"/>
    <w:rsid w:val="00F51811"/>
    <w:rsid w:val="00F7774A"/>
    <w:rsid w:val="00F90114"/>
    <w:rsid w:val="00FC32B0"/>
    <w:rsid w:val="00FE20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79346"/>
  <w15:chartTrackingRefBased/>
  <w15:docId w15:val="{00834D6C-113E-4A19-9013-639EFD32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4EC"/>
    <w:pPr>
      <w:bidi/>
      <w:spacing w:after="0" w:line="240" w:lineRule="auto"/>
      <w:ind w:left="720"/>
    </w:pPr>
    <w:rPr>
      <w:rFonts w:ascii="Times New Roman" w:eastAsia="Times New Roman" w:hAnsi="Times New Roman" w:cs="Times New Roman"/>
      <w:sz w:val="24"/>
      <w:szCs w:val="24"/>
      <w:lang w:eastAsia="ar-SA"/>
    </w:rPr>
  </w:style>
  <w:style w:type="table" w:styleId="TableGrid">
    <w:name w:val="Table Grid"/>
    <w:basedOn w:val="TableNormal"/>
    <w:uiPriority w:val="59"/>
    <w:rsid w:val="00EE04EC"/>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2B8"/>
  </w:style>
  <w:style w:type="paragraph" w:styleId="Footer">
    <w:name w:val="footer"/>
    <w:basedOn w:val="Normal"/>
    <w:link w:val="FooterChar"/>
    <w:uiPriority w:val="99"/>
    <w:unhideWhenUsed/>
    <w:rsid w:val="00597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2B8"/>
  </w:style>
  <w:style w:type="paragraph" w:styleId="BalloonText">
    <w:name w:val="Balloon Text"/>
    <w:basedOn w:val="Normal"/>
    <w:link w:val="BalloonTextChar"/>
    <w:uiPriority w:val="99"/>
    <w:semiHidden/>
    <w:unhideWhenUsed/>
    <w:rsid w:val="00B46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1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90679">
      <w:bodyDiv w:val="1"/>
      <w:marLeft w:val="0"/>
      <w:marRight w:val="0"/>
      <w:marTop w:val="0"/>
      <w:marBottom w:val="0"/>
      <w:divBdr>
        <w:top w:val="none" w:sz="0" w:space="0" w:color="auto"/>
        <w:left w:val="none" w:sz="0" w:space="0" w:color="auto"/>
        <w:bottom w:val="none" w:sz="0" w:space="0" w:color="auto"/>
        <w:right w:val="none" w:sz="0" w:space="0" w:color="auto"/>
      </w:divBdr>
    </w:div>
    <w:div w:id="1181353844">
      <w:bodyDiv w:val="1"/>
      <w:marLeft w:val="0"/>
      <w:marRight w:val="0"/>
      <w:marTop w:val="0"/>
      <w:marBottom w:val="0"/>
      <w:divBdr>
        <w:top w:val="none" w:sz="0" w:space="0" w:color="auto"/>
        <w:left w:val="none" w:sz="0" w:space="0" w:color="auto"/>
        <w:bottom w:val="none" w:sz="0" w:space="0" w:color="auto"/>
        <w:right w:val="none" w:sz="0" w:space="0" w:color="auto"/>
      </w:divBdr>
    </w:div>
    <w:div w:id="135680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CBJ</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 M. ALSOUS</dc:creator>
  <cp:keywords/>
  <dc:description/>
  <cp:lastModifiedBy>KHALID M. IBRAHIM</cp:lastModifiedBy>
  <cp:revision>61</cp:revision>
  <cp:lastPrinted>2020-06-03T09:56:00Z</cp:lastPrinted>
  <dcterms:created xsi:type="dcterms:W3CDTF">2019-06-27T09:10:00Z</dcterms:created>
  <dcterms:modified xsi:type="dcterms:W3CDTF">2020-07-08T08:21:00Z</dcterms:modified>
</cp:coreProperties>
</file>