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4FC" w:rsidRDefault="000874FC" w:rsidP="00543384">
      <w:pPr>
        <w:pStyle w:val="Title"/>
        <w:pBdr>
          <w:bottom w:val="none" w:sz="0" w:space="0" w:color="auto"/>
        </w:pBdr>
        <w:rPr>
          <w:rFonts w:ascii="Arial" w:hAnsi="Arial" w:cs="Simplified Arabic"/>
          <w:b w:val="0"/>
          <w:bCs w:val="0"/>
          <w:sz w:val="28"/>
          <w:szCs w:val="28"/>
          <w:rtl/>
          <w:lang w:bidi="ar-JO"/>
        </w:rPr>
      </w:pPr>
    </w:p>
    <w:p w:rsidR="000874FC" w:rsidRDefault="000874FC" w:rsidP="00543384">
      <w:pPr>
        <w:pStyle w:val="Title"/>
        <w:pBdr>
          <w:bottom w:val="none" w:sz="0" w:space="0" w:color="auto"/>
        </w:pBdr>
        <w:rPr>
          <w:rFonts w:ascii="Arial" w:hAnsi="Arial" w:cs="Simplified Arabic"/>
          <w:b w:val="0"/>
          <w:bCs w:val="0"/>
          <w:sz w:val="28"/>
          <w:szCs w:val="28"/>
          <w:rtl/>
          <w:lang w:bidi="ar-JO"/>
        </w:rPr>
      </w:pPr>
    </w:p>
    <w:p w:rsidR="000874FC" w:rsidRDefault="000874FC" w:rsidP="00543384">
      <w:pPr>
        <w:pStyle w:val="Title"/>
        <w:pBdr>
          <w:bottom w:val="none" w:sz="0" w:space="0" w:color="auto"/>
        </w:pBdr>
        <w:rPr>
          <w:rFonts w:ascii="Arial" w:hAnsi="Arial" w:cs="Simplified Arabic"/>
          <w:b w:val="0"/>
          <w:bCs w:val="0"/>
          <w:sz w:val="28"/>
          <w:szCs w:val="28"/>
          <w:rtl/>
          <w:lang w:bidi="ar-JO"/>
        </w:rPr>
      </w:pPr>
    </w:p>
    <w:p w:rsidR="00F333AC" w:rsidRPr="00EC2C7C" w:rsidRDefault="00320122" w:rsidP="00543384">
      <w:pPr>
        <w:pStyle w:val="Title"/>
        <w:pBdr>
          <w:bottom w:val="none" w:sz="0" w:space="0" w:color="auto"/>
        </w:pBdr>
        <w:jc w:val="center"/>
        <w:rPr>
          <w:rFonts w:cs="Simplified Arabic"/>
          <w:sz w:val="36"/>
          <w:szCs w:val="36"/>
          <w:rtl/>
        </w:rPr>
      </w:pPr>
      <w:r>
        <w:rPr>
          <w:rFonts w:ascii="Arial" w:hAnsi="Arial" w:cs="Simplified Arabic"/>
          <w:b w:val="0"/>
          <w:bCs w:val="0"/>
          <w:noProof/>
          <w:sz w:val="36"/>
          <w:szCs w:val="36"/>
        </w:rPr>
        <w:drawing>
          <wp:inline distT="0" distB="0" distL="0" distR="0" wp14:anchorId="71EC2313" wp14:editId="0B0A8A6A">
            <wp:extent cx="1095375" cy="1057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57275"/>
                    </a:xfrm>
                    <a:prstGeom prst="rect">
                      <a:avLst/>
                    </a:prstGeom>
                    <a:noFill/>
                    <a:ln>
                      <a:noFill/>
                    </a:ln>
                  </pic:spPr>
                </pic:pic>
              </a:graphicData>
            </a:graphic>
          </wp:inline>
        </w:drawing>
      </w:r>
    </w:p>
    <w:p w:rsidR="00F333AC" w:rsidRDefault="00F333AC" w:rsidP="00543384">
      <w:pPr>
        <w:pStyle w:val="Title"/>
        <w:pBdr>
          <w:bottom w:val="none" w:sz="0" w:space="0" w:color="auto"/>
        </w:pBdr>
        <w:jc w:val="center"/>
        <w:rPr>
          <w:rFonts w:ascii="Simplified Arabic" w:hAnsi="Simplified Arabic" w:cs="Simplified Arabic"/>
          <w:b w:val="0"/>
          <w:bCs w:val="0"/>
          <w:i/>
          <w:iCs/>
          <w:sz w:val="40"/>
          <w:rtl/>
        </w:rPr>
      </w:pPr>
      <w:r w:rsidRPr="00072EA6">
        <w:rPr>
          <w:rFonts w:ascii="Simplified Arabic" w:hAnsi="Simplified Arabic" w:cs="Simplified Arabic"/>
          <w:b w:val="0"/>
          <w:bCs w:val="0"/>
          <w:sz w:val="40"/>
          <w:rtl/>
        </w:rPr>
        <w:t>البنك المركزي الأردني</w:t>
      </w:r>
    </w:p>
    <w:p w:rsidR="00072EA6" w:rsidRDefault="00072EA6" w:rsidP="00072EA6">
      <w:pPr>
        <w:rPr>
          <w:rtl/>
        </w:rPr>
      </w:pPr>
    </w:p>
    <w:p w:rsidR="00072EA6" w:rsidRDefault="00B1497F" w:rsidP="00B1497F">
      <w:pPr>
        <w:tabs>
          <w:tab w:val="left" w:pos="2690"/>
        </w:tabs>
        <w:rPr>
          <w:rtl/>
        </w:rPr>
      </w:pPr>
      <w:r>
        <w:rPr>
          <w:rtl/>
        </w:rPr>
        <w:tab/>
      </w:r>
    </w:p>
    <w:p w:rsidR="00072EA6" w:rsidRPr="00072EA6" w:rsidRDefault="00072EA6" w:rsidP="00072EA6">
      <w:pPr>
        <w:rPr>
          <w:rtl/>
        </w:rPr>
      </w:pPr>
    </w:p>
    <w:p w:rsidR="00F333AC" w:rsidRPr="00EC2C7C" w:rsidRDefault="00F333AC" w:rsidP="00543384">
      <w:pPr>
        <w:pStyle w:val="Title"/>
        <w:pBdr>
          <w:bottom w:val="none" w:sz="0" w:space="0" w:color="auto"/>
        </w:pBdr>
        <w:rPr>
          <w:rFonts w:cs="Simplified Arabic"/>
          <w:sz w:val="36"/>
          <w:szCs w:val="36"/>
          <w:rtl/>
        </w:rPr>
      </w:pPr>
    </w:p>
    <w:p w:rsidR="00072EA6" w:rsidRDefault="00DC79A4" w:rsidP="00072EA6">
      <w:pPr>
        <w:pStyle w:val="Title"/>
        <w:pBdr>
          <w:bottom w:val="none" w:sz="0" w:space="0" w:color="auto"/>
        </w:pBdr>
        <w:spacing w:after="0" w:line="276" w:lineRule="auto"/>
        <w:jc w:val="center"/>
        <w:rPr>
          <w:rFonts w:ascii="Simplified Arabic" w:hAnsi="Simplified Arabic" w:cs="Simplified Arabic"/>
          <w:sz w:val="40"/>
          <w:szCs w:val="40"/>
          <w:rtl/>
        </w:rPr>
      </w:pPr>
      <w:r w:rsidRPr="00072EA6">
        <w:rPr>
          <w:rFonts w:ascii="Simplified Arabic" w:hAnsi="Simplified Arabic" w:cs="Simplified Arabic"/>
          <w:sz w:val="40"/>
          <w:szCs w:val="40"/>
          <w:rtl/>
        </w:rPr>
        <w:t xml:space="preserve">تعليمات </w:t>
      </w:r>
      <w:r w:rsidR="00072EA6">
        <w:rPr>
          <w:rFonts w:ascii="Simplified Arabic" w:hAnsi="Simplified Arabic" w:cs="Simplified Arabic" w:hint="cs"/>
          <w:sz w:val="40"/>
          <w:szCs w:val="40"/>
          <w:rtl/>
        </w:rPr>
        <w:t xml:space="preserve">رأس المال التنظيمي </w:t>
      </w:r>
    </w:p>
    <w:p w:rsidR="00F333AC" w:rsidRPr="00072EA6" w:rsidRDefault="00072EA6" w:rsidP="00072EA6">
      <w:pPr>
        <w:pStyle w:val="Title"/>
        <w:pBdr>
          <w:bottom w:val="none" w:sz="0" w:space="0" w:color="auto"/>
        </w:pBdr>
        <w:spacing w:after="0" w:line="276" w:lineRule="auto"/>
        <w:jc w:val="center"/>
        <w:rPr>
          <w:rFonts w:ascii="Simplified Arabic" w:hAnsi="Simplified Arabic" w:cs="Simplified Arabic"/>
          <w:i/>
          <w:iCs/>
          <w:sz w:val="40"/>
          <w:szCs w:val="40"/>
        </w:rPr>
      </w:pPr>
      <w:r>
        <w:rPr>
          <w:rFonts w:ascii="Simplified Arabic" w:hAnsi="Simplified Arabic" w:cs="Simplified Arabic" w:hint="cs"/>
          <w:sz w:val="40"/>
          <w:szCs w:val="40"/>
          <w:rtl/>
        </w:rPr>
        <w:t xml:space="preserve">وفقاً لمعيار </w:t>
      </w:r>
      <w:r w:rsidR="00DC79A4" w:rsidRPr="00072EA6">
        <w:rPr>
          <w:rFonts w:ascii="Simplified Arabic" w:hAnsi="Simplified Arabic" w:cs="Simplified Arabic"/>
          <w:sz w:val="40"/>
          <w:szCs w:val="40"/>
          <w:rtl/>
        </w:rPr>
        <w:t xml:space="preserve">بازل </w:t>
      </w:r>
      <w:r w:rsidR="00DC79A4" w:rsidRPr="00072EA6">
        <w:rPr>
          <w:rFonts w:asciiTheme="majorBidi" w:hAnsiTheme="majorBidi"/>
          <w:sz w:val="40"/>
          <w:szCs w:val="40"/>
        </w:rPr>
        <w:t>III</w:t>
      </w:r>
    </w:p>
    <w:p w:rsidR="0000087D" w:rsidRPr="00072EA6" w:rsidRDefault="0000087D" w:rsidP="0046540A">
      <w:pPr>
        <w:pStyle w:val="Title"/>
        <w:pBdr>
          <w:bottom w:val="none" w:sz="0" w:space="0" w:color="auto"/>
        </w:pBdr>
        <w:spacing w:after="0" w:line="480" w:lineRule="auto"/>
        <w:jc w:val="center"/>
        <w:rPr>
          <w:rFonts w:ascii="Simplified Arabic" w:hAnsi="Simplified Arabic" w:cs="Simplified Arabic"/>
          <w:sz w:val="40"/>
          <w:szCs w:val="40"/>
          <w:rtl/>
        </w:rPr>
      </w:pPr>
      <w:r w:rsidRPr="00072EA6">
        <w:rPr>
          <w:rFonts w:ascii="Simplified Arabic" w:hAnsi="Simplified Arabic" w:cs="Simplified Arabic"/>
          <w:sz w:val="40"/>
          <w:szCs w:val="40"/>
          <w:rtl/>
        </w:rPr>
        <w:t>رقم (</w:t>
      </w:r>
      <w:r w:rsidR="0046540A">
        <w:rPr>
          <w:rFonts w:ascii="Simplified Arabic" w:hAnsi="Simplified Arabic" w:cs="Simplified Arabic" w:hint="cs"/>
          <w:sz w:val="40"/>
          <w:szCs w:val="40"/>
          <w:rtl/>
        </w:rPr>
        <w:t>67</w:t>
      </w:r>
      <w:r w:rsidRPr="00072EA6">
        <w:rPr>
          <w:rFonts w:ascii="Simplified Arabic" w:hAnsi="Simplified Arabic" w:cs="Simplified Arabic"/>
          <w:sz w:val="40"/>
          <w:szCs w:val="40"/>
          <w:rtl/>
        </w:rPr>
        <w:t>/2016)</w:t>
      </w:r>
    </w:p>
    <w:p w:rsidR="00F333AC" w:rsidRPr="00EC2C7C" w:rsidRDefault="00F333AC" w:rsidP="00543384">
      <w:pPr>
        <w:pStyle w:val="Title"/>
        <w:pBdr>
          <w:bottom w:val="none" w:sz="0" w:space="0" w:color="auto"/>
        </w:pBdr>
        <w:rPr>
          <w:rFonts w:cs="Simplified Arabic"/>
          <w:sz w:val="36"/>
          <w:szCs w:val="36"/>
          <w:rtl/>
        </w:rPr>
      </w:pPr>
    </w:p>
    <w:p w:rsidR="00543384" w:rsidRPr="00543384" w:rsidRDefault="00543384" w:rsidP="00543384">
      <w:pPr>
        <w:rPr>
          <w:rtl/>
        </w:rPr>
      </w:pPr>
    </w:p>
    <w:p w:rsidR="00543384" w:rsidRDefault="00543384" w:rsidP="00543384">
      <w:pPr>
        <w:rPr>
          <w:rtl/>
        </w:rPr>
      </w:pPr>
    </w:p>
    <w:p w:rsidR="00543384" w:rsidRDefault="00543384" w:rsidP="00543384">
      <w:pPr>
        <w:rPr>
          <w:rtl/>
        </w:rPr>
      </w:pPr>
    </w:p>
    <w:p w:rsidR="00543384" w:rsidRDefault="00543384" w:rsidP="00543384">
      <w:pPr>
        <w:rPr>
          <w:rtl/>
        </w:rPr>
      </w:pPr>
    </w:p>
    <w:p w:rsidR="00543384" w:rsidRPr="00543384" w:rsidRDefault="00543384" w:rsidP="00543384">
      <w:pPr>
        <w:rPr>
          <w:rtl/>
        </w:rPr>
      </w:pPr>
    </w:p>
    <w:p w:rsidR="00B14F32" w:rsidRPr="00B14F32" w:rsidRDefault="00B14F32" w:rsidP="00B14F32">
      <w:pPr>
        <w:rPr>
          <w:lang w:eastAsia="x-none"/>
        </w:rPr>
      </w:pPr>
      <w:bookmarkStart w:id="0" w:name="_Toc451176006"/>
      <w:bookmarkStart w:id="1" w:name="_Toc451179988"/>
    </w:p>
    <w:sdt>
      <w:sdtPr>
        <w:rPr>
          <w:b/>
          <w:bCs/>
          <w:sz w:val="26"/>
          <w:szCs w:val="26"/>
          <w:rtl/>
          <w:lang w:bidi="ar-SA"/>
        </w:rPr>
        <w:id w:val="2066213821"/>
        <w:docPartObj>
          <w:docPartGallery w:val="Table of Contents"/>
          <w:docPartUnique/>
        </w:docPartObj>
      </w:sdtPr>
      <w:sdtEndPr>
        <w:rPr>
          <w:noProof/>
        </w:rPr>
      </w:sdtEndPr>
      <w:sdtContent>
        <w:p w:rsidR="00B2749A" w:rsidRPr="00D500AF" w:rsidRDefault="00B610F2" w:rsidP="00B610F2">
          <w:pPr>
            <w:pStyle w:val="TOCHeading"/>
            <w:bidi/>
            <w:rPr>
              <w:lang w:bidi="ar-JO"/>
            </w:rPr>
          </w:pPr>
          <w:r w:rsidRPr="00D500AF">
            <w:rPr>
              <w:rFonts w:hint="cs"/>
              <w:rtl/>
              <w:lang w:bidi="ar-JO"/>
            </w:rPr>
            <w:t>قائمة المحتويات</w:t>
          </w:r>
        </w:p>
        <w:p w:rsidR="00B610F2" w:rsidRPr="00D500AF" w:rsidRDefault="00B2749A">
          <w:pPr>
            <w:pStyle w:val="TOC1"/>
            <w:tabs>
              <w:tab w:val="right" w:leader="dot" w:pos="8395"/>
            </w:tabs>
            <w:rPr>
              <w:rFonts w:asciiTheme="minorHAnsi" w:eastAsiaTheme="minorEastAsia" w:hAnsiTheme="minorHAnsi" w:cstheme="minorBidi"/>
              <w:b w:val="0"/>
              <w:bCs w:val="0"/>
              <w:sz w:val="28"/>
              <w:szCs w:val="28"/>
              <w:rtl/>
            </w:rPr>
          </w:pPr>
          <w:r w:rsidRPr="00D500AF">
            <w:rPr>
              <w:b w:val="0"/>
              <w:bCs w:val="0"/>
              <w:sz w:val="28"/>
              <w:szCs w:val="28"/>
            </w:rPr>
            <w:fldChar w:fldCharType="begin"/>
          </w:r>
          <w:r w:rsidRPr="00D500AF">
            <w:rPr>
              <w:b w:val="0"/>
              <w:bCs w:val="0"/>
              <w:sz w:val="28"/>
              <w:szCs w:val="28"/>
            </w:rPr>
            <w:instrText xml:space="preserve"> TOC \o "1-3" \h \z \u </w:instrText>
          </w:r>
          <w:r w:rsidRPr="00D500AF">
            <w:rPr>
              <w:b w:val="0"/>
              <w:bCs w:val="0"/>
              <w:sz w:val="28"/>
              <w:szCs w:val="28"/>
            </w:rPr>
            <w:fldChar w:fldCharType="separate"/>
          </w:r>
          <w:hyperlink w:anchor="_Toc451260321" w:history="1">
            <w:r w:rsidR="00B610F2" w:rsidRPr="00D500AF">
              <w:rPr>
                <w:rStyle w:val="Hyperlink"/>
                <w:rFonts w:hint="eastAsia"/>
                <w:b w:val="0"/>
                <w:bCs w:val="0"/>
                <w:sz w:val="28"/>
                <w:szCs w:val="28"/>
                <w:rtl/>
              </w:rPr>
              <w:t>الفصل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الأول</w:t>
            </w:r>
            <w:r w:rsidR="00B610F2" w:rsidRPr="00D500AF">
              <w:rPr>
                <w:rStyle w:val="Hyperlink"/>
                <w:b w:val="0"/>
                <w:bCs w:val="0"/>
                <w:sz w:val="28"/>
                <w:szCs w:val="28"/>
                <w:rtl/>
                <w:lang w:bidi="ar-JO"/>
              </w:rPr>
              <w:t xml:space="preserve"> </w:t>
            </w:r>
            <w:r w:rsidR="00B610F2" w:rsidRPr="00D500AF">
              <w:rPr>
                <w:rStyle w:val="Hyperlink"/>
                <w:b w:val="0"/>
                <w:bCs w:val="0"/>
                <w:sz w:val="28"/>
                <w:szCs w:val="28"/>
              </w:rPr>
              <w:t>:</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نطاق</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التطبيق</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Toc451260321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4</w:t>
            </w:r>
            <w:r w:rsidR="00B610F2" w:rsidRPr="00D500AF">
              <w:rPr>
                <w:b w:val="0"/>
                <w:bCs w:val="0"/>
                <w:webHidden/>
                <w:sz w:val="28"/>
                <w:szCs w:val="28"/>
                <w:rtl/>
              </w:rPr>
              <w:fldChar w:fldCharType="end"/>
            </w:r>
          </w:hyperlink>
        </w:p>
        <w:p w:rsidR="00B610F2" w:rsidRPr="00D500AF" w:rsidRDefault="00B1497F">
          <w:pPr>
            <w:pStyle w:val="TOC1"/>
            <w:tabs>
              <w:tab w:val="right" w:leader="dot" w:pos="8395"/>
            </w:tabs>
            <w:rPr>
              <w:rFonts w:asciiTheme="minorHAnsi" w:eastAsiaTheme="minorEastAsia" w:hAnsiTheme="minorHAnsi" w:cstheme="minorBidi"/>
              <w:b w:val="0"/>
              <w:bCs w:val="0"/>
              <w:sz w:val="28"/>
              <w:szCs w:val="28"/>
              <w:rtl/>
            </w:rPr>
          </w:pPr>
          <w:hyperlink w:anchor="_Toc451260322" w:history="1">
            <w:r w:rsidR="00B610F2" w:rsidRPr="00D500AF">
              <w:rPr>
                <w:rStyle w:val="Hyperlink"/>
                <w:rFonts w:hint="eastAsia"/>
                <w:b w:val="0"/>
                <w:bCs w:val="0"/>
                <w:sz w:val="28"/>
                <w:szCs w:val="28"/>
                <w:rtl/>
              </w:rPr>
              <w:t>الفصل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الثاني</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متطلبات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رأس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التنظيمي</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Toc451260322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7</w:t>
            </w:r>
            <w:r w:rsidR="00B610F2" w:rsidRPr="00D500AF">
              <w:rPr>
                <w:b w:val="0"/>
                <w:bCs w:val="0"/>
                <w:webHidden/>
                <w:sz w:val="28"/>
                <w:szCs w:val="28"/>
                <w:rtl/>
              </w:rPr>
              <w:fldChar w:fldCharType="end"/>
            </w:r>
          </w:hyperlink>
        </w:p>
        <w:p w:rsidR="00B610F2" w:rsidRPr="00D500AF" w:rsidRDefault="00B1497F">
          <w:pPr>
            <w:pStyle w:val="TOC2"/>
            <w:tabs>
              <w:tab w:val="left" w:pos="880"/>
              <w:tab w:val="right" w:leader="dot" w:pos="8395"/>
            </w:tabs>
            <w:rPr>
              <w:rFonts w:asciiTheme="minorHAnsi" w:eastAsiaTheme="minorEastAsia" w:hAnsiTheme="minorHAnsi" w:cstheme="minorBidi"/>
              <w:b w:val="0"/>
              <w:bCs w:val="0"/>
              <w:sz w:val="28"/>
              <w:szCs w:val="28"/>
              <w:rtl/>
            </w:rPr>
          </w:pPr>
          <w:hyperlink w:anchor="_Toc451260323" w:history="1">
            <w:r w:rsidR="00B610F2" w:rsidRPr="00D500AF">
              <w:rPr>
                <w:rStyle w:val="Hyperlink"/>
                <w:rFonts w:hint="eastAsia"/>
                <w:b w:val="0"/>
                <w:bCs w:val="0"/>
                <w:sz w:val="28"/>
                <w:szCs w:val="28"/>
                <w:rtl/>
              </w:rPr>
              <w:t>أولاً</w:t>
            </w:r>
            <w:r w:rsidR="00B610F2" w:rsidRPr="00D500AF">
              <w:rPr>
                <w:rStyle w:val="Hyperlink"/>
                <w:b w:val="0"/>
                <w:bCs w:val="0"/>
                <w:sz w:val="28"/>
                <w:szCs w:val="28"/>
                <w:rtl/>
              </w:rPr>
              <w:t>:</w:t>
            </w:r>
            <w:r w:rsidR="00B610F2" w:rsidRPr="00D500AF">
              <w:rPr>
                <w:rFonts w:asciiTheme="minorHAnsi" w:eastAsiaTheme="minorEastAsia" w:hAnsiTheme="minorHAnsi" w:cstheme="minorBidi"/>
                <w:b w:val="0"/>
                <w:bCs w:val="0"/>
                <w:sz w:val="28"/>
                <w:szCs w:val="28"/>
                <w:rtl/>
              </w:rPr>
              <w:tab/>
            </w:r>
            <w:r w:rsidR="00B610F2" w:rsidRPr="00D500AF">
              <w:rPr>
                <w:rStyle w:val="Hyperlink"/>
                <w:rFonts w:hint="eastAsia"/>
                <w:b w:val="0"/>
                <w:bCs w:val="0"/>
                <w:sz w:val="28"/>
                <w:szCs w:val="28"/>
                <w:rtl/>
              </w:rPr>
              <w:t>مكونات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رأس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التنظيمي</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Toc451260323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7</w:t>
            </w:r>
            <w:r w:rsidR="00B610F2" w:rsidRPr="00D500AF">
              <w:rPr>
                <w:b w:val="0"/>
                <w:bCs w:val="0"/>
                <w:webHidden/>
                <w:sz w:val="28"/>
                <w:szCs w:val="28"/>
                <w:rtl/>
              </w:rPr>
              <w:fldChar w:fldCharType="end"/>
            </w:r>
          </w:hyperlink>
        </w:p>
        <w:p w:rsidR="00B610F2" w:rsidRPr="00D500AF" w:rsidRDefault="00B1497F">
          <w:pPr>
            <w:pStyle w:val="TOC2"/>
            <w:tabs>
              <w:tab w:val="left" w:pos="880"/>
              <w:tab w:val="right" w:leader="dot" w:pos="8395"/>
            </w:tabs>
            <w:rPr>
              <w:rFonts w:asciiTheme="minorHAnsi" w:eastAsiaTheme="minorEastAsia" w:hAnsiTheme="minorHAnsi" w:cstheme="minorBidi"/>
              <w:b w:val="0"/>
              <w:bCs w:val="0"/>
              <w:sz w:val="28"/>
              <w:szCs w:val="28"/>
              <w:rtl/>
            </w:rPr>
          </w:pPr>
          <w:hyperlink w:anchor="_Toc451260324" w:history="1">
            <w:r w:rsidR="00B610F2" w:rsidRPr="00D500AF">
              <w:rPr>
                <w:rStyle w:val="Hyperlink"/>
                <w:rFonts w:hint="eastAsia"/>
                <w:b w:val="0"/>
                <w:bCs w:val="0"/>
                <w:sz w:val="28"/>
                <w:szCs w:val="28"/>
                <w:rtl/>
              </w:rPr>
              <w:t>ثانياً</w:t>
            </w:r>
            <w:r w:rsidR="00B610F2" w:rsidRPr="00D500AF">
              <w:rPr>
                <w:rStyle w:val="Hyperlink"/>
                <w:b w:val="0"/>
                <w:bCs w:val="0"/>
                <w:sz w:val="28"/>
                <w:szCs w:val="28"/>
                <w:rtl/>
              </w:rPr>
              <w:t>:</w:t>
            </w:r>
            <w:r w:rsidR="00B610F2" w:rsidRPr="00D500AF">
              <w:rPr>
                <w:rFonts w:asciiTheme="minorHAnsi" w:eastAsiaTheme="minorEastAsia" w:hAnsiTheme="minorHAnsi" w:cstheme="minorBidi"/>
                <w:b w:val="0"/>
                <w:bCs w:val="0"/>
                <w:sz w:val="28"/>
                <w:szCs w:val="28"/>
                <w:rtl/>
              </w:rPr>
              <w:tab/>
            </w:r>
            <w:r w:rsidR="00B610F2" w:rsidRPr="00D500AF">
              <w:rPr>
                <w:rStyle w:val="Hyperlink"/>
                <w:rFonts w:hint="eastAsia"/>
                <w:b w:val="0"/>
                <w:bCs w:val="0"/>
                <w:sz w:val="28"/>
                <w:szCs w:val="28"/>
                <w:rtl/>
              </w:rPr>
              <w:t>عناصر</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رأس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Toc451260324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7</w:t>
            </w:r>
            <w:r w:rsidR="00B610F2" w:rsidRPr="00D500AF">
              <w:rPr>
                <w:b w:val="0"/>
                <w:bCs w:val="0"/>
                <w:webHidden/>
                <w:sz w:val="28"/>
                <w:szCs w:val="28"/>
                <w:rtl/>
              </w:rPr>
              <w:fldChar w:fldCharType="end"/>
            </w:r>
          </w:hyperlink>
        </w:p>
        <w:p w:rsidR="00B610F2" w:rsidRPr="00D500AF" w:rsidRDefault="00B1497F">
          <w:pPr>
            <w:pStyle w:val="TOC2"/>
            <w:tabs>
              <w:tab w:val="left" w:pos="880"/>
              <w:tab w:val="right" w:leader="dot" w:pos="8395"/>
            </w:tabs>
            <w:rPr>
              <w:rFonts w:asciiTheme="minorHAnsi" w:eastAsiaTheme="minorEastAsia" w:hAnsiTheme="minorHAnsi" w:cstheme="minorBidi"/>
              <w:b w:val="0"/>
              <w:bCs w:val="0"/>
              <w:sz w:val="28"/>
              <w:szCs w:val="28"/>
              <w:rtl/>
            </w:rPr>
          </w:pPr>
          <w:hyperlink w:anchor="_Toc451260325" w:history="1">
            <w:r w:rsidR="00B610F2" w:rsidRPr="00D500AF">
              <w:rPr>
                <w:rStyle w:val="Hyperlink"/>
                <w:rFonts w:hint="eastAsia"/>
                <w:b w:val="0"/>
                <w:bCs w:val="0"/>
                <w:sz w:val="28"/>
                <w:szCs w:val="28"/>
                <w:rtl/>
              </w:rPr>
              <w:t>ثالثاً</w:t>
            </w:r>
            <w:r w:rsidR="00B610F2" w:rsidRPr="00D500AF">
              <w:rPr>
                <w:rStyle w:val="Hyperlink"/>
                <w:b w:val="0"/>
                <w:bCs w:val="0"/>
                <w:sz w:val="28"/>
                <w:szCs w:val="28"/>
                <w:rtl/>
              </w:rPr>
              <w:t>:</w:t>
            </w:r>
            <w:r w:rsidR="00B610F2" w:rsidRPr="00D500AF">
              <w:rPr>
                <w:rFonts w:asciiTheme="minorHAnsi" w:eastAsiaTheme="minorEastAsia" w:hAnsiTheme="minorHAnsi" w:cstheme="minorBidi"/>
                <w:b w:val="0"/>
                <w:bCs w:val="0"/>
                <w:sz w:val="28"/>
                <w:szCs w:val="28"/>
                <w:rtl/>
              </w:rPr>
              <w:tab/>
            </w:r>
            <w:r w:rsidR="00B610F2" w:rsidRPr="00D500AF">
              <w:rPr>
                <w:rStyle w:val="Hyperlink"/>
                <w:rFonts w:hint="eastAsia"/>
                <w:b w:val="0"/>
                <w:bCs w:val="0"/>
                <w:sz w:val="28"/>
                <w:szCs w:val="28"/>
                <w:rtl/>
              </w:rPr>
              <w:t>العناصر</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المؤهلة</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لمكونات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رأس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Toc451260325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8</w:t>
            </w:r>
            <w:r w:rsidR="00B610F2" w:rsidRPr="00D500AF">
              <w:rPr>
                <w:b w:val="0"/>
                <w:bCs w:val="0"/>
                <w:webHidden/>
                <w:sz w:val="28"/>
                <w:szCs w:val="28"/>
                <w:rtl/>
              </w:rPr>
              <w:fldChar w:fldCharType="end"/>
            </w:r>
          </w:hyperlink>
        </w:p>
        <w:p w:rsidR="00B610F2" w:rsidRPr="00D500AF" w:rsidRDefault="00B1497F">
          <w:pPr>
            <w:pStyle w:val="TOC2"/>
            <w:tabs>
              <w:tab w:val="left" w:pos="880"/>
              <w:tab w:val="right" w:leader="dot" w:pos="8395"/>
            </w:tabs>
            <w:rPr>
              <w:rFonts w:asciiTheme="minorHAnsi" w:eastAsiaTheme="minorEastAsia" w:hAnsiTheme="minorHAnsi" w:cstheme="minorBidi"/>
              <w:b w:val="0"/>
              <w:bCs w:val="0"/>
              <w:sz w:val="28"/>
              <w:szCs w:val="28"/>
              <w:rtl/>
            </w:rPr>
          </w:pPr>
          <w:hyperlink w:anchor="_Toc451260326" w:history="1">
            <w:r w:rsidR="00B610F2" w:rsidRPr="00D500AF">
              <w:rPr>
                <w:rStyle w:val="Hyperlink"/>
                <w:rFonts w:hint="eastAsia"/>
                <w:b w:val="0"/>
                <w:bCs w:val="0"/>
                <w:sz w:val="28"/>
                <w:szCs w:val="28"/>
                <w:rtl/>
              </w:rPr>
              <w:t>رابعاً</w:t>
            </w:r>
            <w:r w:rsidR="00B610F2" w:rsidRPr="00D500AF">
              <w:rPr>
                <w:rStyle w:val="Hyperlink"/>
                <w:b w:val="0"/>
                <w:bCs w:val="0"/>
                <w:sz w:val="28"/>
                <w:szCs w:val="28"/>
                <w:rtl/>
              </w:rPr>
              <w:t>:</w:t>
            </w:r>
            <w:r w:rsidR="00B610F2" w:rsidRPr="00D500AF">
              <w:rPr>
                <w:rFonts w:asciiTheme="minorHAnsi" w:eastAsiaTheme="minorEastAsia" w:hAnsiTheme="minorHAnsi" w:cstheme="minorBidi"/>
                <w:b w:val="0"/>
                <w:bCs w:val="0"/>
                <w:sz w:val="28"/>
                <w:szCs w:val="28"/>
                <w:rtl/>
              </w:rPr>
              <w:tab/>
            </w:r>
            <w:r w:rsidR="00B610F2" w:rsidRPr="00D500AF">
              <w:rPr>
                <w:rStyle w:val="Hyperlink"/>
                <w:rFonts w:hint="eastAsia"/>
                <w:b w:val="0"/>
                <w:bCs w:val="0"/>
                <w:sz w:val="28"/>
                <w:szCs w:val="28"/>
                <w:rtl/>
              </w:rPr>
              <w:t>التعديلات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الرقابية</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الطروحات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من</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رأس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w:t>
            </w:r>
            <w:r w:rsidR="00B610F2" w:rsidRPr="00D500AF">
              <w:rPr>
                <w:rStyle w:val="Hyperlink"/>
                <w:b w:val="0"/>
                <w:bCs w:val="0"/>
                <w:sz w:val="28"/>
                <w:szCs w:val="28"/>
                <w:rtl/>
              </w:rPr>
              <w:t>)</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Toc451260326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18</w:t>
            </w:r>
            <w:r w:rsidR="00B610F2" w:rsidRPr="00D500AF">
              <w:rPr>
                <w:b w:val="0"/>
                <w:bCs w:val="0"/>
                <w:webHidden/>
                <w:sz w:val="28"/>
                <w:szCs w:val="28"/>
                <w:rtl/>
              </w:rPr>
              <w:fldChar w:fldCharType="end"/>
            </w:r>
          </w:hyperlink>
        </w:p>
        <w:p w:rsidR="00B610F2" w:rsidRPr="00D500AF" w:rsidRDefault="00B1497F">
          <w:pPr>
            <w:pStyle w:val="TOC2"/>
            <w:tabs>
              <w:tab w:val="left" w:pos="1100"/>
              <w:tab w:val="right" w:leader="dot" w:pos="8395"/>
            </w:tabs>
            <w:rPr>
              <w:rFonts w:asciiTheme="minorHAnsi" w:eastAsiaTheme="minorEastAsia" w:hAnsiTheme="minorHAnsi" w:cstheme="minorBidi"/>
              <w:b w:val="0"/>
              <w:bCs w:val="0"/>
              <w:sz w:val="28"/>
              <w:szCs w:val="28"/>
              <w:rtl/>
            </w:rPr>
          </w:pPr>
          <w:hyperlink w:anchor="_Toc451260327" w:history="1">
            <w:r w:rsidR="00B610F2" w:rsidRPr="00D500AF">
              <w:rPr>
                <w:rStyle w:val="Hyperlink"/>
                <w:rFonts w:hint="eastAsia"/>
                <w:b w:val="0"/>
                <w:bCs w:val="0"/>
                <w:sz w:val="28"/>
                <w:szCs w:val="28"/>
                <w:rtl/>
              </w:rPr>
              <w:t>خامساً</w:t>
            </w:r>
            <w:r w:rsidR="00B610F2" w:rsidRPr="00D500AF">
              <w:rPr>
                <w:rStyle w:val="Hyperlink"/>
                <w:b w:val="0"/>
                <w:bCs w:val="0"/>
                <w:sz w:val="28"/>
                <w:szCs w:val="28"/>
                <w:rtl/>
              </w:rPr>
              <w:t>:</w:t>
            </w:r>
            <w:r w:rsidR="00B610F2" w:rsidRPr="00D500AF">
              <w:rPr>
                <w:rFonts w:asciiTheme="minorHAnsi" w:eastAsiaTheme="minorEastAsia" w:hAnsiTheme="minorHAnsi" w:cstheme="minorBidi"/>
                <w:b w:val="0"/>
                <w:bCs w:val="0"/>
                <w:sz w:val="28"/>
                <w:szCs w:val="28"/>
                <w:rtl/>
              </w:rPr>
              <w:tab/>
            </w:r>
            <w:r w:rsidR="00B610F2" w:rsidRPr="00D500AF">
              <w:rPr>
                <w:rStyle w:val="Hyperlink"/>
                <w:rFonts w:hint="eastAsia"/>
                <w:b w:val="0"/>
                <w:bCs w:val="0"/>
                <w:sz w:val="28"/>
                <w:szCs w:val="28"/>
                <w:rtl/>
              </w:rPr>
              <w:t>تطبيق</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التعليمات</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Toc451260327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23</w:t>
            </w:r>
            <w:r w:rsidR="00B610F2" w:rsidRPr="00D500AF">
              <w:rPr>
                <w:b w:val="0"/>
                <w:bCs w:val="0"/>
                <w:webHidden/>
                <w:sz w:val="28"/>
                <w:szCs w:val="28"/>
                <w:rtl/>
              </w:rPr>
              <w:fldChar w:fldCharType="end"/>
            </w:r>
          </w:hyperlink>
        </w:p>
        <w:p w:rsidR="00B610F2" w:rsidRPr="00D500AF" w:rsidRDefault="00B1497F">
          <w:pPr>
            <w:pStyle w:val="TOC1"/>
            <w:tabs>
              <w:tab w:val="right" w:leader="dot" w:pos="8395"/>
            </w:tabs>
            <w:rPr>
              <w:rFonts w:asciiTheme="minorHAnsi" w:eastAsiaTheme="minorEastAsia" w:hAnsiTheme="minorHAnsi" w:cstheme="minorBidi"/>
              <w:b w:val="0"/>
              <w:bCs w:val="0"/>
              <w:sz w:val="28"/>
              <w:szCs w:val="28"/>
              <w:rtl/>
            </w:rPr>
          </w:pPr>
          <w:hyperlink w:anchor="_Toc451260328" w:history="1">
            <w:r w:rsidR="00B610F2" w:rsidRPr="00D500AF">
              <w:rPr>
                <w:rStyle w:val="Hyperlink"/>
                <w:rFonts w:hint="eastAsia"/>
                <w:b w:val="0"/>
                <w:bCs w:val="0"/>
                <w:sz w:val="28"/>
                <w:szCs w:val="28"/>
                <w:rtl/>
              </w:rPr>
              <w:t>الفصل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الثالث</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متطلبات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رأس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الإضافية</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Toc451260328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24</w:t>
            </w:r>
            <w:r w:rsidR="00B610F2" w:rsidRPr="00D500AF">
              <w:rPr>
                <w:b w:val="0"/>
                <w:bCs w:val="0"/>
                <w:webHidden/>
                <w:sz w:val="28"/>
                <w:szCs w:val="28"/>
                <w:rtl/>
              </w:rPr>
              <w:fldChar w:fldCharType="end"/>
            </w:r>
          </w:hyperlink>
        </w:p>
        <w:p w:rsidR="00B610F2" w:rsidRPr="00D500AF" w:rsidRDefault="00B1497F">
          <w:pPr>
            <w:pStyle w:val="TOC1"/>
            <w:tabs>
              <w:tab w:val="right" w:leader="dot" w:pos="8395"/>
            </w:tabs>
            <w:rPr>
              <w:rFonts w:asciiTheme="minorHAnsi" w:eastAsiaTheme="minorEastAsia" w:hAnsiTheme="minorHAnsi" w:cstheme="minorBidi"/>
              <w:b w:val="0"/>
              <w:bCs w:val="0"/>
              <w:sz w:val="28"/>
              <w:szCs w:val="28"/>
              <w:rtl/>
            </w:rPr>
          </w:pPr>
          <w:hyperlink w:anchor="_Toc451260329" w:history="1">
            <w:r w:rsidR="00B610F2" w:rsidRPr="00D500AF">
              <w:rPr>
                <w:rStyle w:val="Hyperlink"/>
                <w:rFonts w:hint="eastAsia"/>
                <w:b w:val="0"/>
                <w:bCs w:val="0"/>
                <w:sz w:val="28"/>
                <w:szCs w:val="28"/>
                <w:rtl/>
              </w:rPr>
              <w:t>الفصل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الرابع</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تغطيــــة</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المخـــاطــــــر</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Toc451260329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26</w:t>
            </w:r>
            <w:r w:rsidR="00B610F2" w:rsidRPr="00D500AF">
              <w:rPr>
                <w:b w:val="0"/>
                <w:bCs w:val="0"/>
                <w:webHidden/>
                <w:sz w:val="28"/>
                <w:szCs w:val="28"/>
                <w:rtl/>
              </w:rPr>
              <w:fldChar w:fldCharType="end"/>
            </w:r>
          </w:hyperlink>
        </w:p>
        <w:p w:rsidR="00B610F2" w:rsidRPr="00D500AF" w:rsidRDefault="00B1497F">
          <w:pPr>
            <w:pStyle w:val="TOC2"/>
            <w:tabs>
              <w:tab w:val="right" w:leader="dot" w:pos="8395"/>
            </w:tabs>
            <w:rPr>
              <w:rFonts w:asciiTheme="minorHAnsi" w:eastAsiaTheme="minorEastAsia" w:hAnsiTheme="minorHAnsi" w:cstheme="minorBidi"/>
              <w:b w:val="0"/>
              <w:bCs w:val="0"/>
              <w:sz w:val="28"/>
              <w:szCs w:val="28"/>
              <w:rtl/>
            </w:rPr>
          </w:pPr>
          <w:hyperlink w:anchor="_Toc451260330" w:history="1">
            <w:r w:rsidR="00B610F2" w:rsidRPr="00D500AF">
              <w:rPr>
                <w:rStyle w:val="Hyperlink"/>
                <w:rFonts w:hint="eastAsia"/>
                <w:b w:val="0"/>
                <w:bCs w:val="0"/>
                <w:sz w:val="28"/>
                <w:szCs w:val="28"/>
                <w:rtl/>
              </w:rPr>
              <w:t>أولاً</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مخاطر</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الائتمان</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المدخل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المعياري</w:t>
            </w:r>
            <w:r w:rsidR="00B610F2" w:rsidRPr="00D500AF">
              <w:rPr>
                <w:rStyle w:val="Hyperlink"/>
                <w:b w:val="0"/>
                <w:bCs w:val="0"/>
                <w:sz w:val="28"/>
                <w:szCs w:val="28"/>
                <w:rtl/>
              </w:rPr>
              <w:t>)</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Toc451260330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26</w:t>
            </w:r>
            <w:r w:rsidR="00B610F2" w:rsidRPr="00D500AF">
              <w:rPr>
                <w:b w:val="0"/>
                <w:bCs w:val="0"/>
                <w:webHidden/>
                <w:sz w:val="28"/>
                <w:szCs w:val="28"/>
                <w:rtl/>
              </w:rPr>
              <w:fldChar w:fldCharType="end"/>
            </w:r>
          </w:hyperlink>
        </w:p>
        <w:p w:rsidR="00B610F2" w:rsidRPr="00D500AF" w:rsidRDefault="00B1497F">
          <w:pPr>
            <w:pStyle w:val="TOC2"/>
            <w:tabs>
              <w:tab w:val="right" w:leader="dot" w:pos="8395"/>
            </w:tabs>
            <w:rPr>
              <w:rFonts w:asciiTheme="minorHAnsi" w:eastAsiaTheme="minorEastAsia" w:hAnsiTheme="minorHAnsi" w:cstheme="minorBidi"/>
              <w:b w:val="0"/>
              <w:bCs w:val="0"/>
              <w:sz w:val="28"/>
              <w:szCs w:val="28"/>
              <w:rtl/>
            </w:rPr>
          </w:pPr>
          <w:hyperlink w:anchor="_Toc451260331" w:history="1">
            <w:r w:rsidR="00B610F2" w:rsidRPr="00D500AF">
              <w:rPr>
                <w:rStyle w:val="Hyperlink"/>
                <w:rFonts w:hint="eastAsia"/>
                <w:b w:val="0"/>
                <w:bCs w:val="0"/>
                <w:sz w:val="28"/>
                <w:szCs w:val="28"/>
                <w:rtl/>
              </w:rPr>
              <w:t>ثانياً</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مخففات</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مخاطر</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الائتمان</w:t>
            </w:r>
            <w:r w:rsidR="00B610F2" w:rsidRPr="00D500AF">
              <w:rPr>
                <w:rStyle w:val="Hyperlink"/>
                <w:b w:val="0"/>
                <w:bCs w:val="0"/>
                <w:sz w:val="28"/>
                <w:szCs w:val="28"/>
                <w:rtl/>
              </w:rPr>
              <w:t xml:space="preserve"> </w:t>
            </w:r>
            <w:r w:rsidR="00B610F2" w:rsidRPr="00D500AF">
              <w:rPr>
                <w:rStyle w:val="Hyperlink"/>
                <w:b w:val="0"/>
                <w:bCs w:val="0"/>
                <w:sz w:val="28"/>
                <w:szCs w:val="28"/>
              </w:rPr>
              <w:t>Credit Risk Mitigations</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Toc451260331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39</w:t>
            </w:r>
            <w:r w:rsidR="00B610F2" w:rsidRPr="00D500AF">
              <w:rPr>
                <w:b w:val="0"/>
                <w:bCs w:val="0"/>
                <w:webHidden/>
                <w:sz w:val="28"/>
                <w:szCs w:val="28"/>
                <w:rtl/>
              </w:rPr>
              <w:fldChar w:fldCharType="end"/>
            </w:r>
          </w:hyperlink>
        </w:p>
        <w:p w:rsidR="00B610F2" w:rsidRPr="00D500AF" w:rsidRDefault="00B1497F" w:rsidP="00AA0DD9">
          <w:pPr>
            <w:pStyle w:val="TOC2"/>
            <w:tabs>
              <w:tab w:val="right" w:leader="dot" w:pos="8395"/>
            </w:tabs>
            <w:rPr>
              <w:rFonts w:asciiTheme="minorHAnsi" w:eastAsiaTheme="minorEastAsia" w:hAnsiTheme="minorHAnsi" w:cstheme="minorBidi"/>
              <w:b w:val="0"/>
              <w:bCs w:val="0"/>
              <w:sz w:val="28"/>
              <w:szCs w:val="28"/>
              <w:rtl/>
            </w:rPr>
          </w:pPr>
          <w:hyperlink w:anchor="_Toc451260332" w:history="1">
            <w:r w:rsidR="00B610F2" w:rsidRPr="00D500AF">
              <w:rPr>
                <w:rStyle w:val="Hyperlink"/>
                <w:rFonts w:hint="eastAsia"/>
                <w:b w:val="0"/>
                <w:bCs w:val="0"/>
                <w:sz w:val="28"/>
                <w:szCs w:val="28"/>
                <w:rtl/>
              </w:rPr>
              <w:t>ثالثاً</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مخاطر</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التشغيل</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Toc451260332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58</w:t>
            </w:r>
            <w:r w:rsidR="00B610F2" w:rsidRPr="00D500AF">
              <w:rPr>
                <w:b w:val="0"/>
                <w:bCs w:val="0"/>
                <w:webHidden/>
                <w:sz w:val="28"/>
                <w:szCs w:val="28"/>
                <w:rtl/>
              </w:rPr>
              <w:fldChar w:fldCharType="end"/>
            </w:r>
          </w:hyperlink>
        </w:p>
        <w:p w:rsidR="00B610F2" w:rsidRPr="00D500AF" w:rsidRDefault="00B1497F">
          <w:pPr>
            <w:pStyle w:val="TOC2"/>
            <w:tabs>
              <w:tab w:val="right" w:leader="dot" w:pos="8395"/>
            </w:tabs>
            <w:rPr>
              <w:rFonts w:asciiTheme="minorHAnsi" w:eastAsiaTheme="minorEastAsia" w:hAnsiTheme="minorHAnsi" w:cstheme="minorBidi"/>
              <w:b w:val="0"/>
              <w:bCs w:val="0"/>
              <w:sz w:val="28"/>
              <w:szCs w:val="28"/>
              <w:rtl/>
            </w:rPr>
          </w:pPr>
          <w:hyperlink w:anchor="_Toc451260333" w:history="1">
            <w:r w:rsidR="00B610F2" w:rsidRPr="00D500AF">
              <w:rPr>
                <w:rStyle w:val="Hyperlink"/>
                <w:rFonts w:hint="eastAsia"/>
                <w:b w:val="0"/>
                <w:bCs w:val="0"/>
                <w:sz w:val="28"/>
                <w:szCs w:val="28"/>
                <w:rtl/>
              </w:rPr>
              <w:t>رابعاً</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مخاطر</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السوق</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الطريقة</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المعيارية</w:t>
            </w:r>
            <w:r w:rsidR="00B610F2" w:rsidRPr="00D500AF">
              <w:rPr>
                <w:rStyle w:val="Hyperlink"/>
                <w:b w:val="0"/>
                <w:bCs w:val="0"/>
                <w:sz w:val="28"/>
                <w:szCs w:val="28"/>
                <w:rtl/>
              </w:rPr>
              <w:t xml:space="preserve">) </w:t>
            </w:r>
            <w:r w:rsidR="00B610F2" w:rsidRPr="00D500AF">
              <w:rPr>
                <w:rStyle w:val="Hyperlink"/>
                <w:b w:val="0"/>
                <w:bCs w:val="0"/>
                <w:sz w:val="28"/>
                <w:szCs w:val="28"/>
              </w:rPr>
              <w:t>Market Risk – Standardized Approach</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Toc451260333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64</w:t>
            </w:r>
            <w:r w:rsidR="00B610F2" w:rsidRPr="00D500AF">
              <w:rPr>
                <w:b w:val="0"/>
                <w:bCs w:val="0"/>
                <w:webHidden/>
                <w:sz w:val="28"/>
                <w:szCs w:val="28"/>
                <w:rtl/>
              </w:rPr>
              <w:fldChar w:fldCharType="end"/>
            </w:r>
          </w:hyperlink>
        </w:p>
        <w:p w:rsidR="00B610F2" w:rsidRPr="00D500AF" w:rsidRDefault="00B1497F">
          <w:pPr>
            <w:pStyle w:val="TOC1"/>
            <w:tabs>
              <w:tab w:val="right" w:leader="dot" w:pos="8395"/>
            </w:tabs>
            <w:rPr>
              <w:rFonts w:asciiTheme="minorHAnsi" w:eastAsiaTheme="minorEastAsia" w:hAnsiTheme="minorHAnsi" w:cstheme="minorBidi"/>
              <w:b w:val="0"/>
              <w:bCs w:val="0"/>
              <w:sz w:val="28"/>
              <w:szCs w:val="28"/>
              <w:rtl/>
            </w:rPr>
          </w:pPr>
          <w:hyperlink w:anchor="_Toc451260334" w:history="1">
            <w:r w:rsidR="00B610F2" w:rsidRPr="00D500AF">
              <w:rPr>
                <w:rStyle w:val="Hyperlink"/>
                <w:rFonts w:hint="eastAsia"/>
                <w:b w:val="0"/>
                <w:bCs w:val="0"/>
                <w:sz w:val="28"/>
                <w:szCs w:val="28"/>
                <w:rtl/>
              </w:rPr>
              <w:t>الفصل</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الخامس</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الرافعة</w:t>
            </w:r>
            <w:r w:rsidR="00B610F2" w:rsidRPr="00D500AF">
              <w:rPr>
                <w:rStyle w:val="Hyperlink"/>
                <w:b w:val="0"/>
                <w:bCs w:val="0"/>
                <w:sz w:val="28"/>
                <w:szCs w:val="28"/>
                <w:rtl/>
              </w:rPr>
              <w:t xml:space="preserve"> </w:t>
            </w:r>
            <w:r w:rsidR="00B610F2" w:rsidRPr="00D500AF">
              <w:rPr>
                <w:rStyle w:val="Hyperlink"/>
                <w:rFonts w:hint="eastAsia"/>
                <w:b w:val="0"/>
                <w:bCs w:val="0"/>
                <w:sz w:val="28"/>
                <w:szCs w:val="28"/>
                <w:rtl/>
              </w:rPr>
              <w:t>المالية</w:t>
            </w:r>
            <w:r w:rsidR="00B610F2" w:rsidRPr="00D500AF">
              <w:rPr>
                <w:rStyle w:val="Hyperlink"/>
                <w:b w:val="0"/>
                <w:bCs w:val="0"/>
                <w:sz w:val="28"/>
                <w:szCs w:val="28"/>
                <w:rtl/>
              </w:rPr>
              <w:t xml:space="preserve"> (</w:t>
            </w:r>
            <w:r w:rsidR="00B610F2" w:rsidRPr="00D500AF">
              <w:rPr>
                <w:rStyle w:val="Hyperlink"/>
                <w:b w:val="0"/>
                <w:bCs w:val="0"/>
                <w:sz w:val="28"/>
                <w:szCs w:val="28"/>
              </w:rPr>
              <w:t>Leverage Ratio</w:t>
            </w:r>
            <w:r w:rsidR="00B610F2" w:rsidRPr="00D500AF">
              <w:rPr>
                <w:rStyle w:val="Hyperlink"/>
                <w:b w:val="0"/>
                <w:bCs w:val="0"/>
                <w:sz w:val="28"/>
                <w:szCs w:val="28"/>
                <w:rtl/>
              </w:rPr>
              <w:t>)</w:t>
            </w:r>
            <w:r w:rsidR="00B610F2" w:rsidRPr="00D500AF">
              <w:rPr>
                <w:b w:val="0"/>
                <w:bCs w:val="0"/>
                <w:webHidden/>
                <w:sz w:val="28"/>
                <w:szCs w:val="28"/>
                <w:rtl/>
              </w:rPr>
              <w:tab/>
            </w:r>
            <w:r w:rsidR="00B610F2" w:rsidRPr="00D500AF">
              <w:rPr>
                <w:b w:val="0"/>
                <w:bCs w:val="0"/>
                <w:webHidden/>
                <w:sz w:val="28"/>
                <w:szCs w:val="28"/>
                <w:rtl/>
              </w:rPr>
              <w:fldChar w:fldCharType="begin"/>
            </w:r>
            <w:r w:rsidR="00B610F2" w:rsidRPr="00D500AF">
              <w:rPr>
                <w:b w:val="0"/>
                <w:bCs w:val="0"/>
                <w:webHidden/>
                <w:sz w:val="28"/>
                <w:szCs w:val="28"/>
                <w:rtl/>
              </w:rPr>
              <w:instrText xml:space="preserve"> </w:instrText>
            </w:r>
            <w:r w:rsidR="00B610F2" w:rsidRPr="00D500AF">
              <w:rPr>
                <w:b w:val="0"/>
                <w:bCs w:val="0"/>
                <w:webHidden/>
                <w:sz w:val="28"/>
                <w:szCs w:val="28"/>
              </w:rPr>
              <w:instrText>PAGEREF</w:instrText>
            </w:r>
            <w:r w:rsidR="00B610F2" w:rsidRPr="00D500AF">
              <w:rPr>
                <w:b w:val="0"/>
                <w:bCs w:val="0"/>
                <w:webHidden/>
                <w:sz w:val="28"/>
                <w:szCs w:val="28"/>
                <w:rtl/>
              </w:rPr>
              <w:instrText xml:space="preserve"> _</w:instrText>
            </w:r>
            <w:r w:rsidR="00B610F2" w:rsidRPr="00D500AF">
              <w:rPr>
                <w:b w:val="0"/>
                <w:bCs w:val="0"/>
                <w:webHidden/>
                <w:sz w:val="28"/>
                <w:szCs w:val="28"/>
              </w:rPr>
              <w:instrText>Toc451260334 \h</w:instrText>
            </w:r>
            <w:r w:rsidR="00B610F2" w:rsidRPr="00D500AF">
              <w:rPr>
                <w:b w:val="0"/>
                <w:bCs w:val="0"/>
                <w:webHidden/>
                <w:sz w:val="28"/>
                <w:szCs w:val="28"/>
                <w:rtl/>
              </w:rPr>
              <w:instrText xml:space="preserve"> </w:instrText>
            </w:r>
            <w:r w:rsidR="00B610F2" w:rsidRPr="00D500AF">
              <w:rPr>
                <w:b w:val="0"/>
                <w:bCs w:val="0"/>
                <w:webHidden/>
                <w:sz w:val="28"/>
                <w:szCs w:val="28"/>
                <w:rtl/>
              </w:rPr>
            </w:r>
            <w:r w:rsidR="00B610F2" w:rsidRPr="00D500AF">
              <w:rPr>
                <w:b w:val="0"/>
                <w:bCs w:val="0"/>
                <w:webHidden/>
                <w:sz w:val="28"/>
                <w:szCs w:val="28"/>
                <w:rtl/>
              </w:rPr>
              <w:fldChar w:fldCharType="separate"/>
            </w:r>
            <w:r w:rsidR="00BC120A">
              <w:rPr>
                <w:b w:val="0"/>
                <w:bCs w:val="0"/>
                <w:webHidden/>
                <w:sz w:val="28"/>
                <w:szCs w:val="28"/>
                <w:rtl/>
              </w:rPr>
              <w:t>79</w:t>
            </w:r>
            <w:r w:rsidR="00B610F2" w:rsidRPr="00D500AF">
              <w:rPr>
                <w:b w:val="0"/>
                <w:bCs w:val="0"/>
                <w:webHidden/>
                <w:sz w:val="28"/>
                <w:szCs w:val="28"/>
                <w:rtl/>
              </w:rPr>
              <w:fldChar w:fldCharType="end"/>
            </w:r>
          </w:hyperlink>
        </w:p>
        <w:p w:rsidR="00B2749A" w:rsidRDefault="00B2749A">
          <w:r w:rsidRPr="00D500AF">
            <w:rPr>
              <w:b w:val="0"/>
              <w:bCs w:val="0"/>
              <w:noProof/>
              <w:sz w:val="28"/>
              <w:szCs w:val="28"/>
            </w:rPr>
            <w:fldChar w:fldCharType="end"/>
          </w:r>
        </w:p>
      </w:sdtContent>
    </w:sdt>
    <w:p w:rsidR="00C706E1" w:rsidRDefault="00B1497F" w:rsidP="00B1497F">
      <w:pPr>
        <w:pStyle w:val="TableofFigures"/>
        <w:tabs>
          <w:tab w:val="left" w:pos="6230"/>
        </w:tabs>
        <w:rPr>
          <w:b/>
          <w:bCs/>
          <w:rtl/>
        </w:rPr>
      </w:pPr>
      <w:r>
        <w:rPr>
          <w:b/>
          <w:bCs/>
          <w:rtl/>
        </w:rPr>
        <w:tab/>
      </w:r>
      <w:r>
        <w:rPr>
          <w:b/>
          <w:bCs/>
          <w:rtl/>
        </w:rPr>
        <w:tab/>
      </w: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C706E1" w:rsidRDefault="00C706E1">
      <w:pPr>
        <w:pStyle w:val="TableofFigures"/>
        <w:tabs>
          <w:tab w:val="right" w:leader="dot" w:pos="8920"/>
        </w:tabs>
        <w:rPr>
          <w:b/>
          <w:bCs/>
          <w:rtl/>
        </w:rPr>
      </w:pPr>
    </w:p>
    <w:p w:rsidR="00703D3C" w:rsidRPr="00703D3C" w:rsidRDefault="00703D3C" w:rsidP="00703D3C">
      <w:pPr>
        <w:rPr>
          <w:rtl/>
        </w:rPr>
      </w:pPr>
    </w:p>
    <w:p w:rsidR="00C706E1" w:rsidRPr="00DE0E6B" w:rsidRDefault="00C706E1" w:rsidP="00DE0E6B">
      <w:pPr>
        <w:pStyle w:val="TableofFigures"/>
        <w:tabs>
          <w:tab w:val="right" w:leader="dot" w:pos="8920"/>
        </w:tabs>
        <w:spacing w:before="120" w:after="120"/>
        <w:ind w:left="518" w:hanging="518"/>
        <w:rPr>
          <w:b/>
          <w:bCs/>
          <w:sz w:val="28"/>
          <w:szCs w:val="28"/>
          <w:rtl/>
        </w:rPr>
      </w:pPr>
      <w:r w:rsidRPr="00C706E1">
        <w:rPr>
          <w:rFonts w:hint="cs"/>
          <w:b/>
          <w:bCs/>
          <w:sz w:val="28"/>
          <w:szCs w:val="28"/>
          <w:rtl/>
        </w:rPr>
        <w:lastRenderedPageBreak/>
        <w:t>قائمة الملاحق:</w:t>
      </w:r>
    </w:p>
    <w:p w:rsidR="008D52EF" w:rsidRPr="008D52EF" w:rsidRDefault="00187D48" w:rsidP="008D52EF">
      <w:pPr>
        <w:pStyle w:val="TableofFigures"/>
        <w:tabs>
          <w:tab w:val="right" w:leader="dot" w:pos="8920"/>
        </w:tabs>
        <w:rPr>
          <w:rFonts w:ascii="Simplified Arabic" w:eastAsiaTheme="minorEastAsia" w:hAnsi="Simplified Arabic" w:cs="Simplified Arabic"/>
          <w:b/>
          <w:bCs/>
          <w:smallCaps w:val="0"/>
          <w:noProof/>
          <w:sz w:val="24"/>
          <w:rtl/>
        </w:rPr>
      </w:pPr>
      <w:r w:rsidRPr="008D52EF">
        <w:rPr>
          <w:rFonts w:ascii="Simplified Arabic" w:hAnsi="Simplified Arabic" w:cs="Simplified Arabic"/>
          <w:b/>
          <w:bCs/>
          <w:sz w:val="24"/>
          <w:rtl/>
        </w:rPr>
        <w:fldChar w:fldCharType="begin"/>
      </w:r>
      <w:r w:rsidRPr="008D52EF">
        <w:rPr>
          <w:rFonts w:ascii="Simplified Arabic" w:hAnsi="Simplified Arabic" w:cs="Simplified Arabic"/>
          <w:b/>
          <w:bCs/>
          <w:sz w:val="24"/>
          <w:rtl/>
        </w:rPr>
        <w:instrText xml:space="preserve"> </w:instrText>
      </w:r>
      <w:r w:rsidRPr="008D52EF">
        <w:rPr>
          <w:rFonts w:ascii="Simplified Arabic" w:hAnsi="Simplified Arabic" w:cs="Simplified Arabic"/>
          <w:b/>
          <w:bCs/>
          <w:sz w:val="24"/>
        </w:rPr>
        <w:instrText>TOC</w:instrText>
      </w:r>
      <w:r w:rsidRPr="008D52EF">
        <w:rPr>
          <w:rFonts w:ascii="Simplified Arabic" w:hAnsi="Simplified Arabic" w:cs="Simplified Arabic"/>
          <w:b/>
          <w:bCs/>
          <w:sz w:val="24"/>
          <w:rtl/>
        </w:rPr>
        <w:instrText xml:space="preserve"> \</w:instrText>
      </w:r>
      <w:r w:rsidRPr="008D52EF">
        <w:rPr>
          <w:rFonts w:ascii="Simplified Arabic" w:hAnsi="Simplified Arabic" w:cs="Simplified Arabic"/>
          <w:b/>
          <w:bCs/>
          <w:sz w:val="24"/>
        </w:rPr>
        <w:instrText>h \z \c</w:instrText>
      </w:r>
      <w:r w:rsidRPr="008D52EF">
        <w:rPr>
          <w:rFonts w:ascii="Simplified Arabic" w:hAnsi="Simplified Arabic" w:cs="Simplified Arabic"/>
          <w:b/>
          <w:bCs/>
          <w:sz w:val="24"/>
          <w:rtl/>
        </w:rPr>
        <w:instrText xml:space="preserve"> "ملحق (" </w:instrText>
      </w:r>
      <w:r w:rsidRPr="008D52EF">
        <w:rPr>
          <w:rFonts w:ascii="Simplified Arabic" w:hAnsi="Simplified Arabic" w:cs="Simplified Arabic"/>
          <w:b/>
          <w:bCs/>
          <w:sz w:val="24"/>
          <w:rtl/>
        </w:rPr>
        <w:fldChar w:fldCharType="separate"/>
      </w:r>
      <w:hyperlink w:anchor="_Toc465255827" w:history="1">
        <w:r w:rsidR="008D52EF" w:rsidRPr="008D52EF">
          <w:rPr>
            <w:rStyle w:val="Hyperlink"/>
            <w:rFonts w:ascii="Simplified Arabic" w:hAnsi="Simplified Arabic" w:cs="Simplified Arabic"/>
            <w:b/>
            <w:bCs/>
            <w:noProof/>
            <w:sz w:val="24"/>
            <w:rtl/>
          </w:rPr>
          <w:t xml:space="preserve">ملحق ( </w:t>
        </w:r>
        <w:r w:rsidR="008D52EF">
          <w:rPr>
            <w:rStyle w:val="Hyperlink"/>
            <w:rFonts w:ascii="Simplified Arabic" w:hAnsi="Simplified Arabic" w:cs="Simplified Arabic" w:hint="cs"/>
            <w:b/>
            <w:bCs/>
            <w:noProof/>
            <w:sz w:val="24"/>
            <w:rtl/>
          </w:rPr>
          <w:t>1</w:t>
        </w:r>
        <w:r w:rsidR="008D52EF" w:rsidRPr="008D52EF">
          <w:rPr>
            <w:rStyle w:val="Hyperlink"/>
            <w:rFonts w:ascii="Simplified Arabic" w:hAnsi="Simplified Arabic" w:cs="Simplified Arabic"/>
            <w:b/>
            <w:bCs/>
            <w:noProof/>
            <w:sz w:val="24"/>
            <w:rtl/>
          </w:rPr>
          <w:t xml:space="preserve"> ) : </w:t>
        </w:r>
        <w:r w:rsidR="008D52EF" w:rsidRPr="008D52EF">
          <w:rPr>
            <w:rStyle w:val="Hyperlink"/>
            <w:rFonts w:ascii="Simplified Arabic" w:hAnsi="Simplified Arabic" w:cs="Simplified Arabic"/>
            <w:b/>
            <w:bCs/>
            <w:noProof/>
            <w:sz w:val="24"/>
            <w:rtl/>
            <w:lang w:bidi="ar-JO"/>
          </w:rPr>
          <w:t>الاستثمارات في البنوك ومؤسسات الأوراق المالية والمؤسسات المالية الأخرى غير الموحدة حساباتها</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Toc465255827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80</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rsidP="008D52E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28" w:history="1">
        <w:r w:rsidR="008D52EF" w:rsidRPr="008D52EF">
          <w:rPr>
            <w:rStyle w:val="Hyperlink"/>
            <w:rFonts w:ascii="Simplified Arabic" w:hAnsi="Simplified Arabic" w:cs="Simplified Arabic"/>
            <w:b/>
            <w:bCs/>
            <w:noProof/>
            <w:sz w:val="24"/>
            <w:rtl/>
            <w:lang w:bidi="ar-JO"/>
          </w:rPr>
          <w:t>ملحق</w:t>
        </w:r>
        <w:r w:rsidR="008D52EF" w:rsidRPr="008D52EF">
          <w:rPr>
            <w:rStyle w:val="Hyperlink"/>
            <w:rFonts w:ascii="Simplified Arabic" w:hAnsi="Simplified Arabic" w:cs="Simplified Arabic"/>
            <w:b/>
            <w:bCs/>
            <w:noProof/>
            <w:sz w:val="24"/>
            <w:rtl/>
          </w:rPr>
          <w:t xml:space="preserve"> ( </w:t>
        </w:r>
        <w:r w:rsidR="008D52EF">
          <w:rPr>
            <w:rStyle w:val="Hyperlink"/>
            <w:rFonts w:ascii="Simplified Arabic" w:hAnsi="Simplified Arabic" w:cs="Simplified Arabic" w:hint="cs"/>
            <w:b/>
            <w:bCs/>
            <w:noProof/>
            <w:sz w:val="24"/>
            <w:rtl/>
          </w:rPr>
          <w:t>2</w:t>
        </w:r>
        <w:r w:rsidR="008D52EF" w:rsidRPr="008D52EF">
          <w:rPr>
            <w:rStyle w:val="Hyperlink"/>
            <w:rFonts w:ascii="Simplified Arabic" w:hAnsi="Simplified Arabic" w:cs="Simplified Arabic"/>
            <w:b/>
            <w:bCs/>
            <w:noProof/>
            <w:sz w:val="24"/>
            <w:rtl/>
          </w:rPr>
          <w:t xml:space="preserve"> ):</w:t>
        </w:r>
        <w:r w:rsidR="008D52EF" w:rsidRPr="008D52EF">
          <w:rPr>
            <w:rStyle w:val="Hyperlink"/>
            <w:rFonts w:ascii="Simplified Arabic" w:hAnsi="Simplified Arabic" w:cs="Simplified Arabic"/>
            <w:b/>
            <w:bCs/>
            <w:noProof/>
            <w:sz w:val="24"/>
            <w:rtl/>
            <w:lang w:bidi="ar-JO"/>
          </w:rPr>
          <w:t xml:space="preserve"> مثال توضيحي لاحتساب حقوق الأقلية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Toc465255828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81</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29" w:history="1">
        <w:r w:rsidR="008D52EF" w:rsidRPr="008D52EF">
          <w:rPr>
            <w:rStyle w:val="Hyperlink"/>
            <w:rFonts w:ascii="Simplified Arabic" w:hAnsi="Simplified Arabic" w:cs="Simplified Arabic"/>
            <w:b/>
            <w:bCs/>
            <w:noProof/>
            <w:sz w:val="24"/>
            <w:rtl/>
          </w:rPr>
          <w:t xml:space="preserve">ملحق ( 3 ): </w:t>
        </w:r>
        <w:r w:rsidR="008D52EF" w:rsidRPr="008D52EF">
          <w:rPr>
            <w:rStyle w:val="Hyperlink"/>
            <w:rFonts w:ascii="Simplified Arabic" w:hAnsi="Simplified Arabic" w:cs="Simplified Arabic"/>
            <w:b/>
            <w:bCs/>
            <w:noProof/>
            <w:sz w:val="24"/>
            <w:rtl/>
            <w:lang w:bidi="ar-JO"/>
          </w:rPr>
          <w:t>طريقة التناظر (</w:t>
        </w:r>
        <w:r w:rsidR="008D52EF" w:rsidRPr="008D52EF">
          <w:rPr>
            <w:rStyle w:val="Hyperlink"/>
            <w:rFonts w:ascii="Simplified Arabic" w:hAnsi="Simplified Arabic" w:cs="Simplified Arabic"/>
            <w:b/>
            <w:bCs/>
            <w:noProof/>
            <w:sz w:val="24"/>
            <w:lang w:bidi="ar-JO"/>
          </w:rPr>
          <w:t>Corresponding Deduction Approach</w:t>
        </w:r>
        <w:r w:rsidR="008D52EF" w:rsidRPr="008D52EF">
          <w:rPr>
            <w:rStyle w:val="Hyperlink"/>
            <w:rFonts w:ascii="Simplified Arabic" w:hAnsi="Simplified Arabic" w:cs="Simplified Arabic"/>
            <w:b/>
            <w:bCs/>
            <w:noProof/>
            <w:sz w:val="24"/>
            <w:rtl/>
            <w:lang w:bidi="ar-JO"/>
          </w:rPr>
          <w:t>)</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Toc465255829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85</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0" w:history="1">
        <w:r w:rsidR="008D52EF" w:rsidRPr="008D52EF">
          <w:rPr>
            <w:rStyle w:val="Hyperlink"/>
            <w:rFonts w:ascii="Simplified Arabic" w:hAnsi="Simplified Arabic" w:cs="Simplified Arabic"/>
            <w:b/>
            <w:bCs/>
            <w:noProof/>
            <w:sz w:val="24"/>
            <w:rtl/>
          </w:rPr>
          <w:t xml:space="preserve">ملحق ( 4 ): </w:t>
        </w:r>
        <w:r w:rsidR="008D52EF" w:rsidRPr="008D52EF">
          <w:rPr>
            <w:rStyle w:val="Hyperlink"/>
            <w:rFonts w:ascii="Simplified Arabic" w:hAnsi="Simplified Arabic" w:cs="Simplified Arabic"/>
            <w:b/>
            <w:bCs/>
            <w:noProof/>
            <w:sz w:val="24"/>
            <w:rtl/>
            <w:lang w:bidi="ar-JO"/>
          </w:rPr>
          <w:t>مثال توضيحي لحدود الاستقطاع</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Toc465255830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86</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1" w:history="1">
        <w:r w:rsidR="008D52EF" w:rsidRPr="008D52EF">
          <w:rPr>
            <w:rStyle w:val="Hyperlink"/>
            <w:rFonts w:ascii="Simplified Arabic" w:hAnsi="Simplified Arabic" w:cs="Simplified Arabic"/>
            <w:b/>
            <w:bCs/>
            <w:noProof/>
            <w:sz w:val="24"/>
            <w:rtl/>
          </w:rPr>
          <w:t>ملحق ( 5 ): رأس المال التنظيمي</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Toc465255831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88</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2" w:history="1">
        <w:r w:rsidR="008D52EF" w:rsidRPr="008D52EF">
          <w:rPr>
            <w:rStyle w:val="Hyperlink"/>
            <w:rFonts w:ascii="Simplified Arabic" w:hAnsi="Simplified Arabic" w:cs="Simplified Arabic"/>
            <w:b/>
            <w:bCs/>
            <w:noProof/>
            <w:sz w:val="24"/>
            <w:rtl/>
          </w:rPr>
          <w:t>ملحق ( 6 )</w:t>
        </w:r>
        <w:r w:rsidR="008D52EF" w:rsidRPr="008D52EF">
          <w:rPr>
            <w:rStyle w:val="Hyperlink"/>
            <w:rFonts w:ascii="Simplified Arabic" w:hAnsi="Simplified Arabic" w:cs="Simplified Arabic"/>
            <w:b/>
            <w:bCs/>
            <w:noProof/>
            <w:sz w:val="24"/>
            <w:rtl/>
            <w:lang w:bidi="ar-JO"/>
          </w:rPr>
          <w:t>:الخطوات التي سيقوم البنك المركزي باتباعها بخصوص رأس المال لمواجهة التقلبات الدورية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Toc465255832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90</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3" w:history="1">
        <w:r w:rsidR="008D52EF" w:rsidRPr="008D52EF">
          <w:rPr>
            <w:rStyle w:val="Hyperlink"/>
            <w:rFonts w:ascii="Simplified Arabic" w:hAnsi="Simplified Arabic" w:cs="Simplified Arabic"/>
            <w:b/>
            <w:bCs/>
            <w:noProof/>
            <w:sz w:val="24"/>
            <w:rtl/>
          </w:rPr>
          <w:t>ملحق ( 7</w:t>
        </w:r>
        <w:r w:rsidR="008D52EF" w:rsidRPr="008D52EF">
          <w:rPr>
            <w:rStyle w:val="Hyperlink"/>
            <w:rFonts w:ascii="Simplified Arabic" w:hAnsi="Simplified Arabic" w:cs="Simplified Arabic"/>
            <w:b/>
            <w:bCs/>
            <w:noProof/>
            <w:sz w:val="24"/>
            <w:rtl/>
            <w:lang w:bidi="ar-JO"/>
          </w:rPr>
          <w:t xml:space="preserve"> ): </w:t>
        </w:r>
        <w:r w:rsidR="008D52EF" w:rsidRPr="008D52EF">
          <w:rPr>
            <w:rStyle w:val="Hyperlink"/>
            <w:rFonts w:ascii="Simplified Arabic" w:hAnsi="Simplified Arabic" w:cs="Simplified Arabic"/>
            <w:b/>
            <w:bCs/>
            <w:noProof/>
            <w:sz w:val="24"/>
            <w:rtl/>
          </w:rPr>
          <w:t>مواءمة التصنيف الائتماني الخارجي</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Toc465255833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91</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rsidP="008D52E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4" w:history="1">
        <w:r w:rsidR="008D52EF" w:rsidRPr="008D52EF">
          <w:rPr>
            <w:rStyle w:val="Hyperlink"/>
            <w:rFonts w:ascii="Simplified Arabic" w:hAnsi="Simplified Arabic" w:cs="Simplified Arabic"/>
            <w:b/>
            <w:bCs/>
            <w:noProof/>
            <w:sz w:val="24"/>
            <w:rtl/>
          </w:rPr>
          <w:t>ملحق ( 8 ): الوزارات والمؤسسات المؤهلة للحصول على أوزان المخاطر الترجيحية للحكومة الأردنية (صفر%)</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Toc465255834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92</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5" w:history="1">
        <w:r w:rsidR="008D52EF" w:rsidRPr="008D52EF">
          <w:rPr>
            <w:rStyle w:val="Hyperlink"/>
            <w:rFonts w:ascii="Simplified Arabic" w:hAnsi="Simplified Arabic" w:cs="Simplified Arabic"/>
            <w:b/>
            <w:bCs/>
            <w:noProof/>
            <w:sz w:val="24"/>
            <w:rtl/>
          </w:rPr>
          <w:t xml:space="preserve">ملحق ( 9 ): المنشآت والمؤسسات المؤهلة للحصول على أوزان المخاطر الترجيحية للبنوك </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Toc465255835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94</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6" w:history="1">
        <w:r w:rsidR="008D52EF" w:rsidRPr="008D52EF">
          <w:rPr>
            <w:rStyle w:val="Hyperlink"/>
            <w:rFonts w:ascii="Simplified Arabic" w:hAnsi="Simplified Arabic" w:cs="Simplified Arabic"/>
            <w:b/>
            <w:bCs/>
            <w:noProof/>
            <w:sz w:val="24"/>
            <w:rtl/>
          </w:rPr>
          <w:t>ملحق ( 10 ): المنشآت والمؤسسات المؤهلة للحصول على أوزان المخاطر الترجيحية للشركات</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Toc465255836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96</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7" w:history="1">
        <w:r w:rsidR="008D52EF" w:rsidRPr="008D52EF">
          <w:rPr>
            <w:rStyle w:val="Hyperlink"/>
            <w:rFonts w:ascii="Simplified Arabic" w:hAnsi="Simplified Arabic" w:cs="Simplified Arabic"/>
            <w:b/>
            <w:bCs/>
            <w:noProof/>
            <w:sz w:val="24"/>
            <w:rtl/>
          </w:rPr>
          <w:t>ملحق ( 11 ): الشروط الواجب توافرها في المنشأة الصغيرة لإدراجها ضمن محفظة التجزئة التنظيمية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Toc465255837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97</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8" w:history="1">
        <w:r w:rsidR="008D52EF" w:rsidRPr="008D52EF">
          <w:rPr>
            <w:rStyle w:val="Hyperlink"/>
            <w:rFonts w:ascii="Simplified Arabic" w:hAnsi="Simplified Arabic" w:cs="Simplified Arabic"/>
            <w:b/>
            <w:bCs/>
            <w:noProof/>
            <w:sz w:val="24"/>
            <w:rtl/>
          </w:rPr>
          <w:t>ملحق ( 12 ):  القروض السكنية المؤهلة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Toc465255838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98</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39" w:history="1">
        <w:r w:rsidR="008D52EF" w:rsidRPr="008D52EF">
          <w:rPr>
            <w:rStyle w:val="Hyperlink"/>
            <w:rFonts w:ascii="Simplified Arabic" w:hAnsi="Simplified Arabic" w:cs="Simplified Arabic"/>
            <w:b/>
            <w:bCs/>
            <w:noProof/>
            <w:sz w:val="24"/>
            <w:rtl/>
          </w:rPr>
          <w:t>ملحق ( 13 ):  الإقراض المتخصص</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Toc465255839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100</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0" w:history="1">
        <w:r w:rsidR="008D52EF" w:rsidRPr="008D52EF">
          <w:rPr>
            <w:rStyle w:val="Hyperlink"/>
            <w:rFonts w:ascii="Simplified Arabic" w:hAnsi="Simplified Arabic" w:cs="Simplified Arabic"/>
            <w:b/>
            <w:bCs/>
            <w:noProof/>
            <w:sz w:val="24"/>
            <w:rtl/>
          </w:rPr>
          <w:t xml:space="preserve">ملحق ( 14 ): </w:t>
        </w:r>
        <w:r w:rsidR="008D52EF" w:rsidRPr="008D52EF">
          <w:rPr>
            <w:rStyle w:val="Hyperlink"/>
            <w:rFonts w:ascii="Simplified Arabic" w:hAnsi="Simplified Arabic" w:cs="Simplified Arabic"/>
            <w:b/>
            <w:bCs/>
            <w:noProof/>
            <w:sz w:val="24"/>
            <w:rtl/>
            <w:lang w:bidi="ar-JO"/>
          </w:rPr>
          <w:t>خطوط الأعمال حسب الطريقة المعيارية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Toc465255840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104</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rsidP="008D52E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1" w:history="1">
        <w:r w:rsidR="008D52EF" w:rsidRPr="008D52EF">
          <w:rPr>
            <w:rStyle w:val="Hyperlink"/>
            <w:rFonts w:ascii="Simplified Arabic" w:hAnsi="Simplified Arabic" w:cs="Simplified Arabic"/>
            <w:b/>
            <w:bCs/>
            <w:noProof/>
            <w:sz w:val="24"/>
            <w:rtl/>
          </w:rPr>
          <w:t xml:space="preserve">ملحق ( </w:t>
        </w:r>
        <w:r w:rsidR="008D52EF">
          <w:rPr>
            <w:rStyle w:val="Hyperlink"/>
            <w:rFonts w:ascii="Simplified Arabic" w:hAnsi="Simplified Arabic" w:cs="Simplified Arabic" w:hint="cs"/>
            <w:b/>
            <w:bCs/>
            <w:noProof/>
            <w:sz w:val="24"/>
            <w:rtl/>
          </w:rPr>
          <w:t>15</w:t>
        </w:r>
        <w:r w:rsidR="008D52EF" w:rsidRPr="008D52EF">
          <w:rPr>
            <w:rStyle w:val="Hyperlink"/>
            <w:rFonts w:ascii="Simplified Arabic" w:hAnsi="Simplified Arabic" w:cs="Simplified Arabic"/>
            <w:b/>
            <w:bCs/>
            <w:noProof/>
            <w:sz w:val="24"/>
            <w:rtl/>
            <w:lang w:bidi="ar-JO"/>
          </w:rPr>
          <w:t xml:space="preserve"> ): </w:t>
        </w:r>
        <w:r w:rsidR="008D52EF" w:rsidRPr="008D52EF">
          <w:rPr>
            <w:rStyle w:val="Hyperlink"/>
            <w:rFonts w:ascii="Simplified Arabic" w:hAnsi="Simplified Arabic" w:cs="Simplified Arabic"/>
            <w:b/>
            <w:bCs/>
            <w:noProof/>
            <w:sz w:val="24"/>
            <w:rtl/>
          </w:rPr>
          <w:t>المخاطر الخاصة لأدوات الدين الخاضعة لمخاطر أسعار الفائدة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Toc465255841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105</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2" w:history="1">
        <w:r w:rsidR="008D52EF" w:rsidRPr="008D52EF">
          <w:rPr>
            <w:rStyle w:val="Hyperlink"/>
            <w:rFonts w:ascii="Simplified Arabic" w:hAnsi="Simplified Arabic" w:cs="Simplified Arabic"/>
            <w:b/>
            <w:bCs/>
            <w:noProof/>
            <w:sz w:val="24"/>
            <w:rtl/>
          </w:rPr>
          <w:t>ملحق ( 16 ): المخاطر العامة للأدوات الخاضعة لمخاطر أسعار الفوائد</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Toc465255842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106</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3" w:history="1">
        <w:r w:rsidR="008D52EF" w:rsidRPr="008D52EF">
          <w:rPr>
            <w:rStyle w:val="Hyperlink"/>
            <w:rFonts w:ascii="Simplified Arabic" w:hAnsi="Simplified Arabic" w:cs="Simplified Arabic"/>
            <w:b/>
            <w:bCs/>
            <w:noProof/>
            <w:sz w:val="24"/>
            <w:rtl/>
          </w:rPr>
          <w:t>ملحق ( 17 ): المخاطر العامة لأدوات الدين الخاضعة لمخاطر أسعار الفائدة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Toc465255843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107</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4" w:history="1">
        <w:r w:rsidR="008D52EF" w:rsidRPr="008D52EF">
          <w:rPr>
            <w:rStyle w:val="Hyperlink"/>
            <w:rFonts w:ascii="Simplified Arabic" w:hAnsi="Simplified Arabic" w:cs="Simplified Arabic"/>
            <w:b/>
            <w:bCs/>
            <w:noProof/>
            <w:sz w:val="24"/>
            <w:rtl/>
          </w:rPr>
          <w:t>ملحق ( 18 ): مخاطر السوق لأدوات الملكيـــة المحتفظ بها للمتاجره</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Toc465255844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109</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5" w:history="1">
        <w:r w:rsidR="008D52EF" w:rsidRPr="008D52EF">
          <w:rPr>
            <w:rStyle w:val="Hyperlink"/>
            <w:rFonts w:ascii="Simplified Arabic" w:hAnsi="Simplified Arabic" w:cs="Simplified Arabic"/>
            <w:b/>
            <w:bCs/>
            <w:noProof/>
            <w:sz w:val="24"/>
            <w:rtl/>
          </w:rPr>
          <w:t>ملحق ( 19 ): مخاطر السوق لأسعار صرف العملات الأجنبية والذهب</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Toc465255845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110</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6" w:history="1">
        <w:r w:rsidR="008D52EF" w:rsidRPr="008D52EF">
          <w:rPr>
            <w:rStyle w:val="Hyperlink"/>
            <w:rFonts w:ascii="Simplified Arabic" w:hAnsi="Simplified Arabic" w:cs="Simplified Arabic"/>
            <w:b/>
            <w:bCs/>
            <w:noProof/>
            <w:sz w:val="24"/>
            <w:rtl/>
          </w:rPr>
          <w:t>ملحق ( 20 ): الطريقة المبسطة لاحتساب مخاطر البضائع</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Toc465255846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111</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7" w:history="1">
        <w:r w:rsidR="008D52EF" w:rsidRPr="008D52EF">
          <w:rPr>
            <w:rStyle w:val="Hyperlink"/>
            <w:rFonts w:ascii="Simplified Arabic" w:hAnsi="Simplified Arabic" w:cs="Simplified Arabic"/>
            <w:b/>
            <w:bCs/>
            <w:noProof/>
            <w:sz w:val="24"/>
            <w:rtl/>
          </w:rPr>
          <w:t>ملحق ( 21 ): مخاطر السوق الناتجة عن عقود المشتقات المحتفظ بها للمتاجرة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Toc465255847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112</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rsidP="008D52E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8" w:history="1">
        <w:r w:rsidR="008D52EF" w:rsidRPr="008D52EF">
          <w:rPr>
            <w:rStyle w:val="Hyperlink"/>
            <w:rFonts w:ascii="Simplified Arabic" w:hAnsi="Simplified Arabic" w:cs="Simplified Arabic"/>
            <w:b/>
            <w:bCs/>
            <w:noProof/>
            <w:sz w:val="24"/>
            <w:rtl/>
          </w:rPr>
          <w:t xml:space="preserve">ملحق ( </w:t>
        </w:r>
        <w:r w:rsidR="008D52EF">
          <w:rPr>
            <w:rStyle w:val="Hyperlink"/>
            <w:rFonts w:ascii="Simplified Arabic" w:hAnsi="Simplified Arabic" w:cs="Simplified Arabic" w:hint="cs"/>
            <w:b/>
            <w:bCs/>
            <w:noProof/>
            <w:sz w:val="24"/>
            <w:rtl/>
          </w:rPr>
          <w:t>22</w:t>
        </w:r>
        <w:r w:rsidR="008D52EF" w:rsidRPr="008D52EF">
          <w:rPr>
            <w:rStyle w:val="Hyperlink"/>
            <w:rFonts w:ascii="Simplified Arabic" w:hAnsi="Simplified Arabic" w:cs="Simplified Arabic"/>
            <w:b/>
            <w:bCs/>
            <w:noProof/>
            <w:sz w:val="24"/>
            <w:rtl/>
          </w:rPr>
          <w:t xml:space="preserve"> ): مخاطر الطرف المقابله لاتفاقيات اعادة الشراء ومعكوسها  واقراض واقتراض الاوراق المالية</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Toc465255848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113</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49" w:history="1">
        <w:r w:rsidR="008D52EF" w:rsidRPr="008D52EF">
          <w:rPr>
            <w:rStyle w:val="Hyperlink"/>
            <w:rFonts w:ascii="Simplified Arabic" w:hAnsi="Simplified Arabic" w:cs="Simplified Arabic"/>
            <w:b/>
            <w:bCs/>
            <w:noProof/>
            <w:sz w:val="24"/>
            <w:rtl/>
          </w:rPr>
          <w:t>ملحق ( 23 ): مخاطر الطرف المقابل للاسهم المستلمة / والأسهم المسلمة وغير مقبوض قيمتها</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Toc465255849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114</w:t>
        </w:r>
        <w:r w:rsidR="008D52EF" w:rsidRPr="008D52EF">
          <w:rPr>
            <w:rStyle w:val="Hyperlink"/>
            <w:rFonts w:ascii="Simplified Arabic" w:hAnsi="Simplified Arabic" w:cs="Simplified Arabic"/>
            <w:b/>
            <w:bCs/>
            <w:noProof/>
            <w:sz w:val="24"/>
            <w:rtl/>
          </w:rPr>
          <w:fldChar w:fldCharType="end"/>
        </w:r>
      </w:hyperlink>
    </w:p>
    <w:p w:rsidR="008D52EF" w:rsidRPr="008D52EF" w:rsidRDefault="00B1497F">
      <w:pPr>
        <w:pStyle w:val="TableofFigures"/>
        <w:tabs>
          <w:tab w:val="right" w:leader="dot" w:pos="8920"/>
        </w:tabs>
        <w:rPr>
          <w:rFonts w:ascii="Simplified Arabic" w:eastAsiaTheme="minorEastAsia" w:hAnsi="Simplified Arabic" w:cs="Simplified Arabic"/>
          <w:b/>
          <w:bCs/>
          <w:smallCaps w:val="0"/>
          <w:noProof/>
          <w:sz w:val="24"/>
          <w:rtl/>
        </w:rPr>
      </w:pPr>
      <w:hyperlink w:anchor="_Toc465255850" w:history="1">
        <w:r w:rsidR="008D52EF" w:rsidRPr="008D52EF">
          <w:rPr>
            <w:rStyle w:val="Hyperlink"/>
            <w:rFonts w:ascii="Simplified Arabic" w:hAnsi="Simplified Arabic" w:cs="Simplified Arabic"/>
            <w:b/>
            <w:bCs/>
            <w:noProof/>
            <w:sz w:val="24"/>
            <w:rtl/>
          </w:rPr>
          <w:t>ملحق ( 24 ): نسبة الرافعة المالية (</w:t>
        </w:r>
        <w:r w:rsidR="008D52EF" w:rsidRPr="008D52EF">
          <w:rPr>
            <w:rStyle w:val="Hyperlink"/>
            <w:rFonts w:ascii="Simplified Arabic" w:hAnsi="Simplified Arabic" w:cs="Simplified Arabic"/>
            <w:b/>
            <w:bCs/>
            <w:noProof/>
            <w:sz w:val="24"/>
          </w:rPr>
          <w:t>Leverage Ratio</w:t>
        </w:r>
        <w:r w:rsidR="008D52EF" w:rsidRPr="008D52EF">
          <w:rPr>
            <w:rStyle w:val="Hyperlink"/>
            <w:rFonts w:ascii="Simplified Arabic" w:hAnsi="Simplified Arabic" w:cs="Simplified Arabic"/>
            <w:b/>
            <w:bCs/>
            <w:noProof/>
            <w:sz w:val="24"/>
            <w:rtl/>
          </w:rPr>
          <w:t>)</w:t>
        </w:r>
        <w:r w:rsidR="008D52EF" w:rsidRPr="008D52EF">
          <w:rPr>
            <w:rFonts w:ascii="Simplified Arabic" w:hAnsi="Simplified Arabic" w:cs="Simplified Arabic"/>
            <w:b/>
            <w:bCs/>
            <w:noProof/>
            <w:webHidden/>
            <w:sz w:val="24"/>
            <w:rtl/>
          </w:rPr>
          <w:tab/>
        </w:r>
        <w:r w:rsidR="008D52EF" w:rsidRPr="008D52EF">
          <w:rPr>
            <w:rStyle w:val="Hyperlink"/>
            <w:rFonts w:ascii="Simplified Arabic" w:hAnsi="Simplified Arabic" w:cs="Simplified Arabic"/>
            <w:b/>
            <w:bCs/>
            <w:noProof/>
            <w:sz w:val="24"/>
            <w:rtl/>
          </w:rPr>
          <w:fldChar w:fldCharType="begin"/>
        </w:r>
        <w:r w:rsidR="008D52EF" w:rsidRPr="008D52EF">
          <w:rPr>
            <w:rFonts w:ascii="Simplified Arabic" w:hAnsi="Simplified Arabic" w:cs="Simplified Arabic"/>
            <w:b/>
            <w:bCs/>
            <w:noProof/>
            <w:webHidden/>
            <w:sz w:val="24"/>
            <w:rtl/>
          </w:rPr>
          <w:instrText xml:space="preserve"> </w:instrText>
        </w:r>
        <w:r w:rsidR="008D52EF" w:rsidRPr="008D52EF">
          <w:rPr>
            <w:rFonts w:ascii="Simplified Arabic" w:hAnsi="Simplified Arabic" w:cs="Simplified Arabic"/>
            <w:b/>
            <w:bCs/>
            <w:noProof/>
            <w:webHidden/>
            <w:sz w:val="24"/>
          </w:rPr>
          <w:instrText>PAGEREF</w:instrText>
        </w:r>
        <w:r w:rsidR="008D52EF" w:rsidRPr="008D52EF">
          <w:rPr>
            <w:rFonts w:ascii="Simplified Arabic" w:hAnsi="Simplified Arabic" w:cs="Simplified Arabic"/>
            <w:b/>
            <w:bCs/>
            <w:noProof/>
            <w:webHidden/>
            <w:sz w:val="24"/>
            <w:rtl/>
          </w:rPr>
          <w:instrText xml:space="preserve"> _</w:instrText>
        </w:r>
        <w:r w:rsidR="008D52EF" w:rsidRPr="008D52EF">
          <w:rPr>
            <w:rFonts w:ascii="Simplified Arabic" w:hAnsi="Simplified Arabic" w:cs="Simplified Arabic"/>
            <w:b/>
            <w:bCs/>
            <w:noProof/>
            <w:webHidden/>
            <w:sz w:val="24"/>
          </w:rPr>
          <w:instrText>Toc465255850 \h</w:instrText>
        </w:r>
        <w:r w:rsidR="008D52EF" w:rsidRPr="008D52EF">
          <w:rPr>
            <w:rFonts w:ascii="Simplified Arabic" w:hAnsi="Simplified Arabic" w:cs="Simplified Arabic"/>
            <w:b/>
            <w:bCs/>
            <w:noProof/>
            <w:webHidden/>
            <w:sz w:val="24"/>
            <w:rtl/>
          </w:rPr>
          <w:instrText xml:space="preserve"> </w:instrText>
        </w:r>
        <w:r w:rsidR="008D52EF" w:rsidRPr="008D52EF">
          <w:rPr>
            <w:rStyle w:val="Hyperlink"/>
            <w:rFonts w:ascii="Simplified Arabic" w:hAnsi="Simplified Arabic" w:cs="Simplified Arabic"/>
            <w:b/>
            <w:bCs/>
            <w:noProof/>
            <w:sz w:val="24"/>
            <w:rtl/>
          </w:rPr>
        </w:r>
        <w:r w:rsidR="008D52EF" w:rsidRPr="008D52EF">
          <w:rPr>
            <w:rStyle w:val="Hyperlink"/>
            <w:rFonts w:ascii="Simplified Arabic" w:hAnsi="Simplified Arabic" w:cs="Simplified Arabic"/>
            <w:b/>
            <w:bCs/>
            <w:noProof/>
            <w:sz w:val="24"/>
            <w:rtl/>
          </w:rPr>
          <w:fldChar w:fldCharType="separate"/>
        </w:r>
        <w:r w:rsidR="00BC120A">
          <w:rPr>
            <w:rFonts w:ascii="Simplified Arabic" w:hAnsi="Simplified Arabic" w:cs="Simplified Arabic"/>
            <w:b/>
            <w:bCs/>
            <w:noProof/>
            <w:webHidden/>
            <w:sz w:val="24"/>
            <w:rtl/>
          </w:rPr>
          <w:t>115</w:t>
        </w:r>
        <w:r w:rsidR="008D52EF" w:rsidRPr="008D52EF">
          <w:rPr>
            <w:rStyle w:val="Hyperlink"/>
            <w:rFonts w:ascii="Simplified Arabic" w:hAnsi="Simplified Arabic" w:cs="Simplified Arabic"/>
            <w:b/>
            <w:bCs/>
            <w:noProof/>
            <w:sz w:val="24"/>
            <w:rtl/>
          </w:rPr>
          <w:fldChar w:fldCharType="end"/>
        </w:r>
      </w:hyperlink>
    </w:p>
    <w:p w:rsidR="00B2749A" w:rsidRDefault="00187D48" w:rsidP="00B610F2">
      <w:pPr>
        <w:pStyle w:val="Heading1"/>
        <w:jc w:val="center"/>
        <w:rPr>
          <w:b/>
          <w:bCs/>
          <w:rtl/>
        </w:rPr>
      </w:pPr>
      <w:r w:rsidRPr="008D52EF">
        <w:rPr>
          <w:b/>
          <w:bCs/>
          <w:sz w:val="24"/>
          <w:szCs w:val="24"/>
          <w:rtl/>
        </w:rPr>
        <w:fldChar w:fldCharType="end"/>
      </w:r>
    </w:p>
    <w:p w:rsidR="00B2749A" w:rsidRDefault="00B2749A" w:rsidP="00B610F2">
      <w:pPr>
        <w:pStyle w:val="Heading1"/>
        <w:jc w:val="center"/>
        <w:rPr>
          <w:b/>
          <w:bCs/>
          <w:rtl/>
        </w:rPr>
      </w:pPr>
    </w:p>
    <w:p w:rsidR="00B2749A" w:rsidRDefault="00B2749A" w:rsidP="00B610F2">
      <w:pPr>
        <w:pStyle w:val="Heading1"/>
        <w:jc w:val="center"/>
        <w:rPr>
          <w:b/>
          <w:bCs/>
          <w:rtl/>
        </w:rPr>
      </w:pPr>
    </w:p>
    <w:p w:rsidR="00B610F2" w:rsidRDefault="00B610F2" w:rsidP="00B610F2">
      <w:pPr>
        <w:rPr>
          <w:rtl/>
        </w:rPr>
      </w:pPr>
    </w:p>
    <w:p w:rsidR="00B2749A" w:rsidRDefault="00B2749A" w:rsidP="00B610F2">
      <w:pPr>
        <w:pStyle w:val="Heading1"/>
        <w:rPr>
          <w:b/>
          <w:bCs/>
          <w:rtl/>
        </w:rPr>
      </w:pPr>
    </w:p>
    <w:p w:rsidR="00DE0E6B" w:rsidRPr="00DE0E6B" w:rsidRDefault="00DE0E6B" w:rsidP="00DE0E6B">
      <w:pPr>
        <w:rPr>
          <w:rtl/>
        </w:rPr>
      </w:pPr>
    </w:p>
    <w:p w:rsidR="00EC2C7C" w:rsidRPr="0070397F" w:rsidRDefault="00B825D9" w:rsidP="000A13C3">
      <w:pPr>
        <w:pStyle w:val="Heading1"/>
        <w:pBdr>
          <w:bottom w:val="single" w:sz="4" w:space="1" w:color="auto"/>
        </w:pBdr>
        <w:jc w:val="center"/>
        <w:rPr>
          <w:b/>
          <w:bCs/>
          <w:rtl/>
        </w:rPr>
      </w:pPr>
      <w:bookmarkStart w:id="2" w:name="_Toc451260321"/>
      <w:r w:rsidRPr="0070397F">
        <w:rPr>
          <w:rFonts w:hint="cs"/>
          <w:b/>
          <w:bCs/>
          <w:rtl/>
        </w:rPr>
        <w:lastRenderedPageBreak/>
        <w:t>الفصل الأول</w:t>
      </w:r>
      <w:bookmarkEnd w:id="0"/>
      <w:bookmarkEnd w:id="1"/>
      <w:r w:rsidR="00B14F32" w:rsidRPr="0070397F">
        <w:rPr>
          <w:b/>
          <w:bCs/>
        </w:rPr>
        <w:t>:</w:t>
      </w:r>
      <w:bookmarkStart w:id="3" w:name="_Toc451176007"/>
      <w:bookmarkStart w:id="4" w:name="_Toc451179989"/>
      <w:r w:rsidR="00B14F32" w:rsidRPr="0070397F">
        <w:rPr>
          <w:rFonts w:hint="cs"/>
          <w:b/>
          <w:bCs/>
          <w:rtl/>
        </w:rPr>
        <w:t xml:space="preserve"> نطاق التطبيق</w:t>
      </w:r>
      <w:bookmarkEnd w:id="2"/>
      <w:bookmarkEnd w:id="3"/>
      <w:bookmarkEnd w:id="4"/>
    </w:p>
    <w:p w:rsidR="009B17B3" w:rsidRPr="0070397F" w:rsidRDefault="009B17B3" w:rsidP="00543384">
      <w:pPr>
        <w:pStyle w:val="Heading1"/>
        <w:ind w:left="485" w:hanging="450"/>
        <w:rPr>
          <w:b/>
          <w:bCs/>
          <w:sz w:val="26"/>
          <w:szCs w:val="26"/>
          <w:rtl/>
        </w:rPr>
      </w:pPr>
      <w:bookmarkStart w:id="5" w:name="_Toc451176008"/>
    </w:p>
    <w:p w:rsidR="00B14F32" w:rsidRPr="00543384" w:rsidRDefault="000874FC" w:rsidP="00957576">
      <w:pPr>
        <w:ind w:left="485" w:hanging="450"/>
        <w:rPr>
          <w:rtl/>
        </w:rPr>
      </w:pPr>
      <w:r w:rsidRPr="00543384">
        <w:rPr>
          <w:rtl/>
        </w:rPr>
        <w:t>أولاً:</w:t>
      </w:r>
      <w:r w:rsidR="00B14F32" w:rsidRPr="00543384">
        <w:rPr>
          <w:rtl/>
        </w:rPr>
        <w:t xml:space="preserve"> </w:t>
      </w:r>
      <w:r w:rsidR="00F333AC" w:rsidRPr="00543384">
        <w:rPr>
          <w:rtl/>
        </w:rPr>
        <w:t xml:space="preserve">تطبق هذه التعليمات على جميع البنوك العاملة في المملكة على أساس موحد، </w:t>
      </w:r>
      <w:r w:rsidR="002F2C40" w:rsidRPr="00543384">
        <w:rPr>
          <w:rtl/>
        </w:rPr>
        <w:t xml:space="preserve">وكذلك على المستويات المبينة ادناه، </w:t>
      </w:r>
      <w:r w:rsidR="00F333AC" w:rsidRPr="00543384">
        <w:rPr>
          <w:rtl/>
        </w:rPr>
        <w:t>وبحيث يتم تزويد البنك المركزي</w:t>
      </w:r>
      <w:r w:rsidR="00016A24" w:rsidRPr="00543384">
        <w:rPr>
          <w:rtl/>
        </w:rPr>
        <w:t xml:space="preserve"> </w:t>
      </w:r>
      <w:r w:rsidR="00F333AC" w:rsidRPr="00543384">
        <w:rPr>
          <w:rtl/>
        </w:rPr>
        <w:t xml:space="preserve">بنماذج كفاية رأس المال </w:t>
      </w:r>
      <w:r w:rsidR="002F2C40" w:rsidRPr="00543384">
        <w:rPr>
          <w:rtl/>
        </w:rPr>
        <w:t>لهذه ا</w:t>
      </w:r>
      <w:r w:rsidR="00F333AC" w:rsidRPr="00543384">
        <w:rPr>
          <w:rtl/>
        </w:rPr>
        <w:t xml:space="preserve">لمستويات </w:t>
      </w:r>
      <w:r w:rsidR="002F2C40" w:rsidRPr="00543384">
        <w:rPr>
          <w:rtl/>
        </w:rPr>
        <w:t>كما يلي</w:t>
      </w:r>
      <w:r w:rsidR="00F333AC" w:rsidRPr="00543384">
        <w:rPr>
          <w:rtl/>
        </w:rPr>
        <w:t>:</w:t>
      </w:r>
      <w:bookmarkEnd w:id="5"/>
    </w:p>
    <w:p w:rsidR="00543384" w:rsidRPr="00543384" w:rsidRDefault="00F333AC" w:rsidP="00BA262B">
      <w:pPr>
        <w:pStyle w:val="ListParagraph"/>
        <w:numPr>
          <w:ilvl w:val="0"/>
          <w:numId w:val="23"/>
        </w:numPr>
        <w:ind w:left="845"/>
      </w:pPr>
      <w:r w:rsidRPr="00543384">
        <w:rPr>
          <w:rtl/>
        </w:rPr>
        <w:t>المجموعة البنكية</w:t>
      </w:r>
      <w:r w:rsidR="00C7582A" w:rsidRPr="00543384">
        <w:rPr>
          <w:vertAlign w:val="superscript"/>
          <w:rtl/>
        </w:rPr>
        <w:footnoteReference w:id="1"/>
      </w:r>
      <w:r w:rsidRPr="00543384">
        <w:rPr>
          <w:rtl/>
        </w:rPr>
        <w:t xml:space="preserve"> بما فيها الشركات المالية التابعة والشركات القابضة  (باستثناء شركات التأمين).</w:t>
      </w:r>
    </w:p>
    <w:p w:rsidR="00543384" w:rsidRPr="00543384" w:rsidRDefault="00F333AC" w:rsidP="00BA262B">
      <w:pPr>
        <w:pStyle w:val="ListParagraph"/>
        <w:numPr>
          <w:ilvl w:val="0"/>
          <w:numId w:val="23"/>
        </w:numPr>
        <w:ind w:left="845"/>
      </w:pPr>
      <w:r w:rsidRPr="00543384">
        <w:rPr>
          <w:rtl/>
        </w:rPr>
        <w:t>فروع الأردن والخارج.</w:t>
      </w:r>
    </w:p>
    <w:p w:rsidR="00543384" w:rsidRPr="00543384" w:rsidRDefault="00F333AC" w:rsidP="00BA262B">
      <w:pPr>
        <w:pStyle w:val="ListParagraph"/>
        <w:numPr>
          <w:ilvl w:val="0"/>
          <w:numId w:val="23"/>
        </w:numPr>
        <w:ind w:left="845"/>
      </w:pPr>
      <w:r w:rsidRPr="00543384">
        <w:rPr>
          <w:rtl/>
        </w:rPr>
        <w:t>فروع الأردن.</w:t>
      </w:r>
    </w:p>
    <w:p w:rsidR="00543384" w:rsidRPr="00543384" w:rsidRDefault="002978CB" w:rsidP="00BA262B">
      <w:pPr>
        <w:pStyle w:val="ListParagraph"/>
        <w:numPr>
          <w:ilvl w:val="0"/>
          <w:numId w:val="23"/>
        </w:numPr>
        <w:ind w:left="845"/>
      </w:pPr>
      <w:r w:rsidRPr="00543384">
        <w:rPr>
          <w:rtl/>
        </w:rPr>
        <w:t>الفروع الخارجية كل على حده.</w:t>
      </w:r>
    </w:p>
    <w:p w:rsidR="00DA6DAA" w:rsidRPr="00543384" w:rsidRDefault="00F333AC" w:rsidP="00BA262B">
      <w:pPr>
        <w:pStyle w:val="ListParagraph"/>
        <w:numPr>
          <w:ilvl w:val="0"/>
          <w:numId w:val="23"/>
        </w:numPr>
        <w:ind w:left="845"/>
        <w:rPr>
          <w:rtl/>
        </w:rPr>
      </w:pPr>
      <w:r w:rsidRPr="00543384">
        <w:rPr>
          <w:rtl/>
        </w:rPr>
        <w:t>الشركات التابعة البنكية كلٍ على حده.</w:t>
      </w:r>
    </w:p>
    <w:p w:rsidR="00F333AC" w:rsidRPr="00D500AF" w:rsidRDefault="000874FC" w:rsidP="00B2749A">
      <w:pPr>
        <w:ind w:left="485" w:hanging="450"/>
        <w:rPr>
          <w:sz w:val="28"/>
          <w:szCs w:val="28"/>
          <w:rtl/>
        </w:rPr>
      </w:pPr>
      <w:bookmarkStart w:id="6" w:name="_Toc451176009"/>
      <w:bookmarkStart w:id="7" w:name="_Toc451179990"/>
      <w:r w:rsidRPr="00D500AF">
        <w:rPr>
          <w:sz w:val="28"/>
          <w:szCs w:val="28"/>
          <w:rtl/>
        </w:rPr>
        <w:t>ثانياً:</w:t>
      </w:r>
      <w:r w:rsidR="00BB63EF" w:rsidRPr="00D500AF">
        <w:rPr>
          <w:sz w:val="28"/>
          <w:szCs w:val="28"/>
          <w:rtl/>
        </w:rPr>
        <w:tab/>
      </w:r>
      <w:r w:rsidR="00F333AC" w:rsidRPr="00D500AF">
        <w:rPr>
          <w:sz w:val="28"/>
          <w:szCs w:val="28"/>
          <w:rtl/>
        </w:rPr>
        <w:t>آلية التوحيد لغايات تطبيق معيار كفاية رأس المال</w:t>
      </w:r>
      <w:bookmarkEnd w:id="6"/>
      <w:bookmarkEnd w:id="7"/>
    </w:p>
    <w:p w:rsidR="00F333AC" w:rsidRPr="00543384" w:rsidRDefault="000874FC" w:rsidP="00277449">
      <w:pPr>
        <w:ind w:left="708" w:hanging="425"/>
        <w:rPr>
          <w:rtl/>
        </w:rPr>
      </w:pPr>
      <w:r w:rsidRPr="00543384">
        <w:rPr>
          <w:rtl/>
        </w:rPr>
        <w:t>1.</w:t>
      </w:r>
      <w:r w:rsidR="00277449">
        <w:rPr>
          <w:rFonts w:hint="cs"/>
          <w:rtl/>
        </w:rPr>
        <w:tab/>
      </w:r>
      <w:r w:rsidR="00F333AC" w:rsidRPr="00543384">
        <w:rPr>
          <w:rtl/>
        </w:rPr>
        <w:t>البنوك والشركات المالية الأخ</w:t>
      </w:r>
      <w:r w:rsidR="00B14F32" w:rsidRPr="00543384">
        <w:rPr>
          <w:rtl/>
        </w:rPr>
        <w:t>رى الموحدة ضمن المجموعة البنكية</w:t>
      </w:r>
      <w:r w:rsidR="00543384" w:rsidRPr="00543384">
        <w:rPr>
          <w:rtl/>
        </w:rPr>
        <w:t>:</w:t>
      </w:r>
    </w:p>
    <w:p w:rsidR="00F333AC" w:rsidRPr="00543384" w:rsidRDefault="000874FC" w:rsidP="00452024">
      <w:pPr>
        <w:ind w:left="1275" w:hanging="567"/>
        <w:rPr>
          <w:rFonts w:eastAsiaTheme="majorEastAsia"/>
          <w:b w:val="0"/>
          <w:bCs w:val="0"/>
        </w:rPr>
      </w:pPr>
      <w:r w:rsidRPr="00543384">
        <w:rPr>
          <w:rFonts w:eastAsiaTheme="majorEastAsia"/>
          <w:b w:val="0"/>
          <w:bCs w:val="0"/>
          <w:rtl/>
        </w:rPr>
        <w:t>1.1</w:t>
      </w:r>
      <w:r w:rsidR="00B14F32" w:rsidRPr="00543384">
        <w:rPr>
          <w:rFonts w:eastAsiaTheme="majorEastAsia"/>
          <w:b w:val="0"/>
          <w:bCs w:val="0"/>
          <w:rtl/>
        </w:rPr>
        <w:t>.</w:t>
      </w:r>
      <w:r w:rsidR="00F333AC" w:rsidRPr="00543384">
        <w:rPr>
          <w:rFonts w:eastAsiaTheme="majorEastAsia"/>
          <w:b w:val="0"/>
          <w:bCs w:val="0"/>
          <w:rtl/>
        </w:rPr>
        <w:tab/>
        <w:t>لا يجوز توحيد بيانات الشركات المالية في حال استملاكها سدادا لدين أو الاحتفاظ بها لفترة مؤقتة بغرض البيع، أو خضوعها لتشريعات خاصة لا تسمح بالتوحيد.</w:t>
      </w:r>
    </w:p>
    <w:p w:rsidR="00B14F32" w:rsidRPr="00543384" w:rsidRDefault="000874FC" w:rsidP="00452024">
      <w:pPr>
        <w:spacing w:line="276" w:lineRule="auto"/>
        <w:ind w:left="1275" w:hanging="567"/>
        <w:rPr>
          <w:b w:val="0"/>
          <w:bCs w:val="0"/>
          <w:sz w:val="27"/>
          <w:szCs w:val="27"/>
          <w:rtl/>
          <w:lang w:bidi="ar-JO"/>
        </w:rPr>
      </w:pPr>
      <w:r w:rsidRPr="00543384">
        <w:rPr>
          <w:rFonts w:eastAsiaTheme="majorEastAsia"/>
          <w:b w:val="0"/>
          <w:bCs w:val="0"/>
          <w:rtl/>
        </w:rPr>
        <w:t>2.1</w:t>
      </w:r>
      <w:r w:rsidR="00B14F32" w:rsidRPr="00543384">
        <w:rPr>
          <w:rFonts w:eastAsiaTheme="majorEastAsia"/>
          <w:b w:val="0"/>
          <w:bCs w:val="0"/>
          <w:rtl/>
        </w:rPr>
        <w:t>.</w:t>
      </w:r>
      <w:r w:rsidR="00A53873" w:rsidRPr="00543384">
        <w:rPr>
          <w:rFonts w:eastAsiaTheme="majorEastAsia"/>
          <w:b w:val="0"/>
          <w:bCs w:val="0"/>
          <w:rtl/>
        </w:rPr>
        <w:tab/>
      </w:r>
      <w:r w:rsidR="00F333AC" w:rsidRPr="00543384">
        <w:rPr>
          <w:rFonts w:eastAsiaTheme="majorEastAsia"/>
          <w:b w:val="0"/>
          <w:bCs w:val="0"/>
          <w:rtl/>
        </w:rPr>
        <w:t>في حال عدم التوحيد لأغراض احتساب كفاية رأس المال وكانت البيانات المالية للشركة موحدة لأغراض محاسبية، فإنه يجب طرح قيمة استثمار البنك في الشركة غير الموحدة من رأس المال التنظيمي للمجموعة البنكية وفي نفس الوقت ولغايات احتساب كفاية رأس المال فإنه يتم طرح موجودات ومطلوبات وحقوق الأقلية (المتعلقة بالشركة غير الموحدة)</w:t>
      </w:r>
      <w:r w:rsidR="00957576">
        <w:rPr>
          <w:rFonts w:eastAsiaTheme="majorEastAsia" w:hint="cs"/>
          <w:b w:val="0"/>
          <w:bCs w:val="0"/>
          <w:rtl/>
        </w:rPr>
        <w:t xml:space="preserve"> من البيانات المالية للمجموعة البنكية</w:t>
      </w:r>
      <w:r w:rsidR="00F333AC" w:rsidRPr="00543384">
        <w:rPr>
          <w:rFonts w:eastAsiaTheme="majorEastAsia"/>
          <w:b w:val="0"/>
          <w:bCs w:val="0"/>
          <w:rtl/>
        </w:rPr>
        <w:t>.</w:t>
      </w:r>
      <w:r w:rsidR="00F333AC" w:rsidRPr="00543384">
        <w:rPr>
          <w:b w:val="0"/>
          <w:bCs w:val="0"/>
          <w:sz w:val="27"/>
          <w:szCs w:val="27"/>
          <w:rtl/>
          <w:lang w:bidi="ar-JO"/>
        </w:rPr>
        <w:t xml:space="preserve"> </w:t>
      </w:r>
    </w:p>
    <w:p w:rsidR="00B6419C" w:rsidRPr="00543384" w:rsidRDefault="000874FC" w:rsidP="00277449">
      <w:pPr>
        <w:spacing w:line="276" w:lineRule="auto"/>
        <w:ind w:left="708" w:hanging="425"/>
        <w:rPr>
          <w:rFonts w:eastAsiaTheme="majorEastAsia"/>
          <w:rtl/>
        </w:rPr>
      </w:pPr>
      <w:r w:rsidRPr="00543384">
        <w:rPr>
          <w:rFonts w:eastAsiaTheme="majorEastAsia" w:hint="cs"/>
          <w:rtl/>
        </w:rPr>
        <w:t>2.</w:t>
      </w:r>
      <w:r w:rsidR="00277449">
        <w:rPr>
          <w:rFonts w:eastAsiaTheme="majorEastAsia" w:hint="cs"/>
          <w:rtl/>
        </w:rPr>
        <w:tab/>
      </w:r>
      <w:r w:rsidR="00FC1046" w:rsidRPr="00543384">
        <w:rPr>
          <w:rFonts w:eastAsiaTheme="majorEastAsia" w:hint="cs"/>
          <w:rtl/>
        </w:rPr>
        <w:t>الاستثمارات في البنوك</w:t>
      </w:r>
      <w:r w:rsidR="00FA7888" w:rsidRPr="00543384">
        <w:rPr>
          <w:rFonts w:eastAsiaTheme="majorEastAsia" w:hint="cs"/>
          <w:rtl/>
        </w:rPr>
        <w:t xml:space="preserve"> وشركات </w:t>
      </w:r>
      <w:r w:rsidR="00B6419C" w:rsidRPr="00543384">
        <w:rPr>
          <w:rFonts w:eastAsiaTheme="majorEastAsia" w:hint="cs"/>
          <w:rtl/>
        </w:rPr>
        <w:t xml:space="preserve">الأوراق المالية </w:t>
      </w:r>
      <w:r w:rsidR="00FA7888" w:rsidRPr="00543384">
        <w:rPr>
          <w:rFonts w:eastAsiaTheme="majorEastAsia" w:hint="cs"/>
          <w:rtl/>
        </w:rPr>
        <w:t xml:space="preserve">والشركات </w:t>
      </w:r>
      <w:r w:rsidR="00B6419C" w:rsidRPr="00543384">
        <w:rPr>
          <w:rFonts w:eastAsiaTheme="majorEastAsia" w:hint="cs"/>
          <w:rtl/>
        </w:rPr>
        <w:t>المالية الأخرى:</w:t>
      </w:r>
    </w:p>
    <w:p w:rsidR="00B6419C" w:rsidRPr="00543384" w:rsidRDefault="000874FC" w:rsidP="00957576">
      <w:pPr>
        <w:ind w:left="1275" w:hanging="567"/>
        <w:rPr>
          <w:rFonts w:asciiTheme="majorHAnsi" w:eastAsiaTheme="majorEastAsia" w:hAnsiTheme="majorHAnsi" w:cstheme="majorBidi"/>
          <w:b w:val="0"/>
          <w:bCs w:val="0"/>
          <w:rtl/>
        </w:rPr>
      </w:pPr>
      <w:r w:rsidRPr="00543384">
        <w:rPr>
          <w:rFonts w:eastAsiaTheme="majorEastAsia" w:hint="cs"/>
          <w:b w:val="0"/>
          <w:bCs w:val="0"/>
          <w:rtl/>
        </w:rPr>
        <w:t>1.2</w:t>
      </w:r>
      <w:r w:rsidR="00B14F32" w:rsidRPr="00543384">
        <w:rPr>
          <w:rFonts w:eastAsiaTheme="majorEastAsia" w:hint="cs"/>
          <w:b w:val="0"/>
          <w:bCs w:val="0"/>
          <w:rtl/>
        </w:rPr>
        <w:t>.</w:t>
      </w:r>
      <w:r w:rsidR="00B6419C" w:rsidRPr="00543384">
        <w:rPr>
          <w:rFonts w:eastAsiaTheme="majorEastAsia" w:hint="cs"/>
          <w:b w:val="0"/>
          <w:bCs w:val="0"/>
          <w:rtl/>
        </w:rPr>
        <w:tab/>
        <w:t xml:space="preserve">إن </w:t>
      </w:r>
      <w:r w:rsidR="00FA7888" w:rsidRPr="00543384">
        <w:rPr>
          <w:rFonts w:eastAsiaTheme="majorEastAsia" w:hint="cs"/>
          <w:b w:val="0"/>
          <w:bCs w:val="0"/>
          <w:rtl/>
        </w:rPr>
        <w:t xml:space="preserve">البنوك وشركات </w:t>
      </w:r>
      <w:r w:rsidR="00B6419C" w:rsidRPr="00543384">
        <w:rPr>
          <w:rFonts w:eastAsiaTheme="majorEastAsia" w:hint="cs"/>
          <w:b w:val="0"/>
          <w:bCs w:val="0"/>
          <w:rtl/>
        </w:rPr>
        <w:t xml:space="preserve">الأوراق المالية </w:t>
      </w:r>
      <w:r w:rsidR="00FA7888" w:rsidRPr="00543384">
        <w:rPr>
          <w:rFonts w:eastAsiaTheme="majorEastAsia" w:hint="cs"/>
          <w:b w:val="0"/>
          <w:bCs w:val="0"/>
          <w:rtl/>
        </w:rPr>
        <w:t xml:space="preserve">والشركات </w:t>
      </w:r>
      <w:r w:rsidR="00B6419C" w:rsidRPr="00543384">
        <w:rPr>
          <w:rFonts w:eastAsiaTheme="majorEastAsia" w:hint="cs"/>
          <w:b w:val="0"/>
          <w:bCs w:val="0"/>
          <w:rtl/>
        </w:rPr>
        <w:t>المالية الأخرى المملوكة أو المسيطر عليها من قبل البنك يجب تجميع حساب</w:t>
      </w:r>
      <w:r w:rsidRPr="00543384">
        <w:rPr>
          <w:rFonts w:eastAsiaTheme="majorEastAsia" w:hint="cs"/>
          <w:b w:val="0"/>
          <w:bCs w:val="0"/>
          <w:rtl/>
        </w:rPr>
        <w:t>اتها بالكامل إلى أقصى حد ممكن،</w:t>
      </w:r>
      <w:r w:rsidR="00B6419C" w:rsidRPr="00543384">
        <w:rPr>
          <w:rFonts w:eastAsiaTheme="majorEastAsia" w:hint="cs"/>
          <w:b w:val="0"/>
          <w:bCs w:val="0"/>
          <w:rtl/>
        </w:rPr>
        <w:t xml:space="preserve"> و</w:t>
      </w:r>
      <w:r w:rsidR="00016A24" w:rsidRPr="00543384">
        <w:rPr>
          <w:rFonts w:eastAsiaTheme="majorEastAsia" w:hint="cs"/>
          <w:b w:val="0"/>
          <w:bCs w:val="0"/>
          <w:rtl/>
        </w:rPr>
        <w:t>في جميع الحالات، فإنه يجب تجميع</w:t>
      </w:r>
      <w:r w:rsidR="00B6419C" w:rsidRPr="00543384">
        <w:rPr>
          <w:rFonts w:eastAsiaTheme="majorEastAsia" w:hint="cs"/>
          <w:b w:val="0"/>
          <w:bCs w:val="0"/>
          <w:rtl/>
        </w:rPr>
        <w:t xml:space="preserve"> حسابات </w:t>
      </w:r>
      <w:r w:rsidR="00C7582A" w:rsidRPr="00543384">
        <w:rPr>
          <w:rFonts w:eastAsiaTheme="majorEastAsia" w:hint="cs"/>
          <w:b w:val="0"/>
          <w:bCs w:val="0"/>
          <w:rtl/>
        </w:rPr>
        <w:t xml:space="preserve"> البنوك</w:t>
      </w:r>
      <w:r w:rsidR="00FA7888" w:rsidRPr="00543384">
        <w:rPr>
          <w:rFonts w:eastAsiaTheme="majorEastAsia" w:hint="cs"/>
          <w:b w:val="0"/>
          <w:bCs w:val="0"/>
          <w:rtl/>
        </w:rPr>
        <w:t xml:space="preserve"> وشركات </w:t>
      </w:r>
      <w:r w:rsidR="00B6419C" w:rsidRPr="00543384">
        <w:rPr>
          <w:rFonts w:eastAsiaTheme="majorEastAsia" w:hint="cs"/>
          <w:b w:val="0"/>
          <w:bCs w:val="0"/>
          <w:rtl/>
        </w:rPr>
        <w:t xml:space="preserve">الأوراق المالية </w:t>
      </w:r>
      <w:r w:rsidR="00FA7888" w:rsidRPr="00543384">
        <w:rPr>
          <w:rFonts w:eastAsiaTheme="majorEastAsia" w:hint="cs"/>
          <w:b w:val="0"/>
          <w:bCs w:val="0"/>
          <w:rtl/>
        </w:rPr>
        <w:t xml:space="preserve">والشركات </w:t>
      </w:r>
      <w:r w:rsidR="00B14F32" w:rsidRPr="00543384">
        <w:rPr>
          <w:rFonts w:eastAsiaTheme="majorEastAsia" w:hint="cs"/>
          <w:b w:val="0"/>
          <w:bCs w:val="0"/>
          <w:rtl/>
        </w:rPr>
        <w:t xml:space="preserve">المالية الأخرى المملوكة بنسبة </w:t>
      </w:r>
      <w:r w:rsidR="00B6419C" w:rsidRPr="00543384">
        <w:rPr>
          <w:rFonts w:eastAsiaTheme="majorEastAsia" w:hint="cs"/>
          <w:b w:val="0"/>
          <w:bCs w:val="0"/>
          <w:rtl/>
        </w:rPr>
        <w:t xml:space="preserve">تزيد عن 50% من رأسمالها، إلا في الحالات التي لا يمكن فيها تحقيق هذا الأمر لعدم جدواه كما هو الحال في الحالات التي تكون فيها الحصة مؤقتة في طبيعتها </w:t>
      </w:r>
      <w:r w:rsidR="005E6761">
        <w:rPr>
          <w:rFonts w:eastAsiaTheme="majorEastAsia" w:hint="cs"/>
          <w:b w:val="0"/>
          <w:bCs w:val="0"/>
          <w:rtl/>
        </w:rPr>
        <w:t>أ</w:t>
      </w:r>
      <w:r w:rsidR="00B6419C" w:rsidRPr="00543384">
        <w:rPr>
          <w:rFonts w:eastAsiaTheme="majorEastAsia" w:hint="cs"/>
          <w:b w:val="0"/>
          <w:bCs w:val="0"/>
          <w:rtl/>
        </w:rPr>
        <w:t>و</w:t>
      </w:r>
      <w:r w:rsidR="005E6761">
        <w:rPr>
          <w:rFonts w:eastAsiaTheme="majorEastAsia" w:hint="cs"/>
          <w:b w:val="0"/>
          <w:bCs w:val="0"/>
          <w:rtl/>
        </w:rPr>
        <w:t xml:space="preserve"> </w:t>
      </w:r>
      <w:r w:rsidR="00B6419C" w:rsidRPr="00543384">
        <w:rPr>
          <w:rFonts w:eastAsiaTheme="majorEastAsia" w:hint="cs"/>
          <w:b w:val="0"/>
          <w:bCs w:val="0"/>
          <w:rtl/>
        </w:rPr>
        <w:t>يكون فيها عدم التجميع متطلباً ق</w:t>
      </w:r>
      <w:r w:rsidR="000A13C3">
        <w:rPr>
          <w:rFonts w:eastAsiaTheme="majorEastAsia" w:hint="cs"/>
          <w:b w:val="0"/>
          <w:bCs w:val="0"/>
          <w:rtl/>
        </w:rPr>
        <w:t>انونياً للسلطة الرقابية المضيفة</w:t>
      </w:r>
      <w:r w:rsidR="00B6419C" w:rsidRPr="00543384">
        <w:rPr>
          <w:rFonts w:eastAsiaTheme="majorEastAsia" w:hint="cs"/>
          <w:b w:val="0"/>
          <w:bCs w:val="0"/>
          <w:rtl/>
        </w:rPr>
        <w:t>،</w:t>
      </w:r>
      <w:r w:rsidR="00B6419C" w:rsidRPr="00543384">
        <w:rPr>
          <w:rFonts w:hint="cs"/>
          <w:b w:val="0"/>
          <w:bCs w:val="0"/>
          <w:rtl/>
          <w:lang w:bidi="ar-JO"/>
        </w:rPr>
        <w:t xml:space="preserve"> وفي </w:t>
      </w:r>
      <w:r w:rsidR="005E6761">
        <w:rPr>
          <w:rFonts w:hint="cs"/>
          <w:b w:val="0"/>
          <w:bCs w:val="0"/>
          <w:rtl/>
          <w:lang w:bidi="ar-JO"/>
        </w:rPr>
        <w:t xml:space="preserve">حالة عدم التجميع </w:t>
      </w:r>
      <w:r w:rsidR="002174AE">
        <w:rPr>
          <w:rFonts w:hint="cs"/>
          <w:b w:val="0"/>
          <w:bCs w:val="0"/>
          <w:rtl/>
          <w:lang w:bidi="ar-JO"/>
        </w:rPr>
        <w:t xml:space="preserve"> يتم طرح القيمة الدفترية </w:t>
      </w:r>
      <w:r w:rsidR="002174AE">
        <w:rPr>
          <w:rFonts w:hint="cs"/>
          <w:b w:val="0"/>
          <w:bCs w:val="0"/>
          <w:rtl/>
          <w:lang w:bidi="ar-JO"/>
        </w:rPr>
        <w:lastRenderedPageBreak/>
        <w:t>(</w:t>
      </w:r>
      <w:r w:rsidR="002174AE">
        <w:rPr>
          <w:b w:val="0"/>
          <w:bCs w:val="0"/>
          <w:lang w:bidi="ar-JO"/>
        </w:rPr>
        <w:t>Carrying Value</w:t>
      </w:r>
      <w:r w:rsidR="002174AE">
        <w:rPr>
          <w:rFonts w:hint="cs"/>
          <w:b w:val="0"/>
          <w:bCs w:val="0"/>
          <w:rtl/>
        </w:rPr>
        <w:t xml:space="preserve">) </w:t>
      </w:r>
      <w:r w:rsidR="002174AE">
        <w:rPr>
          <w:rFonts w:hint="cs"/>
          <w:b w:val="0"/>
          <w:bCs w:val="0"/>
          <w:rtl/>
          <w:lang w:bidi="ar-JO"/>
        </w:rPr>
        <w:t>ل</w:t>
      </w:r>
      <w:r w:rsidR="00452024">
        <w:rPr>
          <w:rFonts w:hint="cs"/>
          <w:b w:val="0"/>
          <w:bCs w:val="0"/>
          <w:rtl/>
          <w:lang w:bidi="ar-JO"/>
        </w:rPr>
        <w:t xml:space="preserve">مساهمة البنك في </w:t>
      </w:r>
      <w:r w:rsidR="002174AE">
        <w:rPr>
          <w:rFonts w:hint="cs"/>
          <w:b w:val="0"/>
          <w:bCs w:val="0"/>
          <w:rtl/>
          <w:lang w:bidi="ar-JO"/>
        </w:rPr>
        <w:t xml:space="preserve">رأسمال </w:t>
      </w:r>
      <w:r w:rsidR="00452024">
        <w:rPr>
          <w:rFonts w:hint="cs"/>
          <w:b w:val="0"/>
          <w:bCs w:val="0"/>
          <w:rtl/>
          <w:lang w:bidi="ar-JO"/>
        </w:rPr>
        <w:t>هذه الشركات من رأس المال التنظيمي</w:t>
      </w:r>
      <w:r w:rsidR="00BD62F1" w:rsidRPr="00543384">
        <w:rPr>
          <w:rFonts w:hint="cs"/>
          <w:b w:val="0"/>
          <w:bCs w:val="0"/>
          <w:rtl/>
          <w:lang w:bidi="ar-JO"/>
        </w:rPr>
        <w:t xml:space="preserve">، </w:t>
      </w:r>
      <w:r w:rsidR="004759B4" w:rsidRPr="00543384">
        <w:rPr>
          <w:rFonts w:hint="cs"/>
          <w:b w:val="0"/>
          <w:bCs w:val="0"/>
          <w:rtl/>
          <w:lang w:bidi="ar-JO"/>
        </w:rPr>
        <w:t>و</w:t>
      </w:r>
      <w:r w:rsidRPr="00543384">
        <w:rPr>
          <w:rFonts w:hint="cs"/>
          <w:b w:val="0"/>
          <w:bCs w:val="0"/>
          <w:rtl/>
          <w:lang w:bidi="ar-JO"/>
        </w:rPr>
        <w:t xml:space="preserve">كما هو مبين في </w:t>
      </w:r>
      <w:r w:rsidR="00016A24" w:rsidRPr="00543384">
        <w:rPr>
          <w:rFonts w:hint="cs"/>
          <w:b w:val="0"/>
          <w:bCs w:val="0"/>
          <w:rtl/>
          <w:lang w:bidi="ar-JO"/>
        </w:rPr>
        <w:t>الملحق</w:t>
      </w:r>
      <w:r w:rsidRPr="00543384">
        <w:rPr>
          <w:rFonts w:hint="cs"/>
          <w:b w:val="0"/>
          <w:bCs w:val="0"/>
          <w:rtl/>
          <w:lang w:bidi="ar-JO"/>
        </w:rPr>
        <w:t xml:space="preserve"> رقم (1).</w:t>
      </w:r>
    </w:p>
    <w:p w:rsidR="00B6419C" w:rsidRPr="00F43150" w:rsidRDefault="000874FC" w:rsidP="00E61863">
      <w:pPr>
        <w:ind w:left="1275" w:hanging="567"/>
        <w:rPr>
          <w:rFonts w:eastAsiaTheme="majorEastAsia"/>
          <w:b w:val="0"/>
          <w:bCs w:val="0"/>
          <w:rtl/>
        </w:rPr>
      </w:pPr>
      <w:r w:rsidRPr="00F43150">
        <w:rPr>
          <w:rFonts w:eastAsiaTheme="majorEastAsia" w:hint="cs"/>
          <w:b w:val="0"/>
          <w:bCs w:val="0"/>
          <w:rtl/>
        </w:rPr>
        <w:t>2.2</w:t>
      </w:r>
      <w:r w:rsidR="00543384" w:rsidRPr="00F43150">
        <w:rPr>
          <w:rFonts w:eastAsiaTheme="majorEastAsia" w:hint="cs"/>
          <w:b w:val="0"/>
          <w:bCs w:val="0"/>
          <w:rtl/>
        </w:rPr>
        <w:t>.</w:t>
      </w:r>
      <w:r w:rsidR="00C7582A" w:rsidRPr="00F43150">
        <w:rPr>
          <w:rFonts w:eastAsiaTheme="majorEastAsia" w:hint="cs"/>
          <w:b w:val="0"/>
          <w:bCs w:val="0"/>
          <w:rtl/>
        </w:rPr>
        <w:tab/>
        <w:t>عند تجميع حسابات</w:t>
      </w:r>
      <w:r w:rsidR="00FA7888" w:rsidRPr="00F43150">
        <w:rPr>
          <w:rFonts w:eastAsiaTheme="majorEastAsia" w:hint="cs"/>
          <w:b w:val="0"/>
          <w:bCs w:val="0"/>
          <w:rtl/>
        </w:rPr>
        <w:t xml:space="preserve"> البنوك </w:t>
      </w:r>
      <w:r w:rsidR="00B6419C" w:rsidRPr="00F43150">
        <w:rPr>
          <w:rFonts w:eastAsiaTheme="majorEastAsia" w:hint="cs"/>
          <w:b w:val="0"/>
          <w:bCs w:val="0"/>
          <w:rtl/>
        </w:rPr>
        <w:t>وشركات الأوراق المالية</w:t>
      </w:r>
      <w:r w:rsidR="00FA7888" w:rsidRPr="00F43150">
        <w:rPr>
          <w:rFonts w:eastAsiaTheme="majorEastAsia" w:hint="cs"/>
          <w:b w:val="0"/>
          <w:bCs w:val="0"/>
          <w:rtl/>
        </w:rPr>
        <w:t xml:space="preserve"> والشركات </w:t>
      </w:r>
      <w:r w:rsidR="00B6419C" w:rsidRPr="00F43150">
        <w:rPr>
          <w:rFonts w:eastAsiaTheme="majorEastAsia" w:hint="cs"/>
          <w:b w:val="0"/>
          <w:bCs w:val="0"/>
          <w:rtl/>
        </w:rPr>
        <w:t>المالية الأخرى المملوكة بالأغلبية</w:t>
      </w:r>
      <w:r w:rsidRPr="00F43150">
        <w:rPr>
          <w:rFonts w:eastAsiaTheme="majorEastAsia" w:hint="cs"/>
          <w:b w:val="0"/>
          <w:bCs w:val="0"/>
          <w:rtl/>
        </w:rPr>
        <w:t xml:space="preserve"> (50% فأكثر)</w:t>
      </w:r>
      <w:r w:rsidR="00B6419C" w:rsidRPr="00F43150">
        <w:rPr>
          <w:rFonts w:eastAsiaTheme="majorEastAsia" w:hint="cs"/>
          <w:b w:val="0"/>
          <w:bCs w:val="0"/>
          <w:rtl/>
        </w:rPr>
        <w:t xml:space="preserve"> أو المسيطر عليها</w:t>
      </w:r>
      <w:r w:rsidR="00016A24" w:rsidRPr="00F43150">
        <w:rPr>
          <w:rFonts w:eastAsiaTheme="majorEastAsia" w:hint="cs"/>
          <w:b w:val="0"/>
          <w:bCs w:val="0"/>
          <w:rtl/>
        </w:rPr>
        <w:t xml:space="preserve"> (وفق تعريف السيطرة الوارد في المعايير المُحاسبية)</w:t>
      </w:r>
      <w:r w:rsidR="00B6419C" w:rsidRPr="00F43150">
        <w:rPr>
          <w:rFonts w:eastAsiaTheme="majorEastAsia" w:hint="cs"/>
          <w:b w:val="0"/>
          <w:bCs w:val="0"/>
          <w:rtl/>
        </w:rPr>
        <w:t xml:space="preserve"> من البنك مع حساباته المالية، ولغايات احتساب </w:t>
      </w:r>
      <w:r w:rsidR="00AF2A78" w:rsidRPr="00F43150">
        <w:rPr>
          <w:rFonts w:eastAsiaTheme="majorEastAsia" w:hint="cs"/>
          <w:b w:val="0"/>
          <w:bCs w:val="0"/>
          <w:rtl/>
        </w:rPr>
        <w:t>رأس</w:t>
      </w:r>
      <w:r w:rsidR="00B6419C" w:rsidRPr="00F43150">
        <w:rPr>
          <w:rFonts w:eastAsiaTheme="majorEastAsia" w:hint="cs"/>
          <w:b w:val="0"/>
          <w:bCs w:val="0"/>
          <w:rtl/>
        </w:rPr>
        <w:t xml:space="preserve"> المال، فإن الاعتراف برأسمال هذه </w:t>
      </w:r>
      <w:r w:rsidR="00FA7888" w:rsidRPr="00F43150">
        <w:rPr>
          <w:rFonts w:eastAsiaTheme="majorEastAsia" w:hint="cs"/>
          <w:b w:val="0"/>
          <w:bCs w:val="0"/>
          <w:rtl/>
        </w:rPr>
        <w:t xml:space="preserve">الشركات </w:t>
      </w:r>
      <w:r w:rsidR="00B6419C" w:rsidRPr="00F43150">
        <w:rPr>
          <w:rFonts w:eastAsiaTheme="majorEastAsia" w:hint="cs"/>
          <w:b w:val="0"/>
          <w:bCs w:val="0"/>
          <w:rtl/>
        </w:rPr>
        <w:t>في ر</w:t>
      </w:r>
      <w:r w:rsidR="00BD62F1" w:rsidRPr="00F43150">
        <w:rPr>
          <w:rFonts w:eastAsiaTheme="majorEastAsia" w:hint="cs"/>
          <w:b w:val="0"/>
          <w:bCs w:val="0"/>
          <w:rtl/>
        </w:rPr>
        <w:t>أس</w:t>
      </w:r>
      <w:r w:rsidR="00B6419C" w:rsidRPr="00F43150">
        <w:rPr>
          <w:rFonts w:eastAsiaTheme="majorEastAsia" w:hint="cs"/>
          <w:b w:val="0"/>
          <w:bCs w:val="0"/>
          <w:rtl/>
        </w:rPr>
        <w:t xml:space="preserve">مال </w:t>
      </w:r>
      <w:r w:rsidR="004759B4" w:rsidRPr="00F43150">
        <w:rPr>
          <w:rFonts w:eastAsiaTheme="majorEastAsia" w:hint="cs"/>
          <w:b w:val="0"/>
          <w:bCs w:val="0"/>
          <w:rtl/>
        </w:rPr>
        <w:t>البنك الأم يخضع</w:t>
      </w:r>
      <w:r w:rsidR="00B6419C" w:rsidRPr="00F43150">
        <w:rPr>
          <w:rFonts w:eastAsiaTheme="majorEastAsia" w:hint="cs"/>
          <w:b w:val="0"/>
          <w:bCs w:val="0"/>
          <w:rtl/>
        </w:rPr>
        <w:t xml:space="preserve"> للإرشادات</w:t>
      </w:r>
      <w:r w:rsidR="004759B4" w:rsidRPr="00F43150">
        <w:rPr>
          <w:rFonts w:eastAsiaTheme="majorEastAsia" w:hint="cs"/>
          <w:b w:val="0"/>
          <w:bCs w:val="0"/>
          <w:rtl/>
        </w:rPr>
        <w:t xml:space="preserve"> الخاصة بالاعتراف بحقوق الأقلية والواردة في البند (</w:t>
      </w:r>
      <w:r w:rsidR="00205F52" w:rsidRPr="00F43150">
        <w:rPr>
          <w:rFonts w:eastAsiaTheme="majorEastAsia" w:hint="cs"/>
          <w:b w:val="0"/>
          <w:bCs w:val="0"/>
          <w:rtl/>
        </w:rPr>
        <w:t>ثالثاً/4</w:t>
      </w:r>
      <w:r w:rsidR="004759B4" w:rsidRPr="00F43150">
        <w:rPr>
          <w:rFonts w:eastAsiaTheme="majorEastAsia" w:hint="cs"/>
          <w:b w:val="0"/>
          <w:bCs w:val="0"/>
          <w:rtl/>
        </w:rPr>
        <w:t>)</w:t>
      </w:r>
      <w:r w:rsidR="00776491" w:rsidRPr="00F43150">
        <w:rPr>
          <w:rFonts w:eastAsiaTheme="majorEastAsia" w:hint="cs"/>
          <w:b w:val="0"/>
          <w:bCs w:val="0"/>
          <w:rtl/>
        </w:rPr>
        <w:t xml:space="preserve"> من الفصل الثاني</w:t>
      </w:r>
      <w:r w:rsidR="004759B4" w:rsidRPr="00F43150">
        <w:rPr>
          <w:rFonts w:eastAsiaTheme="majorEastAsia" w:hint="cs"/>
          <w:b w:val="0"/>
          <w:bCs w:val="0"/>
          <w:rtl/>
        </w:rPr>
        <w:t xml:space="preserve">. </w:t>
      </w:r>
    </w:p>
    <w:p w:rsidR="00607675" w:rsidRPr="00BF384E" w:rsidRDefault="000874FC" w:rsidP="00DC1722">
      <w:pPr>
        <w:ind w:left="1275" w:hanging="567"/>
        <w:rPr>
          <w:rFonts w:eastAsiaTheme="majorEastAsia"/>
          <w:b w:val="0"/>
          <w:bCs w:val="0"/>
          <w:rtl/>
        </w:rPr>
      </w:pPr>
      <w:r w:rsidRPr="00F43150">
        <w:rPr>
          <w:rFonts w:eastAsiaTheme="majorEastAsia" w:hint="cs"/>
          <w:b w:val="0"/>
          <w:bCs w:val="0"/>
          <w:rtl/>
        </w:rPr>
        <w:t>3.2</w:t>
      </w:r>
      <w:r w:rsidR="00543384" w:rsidRPr="00F43150">
        <w:rPr>
          <w:rFonts w:eastAsiaTheme="majorEastAsia" w:hint="cs"/>
          <w:b w:val="0"/>
          <w:bCs w:val="0"/>
          <w:rtl/>
        </w:rPr>
        <w:t>.</w:t>
      </w:r>
      <w:r w:rsidR="00B6419C" w:rsidRPr="00F43150">
        <w:rPr>
          <w:rFonts w:eastAsiaTheme="majorEastAsia" w:hint="cs"/>
          <w:b w:val="0"/>
          <w:bCs w:val="0"/>
          <w:rtl/>
        </w:rPr>
        <w:tab/>
        <w:t xml:space="preserve">في حالة الشركات التابعة </w:t>
      </w:r>
      <w:r w:rsidR="00957576">
        <w:rPr>
          <w:rFonts w:eastAsiaTheme="majorEastAsia" w:hint="cs"/>
          <w:b w:val="0"/>
          <w:bCs w:val="0"/>
          <w:rtl/>
        </w:rPr>
        <w:t xml:space="preserve">(التي تجمع </w:t>
      </w:r>
      <w:r w:rsidR="00B6419C" w:rsidRPr="00F43150">
        <w:rPr>
          <w:rFonts w:eastAsiaTheme="majorEastAsia" w:hint="cs"/>
          <w:b w:val="0"/>
          <w:bCs w:val="0"/>
          <w:rtl/>
        </w:rPr>
        <w:t>حساباتها</w:t>
      </w:r>
      <w:r w:rsidR="00957576">
        <w:rPr>
          <w:rFonts w:eastAsiaTheme="majorEastAsia" w:hint="cs"/>
          <w:b w:val="0"/>
          <w:bCs w:val="0"/>
          <w:rtl/>
        </w:rPr>
        <w:t>)</w:t>
      </w:r>
      <w:r w:rsidR="00B6419C" w:rsidRPr="00F43150">
        <w:rPr>
          <w:rFonts w:eastAsiaTheme="majorEastAsia" w:hint="cs"/>
          <w:b w:val="0"/>
          <w:bCs w:val="0"/>
          <w:rtl/>
        </w:rPr>
        <w:t xml:space="preserve"> والتي لديها عجز في حسابات رأس المال </w:t>
      </w:r>
      <w:r w:rsidR="00222C45" w:rsidRPr="00F43150">
        <w:rPr>
          <w:rFonts w:eastAsiaTheme="majorEastAsia" w:hint="cs"/>
          <w:b w:val="0"/>
          <w:bCs w:val="0"/>
          <w:rtl/>
        </w:rPr>
        <w:t>والذي</w:t>
      </w:r>
      <w:r w:rsidR="00B6419C" w:rsidRPr="00F43150">
        <w:rPr>
          <w:rFonts w:eastAsiaTheme="majorEastAsia" w:hint="cs"/>
          <w:b w:val="0"/>
          <w:bCs w:val="0"/>
          <w:rtl/>
        </w:rPr>
        <w:t xml:space="preserve"> قررته الجهة الرقابية المشرفة عليها</w:t>
      </w:r>
      <w:r w:rsidRPr="00F43150">
        <w:rPr>
          <w:rFonts w:eastAsiaTheme="majorEastAsia" w:hint="cs"/>
          <w:b w:val="0"/>
          <w:bCs w:val="0"/>
          <w:rtl/>
        </w:rPr>
        <w:t xml:space="preserve"> (المُضيفة)</w:t>
      </w:r>
      <w:r w:rsidR="00B6419C" w:rsidRPr="00F43150">
        <w:rPr>
          <w:rFonts w:eastAsiaTheme="majorEastAsia" w:hint="cs"/>
          <w:b w:val="0"/>
          <w:bCs w:val="0"/>
          <w:rtl/>
        </w:rPr>
        <w:t xml:space="preserve">، فعلى البنك المرخص المعني إعلام </w:t>
      </w:r>
      <w:r w:rsidR="00AF2A78" w:rsidRPr="00F43150">
        <w:rPr>
          <w:rFonts w:eastAsiaTheme="majorEastAsia" w:hint="cs"/>
          <w:b w:val="0"/>
          <w:bCs w:val="0"/>
          <w:rtl/>
        </w:rPr>
        <w:t>ال</w:t>
      </w:r>
      <w:r w:rsidR="00B6419C" w:rsidRPr="00F43150">
        <w:rPr>
          <w:rFonts w:eastAsiaTheme="majorEastAsia" w:hint="cs"/>
          <w:b w:val="0"/>
          <w:bCs w:val="0"/>
          <w:rtl/>
        </w:rPr>
        <w:t xml:space="preserve">بنك </w:t>
      </w:r>
      <w:r w:rsidR="00AF2A78" w:rsidRPr="00F43150">
        <w:rPr>
          <w:rFonts w:eastAsiaTheme="majorEastAsia" w:hint="cs"/>
          <w:b w:val="0"/>
          <w:bCs w:val="0"/>
          <w:rtl/>
        </w:rPr>
        <w:t>ا</w:t>
      </w:r>
      <w:r w:rsidR="00B6419C" w:rsidRPr="00F43150">
        <w:rPr>
          <w:rFonts w:eastAsiaTheme="majorEastAsia" w:hint="cs"/>
          <w:b w:val="0"/>
          <w:bCs w:val="0"/>
          <w:rtl/>
        </w:rPr>
        <w:t>لمركزي</w:t>
      </w:r>
      <w:r w:rsidR="00AF2A78" w:rsidRPr="00F43150">
        <w:rPr>
          <w:rFonts w:eastAsiaTheme="majorEastAsia" w:hint="cs"/>
          <w:b w:val="0"/>
          <w:bCs w:val="0"/>
          <w:rtl/>
        </w:rPr>
        <w:t xml:space="preserve"> الأردني</w:t>
      </w:r>
      <w:r w:rsidR="00B6419C" w:rsidRPr="00F43150">
        <w:rPr>
          <w:rFonts w:eastAsiaTheme="majorEastAsia" w:hint="cs"/>
          <w:b w:val="0"/>
          <w:bCs w:val="0"/>
          <w:rtl/>
        </w:rPr>
        <w:t xml:space="preserve"> مباشرة بهذا العجز، وبدوره سيقوم </w:t>
      </w:r>
      <w:r w:rsidR="00AF2A78" w:rsidRPr="00F43150">
        <w:rPr>
          <w:rFonts w:eastAsiaTheme="majorEastAsia" w:hint="cs"/>
          <w:b w:val="0"/>
          <w:bCs w:val="0"/>
          <w:rtl/>
        </w:rPr>
        <w:t>ال</w:t>
      </w:r>
      <w:r w:rsidR="00B6419C" w:rsidRPr="00F43150">
        <w:rPr>
          <w:rFonts w:eastAsiaTheme="majorEastAsia" w:hint="cs"/>
          <w:b w:val="0"/>
          <w:bCs w:val="0"/>
          <w:rtl/>
        </w:rPr>
        <w:t>بنك ال</w:t>
      </w:r>
      <w:r w:rsidR="00AF2A78" w:rsidRPr="00F43150">
        <w:rPr>
          <w:rFonts w:eastAsiaTheme="majorEastAsia" w:hint="cs"/>
          <w:b w:val="0"/>
          <w:bCs w:val="0"/>
          <w:rtl/>
        </w:rPr>
        <w:t>مركزي الأردني</w:t>
      </w:r>
      <w:r w:rsidR="00B6419C" w:rsidRPr="00F43150">
        <w:rPr>
          <w:rFonts w:eastAsiaTheme="majorEastAsia" w:hint="cs"/>
          <w:b w:val="0"/>
          <w:bCs w:val="0"/>
          <w:rtl/>
        </w:rPr>
        <w:t xml:space="preserve"> بمراقبة الإجراءات المتخذة من تلك الشركة التابعة لتصويب أوضاعها، وإذا لم تقم بالتصويب خلال </w:t>
      </w:r>
      <w:r w:rsidR="00306EB1">
        <w:rPr>
          <w:rFonts w:eastAsiaTheme="majorEastAsia" w:hint="cs"/>
          <w:b w:val="0"/>
          <w:bCs w:val="0"/>
          <w:rtl/>
        </w:rPr>
        <w:t>الفترة الممنوحة للبنك</w:t>
      </w:r>
      <w:r w:rsidR="000850A2" w:rsidRPr="00F43150">
        <w:rPr>
          <w:rFonts w:eastAsiaTheme="majorEastAsia" w:hint="cs"/>
          <w:b w:val="0"/>
          <w:bCs w:val="0"/>
          <w:rtl/>
        </w:rPr>
        <w:t xml:space="preserve"> </w:t>
      </w:r>
      <w:r w:rsidR="00AF2A78" w:rsidRPr="00F43150">
        <w:rPr>
          <w:rFonts w:eastAsiaTheme="majorEastAsia" w:hint="cs"/>
          <w:b w:val="0"/>
          <w:bCs w:val="0"/>
          <w:rtl/>
        </w:rPr>
        <w:t xml:space="preserve">سيتم طرح هذا العجز من </w:t>
      </w:r>
      <w:r w:rsidR="00B6419C" w:rsidRPr="00F43150">
        <w:rPr>
          <w:rFonts w:eastAsiaTheme="majorEastAsia" w:hint="cs"/>
          <w:b w:val="0"/>
          <w:bCs w:val="0"/>
          <w:rtl/>
        </w:rPr>
        <w:t xml:space="preserve">رأس المال </w:t>
      </w:r>
      <w:r w:rsidR="00887AF4" w:rsidRPr="00F43150">
        <w:rPr>
          <w:rFonts w:eastAsiaTheme="majorEastAsia" w:hint="cs"/>
          <w:b w:val="0"/>
          <w:bCs w:val="0"/>
          <w:rtl/>
        </w:rPr>
        <w:t>التنظيمي ل</w:t>
      </w:r>
      <w:r w:rsidR="00B6419C" w:rsidRPr="00F43150">
        <w:rPr>
          <w:rFonts w:eastAsiaTheme="majorEastAsia" w:hint="cs"/>
          <w:b w:val="0"/>
          <w:bCs w:val="0"/>
          <w:rtl/>
        </w:rPr>
        <w:t>لبنك المرخص (البنك الأم).</w:t>
      </w:r>
    </w:p>
    <w:p w:rsidR="00F333AC" w:rsidRPr="00BF384E" w:rsidRDefault="00AB6912" w:rsidP="00277449">
      <w:pPr>
        <w:ind w:left="708" w:hanging="425"/>
        <w:rPr>
          <w:b w:val="0"/>
          <w:bCs w:val="0"/>
          <w:rtl/>
        </w:rPr>
      </w:pPr>
      <w:r w:rsidRPr="00D026CE">
        <w:rPr>
          <w:rFonts w:hint="cs"/>
          <w:rtl/>
        </w:rPr>
        <w:t>3</w:t>
      </w:r>
      <w:r w:rsidR="00AD7F88" w:rsidRPr="00D026CE">
        <w:rPr>
          <w:rtl/>
        </w:rPr>
        <w:t>.</w:t>
      </w:r>
      <w:r w:rsidR="00277449">
        <w:rPr>
          <w:rFonts w:hint="cs"/>
          <w:rtl/>
        </w:rPr>
        <w:tab/>
      </w:r>
      <w:r w:rsidR="00F333AC" w:rsidRPr="00D026CE">
        <w:rPr>
          <w:rtl/>
        </w:rPr>
        <w:t xml:space="preserve">الاستثمارات في </w:t>
      </w:r>
      <w:r w:rsidR="00E24B2E">
        <w:rPr>
          <w:rFonts w:hint="cs"/>
          <w:rtl/>
        </w:rPr>
        <w:t xml:space="preserve">رأسمال </w:t>
      </w:r>
      <w:r w:rsidR="00F333AC" w:rsidRPr="00D026CE">
        <w:rPr>
          <w:rtl/>
        </w:rPr>
        <w:t xml:space="preserve">البنوك والشركات المالية </w:t>
      </w:r>
      <w:r w:rsidR="00074288" w:rsidRPr="00D026CE">
        <w:rPr>
          <w:rtl/>
        </w:rPr>
        <w:t xml:space="preserve">وشركات التأمين </w:t>
      </w:r>
      <w:r w:rsidR="00F333AC" w:rsidRPr="00D026CE">
        <w:rPr>
          <w:rtl/>
        </w:rPr>
        <w:t xml:space="preserve">غير الموحدة ضمن </w:t>
      </w:r>
      <w:r w:rsidR="00F333AC" w:rsidRPr="00BF384E">
        <w:rPr>
          <w:rtl/>
        </w:rPr>
        <w:t>المجموعة البنكية:</w:t>
      </w:r>
    </w:p>
    <w:p w:rsidR="00F333AC" w:rsidRPr="00BF384E" w:rsidRDefault="00EB718B" w:rsidP="00306EB1">
      <w:pPr>
        <w:spacing w:after="0"/>
        <w:ind w:left="1275" w:hanging="567"/>
        <w:rPr>
          <w:b w:val="0"/>
          <w:bCs w:val="0"/>
          <w:rtl/>
          <w:lang w:eastAsia="ar-SA"/>
        </w:rPr>
      </w:pPr>
      <w:r w:rsidRPr="00BF384E">
        <w:rPr>
          <w:rFonts w:hint="cs"/>
          <w:b w:val="0"/>
          <w:bCs w:val="0"/>
          <w:rtl/>
        </w:rPr>
        <w:t>1</w:t>
      </w:r>
      <w:r w:rsidR="00074288" w:rsidRPr="00BF384E">
        <w:rPr>
          <w:b w:val="0"/>
          <w:bCs w:val="0"/>
          <w:rtl/>
        </w:rPr>
        <w:t>.</w:t>
      </w:r>
      <w:r w:rsidR="00AB6912" w:rsidRPr="00BF384E">
        <w:rPr>
          <w:rFonts w:hint="cs"/>
          <w:b w:val="0"/>
          <w:bCs w:val="0"/>
          <w:rtl/>
        </w:rPr>
        <w:t>3</w:t>
      </w:r>
      <w:r w:rsidR="00BF384E" w:rsidRPr="00BF384E">
        <w:rPr>
          <w:rFonts w:hint="cs"/>
          <w:b w:val="0"/>
          <w:bCs w:val="0"/>
          <w:rtl/>
        </w:rPr>
        <w:t>.</w:t>
      </w:r>
      <w:r w:rsidR="00FE6A95" w:rsidRPr="00BF384E">
        <w:rPr>
          <w:b w:val="0"/>
          <w:bCs w:val="0"/>
          <w:rtl/>
        </w:rPr>
        <w:tab/>
      </w:r>
      <w:r w:rsidR="00F333AC" w:rsidRPr="00BF384E">
        <w:rPr>
          <w:b w:val="0"/>
          <w:bCs w:val="0"/>
          <w:rtl/>
        </w:rPr>
        <w:t>تعالج الاستثمارات</w:t>
      </w:r>
      <w:r w:rsidR="00CF306B" w:rsidRPr="00BF384E">
        <w:rPr>
          <w:rStyle w:val="FootnoteReference"/>
          <w:b w:val="0"/>
          <w:bCs w:val="0"/>
          <w:sz w:val="27"/>
          <w:szCs w:val="27"/>
          <w:rtl/>
        </w:rPr>
        <w:footnoteReference w:id="2"/>
      </w:r>
      <w:r w:rsidR="00F333AC" w:rsidRPr="00BF384E">
        <w:rPr>
          <w:b w:val="0"/>
          <w:bCs w:val="0"/>
          <w:rtl/>
        </w:rPr>
        <w:t xml:space="preserve"> في رؤوس أموال </w:t>
      </w:r>
      <w:r w:rsidR="00E24B2E" w:rsidRPr="00BF384E">
        <w:rPr>
          <w:rFonts w:hint="cs"/>
          <w:b w:val="0"/>
          <w:bCs w:val="0"/>
          <w:rtl/>
        </w:rPr>
        <w:t>البنوك و</w:t>
      </w:r>
      <w:r w:rsidR="0038022F" w:rsidRPr="00BF384E">
        <w:rPr>
          <w:rFonts w:hint="cs"/>
          <w:b w:val="0"/>
          <w:bCs w:val="0"/>
          <w:rtl/>
        </w:rPr>
        <w:t>ا</w:t>
      </w:r>
      <w:r w:rsidR="00F333AC" w:rsidRPr="00BF384E">
        <w:rPr>
          <w:b w:val="0"/>
          <w:bCs w:val="0"/>
          <w:rtl/>
        </w:rPr>
        <w:t xml:space="preserve">لشركات المالية </w:t>
      </w:r>
      <w:r w:rsidR="001C6DBA" w:rsidRPr="00BF384E">
        <w:rPr>
          <w:b w:val="0"/>
          <w:bCs w:val="0"/>
          <w:rtl/>
          <w:lang w:eastAsia="ar-SA"/>
        </w:rPr>
        <w:t>وشركات التأمين التي تقل عن</w:t>
      </w:r>
      <w:r w:rsidR="001C6DBA" w:rsidRPr="00BF384E">
        <w:rPr>
          <w:b w:val="0"/>
          <w:bCs w:val="0"/>
          <w:rtl/>
        </w:rPr>
        <w:t xml:space="preserve"> </w:t>
      </w:r>
      <w:r w:rsidR="001C6DBA" w:rsidRPr="00BF384E">
        <w:rPr>
          <w:b w:val="0"/>
          <w:bCs w:val="0"/>
          <w:rtl/>
          <w:lang w:eastAsia="ar-SA"/>
        </w:rPr>
        <w:t xml:space="preserve">(10%) من رأسمال هذه الشركات </w:t>
      </w:r>
      <w:r w:rsidR="00AF1543" w:rsidRPr="00BF384E">
        <w:rPr>
          <w:b w:val="0"/>
          <w:bCs w:val="0"/>
          <w:rtl/>
          <w:lang w:eastAsia="ar-SA"/>
        </w:rPr>
        <w:t>كما هو موضح في البند (رابعاً/</w:t>
      </w:r>
      <w:r w:rsidR="00306EB1">
        <w:rPr>
          <w:rFonts w:hint="cs"/>
          <w:b w:val="0"/>
          <w:bCs w:val="0"/>
          <w:rtl/>
          <w:lang w:eastAsia="ar-SA"/>
        </w:rPr>
        <w:t>10</w:t>
      </w:r>
      <w:r w:rsidR="00074288" w:rsidRPr="00BF384E">
        <w:rPr>
          <w:b w:val="0"/>
          <w:bCs w:val="0"/>
          <w:rtl/>
          <w:lang w:eastAsia="ar-SA"/>
        </w:rPr>
        <w:t xml:space="preserve">) من </w:t>
      </w:r>
      <w:r w:rsidR="00776491" w:rsidRPr="00BF384E">
        <w:rPr>
          <w:b w:val="0"/>
          <w:bCs w:val="0"/>
          <w:rtl/>
          <w:lang w:eastAsia="ar-SA"/>
        </w:rPr>
        <w:t>الفصل الثاني</w:t>
      </w:r>
      <w:r w:rsidR="00074288" w:rsidRPr="00BF384E">
        <w:rPr>
          <w:b w:val="0"/>
          <w:bCs w:val="0"/>
          <w:rtl/>
          <w:lang w:eastAsia="ar-SA"/>
        </w:rPr>
        <w:t xml:space="preserve">. </w:t>
      </w:r>
      <w:r w:rsidR="001C6DBA" w:rsidRPr="00BF384E">
        <w:rPr>
          <w:b w:val="0"/>
          <w:bCs w:val="0"/>
          <w:rtl/>
          <w:lang w:eastAsia="ar-SA"/>
        </w:rPr>
        <w:t xml:space="preserve"> </w:t>
      </w:r>
    </w:p>
    <w:p w:rsidR="00074288" w:rsidRPr="00BF384E" w:rsidRDefault="00EB718B" w:rsidP="00306EB1">
      <w:pPr>
        <w:spacing w:after="0"/>
        <w:ind w:left="1275" w:hanging="567"/>
        <w:rPr>
          <w:b w:val="0"/>
          <w:bCs w:val="0"/>
        </w:rPr>
      </w:pPr>
      <w:r w:rsidRPr="00BF384E">
        <w:rPr>
          <w:rFonts w:hint="cs"/>
          <w:b w:val="0"/>
          <w:bCs w:val="0"/>
          <w:rtl/>
        </w:rPr>
        <w:t>2</w:t>
      </w:r>
      <w:r w:rsidR="00074288" w:rsidRPr="00BF384E">
        <w:rPr>
          <w:rFonts w:hint="cs"/>
          <w:b w:val="0"/>
          <w:bCs w:val="0"/>
          <w:rtl/>
        </w:rPr>
        <w:t>.</w:t>
      </w:r>
      <w:r w:rsidR="00AB6912" w:rsidRPr="00BF384E">
        <w:rPr>
          <w:rFonts w:hint="cs"/>
          <w:b w:val="0"/>
          <w:bCs w:val="0"/>
          <w:rtl/>
        </w:rPr>
        <w:t>3</w:t>
      </w:r>
      <w:r w:rsidR="00BF384E" w:rsidRPr="00BF384E">
        <w:rPr>
          <w:rFonts w:hint="cs"/>
          <w:b w:val="0"/>
          <w:bCs w:val="0"/>
          <w:rtl/>
        </w:rPr>
        <w:t>.</w:t>
      </w:r>
      <w:r w:rsidR="00074288" w:rsidRPr="00BF384E">
        <w:rPr>
          <w:rFonts w:hint="cs"/>
          <w:b w:val="0"/>
          <w:bCs w:val="0"/>
          <w:rtl/>
        </w:rPr>
        <w:tab/>
        <w:t>تُعالج الاستثمارات في رؤوس أموال</w:t>
      </w:r>
      <w:r w:rsidR="00E24B2E" w:rsidRPr="00BF384E">
        <w:rPr>
          <w:rFonts w:hint="cs"/>
          <w:b w:val="0"/>
          <w:bCs w:val="0"/>
          <w:rtl/>
        </w:rPr>
        <w:t xml:space="preserve"> البنوك و</w:t>
      </w:r>
      <w:r w:rsidR="00074288" w:rsidRPr="00BF384E">
        <w:rPr>
          <w:rFonts w:hint="cs"/>
          <w:b w:val="0"/>
          <w:bCs w:val="0"/>
          <w:rtl/>
        </w:rPr>
        <w:t>الشركات المالية وشركات التأمين التي تزيد عن (10%) من رأسمال هذه الشركات كما هو موضح في البند (</w:t>
      </w:r>
      <w:r w:rsidR="00AF1543" w:rsidRPr="00BF384E">
        <w:rPr>
          <w:rFonts w:hint="cs"/>
          <w:b w:val="0"/>
          <w:bCs w:val="0"/>
          <w:rtl/>
        </w:rPr>
        <w:t>رابعاً/</w:t>
      </w:r>
      <w:r w:rsidR="00306EB1">
        <w:rPr>
          <w:rFonts w:hint="cs"/>
          <w:b w:val="0"/>
          <w:bCs w:val="0"/>
          <w:rtl/>
        </w:rPr>
        <w:t>11</w:t>
      </w:r>
      <w:r w:rsidR="00D64D75" w:rsidRPr="00BF384E">
        <w:rPr>
          <w:rFonts w:hint="cs"/>
          <w:b w:val="0"/>
          <w:bCs w:val="0"/>
          <w:rtl/>
        </w:rPr>
        <w:t xml:space="preserve">) </w:t>
      </w:r>
      <w:r w:rsidR="00776491" w:rsidRPr="00BF384E">
        <w:rPr>
          <w:rFonts w:ascii="Arial" w:hAnsi="Arial" w:hint="cs"/>
          <w:b w:val="0"/>
          <w:bCs w:val="0"/>
          <w:rtl/>
        </w:rPr>
        <w:t>من الفصل الثاني</w:t>
      </w:r>
      <w:r w:rsidR="00D64D75" w:rsidRPr="00BF384E">
        <w:rPr>
          <w:rFonts w:hint="cs"/>
          <w:b w:val="0"/>
          <w:bCs w:val="0"/>
          <w:rtl/>
        </w:rPr>
        <w:t xml:space="preserve">. </w:t>
      </w:r>
    </w:p>
    <w:p w:rsidR="00FE6A95" w:rsidRPr="00BF384E" w:rsidRDefault="00EB718B" w:rsidP="00957576">
      <w:pPr>
        <w:ind w:left="1275" w:hanging="567"/>
        <w:rPr>
          <w:b w:val="0"/>
          <w:bCs w:val="0"/>
          <w:rtl/>
        </w:rPr>
      </w:pPr>
      <w:r w:rsidRPr="00BF384E">
        <w:rPr>
          <w:rFonts w:hint="cs"/>
          <w:b w:val="0"/>
          <w:bCs w:val="0"/>
          <w:rtl/>
        </w:rPr>
        <w:t>3</w:t>
      </w:r>
      <w:r w:rsidR="00D64D75" w:rsidRPr="00BF384E">
        <w:rPr>
          <w:rFonts w:hint="cs"/>
          <w:b w:val="0"/>
          <w:bCs w:val="0"/>
          <w:rtl/>
        </w:rPr>
        <w:t>.</w:t>
      </w:r>
      <w:r w:rsidR="00AB6912" w:rsidRPr="00BF384E">
        <w:rPr>
          <w:rFonts w:hint="cs"/>
          <w:b w:val="0"/>
          <w:bCs w:val="0"/>
          <w:rtl/>
        </w:rPr>
        <w:t>3</w:t>
      </w:r>
      <w:r w:rsidR="00BF384E" w:rsidRPr="00BF384E">
        <w:rPr>
          <w:rFonts w:hint="cs"/>
          <w:b w:val="0"/>
          <w:bCs w:val="0"/>
          <w:rtl/>
        </w:rPr>
        <w:t>.</w:t>
      </w:r>
      <w:r w:rsidR="00FE6A95" w:rsidRPr="00BF384E">
        <w:rPr>
          <w:rFonts w:hint="cs"/>
          <w:b w:val="0"/>
          <w:bCs w:val="0"/>
          <w:rtl/>
        </w:rPr>
        <w:tab/>
        <w:t xml:space="preserve">عند تجميع </w:t>
      </w:r>
      <w:r w:rsidR="00FE6A95" w:rsidRPr="0036451D">
        <w:rPr>
          <w:rFonts w:eastAsiaTheme="majorEastAsia" w:hint="cs"/>
          <w:b w:val="0"/>
          <w:bCs w:val="0"/>
          <w:rtl/>
        </w:rPr>
        <w:t>حسابات</w:t>
      </w:r>
      <w:r w:rsidR="00FE6A95" w:rsidRPr="00BF384E">
        <w:rPr>
          <w:rFonts w:hint="cs"/>
          <w:b w:val="0"/>
          <w:bCs w:val="0"/>
          <w:rtl/>
        </w:rPr>
        <w:t xml:space="preserve"> شركات التأمين والمملوكة </w:t>
      </w:r>
      <w:r w:rsidR="008805D1" w:rsidRPr="00BF384E">
        <w:rPr>
          <w:rFonts w:hint="cs"/>
          <w:b w:val="0"/>
          <w:bCs w:val="0"/>
          <w:rtl/>
        </w:rPr>
        <w:t>بالأغلبية</w:t>
      </w:r>
      <w:r w:rsidR="00776491" w:rsidRPr="00BF384E">
        <w:rPr>
          <w:rFonts w:hint="cs"/>
          <w:b w:val="0"/>
          <w:bCs w:val="0"/>
          <w:rtl/>
        </w:rPr>
        <w:t xml:space="preserve"> و</w:t>
      </w:r>
      <w:r w:rsidR="00776491" w:rsidRPr="00BF384E">
        <w:rPr>
          <w:rFonts w:hint="cs"/>
          <w:b w:val="0"/>
          <w:bCs w:val="0"/>
          <w:rtl/>
          <w:lang w:bidi="ar-IQ"/>
        </w:rPr>
        <w:t>/</w:t>
      </w:r>
      <w:r w:rsidR="008805D1" w:rsidRPr="00BF384E">
        <w:rPr>
          <w:rFonts w:hint="cs"/>
          <w:b w:val="0"/>
          <w:bCs w:val="0"/>
          <w:rtl/>
          <w:lang w:bidi="ar-IQ"/>
        </w:rPr>
        <w:t>أو</w:t>
      </w:r>
      <w:r w:rsidR="00FE6A95" w:rsidRPr="00BF384E">
        <w:rPr>
          <w:rFonts w:hint="cs"/>
          <w:b w:val="0"/>
          <w:bCs w:val="0"/>
          <w:rtl/>
          <w:lang w:bidi="ar-IQ"/>
        </w:rPr>
        <w:t xml:space="preserve"> المسيطر عليها  من </w:t>
      </w:r>
      <w:r w:rsidR="00FE6A95" w:rsidRPr="00BF384E">
        <w:rPr>
          <w:rFonts w:hint="cs"/>
          <w:b w:val="0"/>
          <w:bCs w:val="0"/>
          <w:rtl/>
        </w:rPr>
        <w:t xml:space="preserve">قبل البنك، فان البنك المركزي الأردني سيسمح فقط بالاعتراف بالفائض من رأسمال شركات التأمين ( وهو المبلغ الذي يزيد عن رأس المال </w:t>
      </w:r>
      <w:r w:rsidR="00BA445D" w:rsidRPr="00BF384E">
        <w:rPr>
          <w:rFonts w:hint="cs"/>
          <w:b w:val="0"/>
          <w:bCs w:val="0"/>
          <w:rtl/>
        </w:rPr>
        <w:t>التنظيمي</w:t>
      </w:r>
      <w:r w:rsidR="00FE6A95" w:rsidRPr="00BF384E">
        <w:rPr>
          <w:rFonts w:hint="cs"/>
          <w:b w:val="0"/>
          <w:bCs w:val="0"/>
          <w:rtl/>
        </w:rPr>
        <w:t xml:space="preserve"> المطلوب من شركة التأمين) تحت ظروف معينة</w:t>
      </w:r>
      <w:r w:rsidR="00FE6A95" w:rsidRPr="00BF384E">
        <w:rPr>
          <w:rStyle w:val="FootnoteReference"/>
          <w:rFonts w:ascii="Arial" w:hAnsi="Arial"/>
          <w:b w:val="0"/>
          <w:bCs w:val="0"/>
          <w:sz w:val="27"/>
          <w:szCs w:val="27"/>
          <w:rtl/>
        </w:rPr>
        <w:footnoteReference w:id="3"/>
      </w:r>
      <w:r w:rsidR="00FE6A95" w:rsidRPr="00BF384E">
        <w:rPr>
          <w:rFonts w:hint="cs"/>
          <w:b w:val="0"/>
          <w:bCs w:val="0"/>
          <w:rtl/>
        </w:rPr>
        <w:t xml:space="preserve"> ضمن رأس</w:t>
      </w:r>
      <w:r w:rsidR="00776491" w:rsidRPr="00BF384E">
        <w:rPr>
          <w:rFonts w:hint="cs"/>
          <w:b w:val="0"/>
          <w:bCs w:val="0"/>
          <w:rtl/>
        </w:rPr>
        <w:t xml:space="preserve"> ال</w:t>
      </w:r>
      <w:r w:rsidR="00FE6A95" w:rsidRPr="00BF384E">
        <w:rPr>
          <w:rFonts w:hint="cs"/>
          <w:b w:val="0"/>
          <w:bCs w:val="0"/>
          <w:rtl/>
        </w:rPr>
        <w:t xml:space="preserve">مال </w:t>
      </w:r>
      <w:r w:rsidR="008B147C" w:rsidRPr="00BF384E">
        <w:rPr>
          <w:rFonts w:hint="cs"/>
          <w:b w:val="0"/>
          <w:bCs w:val="0"/>
          <w:rtl/>
        </w:rPr>
        <w:t xml:space="preserve"> التنظيمي </w:t>
      </w:r>
      <w:r w:rsidR="00FE6A95" w:rsidRPr="00BF384E">
        <w:rPr>
          <w:rFonts w:hint="cs"/>
          <w:b w:val="0"/>
          <w:bCs w:val="0"/>
          <w:rtl/>
        </w:rPr>
        <w:t xml:space="preserve">للبنك المرخص، وكما هو مبين في </w:t>
      </w:r>
      <w:r w:rsidR="00D64D75" w:rsidRPr="00BF384E">
        <w:rPr>
          <w:rFonts w:hint="cs"/>
          <w:b w:val="0"/>
          <w:bCs w:val="0"/>
          <w:rtl/>
        </w:rPr>
        <w:t>بند حقوق الأقلية رقم (</w:t>
      </w:r>
      <w:r w:rsidR="00205F52" w:rsidRPr="00BF384E">
        <w:rPr>
          <w:rFonts w:hint="cs"/>
          <w:b w:val="0"/>
          <w:bCs w:val="0"/>
          <w:rtl/>
        </w:rPr>
        <w:t>ثالثاً/4</w:t>
      </w:r>
      <w:r w:rsidR="00D64D75" w:rsidRPr="00BF384E">
        <w:rPr>
          <w:rFonts w:hint="cs"/>
          <w:b w:val="0"/>
          <w:bCs w:val="0"/>
          <w:rtl/>
        </w:rPr>
        <w:t>)</w:t>
      </w:r>
      <w:r w:rsidR="00FE6A95" w:rsidRPr="00BF384E">
        <w:rPr>
          <w:rFonts w:ascii="Arial" w:hAnsi="Arial" w:hint="cs"/>
          <w:rtl/>
        </w:rPr>
        <w:t xml:space="preserve"> </w:t>
      </w:r>
      <w:r w:rsidR="00776491" w:rsidRPr="00BF384E">
        <w:rPr>
          <w:rFonts w:ascii="Arial" w:hAnsi="Arial" w:hint="cs"/>
          <w:b w:val="0"/>
          <w:bCs w:val="0"/>
          <w:rtl/>
        </w:rPr>
        <w:t>من الفصل الثاني</w:t>
      </w:r>
      <w:r w:rsidR="008F2C3E" w:rsidRPr="00BF384E">
        <w:rPr>
          <w:rFonts w:hint="cs"/>
          <w:b w:val="0"/>
          <w:bCs w:val="0"/>
          <w:rtl/>
        </w:rPr>
        <w:t>،</w:t>
      </w:r>
      <w:r w:rsidR="00FE6A95" w:rsidRPr="00BF384E">
        <w:rPr>
          <w:rFonts w:hint="cs"/>
          <w:b w:val="0"/>
          <w:bCs w:val="0"/>
          <w:rtl/>
        </w:rPr>
        <w:t xml:space="preserve"> وعلى البنوك التي اعترفت بالفائض في رأسمال شركات التامين التابعة </w:t>
      </w:r>
      <w:r w:rsidR="00D64D75" w:rsidRPr="00BF384E">
        <w:rPr>
          <w:rFonts w:hint="cs"/>
          <w:b w:val="0"/>
          <w:bCs w:val="0"/>
          <w:rtl/>
        </w:rPr>
        <w:t>أ</w:t>
      </w:r>
      <w:r w:rsidR="00FE6A95" w:rsidRPr="00BF384E">
        <w:rPr>
          <w:rFonts w:hint="cs"/>
          <w:b w:val="0"/>
          <w:bCs w:val="0"/>
          <w:rtl/>
        </w:rPr>
        <w:t>ن تفصح للجمهور عن مقدار هذا</w:t>
      </w:r>
      <w:r w:rsidR="00776491" w:rsidRPr="00BF384E">
        <w:rPr>
          <w:rFonts w:hint="cs"/>
          <w:b w:val="0"/>
          <w:bCs w:val="0"/>
          <w:rtl/>
        </w:rPr>
        <w:t xml:space="preserve"> الفائض المعترف به ضمن رأسمالها،</w:t>
      </w:r>
      <w:r w:rsidR="00FE6A95" w:rsidRPr="00BF384E">
        <w:rPr>
          <w:rFonts w:hint="cs"/>
          <w:b w:val="0"/>
          <w:bCs w:val="0"/>
          <w:rtl/>
        </w:rPr>
        <w:t xml:space="preserve"> علما </w:t>
      </w:r>
      <w:r w:rsidR="008805D1" w:rsidRPr="00BF384E">
        <w:rPr>
          <w:rFonts w:hint="cs"/>
          <w:b w:val="0"/>
          <w:bCs w:val="0"/>
          <w:rtl/>
        </w:rPr>
        <w:t>بأنه</w:t>
      </w:r>
      <w:r w:rsidR="00776491" w:rsidRPr="00BF384E">
        <w:rPr>
          <w:rFonts w:hint="cs"/>
          <w:b w:val="0"/>
          <w:bCs w:val="0"/>
          <w:rtl/>
        </w:rPr>
        <w:t xml:space="preserve"> في حال كانت ملكية البنك في رأسمال شركة التأ</w:t>
      </w:r>
      <w:r w:rsidR="00FE6A95" w:rsidRPr="00BF384E">
        <w:rPr>
          <w:rFonts w:hint="cs"/>
          <w:b w:val="0"/>
          <w:bCs w:val="0"/>
          <w:rtl/>
        </w:rPr>
        <w:t>مين (</w:t>
      </w:r>
      <w:r w:rsidR="00016A24" w:rsidRPr="00BF384E">
        <w:rPr>
          <w:rFonts w:hint="cs"/>
          <w:b w:val="0"/>
          <w:bCs w:val="0"/>
          <w:rtl/>
        </w:rPr>
        <w:t>أكثر</w:t>
      </w:r>
      <w:r w:rsidR="00FE6A95" w:rsidRPr="00BF384E">
        <w:rPr>
          <w:rFonts w:hint="cs"/>
          <w:b w:val="0"/>
          <w:bCs w:val="0"/>
          <w:rtl/>
        </w:rPr>
        <w:t xml:space="preserve"> من 50% وأقل 100%) فان الفائض المعترف به </w:t>
      </w:r>
      <w:r w:rsidR="00FE6A95" w:rsidRPr="00BF384E">
        <w:rPr>
          <w:rFonts w:hint="cs"/>
          <w:b w:val="0"/>
          <w:bCs w:val="0"/>
          <w:rtl/>
        </w:rPr>
        <w:lastRenderedPageBreak/>
        <w:t>يجب أن يتناسب مع نسبة الملكية</w:t>
      </w:r>
      <w:r w:rsidR="00776491" w:rsidRPr="00BF384E">
        <w:rPr>
          <w:rFonts w:hint="cs"/>
          <w:b w:val="0"/>
          <w:bCs w:val="0"/>
          <w:rtl/>
        </w:rPr>
        <w:t>،</w:t>
      </w:r>
      <w:r w:rsidR="00FE6A95" w:rsidRPr="00BF384E">
        <w:rPr>
          <w:rFonts w:hint="cs"/>
          <w:b w:val="0"/>
          <w:bCs w:val="0"/>
          <w:rtl/>
        </w:rPr>
        <w:t xml:space="preserve"> أما الفائض في رأس</w:t>
      </w:r>
      <w:r w:rsidR="00776491" w:rsidRPr="00BF384E">
        <w:rPr>
          <w:rFonts w:hint="cs"/>
          <w:b w:val="0"/>
          <w:bCs w:val="0"/>
          <w:rtl/>
        </w:rPr>
        <w:t>مال شركات التأ</w:t>
      </w:r>
      <w:r w:rsidR="00FE6A95" w:rsidRPr="00BF384E">
        <w:rPr>
          <w:rFonts w:hint="cs"/>
          <w:b w:val="0"/>
          <w:bCs w:val="0"/>
          <w:rtl/>
        </w:rPr>
        <w:t>مين التي يملك البنك فيها حقوق أقلية وليست ذات أهمية للبنك فلن يتم الاعتراف فيها حيث لا يملك البنك القدرة على تحويل الفائض في رأسمال تلك الشركات لعدم سيطرته على ذلك.</w:t>
      </w:r>
    </w:p>
    <w:p w:rsidR="00FE6A95" w:rsidRPr="00BF384E" w:rsidRDefault="00EB718B" w:rsidP="00DC1722">
      <w:pPr>
        <w:ind w:left="1275" w:hanging="567"/>
        <w:rPr>
          <w:b w:val="0"/>
          <w:bCs w:val="0"/>
          <w:sz w:val="27"/>
          <w:szCs w:val="27"/>
          <w:vertAlign w:val="superscript"/>
          <w:rtl/>
        </w:rPr>
      </w:pPr>
      <w:r w:rsidRPr="00BF384E">
        <w:rPr>
          <w:rFonts w:hint="cs"/>
          <w:b w:val="0"/>
          <w:bCs w:val="0"/>
          <w:sz w:val="27"/>
          <w:szCs w:val="27"/>
          <w:rtl/>
        </w:rPr>
        <w:t>4</w:t>
      </w:r>
      <w:r w:rsidR="00D64D75" w:rsidRPr="00BF384E">
        <w:rPr>
          <w:rFonts w:hint="cs"/>
          <w:b w:val="0"/>
          <w:bCs w:val="0"/>
          <w:sz w:val="27"/>
          <w:szCs w:val="27"/>
          <w:rtl/>
        </w:rPr>
        <w:t>.</w:t>
      </w:r>
      <w:r w:rsidR="00AB6912" w:rsidRPr="00BF384E">
        <w:rPr>
          <w:rFonts w:hint="cs"/>
          <w:b w:val="0"/>
          <w:bCs w:val="0"/>
          <w:sz w:val="27"/>
          <w:szCs w:val="27"/>
          <w:rtl/>
        </w:rPr>
        <w:t>3</w:t>
      </w:r>
      <w:r w:rsidR="00BF384E" w:rsidRPr="00BF384E">
        <w:rPr>
          <w:rFonts w:hint="cs"/>
          <w:b w:val="0"/>
          <w:bCs w:val="0"/>
          <w:rtl/>
        </w:rPr>
        <w:t>.</w:t>
      </w:r>
      <w:r w:rsidR="00452024">
        <w:rPr>
          <w:rFonts w:hint="cs"/>
          <w:b w:val="0"/>
          <w:bCs w:val="0"/>
          <w:rtl/>
        </w:rPr>
        <w:tab/>
      </w:r>
      <w:r w:rsidR="00FE6A95" w:rsidRPr="00BF384E">
        <w:rPr>
          <w:rFonts w:hint="cs"/>
          <w:b w:val="0"/>
          <w:bCs w:val="0"/>
          <w:rtl/>
        </w:rPr>
        <w:t xml:space="preserve">في حالة شركات التأمين التابعة </w:t>
      </w:r>
      <w:r w:rsidR="00957576">
        <w:rPr>
          <w:rFonts w:hint="cs"/>
          <w:b w:val="0"/>
          <w:bCs w:val="0"/>
          <w:rtl/>
        </w:rPr>
        <w:t xml:space="preserve"> (التي تجمع </w:t>
      </w:r>
      <w:r w:rsidR="00FE6A95" w:rsidRPr="00BF384E">
        <w:rPr>
          <w:rFonts w:hint="cs"/>
          <w:b w:val="0"/>
          <w:bCs w:val="0"/>
          <w:rtl/>
        </w:rPr>
        <w:t>حساباتها</w:t>
      </w:r>
      <w:r w:rsidR="00957576">
        <w:rPr>
          <w:rFonts w:hint="cs"/>
          <w:b w:val="0"/>
          <w:bCs w:val="0"/>
          <w:rtl/>
        </w:rPr>
        <w:t>)</w:t>
      </w:r>
      <w:r w:rsidR="00FE6A95" w:rsidRPr="00BF384E">
        <w:rPr>
          <w:rFonts w:hint="cs"/>
          <w:b w:val="0"/>
          <w:bCs w:val="0"/>
          <w:rtl/>
        </w:rPr>
        <w:t xml:space="preserve"> والتي لديها عجز في حسابات رأس المال والتي قررته </w:t>
      </w:r>
      <w:r w:rsidR="00FE6A95" w:rsidRPr="0036451D">
        <w:rPr>
          <w:rFonts w:eastAsiaTheme="majorEastAsia" w:hint="cs"/>
          <w:b w:val="0"/>
          <w:bCs w:val="0"/>
          <w:rtl/>
        </w:rPr>
        <w:t>الجهة</w:t>
      </w:r>
      <w:r w:rsidR="00FE6A95" w:rsidRPr="00BF384E">
        <w:rPr>
          <w:rFonts w:hint="cs"/>
          <w:b w:val="0"/>
          <w:bCs w:val="0"/>
          <w:rtl/>
        </w:rPr>
        <w:t xml:space="preserve"> الرقابية المشرفة عليها، فعلى البنك المرخص المعني إعلام </w:t>
      </w:r>
      <w:r w:rsidR="00AF2A78" w:rsidRPr="00BF384E">
        <w:rPr>
          <w:rFonts w:hint="cs"/>
          <w:b w:val="0"/>
          <w:bCs w:val="0"/>
          <w:rtl/>
        </w:rPr>
        <w:t>ال</w:t>
      </w:r>
      <w:r w:rsidR="00FE6A95" w:rsidRPr="00BF384E">
        <w:rPr>
          <w:rFonts w:hint="cs"/>
          <w:b w:val="0"/>
          <w:bCs w:val="0"/>
          <w:rtl/>
        </w:rPr>
        <w:t xml:space="preserve">بنك </w:t>
      </w:r>
      <w:r w:rsidR="00AF2A78" w:rsidRPr="00BF384E">
        <w:rPr>
          <w:rFonts w:hint="cs"/>
          <w:b w:val="0"/>
          <w:bCs w:val="0"/>
          <w:rtl/>
        </w:rPr>
        <w:t>ا</w:t>
      </w:r>
      <w:r w:rsidR="00FE6A95" w:rsidRPr="00BF384E">
        <w:rPr>
          <w:rFonts w:hint="cs"/>
          <w:b w:val="0"/>
          <w:bCs w:val="0"/>
          <w:rtl/>
        </w:rPr>
        <w:t>لمركزي</w:t>
      </w:r>
      <w:r w:rsidR="00AF2A78" w:rsidRPr="00BF384E">
        <w:rPr>
          <w:rFonts w:hint="cs"/>
          <w:b w:val="0"/>
          <w:bCs w:val="0"/>
          <w:rtl/>
        </w:rPr>
        <w:t xml:space="preserve"> الأردني</w:t>
      </w:r>
      <w:r w:rsidR="00FE6A95" w:rsidRPr="00BF384E">
        <w:rPr>
          <w:rFonts w:hint="cs"/>
          <w:b w:val="0"/>
          <w:bCs w:val="0"/>
          <w:rtl/>
        </w:rPr>
        <w:t xml:space="preserve"> مباشرة بهذا العجز، وبدوره سيقوم </w:t>
      </w:r>
      <w:r w:rsidR="00AF2A78" w:rsidRPr="00BF384E">
        <w:rPr>
          <w:rFonts w:hint="cs"/>
          <w:b w:val="0"/>
          <w:bCs w:val="0"/>
          <w:rtl/>
        </w:rPr>
        <w:t>ال</w:t>
      </w:r>
      <w:r w:rsidR="00FE6A95" w:rsidRPr="00BF384E">
        <w:rPr>
          <w:rFonts w:hint="cs"/>
          <w:b w:val="0"/>
          <w:bCs w:val="0"/>
          <w:rtl/>
        </w:rPr>
        <w:t>بنك المركزي</w:t>
      </w:r>
      <w:r w:rsidR="00AF2A78" w:rsidRPr="00BF384E">
        <w:rPr>
          <w:rFonts w:hint="cs"/>
          <w:b w:val="0"/>
          <w:bCs w:val="0"/>
          <w:rtl/>
        </w:rPr>
        <w:t xml:space="preserve"> الأردني</w:t>
      </w:r>
      <w:r w:rsidR="00FE6A95" w:rsidRPr="00BF384E">
        <w:rPr>
          <w:rFonts w:hint="cs"/>
          <w:b w:val="0"/>
          <w:bCs w:val="0"/>
          <w:rtl/>
        </w:rPr>
        <w:t xml:space="preserve"> بمراقبة الإجراءات المتخذة من تلك الشركة التابعة لتصويب أوضاعها، وإذا لم تقم بالتصويب خلال</w:t>
      </w:r>
      <w:r w:rsidR="00306EB1">
        <w:rPr>
          <w:rFonts w:hint="cs"/>
          <w:b w:val="0"/>
          <w:bCs w:val="0"/>
          <w:rtl/>
        </w:rPr>
        <w:t xml:space="preserve"> الفترة الممنوحة للبنك </w:t>
      </w:r>
      <w:r w:rsidR="00FE6A95" w:rsidRPr="00BF384E">
        <w:rPr>
          <w:rFonts w:hint="cs"/>
          <w:b w:val="0"/>
          <w:bCs w:val="0"/>
          <w:rtl/>
        </w:rPr>
        <w:t xml:space="preserve">سيتم طرح هذا العجز من رأس المال </w:t>
      </w:r>
      <w:r w:rsidR="00D64D75" w:rsidRPr="00BF384E">
        <w:rPr>
          <w:rFonts w:hint="cs"/>
          <w:b w:val="0"/>
          <w:bCs w:val="0"/>
          <w:rtl/>
        </w:rPr>
        <w:t>التنظيمي ل</w:t>
      </w:r>
      <w:r w:rsidR="00FE6A95" w:rsidRPr="00BF384E">
        <w:rPr>
          <w:rFonts w:hint="cs"/>
          <w:b w:val="0"/>
          <w:bCs w:val="0"/>
          <w:rtl/>
        </w:rPr>
        <w:t>لبنك المرخص (البنك الأم).</w:t>
      </w:r>
    </w:p>
    <w:p w:rsidR="00FE6A95" w:rsidRPr="00543F88" w:rsidRDefault="00FE6A95" w:rsidP="00FE6A95">
      <w:pPr>
        <w:ind w:left="2026" w:hanging="567"/>
        <w:rPr>
          <w:sz w:val="28"/>
          <w:szCs w:val="28"/>
          <w:rtl/>
        </w:rPr>
      </w:pPr>
    </w:p>
    <w:p w:rsidR="00FE6A95" w:rsidRPr="003727B7" w:rsidRDefault="00FE6A95" w:rsidP="003727B7">
      <w:pPr>
        <w:pStyle w:val="CBKContinuousPara"/>
        <w:bidi/>
        <w:ind w:left="1034" w:firstLine="0"/>
        <w:rPr>
          <w:sz w:val="28"/>
          <w:szCs w:val="28"/>
          <w:rtl/>
          <w:lang w:eastAsia="en-US"/>
        </w:rPr>
      </w:pPr>
    </w:p>
    <w:p w:rsidR="00776491" w:rsidRPr="0070397F" w:rsidRDefault="00F333AC" w:rsidP="00EC2943">
      <w:pPr>
        <w:pStyle w:val="Heading1"/>
        <w:pBdr>
          <w:bottom w:val="single" w:sz="4" w:space="1" w:color="auto"/>
        </w:pBdr>
        <w:spacing w:before="120"/>
        <w:jc w:val="center"/>
        <w:rPr>
          <w:b/>
          <w:bCs/>
          <w:rtl/>
        </w:rPr>
      </w:pPr>
      <w:r w:rsidRPr="003727B7">
        <w:rPr>
          <w:rtl/>
        </w:rPr>
        <w:br w:type="page"/>
      </w:r>
      <w:bookmarkStart w:id="8" w:name="_Toc451176010"/>
      <w:bookmarkStart w:id="9" w:name="_Toc451179991"/>
      <w:bookmarkStart w:id="10" w:name="_Toc372557471"/>
      <w:bookmarkStart w:id="11" w:name="_Toc451260322"/>
      <w:r w:rsidR="00C24AEC" w:rsidRPr="0070397F">
        <w:rPr>
          <w:rFonts w:hint="cs"/>
          <w:b/>
          <w:bCs/>
          <w:rtl/>
        </w:rPr>
        <w:lastRenderedPageBreak/>
        <w:t>الفصل الثاني</w:t>
      </w:r>
      <w:bookmarkStart w:id="12" w:name="_Toc451176011"/>
      <w:bookmarkStart w:id="13" w:name="_Toc451179992"/>
      <w:bookmarkEnd w:id="8"/>
      <w:bookmarkEnd w:id="9"/>
      <w:r w:rsidR="009B17B3" w:rsidRPr="0070397F">
        <w:rPr>
          <w:rFonts w:hint="cs"/>
          <w:b/>
          <w:bCs/>
          <w:rtl/>
        </w:rPr>
        <w:t xml:space="preserve">: </w:t>
      </w:r>
      <w:r w:rsidR="00B3109B" w:rsidRPr="0070397F">
        <w:rPr>
          <w:rFonts w:hint="cs"/>
          <w:b/>
          <w:bCs/>
          <w:rtl/>
        </w:rPr>
        <w:t>متطلبات رأس المال</w:t>
      </w:r>
      <w:bookmarkEnd w:id="10"/>
      <w:r w:rsidR="00D64D75" w:rsidRPr="0070397F">
        <w:rPr>
          <w:rFonts w:hint="cs"/>
          <w:b/>
          <w:bCs/>
          <w:rtl/>
        </w:rPr>
        <w:t xml:space="preserve"> التنظيمي</w:t>
      </w:r>
      <w:bookmarkEnd w:id="11"/>
      <w:bookmarkEnd w:id="12"/>
      <w:bookmarkEnd w:id="13"/>
    </w:p>
    <w:p w:rsidR="00D026CE" w:rsidRPr="00776491" w:rsidRDefault="00D026CE" w:rsidP="00776491">
      <w:pPr>
        <w:rPr>
          <w:rtl/>
          <w:lang w:val="x-none" w:eastAsia="x-none"/>
        </w:rPr>
      </w:pPr>
    </w:p>
    <w:p w:rsidR="00D64172" w:rsidRPr="00D64172" w:rsidRDefault="00D64D75" w:rsidP="00136C4D">
      <w:pPr>
        <w:pStyle w:val="Heading2"/>
        <w:rPr>
          <w:rtl/>
        </w:rPr>
      </w:pPr>
      <w:bookmarkStart w:id="14" w:name="_Toc372557472"/>
      <w:bookmarkStart w:id="15" w:name="_Toc451176012"/>
      <w:bookmarkStart w:id="16" w:name="_Toc451179993"/>
      <w:bookmarkStart w:id="17" w:name="_Toc451260323"/>
      <w:r w:rsidRPr="00D026CE">
        <w:rPr>
          <w:rFonts w:hint="cs"/>
          <w:rtl/>
        </w:rPr>
        <w:t>أولاً:</w:t>
      </w:r>
      <w:r w:rsidRPr="00D026CE">
        <w:rPr>
          <w:rFonts w:hint="cs"/>
          <w:rtl/>
        </w:rPr>
        <w:tab/>
      </w:r>
      <w:r w:rsidR="00B3109B" w:rsidRPr="00D026CE">
        <w:rPr>
          <w:rFonts w:hint="cs"/>
          <w:rtl/>
        </w:rPr>
        <w:t>مكونات رأس المال</w:t>
      </w:r>
      <w:r w:rsidRPr="00D026CE">
        <w:rPr>
          <w:rFonts w:hint="cs"/>
          <w:rtl/>
        </w:rPr>
        <w:t xml:space="preserve"> </w:t>
      </w:r>
      <w:r w:rsidRPr="00D64172">
        <w:rPr>
          <w:rFonts w:hint="cs"/>
          <w:rtl/>
        </w:rPr>
        <w:t>التنظيمي</w:t>
      </w:r>
      <w:bookmarkEnd w:id="14"/>
      <w:bookmarkEnd w:id="15"/>
      <w:bookmarkEnd w:id="16"/>
      <w:bookmarkEnd w:id="17"/>
    </w:p>
    <w:p w:rsidR="00B17AE2" w:rsidRPr="00D64172" w:rsidRDefault="00B3109B" w:rsidP="00957576">
      <w:pPr>
        <w:pStyle w:val="ListParagraph"/>
        <w:spacing w:line="276" w:lineRule="auto"/>
        <w:ind w:left="467"/>
        <w:rPr>
          <w:b w:val="0"/>
          <w:bCs w:val="0"/>
          <w:rtl/>
        </w:rPr>
      </w:pPr>
      <w:r w:rsidRPr="00D64172">
        <w:rPr>
          <w:rFonts w:hint="cs"/>
          <w:b w:val="0"/>
          <w:bCs w:val="0"/>
          <w:rtl/>
        </w:rPr>
        <w:t xml:space="preserve">يعالج هذا </w:t>
      </w:r>
      <w:r w:rsidR="00D64D75" w:rsidRPr="00D64172">
        <w:rPr>
          <w:rFonts w:hint="cs"/>
          <w:b w:val="0"/>
          <w:bCs w:val="0"/>
          <w:rtl/>
        </w:rPr>
        <w:t>البند</w:t>
      </w:r>
      <w:r w:rsidRPr="00D64172">
        <w:rPr>
          <w:rFonts w:hint="cs"/>
          <w:b w:val="0"/>
          <w:bCs w:val="0"/>
          <w:rtl/>
        </w:rPr>
        <w:t xml:space="preserve"> تعريف </w:t>
      </w:r>
      <w:r w:rsidR="00D64D75" w:rsidRPr="00D64172">
        <w:rPr>
          <w:rFonts w:hint="cs"/>
          <w:b w:val="0"/>
          <w:bCs w:val="0"/>
          <w:rtl/>
        </w:rPr>
        <w:t>مك</w:t>
      </w:r>
      <w:r w:rsidRPr="00D64172">
        <w:rPr>
          <w:rFonts w:hint="cs"/>
          <w:b w:val="0"/>
          <w:bCs w:val="0"/>
          <w:rtl/>
        </w:rPr>
        <w:t>ونات رأس المال</w:t>
      </w:r>
      <w:r w:rsidR="00D64D75" w:rsidRPr="00D64172">
        <w:rPr>
          <w:rFonts w:hint="cs"/>
          <w:b w:val="0"/>
          <w:bCs w:val="0"/>
          <w:rtl/>
        </w:rPr>
        <w:t xml:space="preserve"> الت</w:t>
      </w:r>
      <w:r w:rsidR="00E24B2E" w:rsidRPr="00D64172">
        <w:rPr>
          <w:rFonts w:hint="cs"/>
          <w:b w:val="0"/>
          <w:bCs w:val="0"/>
          <w:rtl/>
        </w:rPr>
        <w:t>ن</w:t>
      </w:r>
      <w:r w:rsidR="00D64D75" w:rsidRPr="00D64172">
        <w:rPr>
          <w:rFonts w:hint="cs"/>
          <w:b w:val="0"/>
          <w:bCs w:val="0"/>
          <w:rtl/>
        </w:rPr>
        <w:t>ظيمي</w:t>
      </w:r>
      <w:r w:rsidRPr="00D64172">
        <w:rPr>
          <w:rFonts w:hint="cs"/>
          <w:b w:val="0"/>
          <w:bCs w:val="0"/>
          <w:rtl/>
        </w:rPr>
        <w:t xml:space="preserve"> للبنوك</w:t>
      </w:r>
      <w:r w:rsidR="002339CF" w:rsidRPr="00D64172">
        <w:rPr>
          <w:rFonts w:hint="cs"/>
          <w:b w:val="0"/>
          <w:bCs w:val="0"/>
          <w:rtl/>
        </w:rPr>
        <w:t>،</w:t>
      </w:r>
      <w:r w:rsidRPr="00D64172">
        <w:rPr>
          <w:rFonts w:hint="cs"/>
          <w:b w:val="0"/>
          <w:bCs w:val="0"/>
          <w:rtl/>
        </w:rPr>
        <w:t xml:space="preserve"> ويتم استخدام رأس المال المؤهل جنباً إلى جنب مع الموجودات المرجحة بالمخاطر لاحتساب نسبة كفاية رأس المال</w:t>
      </w:r>
      <w:r w:rsidR="008B147C" w:rsidRPr="00D64172">
        <w:rPr>
          <w:rFonts w:hint="cs"/>
          <w:b w:val="0"/>
          <w:bCs w:val="0"/>
          <w:rtl/>
        </w:rPr>
        <w:t xml:space="preserve"> التنظيمي</w:t>
      </w:r>
      <w:r w:rsidRPr="00D64172">
        <w:rPr>
          <w:rFonts w:hint="cs"/>
          <w:b w:val="0"/>
          <w:bCs w:val="0"/>
          <w:rtl/>
        </w:rPr>
        <w:t xml:space="preserve"> للبنوك </w:t>
      </w:r>
      <w:r w:rsidR="00D64D75" w:rsidRPr="00D64172">
        <w:rPr>
          <w:b w:val="0"/>
          <w:bCs w:val="0"/>
        </w:rPr>
        <w:t xml:space="preserve">Capital </w:t>
      </w:r>
      <w:r w:rsidR="00452024" w:rsidRPr="00D64172">
        <w:rPr>
          <w:b w:val="0"/>
          <w:bCs w:val="0"/>
        </w:rPr>
        <w:t>Adequacy</w:t>
      </w:r>
      <w:r w:rsidR="00D64D75" w:rsidRPr="00D64172">
        <w:rPr>
          <w:b w:val="0"/>
          <w:bCs w:val="0"/>
        </w:rPr>
        <w:t xml:space="preserve"> Ratio</w:t>
      </w:r>
      <w:r w:rsidRPr="00D64172">
        <w:rPr>
          <w:rFonts w:hint="cs"/>
          <w:b w:val="0"/>
          <w:bCs w:val="0"/>
          <w:rtl/>
        </w:rPr>
        <w:t xml:space="preserve"> (</w:t>
      </w:r>
      <w:r w:rsidRPr="00D64172">
        <w:rPr>
          <w:b w:val="0"/>
          <w:bCs w:val="0"/>
        </w:rPr>
        <w:t>CAR</w:t>
      </w:r>
      <w:r w:rsidRPr="00D64172">
        <w:rPr>
          <w:rFonts w:hint="cs"/>
          <w:b w:val="0"/>
          <w:bCs w:val="0"/>
          <w:rtl/>
        </w:rPr>
        <w:t xml:space="preserve">)، كما سيبين هذا </w:t>
      </w:r>
      <w:r w:rsidR="002339CF" w:rsidRPr="00D64172">
        <w:rPr>
          <w:rFonts w:hint="cs"/>
          <w:b w:val="0"/>
          <w:bCs w:val="0"/>
          <w:rtl/>
        </w:rPr>
        <w:t>الجزء</w:t>
      </w:r>
      <w:r w:rsidRPr="00D64172">
        <w:rPr>
          <w:rFonts w:hint="cs"/>
          <w:b w:val="0"/>
          <w:bCs w:val="0"/>
          <w:rtl/>
        </w:rPr>
        <w:t xml:space="preserve"> المعايير والخصائص لكل مكون من مكونات رأس المال المؤهل.</w:t>
      </w:r>
    </w:p>
    <w:p w:rsidR="00B3109B" w:rsidRPr="00D64172" w:rsidRDefault="00D64D75" w:rsidP="00136C4D">
      <w:pPr>
        <w:pStyle w:val="Heading2"/>
        <w:rPr>
          <w:rtl/>
        </w:rPr>
      </w:pPr>
      <w:bookmarkStart w:id="18" w:name="_Toc451176013"/>
      <w:bookmarkStart w:id="19" w:name="_Toc451179994"/>
      <w:bookmarkStart w:id="20" w:name="_Toc451260324"/>
      <w:r w:rsidRPr="00D64172">
        <w:rPr>
          <w:rFonts w:hint="cs"/>
          <w:rtl/>
        </w:rPr>
        <w:t>ثانياً:</w:t>
      </w:r>
      <w:r w:rsidR="00E14D32" w:rsidRPr="00D64172">
        <w:rPr>
          <w:rFonts w:hint="cs"/>
          <w:rtl/>
        </w:rPr>
        <w:tab/>
      </w:r>
      <w:r w:rsidR="00B3109B" w:rsidRPr="00D64172">
        <w:rPr>
          <w:rFonts w:hint="cs"/>
          <w:rtl/>
        </w:rPr>
        <w:t>عناصر رأس المال</w:t>
      </w:r>
      <w:bookmarkEnd w:id="18"/>
      <w:bookmarkEnd w:id="19"/>
      <w:bookmarkEnd w:id="20"/>
      <w:r w:rsidR="00B3109B" w:rsidRPr="00D64172">
        <w:rPr>
          <w:rFonts w:hint="cs"/>
          <w:rtl/>
        </w:rPr>
        <w:t xml:space="preserve"> </w:t>
      </w:r>
    </w:p>
    <w:p w:rsidR="00B3109B" w:rsidRPr="00D026CE" w:rsidRDefault="00B3109B" w:rsidP="00277449">
      <w:pPr>
        <w:pStyle w:val="ListParagraph"/>
        <w:numPr>
          <w:ilvl w:val="0"/>
          <w:numId w:val="24"/>
        </w:numPr>
        <w:spacing w:line="276" w:lineRule="auto"/>
        <w:ind w:left="708" w:hanging="425"/>
        <w:rPr>
          <w:sz w:val="27"/>
          <w:szCs w:val="27"/>
          <w:rtl/>
        </w:rPr>
      </w:pPr>
      <w:r w:rsidRPr="00D026CE">
        <w:rPr>
          <w:rFonts w:hint="cs"/>
          <w:sz w:val="27"/>
          <w:szCs w:val="27"/>
          <w:rtl/>
        </w:rPr>
        <w:t xml:space="preserve">يتكون رأس المال </w:t>
      </w:r>
      <w:r w:rsidR="00BA445D" w:rsidRPr="00D026CE">
        <w:rPr>
          <w:rFonts w:hint="cs"/>
          <w:sz w:val="27"/>
          <w:szCs w:val="27"/>
          <w:rtl/>
        </w:rPr>
        <w:t>التنظيمي</w:t>
      </w:r>
      <w:r w:rsidRPr="00D026CE">
        <w:rPr>
          <w:rFonts w:hint="cs"/>
          <w:sz w:val="27"/>
          <w:szCs w:val="27"/>
          <w:rtl/>
        </w:rPr>
        <w:t xml:space="preserve"> المؤهل من العناصر التالية :</w:t>
      </w:r>
    </w:p>
    <w:p w:rsidR="00B3109B" w:rsidRPr="00D64172" w:rsidRDefault="00D64D75" w:rsidP="00E52119">
      <w:pPr>
        <w:ind w:left="1275" w:hanging="567"/>
        <w:rPr>
          <w:b w:val="0"/>
          <w:bCs w:val="0"/>
          <w:rtl/>
          <w:lang w:bidi="ar-IQ"/>
        </w:rPr>
      </w:pPr>
      <w:r w:rsidRPr="00D64172">
        <w:rPr>
          <w:rFonts w:hint="cs"/>
          <w:b w:val="0"/>
          <w:bCs w:val="0"/>
          <w:rtl/>
        </w:rPr>
        <w:t>1.1</w:t>
      </w:r>
      <w:r w:rsidR="00D64172" w:rsidRPr="00D64172">
        <w:rPr>
          <w:rFonts w:hint="cs"/>
          <w:b w:val="0"/>
          <w:bCs w:val="0"/>
          <w:rtl/>
        </w:rPr>
        <w:t>.</w:t>
      </w:r>
      <w:r w:rsidR="00B3109B" w:rsidRPr="00D026CE">
        <w:rPr>
          <w:rFonts w:hint="cs"/>
          <w:sz w:val="27"/>
          <w:szCs w:val="27"/>
          <w:rtl/>
        </w:rPr>
        <w:tab/>
      </w:r>
      <w:r w:rsidR="00B3109B" w:rsidRPr="00D64172">
        <w:rPr>
          <w:rFonts w:hint="cs"/>
          <w:b w:val="0"/>
          <w:bCs w:val="0"/>
          <w:rtl/>
        </w:rPr>
        <w:t xml:space="preserve">الشريحة الأولى من رأس </w:t>
      </w:r>
      <w:r w:rsidR="00B3109B" w:rsidRPr="0036451D">
        <w:rPr>
          <w:rFonts w:eastAsiaTheme="majorEastAsia" w:hint="cs"/>
          <w:b w:val="0"/>
          <w:bCs w:val="0"/>
          <w:rtl/>
        </w:rPr>
        <w:t>المال</w:t>
      </w:r>
      <w:r w:rsidR="00B3109B" w:rsidRPr="00D64172">
        <w:rPr>
          <w:rFonts w:hint="cs"/>
          <w:b w:val="0"/>
          <w:bCs w:val="0"/>
          <w:rtl/>
        </w:rPr>
        <w:t xml:space="preserve"> </w:t>
      </w:r>
      <w:r w:rsidR="00B3109B" w:rsidRPr="00D64172">
        <w:rPr>
          <w:b w:val="0"/>
          <w:bCs w:val="0"/>
        </w:rPr>
        <w:t>(Tier 1)</w:t>
      </w:r>
      <w:r w:rsidR="00B3109B" w:rsidRPr="00D64172">
        <w:rPr>
          <w:rFonts w:hint="cs"/>
          <w:b w:val="0"/>
          <w:bCs w:val="0"/>
          <w:rtl/>
        </w:rPr>
        <w:t xml:space="preserve"> (رأس المال </w:t>
      </w:r>
      <w:r w:rsidR="00B3109B" w:rsidRPr="00D64172">
        <w:rPr>
          <w:rFonts w:hint="cs"/>
          <w:b w:val="0"/>
          <w:bCs w:val="0"/>
          <w:rtl/>
          <w:lang w:bidi="ar-IQ"/>
        </w:rPr>
        <w:t>لضمان استمرارية عمل البنك)</w:t>
      </w:r>
      <w:r w:rsidRPr="00D64172">
        <w:rPr>
          <w:rFonts w:hint="cs"/>
          <w:b w:val="0"/>
          <w:bCs w:val="0"/>
          <w:rtl/>
          <w:lang w:bidi="ar-IQ"/>
        </w:rPr>
        <w:t xml:space="preserve"> (</w:t>
      </w:r>
      <w:r w:rsidRPr="00D64172">
        <w:rPr>
          <w:b w:val="0"/>
          <w:bCs w:val="0"/>
          <w:lang w:bidi="ar-IQ"/>
        </w:rPr>
        <w:t xml:space="preserve">Going </w:t>
      </w:r>
      <w:r w:rsidR="00A41D37" w:rsidRPr="00D64172">
        <w:rPr>
          <w:b w:val="0"/>
          <w:bCs w:val="0"/>
          <w:lang w:bidi="ar-IQ"/>
        </w:rPr>
        <w:t>C</w:t>
      </w:r>
      <w:r w:rsidRPr="00D64172">
        <w:rPr>
          <w:b w:val="0"/>
          <w:bCs w:val="0"/>
          <w:lang w:bidi="ar-IQ"/>
        </w:rPr>
        <w:t>oncern</w:t>
      </w:r>
      <w:r w:rsidRPr="00D64172">
        <w:rPr>
          <w:rFonts w:hint="cs"/>
          <w:b w:val="0"/>
          <w:bCs w:val="0"/>
          <w:rtl/>
          <w:lang w:bidi="ar-JO"/>
        </w:rPr>
        <w:t>)</w:t>
      </w:r>
      <w:r w:rsidR="00543F88" w:rsidRPr="00D64172">
        <w:rPr>
          <w:rFonts w:hint="cs"/>
          <w:b w:val="0"/>
          <w:bCs w:val="0"/>
          <w:rtl/>
          <w:lang w:bidi="ar-IQ"/>
        </w:rPr>
        <w:t>، وتتكون مما يلي:</w:t>
      </w:r>
    </w:p>
    <w:p w:rsidR="00B3109B" w:rsidRPr="00D64172" w:rsidRDefault="00D64D75" w:rsidP="00E52119">
      <w:pPr>
        <w:ind w:left="1984" w:hanging="709"/>
        <w:rPr>
          <w:b w:val="0"/>
          <w:bCs w:val="0"/>
        </w:rPr>
      </w:pPr>
      <w:r w:rsidRPr="00D64172">
        <w:rPr>
          <w:rFonts w:hint="cs"/>
          <w:b w:val="0"/>
          <w:bCs w:val="0"/>
          <w:rtl/>
        </w:rPr>
        <w:t>1.1.1</w:t>
      </w:r>
      <w:r w:rsidR="00D64172" w:rsidRPr="00D64172">
        <w:rPr>
          <w:rFonts w:hint="cs"/>
          <w:b w:val="0"/>
          <w:bCs w:val="0"/>
          <w:rtl/>
        </w:rPr>
        <w:t xml:space="preserve">. </w:t>
      </w:r>
      <w:r w:rsidR="00B3109B" w:rsidRPr="00D64172">
        <w:rPr>
          <w:rFonts w:hint="cs"/>
          <w:b w:val="0"/>
          <w:bCs w:val="0"/>
          <w:rtl/>
        </w:rPr>
        <w:t xml:space="preserve">حقوق </w:t>
      </w:r>
      <w:r w:rsidR="00F765A0" w:rsidRPr="00D64172">
        <w:rPr>
          <w:rFonts w:hint="cs"/>
          <w:b w:val="0"/>
          <w:bCs w:val="0"/>
          <w:rtl/>
        </w:rPr>
        <w:t xml:space="preserve">حملة </w:t>
      </w:r>
      <w:r w:rsidR="00D64172" w:rsidRPr="00D64172">
        <w:rPr>
          <w:rFonts w:hint="cs"/>
          <w:b w:val="0"/>
          <w:bCs w:val="0"/>
          <w:rtl/>
        </w:rPr>
        <w:t>الأسهم</w:t>
      </w:r>
      <w:r w:rsidR="00F765A0" w:rsidRPr="00D64172">
        <w:rPr>
          <w:rFonts w:hint="cs"/>
          <w:b w:val="0"/>
          <w:bCs w:val="0"/>
          <w:rtl/>
        </w:rPr>
        <w:t xml:space="preserve"> </w:t>
      </w:r>
      <w:r w:rsidR="00F765A0" w:rsidRPr="0036451D">
        <w:rPr>
          <w:rFonts w:eastAsiaTheme="majorEastAsia" w:hint="cs"/>
          <w:b w:val="0"/>
          <w:bCs w:val="0"/>
          <w:rtl/>
        </w:rPr>
        <w:t>العادية</w:t>
      </w:r>
      <w:r w:rsidR="00543F88" w:rsidRPr="00D64172">
        <w:rPr>
          <w:rFonts w:hint="cs"/>
          <w:b w:val="0"/>
          <w:bCs w:val="0"/>
          <w:rtl/>
        </w:rPr>
        <w:t xml:space="preserve"> </w:t>
      </w:r>
      <w:r w:rsidR="00543F88" w:rsidRPr="00D64172">
        <w:rPr>
          <w:b w:val="0"/>
          <w:bCs w:val="0"/>
        </w:rPr>
        <w:t xml:space="preserve">Common Equity </w:t>
      </w:r>
      <w:r w:rsidR="001D60FF" w:rsidRPr="00D64172">
        <w:rPr>
          <w:b w:val="0"/>
          <w:bCs w:val="0"/>
        </w:rPr>
        <w:t xml:space="preserve">Tier1 </w:t>
      </w:r>
      <w:r w:rsidR="00B3109B" w:rsidRPr="00D64172">
        <w:rPr>
          <w:rFonts w:hint="cs"/>
          <w:b w:val="0"/>
          <w:bCs w:val="0"/>
          <w:rtl/>
        </w:rPr>
        <w:t>(</w:t>
      </w:r>
      <w:r w:rsidR="00B3109B" w:rsidRPr="00D64172">
        <w:rPr>
          <w:b w:val="0"/>
          <w:bCs w:val="0"/>
        </w:rPr>
        <w:t>CET1</w:t>
      </w:r>
      <w:r w:rsidR="00B3109B" w:rsidRPr="00D64172">
        <w:rPr>
          <w:rFonts w:hint="cs"/>
          <w:b w:val="0"/>
          <w:bCs w:val="0"/>
          <w:rtl/>
        </w:rPr>
        <w:t>).</w:t>
      </w:r>
    </w:p>
    <w:p w:rsidR="00B3109B" w:rsidRPr="00D64172" w:rsidRDefault="00D64D75" w:rsidP="00E52119">
      <w:pPr>
        <w:ind w:left="1984" w:hanging="709"/>
        <w:rPr>
          <w:b w:val="0"/>
          <w:bCs w:val="0"/>
        </w:rPr>
      </w:pPr>
      <w:r w:rsidRPr="00D64172">
        <w:rPr>
          <w:rFonts w:hint="cs"/>
          <w:b w:val="0"/>
          <w:bCs w:val="0"/>
          <w:rtl/>
        </w:rPr>
        <w:t>2.1.1</w:t>
      </w:r>
      <w:r w:rsidR="00D64172">
        <w:rPr>
          <w:rFonts w:hint="cs"/>
          <w:b w:val="0"/>
          <w:bCs w:val="0"/>
          <w:rtl/>
        </w:rPr>
        <w:t xml:space="preserve">. </w:t>
      </w:r>
      <w:r w:rsidR="00B3109B" w:rsidRPr="00D64172">
        <w:rPr>
          <w:rFonts w:hint="cs"/>
          <w:b w:val="0"/>
          <w:bCs w:val="0"/>
          <w:rtl/>
        </w:rPr>
        <w:t xml:space="preserve">رأس المال الإضافي </w:t>
      </w:r>
      <w:r w:rsidR="001D60FF" w:rsidRPr="00D64172">
        <w:rPr>
          <w:b w:val="0"/>
          <w:bCs w:val="0"/>
        </w:rPr>
        <w:t xml:space="preserve">Additional Tier 1 </w:t>
      </w:r>
      <w:r w:rsidR="00B3109B" w:rsidRPr="00D64172">
        <w:rPr>
          <w:rFonts w:hint="cs"/>
          <w:b w:val="0"/>
          <w:bCs w:val="0"/>
          <w:rtl/>
        </w:rPr>
        <w:t>(</w:t>
      </w:r>
      <w:r w:rsidR="00B3109B" w:rsidRPr="00D64172">
        <w:rPr>
          <w:b w:val="0"/>
          <w:bCs w:val="0"/>
        </w:rPr>
        <w:t>AT1</w:t>
      </w:r>
      <w:r w:rsidR="00B3109B" w:rsidRPr="00D64172">
        <w:rPr>
          <w:rFonts w:hint="cs"/>
          <w:b w:val="0"/>
          <w:bCs w:val="0"/>
          <w:rtl/>
        </w:rPr>
        <w:t>).</w:t>
      </w:r>
    </w:p>
    <w:p w:rsidR="00B3109B" w:rsidRPr="00D64172" w:rsidRDefault="00D64D75" w:rsidP="00E52119">
      <w:pPr>
        <w:ind w:left="1275" w:hanging="567"/>
        <w:rPr>
          <w:b w:val="0"/>
          <w:bCs w:val="0"/>
          <w:rtl/>
        </w:rPr>
      </w:pPr>
      <w:r w:rsidRPr="00D64172">
        <w:rPr>
          <w:rFonts w:hint="cs"/>
          <w:b w:val="0"/>
          <w:bCs w:val="0"/>
          <w:rtl/>
        </w:rPr>
        <w:t>2.1</w:t>
      </w:r>
      <w:r w:rsidR="00D64172">
        <w:rPr>
          <w:rFonts w:hint="cs"/>
          <w:b w:val="0"/>
          <w:bCs w:val="0"/>
          <w:rtl/>
        </w:rPr>
        <w:t>.</w:t>
      </w:r>
      <w:r w:rsidR="00E14D32" w:rsidRPr="00D64172">
        <w:rPr>
          <w:rFonts w:hint="cs"/>
          <w:b w:val="0"/>
          <w:bCs w:val="0"/>
          <w:rtl/>
        </w:rPr>
        <w:tab/>
      </w:r>
      <w:r w:rsidR="00B3109B" w:rsidRPr="00D64172">
        <w:rPr>
          <w:rFonts w:hint="cs"/>
          <w:b w:val="0"/>
          <w:bCs w:val="0"/>
          <w:rtl/>
        </w:rPr>
        <w:t xml:space="preserve">الشريحة </w:t>
      </w:r>
      <w:r w:rsidR="00B3109B" w:rsidRPr="0036451D">
        <w:rPr>
          <w:rFonts w:eastAsiaTheme="majorEastAsia" w:hint="cs"/>
          <w:b w:val="0"/>
          <w:bCs w:val="0"/>
          <w:rtl/>
        </w:rPr>
        <w:t>الثانية</w:t>
      </w:r>
      <w:r w:rsidR="001D60FF" w:rsidRPr="00D64172">
        <w:rPr>
          <w:b w:val="0"/>
          <w:bCs w:val="0"/>
        </w:rPr>
        <w:t xml:space="preserve"> Tier 2 </w:t>
      </w:r>
      <w:r w:rsidR="00B3109B" w:rsidRPr="00D64172">
        <w:rPr>
          <w:rFonts w:hint="cs"/>
          <w:b w:val="0"/>
          <w:bCs w:val="0"/>
          <w:rtl/>
        </w:rPr>
        <w:t>(</w:t>
      </w:r>
      <w:r w:rsidR="00B3109B" w:rsidRPr="00D64172">
        <w:rPr>
          <w:b w:val="0"/>
          <w:bCs w:val="0"/>
        </w:rPr>
        <w:t>T2</w:t>
      </w:r>
      <w:r w:rsidR="00B3109B" w:rsidRPr="00D64172">
        <w:rPr>
          <w:rFonts w:hint="cs"/>
          <w:b w:val="0"/>
          <w:bCs w:val="0"/>
          <w:rtl/>
        </w:rPr>
        <w:t xml:space="preserve">) </w:t>
      </w:r>
      <w:r w:rsidRPr="00D64172">
        <w:rPr>
          <w:rFonts w:hint="cs"/>
          <w:b w:val="0"/>
          <w:bCs w:val="0"/>
          <w:rtl/>
        </w:rPr>
        <w:t>وهو رأس المال الذي يستخدم في حال عدم الاستمرارية (التصفية) (</w:t>
      </w:r>
      <w:r w:rsidRPr="00D64172">
        <w:rPr>
          <w:b w:val="0"/>
          <w:bCs w:val="0"/>
        </w:rPr>
        <w:t xml:space="preserve">Gone </w:t>
      </w:r>
      <w:r w:rsidR="00A41D37" w:rsidRPr="00D64172">
        <w:rPr>
          <w:b w:val="0"/>
          <w:bCs w:val="0"/>
        </w:rPr>
        <w:t>C</w:t>
      </w:r>
      <w:r w:rsidRPr="00D64172">
        <w:rPr>
          <w:b w:val="0"/>
          <w:bCs w:val="0"/>
        </w:rPr>
        <w:t>oncern</w:t>
      </w:r>
      <w:r w:rsidRPr="00D64172">
        <w:rPr>
          <w:rFonts w:hint="cs"/>
          <w:b w:val="0"/>
          <w:bCs w:val="0"/>
          <w:rtl/>
          <w:lang w:bidi="ar-JO"/>
        </w:rPr>
        <w:t>)</w:t>
      </w:r>
      <w:r w:rsidR="00205F52" w:rsidRPr="00D64172">
        <w:rPr>
          <w:rFonts w:hint="cs"/>
          <w:b w:val="0"/>
          <w:bCs w:val="0"/>
          <w:rtl/>
        </w:rPr>
        <w:t>، وكما هو مبين في البند (ثالثاً/3)</w:t>
      </w:r>
      <w:r w:rsidR="00776491" w:rsidRPr="00D64172">
        <w:rPr>
          <w:rFonts w:hint="cs"/>
          <w:b w:val="0"/>
          <w:bCs w:val="0"/>
          <w:rtl/>
        </w:rPr>
        <w:t xml:space="preserve"> من هذا الفصل</w:t>
      </w:r>
      <w:r w:rsidR="00016A24" w:rsidRPr="00D64172">
        <w:rPr>
          <w:rStyle w:val="FootnoteReference"/>
          <w:b w:val="0"/>
          <w:bCs w:val="0"/>
          <w:rtl/>
        </w:rPr>
        <w:footnoteReference w:id="4"/>
      </w:r>
      <w:r w:rsidR="00205F52" w:rsidRPr="00D64172">
        <w:rPr>
          <w:rFonts w:hint="cs"/>
          <w:b w:val="0"/>
          <w:bCs w:val="0"/>
          <w:rtl/>
        </w:rPr>
        <w:t>.</w:t>
      </w:r>
    </w:p>
    <w:p w:rsidR="00B3109B" w:rsidRPr="00D64172" w:rsidRDefault="00B3109B" w:rsidP="00277449">
      <w:pPr>
        <w:pStyle w:val="ListParagraph"/>
        <w:numPr>
          <w:ilvl w:val="0"/>
          <w:numId w:val="24"/>
        </w:numPr>
        <w:spacing w:line="276" w:lineRule="auto"/>
        <w:ind w:left="708" w:hanging="425"/>
        <w:rPr>
          <w:rtl/>
        </w:rPr>
      </w:pPr>
      <w:r w:rsidRPr="00D64172">
        <w:rPr>
          <w:rFonts w:hint="cs"/>
          <w:rtl/>
        </w:rPr>
        <w:t>لكل نوع من الأنواع الثلاثة من رأس المال (</w:t>
      </w:r>
      <w:r w:rsidRPr="00D64172">
        <w:t>CET1,AT1,T2</w:t>
      </w:r>
      <w:r w:rsidRPr="00D64172">
        <w:rPr>
          <w:rFonts w:hint="cs"/>
          <w:rtl/>
        </w:rPr>
        <w:t>) مجموعة محددة من المعايير التي يجب أن تحققها الأداة المالية قبل تضمينها في الفئة ذات</w:t>
      </w:r>
      <w:r w:rsidR="008B6EA5" w:rsidRPr="00D64172">
        <w:rPr>
          <w:rFonts w:hint="cs"/>
          <w:rtl/>
        </w:rPr>
        <w:t xml:space="preserve"> الصلة وكما هو مبين </w:t>
      </w:r>
      <w:r w:rsidR="001D60FF" w:rsidRPr="00D64172">
        <w:rPr>
          <w:rFonts w:hint="cs"/>
          <w:rtl/>
        </w:rPr>
        <w:t>لاحقاً.</w:t>
      </w:r>
    </w:p>
    <w:p w:rsidR="008E0C4C" w:rsidRPr="00D64172" w:rsidRDefault="00B3109B" w:rsidP="00306EB1">
      <w:pPr>
        <w:pStyle w:val="ListParagraph"/>
        <w:numPr>
          <w:ilvl w:val="0"/>
          <w:numId w:val="24"/>
        </w:numPr>
        <w:spacing w:line="276" w:lineRule="auto"/>
        <w:ind w:left="708" w:hanging="425"/>
        <w:rPr>
          <w:rtl/>
          <w:lang w:bidi="ar-JO"/>
        </w:rPr>
      </w:pPr>
      <w:r w:rsidRPr="00D64172">
        <w:rPr>
          <w:rFonts w:hint="cs"/>
          <w:rtl/>
        </w:rPr>
        <w:t>جميع عناصر رأس المال تكون</w:t>
      </w:r>
      <w:r w:rsidR="008B6EA5" w:rsidRPr="00D64172">
        <w:rPr>
          <w:rFonts w:hint="cs"/>
          <w:rtl/>
        </w:rPr>
        <w:t xml:space="preserve"> بعد استبعاد التعديلات الرقابية</w:t>
      </w:r>
      <w:r w:rsidR="002339CF" w:rsidRPr="00D64172">
        <w:rPr>
          <w:rFonts w:hint="cs"/>
          <w:rtl/>
        </w:rPr>
        <w:t xml:space="preserve"> (</w:t>
      </w:r>
      <w:r w:rsidR="00776491" w:rsidRPr="00D64172">
        <w:rPr>
          <w:rFonts w:hint="cs"/>
          <w:rtl/>
        </w:rPr>
        <w:t>الطروحات</w:t>
      </w:r>
      <w:r w:rsidR="002339CF" w:rsidRPr="00D64172">
        <w:rPr>
          <w:rFonts w:hint="cs"/>
          <w:rtl/>
        </w:rPr>
        <w:t>)</w:t>
      </w:r>
      <w:r w:rsidR="001D60FF" w:rsidRPr="00D64172">
        <w:rPr>
          <w:rFonts w:hint="cs"/>
          <w:rtl/>
        </w:rPr>
        <w:t xml:space="preserve"> والمحددة في البند (</w:t>
      </w:r>
      <w:r w:rsidR="00AF1543" w:rsidRPr="00D64172">
        <w:rPr>
          <w:rFonts w:hint="cs"/>
          <w:rtl/>
        </w:rPr>
        <w:t>رابعاً</w:t>
      </w:r>
      <w:r w:rsidR="001D60FF" w:rsidRPr="00D64172">
        <w:rPr>
          <w:rFonts w:hint="cs"/>
          <w:rtl/>
        </w:rPr>
        <w:t>)</w:t>
      </w:r>
      <w:r w:rsidR="00776491" w:rsidRPr="00D64172">
        <w:rPr>
          <w:rFonts w:hint="cs"/>
          <w:rtl/>
        </w:rPr>
        <w:t xml:space="preserve"> من هذا الفصل</w:t>
      </w:r>
      <w:r w:rsidR="008B6EA5" w:rsidRPr="00D64172">
        <w:rPr>
          <w:rFonts w:hint="cs"/>
          <w:rtl/>
        </w:rPr>
        <w:t xml:space="preserve">، </w:t>
      </w:r>
      <w:r w:rsidR="008E0C4C" w:rsidRPr="00D64172">
        <w:rPr>
          <w:rFonts w:hint="cs"/>
          <w:rtl/>
        </w:rPr>
        <w:t xml:space="preserve">وبحيث لا يقل إجمالي رأس </w:t>
      </w:r>
      <w:r w:rsidR="00C7582A" w:rsidRPr="00D64172">
        <w:rPr>
          <w:rFonts w:hint="cs"/>
          <w:rtl/>
        </w:rPr>
        <w:t xml:space="preserve">المال التنظيمي </w:t>
      </w:r>
      <w:r w:rsidR="008E0C4C" w:rsidRPr="00D64172">
        <w:rPr>
          <w:rFonts w:hint="cs"/>
          <w:rtl/>
        </w:rPr>
        <w:t xml:space="preserve">عن </w:t>
      </w:r>
      <w:r w:rsidR="008E0C4C" w:rsidRPr="00D64172">
        <w:rPr>
          <w:rFonts w:hint="cs"/>
          <w:rtl/>
          <w:lang w:bidi="ar-JO"/>
        </w:rPr>
        <w:t xml:space="preserve">(12%) من </w:t>
      </w:r>
      <w:r w:rsidR="00C51EF3" w:rsidRPr="00D64172">
        <w:rPr>
          <w:rFonts w:hint="cs"/>
          <w:rtl/>
          <w:lang w:bidi="ar-JO"/>
        </w:rPr>
        <w:t xml:space="preserve">الموجودات </w:t>
      </w:r>
      <w:r w:rsidR="008E0C4C" w:rsidRPr="00D64172">
        <w:rPr>
          <w:rFonts w:hint="cs"/>
          <w:rtl/>
          <w:lang w:bidi="ar-JO"/>
        </w:rPr>
        <w:t xml:space="preserve">المرجحة لمخاطر الائتمان والسوق والتشغيل في جميع الأوقات، </w:t>
      </w:r>
      <w:r w:rsidR="00C7582A" w:rsidRPr="00D64172">
        <w:rPr>
          <w:rFonts w:hint="cs"/>
          <w:rtl/>
          <w:lang w:bidi="ar-JO"/>
        </w:rPr>
        <w:t xml:space="preserve">وبحيث تكون مكونات النسبة كما يلي: </w:t>
      </w:r>
      <w:r w:rsidR="008E0C4C" w:rsidRPr="00D64172">
        <w:rPr>
          <w:rFonts w:hint="cs"/>
          <w:rtl/>
          <w:lang w:bidi="ar-JO"/>
        </w:rPr>
        <w:t xml:space="preserve"> </w:t>
      </w:r>
    </w:p>
    <w:p w:rsidR="008B6EA5" w:rsidRPr="00D64172" w:rsidRDefault="00D64D75" w:rsidP="00E52119">
      <w:pPr>
        <w:ind w:left="1275" w:hanging="567"/>
        <w:rPr>
          <w:b w:val="0"/>
          <w:bCs w:val="0"/>
          <w:rtl/>
          <w:lang w:bidi="ar-JO"/>
        </w:rPr>
      </w:pPr>
      <w:r w:rsidRPr="00D64172">
        <w:rPr>
          <w:rFonts w:hint="cs"/>
          <w:b w:val="0"/>
          <w:bCs w:val="0"/>
          <w:rtl/>
        </w:rPr>
        <w:t>1.3</w:t>
      </w:r>
      <w:r w:rsidR="00D64172" w:rsidRPr="00D64172">
        <w:rPr>
          <w:rFonts w:hint="cs"/>
          <w:b w:val="0"/>
          <w:bCs w:val="0"/>
          <w:rtl/>
        </w:rPr>
        <w:t>.</w:t>
      </w:r>
      <w:r w:rsidR="008B6EA5" w:rsidRPr="00D64172">
        <w:rPr>
          <w:rFonts w:hint="cs"/>
          <w:b w:val="0"/>
          <w:bCs w:val="0"/>
          <w:rtl/>
        </w:rPr>
        <w:tab/>
        <w:t xml:space="preserve">يجب أن </w:t>
      </w:r>
      <w:r w:rsidR="002339CF" w:rsidRPr="00D64172">
        <w:rPr>
          <w:rFonts w:hint="cs"/>
          <w:b w:val="0"/>
          <w:bCs w:val="0"/>
          <w:rtl/>
        </w:rPr>
        <w:t xml:space="preserve">لا </w:t>
      </w:r>
      <w:r w:rsidR="002339CF" w:rsidRPr="0036451D">
        <w:rPr>
          <w:rFonts w:eastAsiaTheme="majorEastAsia" w:hint="cs"/>
          <w:b w:val="0"/>
          <w:bCs w:val="0"/>
          <w:rtl/>
        </w:rPr>
        <w:t>تقل</w:t>
      </w:r>
      <w:r w:rsidR="008B6EA5" w:rsidRPr="00D64172">
        <w:rPr>
          <w:rFonts w:hint="cs"/>
          <w:b w:val="0"/>
          <w:bCs w:val="0"/>
          <w:rtl/>
        </w:rPr>
        <w:t xml:space="preserve"> حقوق حملة الأسهم العادية (</w:t>
      </w:r>
      <w:r w:rsidR="008B6EA5" w:rsidRPr="00D64172">
        <w:rPr>
          <w:b w:val="0"/>
          <w:bCs w:val="0"/>
        </w:rPr>
        <w:t>CET1</w:t>
      </w:r>
      <w:r w:rsidR="002339CF" w:rsidRPr="00D64172">
        <w:rPr>
          <w:rFonts w:hint="cs"/>
          <w:b w:val="0"/>
          <w:bCs w:val="0"/>
          <w:rtl/>
          <w:lang w:bidi="ar-JO"/>
        </w:rPr>
        <w:t xml:space="preserve">) </w:t>
      </w:r>
      <w:r w:rsidR="00C6262A" w:rsidRPr="00D64172">
        <w:rPr>
          <w:rFonts w:hint="cs"/>
          <w:b w:val="0"/>
          <w:bCs w:val="0"/>
          <w:rtl/>
          <w:lang w:bidi="ar-JO"/>
        </w:rPr>
        <w:t xml:space="preserve">عن </w:t>
      </w:r>
      <w:r w:rsidR="002339CF" w:rsidRPr="00D64172">
        <w:rPr>
          <w:rFonts w:hint="cs"/>
          <w:b w:val="0"/>
          <w:bCs w:val="0"/>
          <w:rtl/>
          <w:lang w:bidi="ar-JO"/>
        </w:rPr>
        <w:t>(</w:t>
      </w:r>
      <w:r w:rsidR="001D60FF" w:rsidRPr="00D64172">
        <w:rPr>
          <w:rFonts w:hint="cs"/>
          <w:b w:val="0"/>
          <w:bCs w:val="0"/>
          <w:rtl/>
          <w:lang w:bidi="ar-JO"/>
        </w:rPr>
        <w:t>6</w:t>
      </w:r>
      <w:r w:rsidR="00D64172" w:rsidRPr="00D64172">
        <w:rPr>
          <w:rFonts w:hint="cs"/>
          <w:b w:val="0"/>
          <w:bCs w:val="0"/>
          <w:rtl/>
          <w:lang w:bidi="ar-JO"/>
        </w:rPr>
        <w:t>%) من</w:t>
      </w:r>
      <w:r w:rsidR="00C51EF3" w:rsidRPr="00D64172">
        <w:rPr>
          <w:rFonts w:hint="cs"/>
          <w:b w:val="0"/>
          <w:bCs w:val="0"/>
          <w:rtl/>
          <w:lang w:bidi="ar-JO"/>
        </w:rPr>
        <w:t xml:space="preserve"> الموجودات </w:t>
      </w:r>
      <w:r w:rsidR="002339CF" w:rsidRPr="00D64172">
        <w:rPr>
          <w:rFonts w:hint="cs"/>
          <w:b w:val="0"/>
          <w:bCs w:val="0"/>
          <w:rtl/>
          <w:lang w:bidi="ar-JO"/>
        </w:rPr>
        <w:t xml:space="preserve">المرجحة </w:t>
      </w:r>
      <w:r w:rsidR="008B6EA5" w:rsidRPr="00D64172">
        <w:rPr>
          <w:rFonts w:hint="cs"/>
          <w:b w:val="0"/>
          <w:bCs w:val="0"/>
          <w:rtl/>
          <w:lang w:bidi="ar-JO"/>
        </w:rPr>
        <w:t>لمخاطر</w:t>
      </w:r>
      <w:r w:rsidR="002339CF" w:rsidRPr="00D64172">
        <w:rPr>
          <w:rFonts w:hint="cs"/>
          <w:b w:val="0"/>
          <w:bCs w:val="0"/>
          <w:rtl/>
          <w:lang w:bidi="ar-JO"/>
        </w:rPr>
        <w:t xml:space="preserve"> الائتمان والسوق والتشغيل</w:t>
      </w:r>
      <w:r w:rsidR="008B6EA5" w:rsidRPr="00D64172">
        <w:rPr>
          <w:rFonts w:hint="cs"/>
          <w:b w:val="0"/>
          <w:bCs w:val="0"/>
          <w:rtl/>
          <w:lang w:bidi="ar-JO"/>
        </w:rPr>
        <w:t xml:space="preserve"> في جميع الأوقات. </w:t>
      </w:r>
    </w:p>
    <w:p w:rsidR="008B6EA5" w:rsidRPr="00D64172" w:rsidRDefault="00D64D75" w:rsidP="005C20BD">
      <w:pPr>
        <w:ind w:left="1275" w:hanging="567"/>
        <w:rPr>
          <w:b w:val="0"/>
          <w:bCs w:val="0"/>
          <w:rtl/>
        </w:rPr>
      </w:pPr>
      <w:r w:rsidRPr="00D64172">
        <w:rPr>
          <w:rFonts w:hint="cs"/>
          <w:b w:val="0"/>
          <w:bCs w:val="0"/>
          <w:rtl/>
        </w:rPr>
        <w:t>2.3</w:t>
      </w:r>
      <w:r w:rsidR="00D64172" w:rsidRPr="00D64172">
        <w:rPr>
          <w:rFonts w:hint="cs"/>
          <w:b w:val="0"/>
          <w:bCs w:val="0"/>
          <w:rtl/>
        </w:rPr>
        <w:t>.</w:t>
      </w:r>
      <w:r w:rsidR="008B6EA5" w:rsidRPr="00D64172">
        <w:rPr>
          <w:rFonts w:hint="cs"/>
          <w:b w:val="0"/>
          <w:bCs w:val="0"/>
          <w:rtl/>
        </w:rPr>
        <w:tab/>
        <w:t xml:space="preserve">يجب أن </w:t>
      </w:r>
      <w:r w:rsidR="002339CF" w:rsidRPr="00D64172">
        <w:rPr>
          <w:rFonts w:hint="cs"/>
          <w:b w:val="0"/>
          <w:bCs w:val="0"/>
          <w:rtl/>
        </w:rPr>
        <w:t xml:space="preserve">لا </w:t>
      </w:r>
      <w:r w:rsidR="00C7582A" w:rsidRPr="00D64172">
        <w:rPr>
          <w:rFonts w:hint="cs"/>
          <w:b w:val="0"/>
          <w:bCs w:val="0"/>
          <w:rtl/>
        </w:rPr>
        <w:t>يزيد</w:t>
      </w:r>
      <w:r w:rsidR="002339CF" w:rsidRPr="00D64172">
        <w:rPr>
          <w:rFonts w:hint="cs"/>
          <w:b w:val="0"/>
          <w:bCs w:val="0"/>
          <w:rtl/>
        </w:rPr>
        <w:t xml:space="preserve"> </w:t>
      </w:r>
      <w:r w:rsidR="008B6EA5" w:rsidRPr="00D64172">
        <w:rPr>
          <w:rFonts w:hint="cs"/>
          <w:b w:val="0"/>
          <w:bCs w:val="0"/>
          <w:rtl/>
        </w:rPr>
        <w:t>رأس المال</w:t>
      </w:r>
      <w:r w:rsidR="00C7582A" w:rsidRPr="00D64172">
        <w:rPr>
          <w:rFonts w:hint="cs"/>
          <w:b w:val="0"/>
          <w:bCs w:val="0"/>
          <w:rtl/>
        </w:rPr>
        <w:t xml:space="preserve"> الإضافي (</w:t>
      </w:r>
      <w:r w:rsidR="00C7582A" w:rsidRPr="00D64172">
        <w:rPr>
          <w:b w:val="0"/>
          <w:bCs w:val="0"/>
        </w:rPr>
        <w:t>AT1</w:t>
      </w:r>
      <w:r w:rsidR="00C7582A" w:rsidRPr="00D64172">
        <w:rPr>
          <w:rFonts w:hint="cs"/>
          <w:b w:val="0"/>
          <w:bCs w:val="0"/>
          <w:rtl/>
        </w:rPr>
        <w:t>)</w:t>
      </w:r>
      <w:r w:rsidR="008B6EA5" w:rsidRPr="00D64172">
        <w:rPr>
          <w:rFonts w:hint="cs"/>
          <w:b w:val="0"/>
          <w:bCs w:val="0"/>
          <w:rtl/>
        </w:rPr>
        <w:t xml:space="preserve"> </w:t>
      </w:r>
      <w:r w:rsidR="00C6262A" w:rsidRPr="00D64172">
        <w:rPr>
          <w:rFonts w:hint="cs"/>
          <w:b w:val="0"/>
          <w:bCs w:val="0"/>
          <w:rtl/>
        </w:rPr>
        <w:t xml:space="preserve">عن </w:t>
      </w:r>
      <w:r w:rsidR="008E0C4C" w:rsidRPr="00D64172">
        <w:rPr>
          <w:rFonts w:hint="cs"/>
          <w:b w:val="0"/>
          <w:bCs w:val="0"/>
          <w:rtl/>
        </w:rPr>
        <w:t>(</w:t>
      </w:r>
      <w:r w:rsidR="00C7582A" w:rsidRPr="00D64172">
        <w:rPr>
          <w:rFonts w:hint="cs"/>
          <w:b w:val="0"/>
          <w:bCs w:val="0"/>
          <w:rtl/>
        </w:rPr>
        <w:t>1</w:t>
      </w:r>
      <w:r w:rsidR="008E0C4C" w:rsidRPr="00D64172">
        <w:rPr>
          <w:rFonts w:hint="cs"/>
          <w:b w:val="0"/>
          <w:bCs w:val="0"/>
          <w:rtl/>
        </w:rPr>
        <w:t xml:space="preserve">.5%) </w:t>
      </w:r>
      <w:r w:rsidR="008B6EA5" w:rsidRPr="00D64172">
        <w:rPr>
          <w:rFonts w:hint="cs"/>
          <w:b w:val="0"/>
          <w:bCs w:val="0"/>
          <w:rtl/>
        </w:rPr>
        <w:t xml:space="preserve">من </w:t>
      </w:r>
      <w:r w:rsidR="00C51EF3" w:rsidRPr="00D64172">
        <w:rPr>
          <w:rFonts w:hint="cs"/>
          <w:b w:val="0"/>
          <w:bCs w:val="0"/>
          <w:rtl/>
        </w:rPr>
        <w:t xml:space="preserve">الموجودات </w:t>
      </w:r>
      <w:r w:rsidR="00C6262A" w:rsidRPr="00D64172">
        <w:rPr>
          <w:rFonts w:hint="cs"/>
          <w:b w:val="0"/>
          <w:bCs w:val="0"/>
          <w:rtl/>
        </w:rPr>
        <w:t xml:space="preserve">المرجحة لمخاطر الائتمان والسوق والتشغيل </w:t>
      </w:r>
      <w:r w:rsidR="008B6EA5" w:rsidRPr="00D64172">
        <w:rPr>
          <w:rFonts w:hint="cs"/>
          <w:b w:val="0"/>
          <w:bCs w:val="0"/>
          <w:rtl/>
        </w:rPr>
        <w:t xml:space="preserve">في جميع الأوقات.  </w:t>
      </w:r>
    </w:p>
    <w:p w:rsidR="008E0C4C" w:rsidRPr="00D64172" w:rsidRDefault="008E0C4C" w:rsidP="00E52119">
      <w:pPr>
        <w:ind w:left="1275" w:hanging="567"/>
        <w:rPr>
          <w:b w:val="0"/>
          <w:bCs w:val="0"/>
          <w:rtl/>
        </w:rPr>
      </w:pPr>
      <w:r w:rsidRPr="00D64172">
        <w:rPr>
          <w:rFonts w:hint="cs"/>
          <w:b w:val="0"/>
          <w:bCs w:val="0"/>
          <w:rtl/>
          <w:lang w:bidi="ar-JO"/>
        </w:rPr>
        <w:lastRenderedPageBreak/>
        <w:t>3.3</w:t>
      </w:r>
      <w:r w:rsidR="00D64172" w:rsidRPr="00D64172">
        <w:rPr>
          <w:rFonts w:hint="cs"/>
          <w:b w:val="0"/>
          <w:bCs w:val="0"/>
          <w:rtl/>
          <w:lang w:bidi="ar-JO"/>
        </w:rPr>
        <w:t>.</w:t>
      </w:r>
      <w:r w:rsidRPr="00D64172">
        <w:rPr>
          <w:rFonts w:hint="cs"/>
          <w:b w:val="0"/>
          <w:bCs w:val="0"/>
          <w:rtl/>
          <w:lang w:bidi="ar-JO"/>
        </w:rPr>
        <w:tab/>
        <w:t xml:space="preserve">يجب أن لا </w:t>
      </w:r>
      <w:r w:rsidR="00C7582A" w:rsidRPr="0036451D">
        <w:rPr>
          <w:rFonts w:eastAsiaTheme="majorEastAsia" w:hint="cs"/>
          <w:b w:val="0"/>
          <w:bCs w:val="0"/>
          <w:rtl/>
        </w:rPr>
        <w:t>تزيد</w:t>
      </w:r>
      <w:r w:rsidRPr="00D64172">
        <w:rPr>
          <w:rFonts w:hint="cs"/>
          <w:b w:val="0"/>
          <w:bCs w:val="0"/>
          <w:rtl/>
          <w:lang w:bidi="ar-JO"/>
        </w:rPr>
        <w:t xml:space="preserve"> الشريحة الثانية (</w:t>
      </w:r>
      <w:r w:rsidRPr="00D64172">
        <w:rPr>
          <w:b w:val="0"/>
          <w:bCs w:val="0"/>
          <w:lang w:bidi="ar-JO"/>
        </w:rPr>
        <w:t>T2</w:t>
      </w:r>
      <w:r w:rsidRPr="00D64172">
        <w:rPr>
          <w:rFonts w:hint="cs"/>
          <w:b w:val="0"/>
          <w:bCs w:val="0"/>
          <w:rtl/>
        </w:rPr>
        <w:t xml:space="preserve">) عن (2%) من </w:t>
      </w:r>
      <w:r w:rsidR="00C51EF3" w:rsidRPr="00D64172">
        <w:rPr>
          <w:rFonts w:hint="cs"/>
          <w:b w:val="0"/>
          <w:bCs w:val="0"/>
          <w:rtl/>
        </w:rPr>
        <w:t xml:space="preserve">الموجودات </w:t>
      </w:r>
      <w:r w:rsidRPr="00D64172">
        <w:rPr>
          <w:rFonts w:hint="cs"/>
          <w:b w:val="0"/>
          <w:bCs w:val="0"/>
          <w:rtl/>
        </w:rPr>
        <w:t xml:space="preserve">المرجحة لمخاطر الائتمان والسوق والتشغيل في جميع الأوقات. </w:t>
      </w:r>
    </w:p>
    <w:p w:rsidR="00C7582A" w:rsidRPr="00D64172" w:rsidRDefault="00C7582A" w:rsidP="00E52119">
      <w:pPr>
        <w:ind w:left="1275" w:hanging="567"/>
        <w:rPr>
          <w:b w:val="0"/>
          <w:bCs w:val="0"/>
          <w:rtl/>
        </w:rPr>
      </w:pPr>
      <w:r w:rsidRPr="00D64172">
        <w:rPr>
          <w:rFonts w:hint="cs"/>
          <w:b w:val="0"/>
          <w:bCs w:val="0"/>
          <w:rtl/>
        </w:rPr>
        <w:t>4.3</w:t>
      </w:r>
      <w:r w:rsidR="00D64172" w:rsidRPr="00D64172">
        <w:rPr>
          <w:rFonts w:hint="cs"/>
          <w:b w:val="0"/>
          <w:bCs w:val="0"/>
          <w:rtl/>
        </w:rPr>
        <w:t>.</w:t>
      </w:r>
      <w:r w:rsidRPr="00D64172">
        <w:rPr>
          <w:rFonts w:hint="cs"/>
          <w:b w:val="0"/>
          <w:bCs w:val="0"/>
          <w:rtl/>
        </w:rPr>
        <w:tab/>
        <w:t>تكون نسبة رأس المال التحفظي (</w:t>
      </w:r>
      <w:r w:rsidRPr="00D64172">
        <w:rPr>
          <w:b w:val="0"/>
          <w:bCs w:val="0"/>
        </w:rPr>
        <w:t>Conservation Buffer</w:t>
      </w:r>
      <w:r w:rsidRPr="00D64172">
        <w:rPr>
          <w:rFonts w:hint="cs"/>
          <w:b w:val="0"/>
          <w:bCs w:val="0"/>
          <w:rtl/>
        </w:rPr>
        <w:t>) (2.5%) من الموجودات المرجحة بالمخاطر وعلى أن تكون من (</w:t>
      </w:r>
      <w:r w:rsidRPr="00D64172">
        <w:rPr>
          <w:b w:val="0"/>
          <w:bCs w:val="0"/>
        </w:rPr>
        <w:t>CET1</w:t>
      </w:r>
      <w:r w:rsidRPr="00D64172">
        <w:rPr>
          <w:rFonts w:hint="cs"/>
          <w:b w:val="0"/>
          <w:bCs w:val="0"/>
          <w:rtl/>
        </w:rPr>
        <w:t xml:space="preserve">). </w:t>
      </w:r>
    </w:p>
    <w:p w:rsidR="00016A24" w:rsidRPr="00DC1722" w:rsidRDefault="00306EB1" w:rsidP="00DC1722">
      <w:pPr>
        <w:pStyle w:val="ListParagraph"/>
        <w:numPr>
          <w:ilvl w:val="0"/>
          <w:numId w:val="24"/>
        </w:numPr>
        <w:ind w:left="708" w:hanging="425"/>
      </w:pPr>
      <w:r w:rsidRPr="00DC1722">
        <w:rPr>
          <w:rFonts w:hint="cs"/>
          <w:rtl/>
          <w:lang w:bidi="ar-JO"/>
        </w:rPr>
        <w:t>لغايات تصنيف البنك ضمن الفئة الأولى "</w:t>
      </w:r>
      <w:r w:rsidRPr="00DC1722">
        <w:t xml:space="preserve"> Well Capitalized</w:t>
      </w:r>
      <w:r w:rsidRPr="00DC1722">
        <w:rPr>
          <w:rFonts w:hint="cs"/>
          <w:rtl/>
          <w:lang w:bidi="ar-JO"/>
        </w:rPr>
        <w:t xml:space="preserve"> " فيجب أن لا تقل نسبة كفاية رأس المال لديه عن (14%)، أما في حال كان البنك مصنف ضمن بنوك </w:t>
      </w:r>
      <w:r w:rsidRPr="00DC1722">
        <w:t>D</w:t>
      </w:r>
      <w:r w:rsidRPr="00DC1722">
        <w:rPr>
          <w:lang w:bidi="ar-JO"/>
        </w:rPr>
        <w:t>-</w:t>
      </w:r>
      <w:r w:rsidRPr="00DC1722">
        <w:t>SIBs</w:t>
      </w:r>
      <w:r w:rsidRPr="00DC1722">
        <w:rPr>
          <w:rFonts w:hint="cs"/>
          <w:rtl/>
        </w:rPr>
        <w:t xml:space="preserve"> ولغايات تصنيفه ضمن فئة </w:t>
      </w:r>
      <w:r w:rsidRPr="00DC1722">
        <w:t>Well Capitalized</w:t>
      </w:r>
      <w:r w:rsidRPr="00DC1722">
        <w:rPr>
          <w:rFonts w:hint="cs"/>
          <w:rtl/>
        </w:rPr>
        <w:t xml:space="preserve"> فإن نسبة كفاية رأس المال لديه يجب أن لا تقل عن (14%+ رأس المال المطلوب من البنوك المهمة محلياً حسب الفئة </w:t>
      </w:r>
      <w:r w:rsidR="00DC1722" w:rsidRPr="00DC1722">
        <w:rPr>
          <w:rFonts w:hint="cs"/>
          <w:rtl/>
        </w:rPr>
        <w:t>التي ينتمي لها</w:t>
      </w:r>
      <w:r w:rsidRPr="00DC1722">
        <w:rPr>
          <w:rFonts w:hint="cs"/>
          <w:rtl/>
        </w:rPr>
        <w:t xml:space="preserve"> البنك ووفق الاطار الزمني الوارد في </w:t>
      </w:r>
      <w:r w:rsidR="00DC1722" w:rsidRPr="00DC1722">
        <w:rPr>
          <w:rFonts w:hint="cs"/>
          <w:rtl/>
        </w:rPr>
        <w:t>ال</w:t>
      </w:r>
      <w:r w:rsidRPr="00DC1722">
        <w:rPr>
          <w:rFonts w:hint="cs"/>
          <w:rtl/>
        </w:rPr>
        <w:t xml:space="preserve">تعليمات </w:t>
      </w:r>
      <w:r w:rsidR="00DC1722" w:rsidRPr="00DC1722">
        <w:rPr>
          <w:rFonts w:hint="cs"/>
          <w:rtl/>
        </w:rPr>
        <w:t>النافذة ل</w:t>
      </w:r>
      <w:r w:rsidRPr="00DC1722">
        <w:rPr>
          <w:rFonts w:hint="cs"/>
          <w:rtl/>
        </w:rPr>
        <w:t>لتعامل مع البنوك ذات الأهمية النظامية محلياً)</w:t>
      </w:r>
      <w:r w:rsidR="00362F64" w:rsidRPr="00DC1722">
        <w:rPr>
          <w:rFonts w:hint="cs"/>
          <w:rtl/>
          <w:lang w:bidi="ar-JO"/>
        </w:rPr>
        <w:t>.</w:t>
      </w:r>
      <w:r w:rsidR="00C7582A" w:rsidRPr="00DC1722">
        <w:rPr>
          <w:rFonts w:hint="cs"/>
          <w:rtl/>
        </w:rPr>
        <w:t xml:space="preserve"> </w:t>
      </w:r>
    </w:p>
    <w:p w:rsidR="00A25A19" w:rsidRDefault="00A25A19" w:rsidP="008A265D">
      <w:pPr>
        <w:pStyle w:val="ListParagraph"/>
        <w:numPr>
          <w:ilvl w:val="0"/>
          <w:numId w:val="24"/>
        </w:numPr>
        <w:ind w:left="708" w:hanging="425"/>
      </w:pPr>
      <w:r>
        <w:rPr>
          <w:rFonts w:hint="cs"/>
          <w:rtl/>
        </w:rPr>
        <w:t>فيما يخص البنوك التي لها تواجدات خارجية وفي حال ان السلطات الرقابية ا</w:t>
      </w:r>
      <w:r w:rsidR="00206447">
        <w:rPr>
          <w:rFonts w:hint="cs"/>
          <w:rtl/>
        </w:rPr>
        <w:t>لمضيفة تقوم بفرض نسبة كفاية رأس</w:t>
      </w:r>
      <w:r>
        <w:rPr>
          <w:rFonts w:hint="cs"/>
          <w:rtl/>
        </w:rPr>
        <w:t xml:space="preserve">مال </w:t>
      </w:r>
      <w:r w:rsidR="00D853A5">
        <w:rPr>
          <w:rFonts w:hint="cs"/>
          <w:rtl/>
        </w:rPr>
        <w:t>أ</w:t>
      </w:r>
      <w:r w:rsidR="005353BB">
        <w:rPr>
          <w:rFonts w:hint="cs"/>
          <w:rtl/>
        </w:rPr>
        <w:t xml:space="preserve">على من </w:t>
      </w:r>
      <w:r w:rsidR="00D853A5">
        <w:rPr>
          <w:rFonts w:hint="cs"/>
          <w:rtl/>
        </w:rPr>
        <w:t>(</w:t>
      </w:r>
      <w:r w:rsidR="008A265D">
        <w:rPr>
          <w:rFonts w:hint="cs"/>
          <w:rtl/>
        </w:rPr>
        <w:t>12</w:t>
      </w:r>
      <w:r w:rsidR="005353BB">
        <w:rPr>
          <w:rFonts w:hint="cs"/>
          <w:rtl/>
        </w:rPr>
        <w:t>%</w:t>
      </w:r>
      <w:r w:rsidR="00D853A5">
        <w:rPr>
          <w:rFonts w:hint="cs"/>
          <w:rtl/>
        </w:rPr>
        <w:t>)</w:t>
      </w:r>
      <w:r w:rsidR="005353BB">
        <w:rPr>
          <w:rFonts w:hint="cs"/>
          <w:rtl/>
        </w:rPr>
        <w:t xml:space="preserve"> فعلى البنك وعند توحيد بياناته المالية لغايات كفاية رأس المال زيادة الموجودات المرجحة بالمخاطر</w:t>
      </w:r>
      <w:r w:rsidR="003342E2">
        <w:rPr>
          <w:rFonts w:hint="cs"/>
          <w:rtl/>
        </w:rPr>
        <w:t xml:space="preserve"> </w:t>
      </w:r>
      <w:r w:rsidR="00D853A5">
        <w:rPr>
          <w:rFonts w:hint="cs"/>
          <w:rtl/>
        </w:rPr>
        <w:t>لتواجده</w:t>
      </w:r>
      <w:r w:rsidR="003342E2">
        <w:rPr>
          <w:rFonts w:hint="cs"/>
          <w:rtl/>
        </w:rPr>
        <w:t xml:space="preserve"> الخارجي</w:t>
      </w:r>
      <w:r w:rsidR="005353BB">
        <w:rPr>
          <w:rFonts w:hint="cs"/>
          <w:rtl/>
        </w:rPr>
        <w:t xml:space="preserve"> كنسبة وتناسب لتعكس نسبة كفاية رأس المال المطلوبة من </w:t>
      </w:r>
      <w:r w:rsidR="00D853A5">
        <w:rPr>
          <w:rFonts w:hint="cs"/>
          <w:rtl/>
        </w:rPr>
        <w:t>تواجده</w:t>
      </w:r>
      <w:r w:rsidR="005353BB">
        <w:rPr>
          <w:rFonts w:hint="cs"/>
          <w:rtl/>
        </w:rPr>
        <w:t xml:space="preserve"> الخارجي. فعلى سبيل المثال اذا </w:t>
      </w:r>
      <w:r w:rsidR="003342E2">
        <w:rPr>
          <w:rFonts w:hint="cs"/>
          <w:rtl/>
        </w:rPr>
        <w:t xml:space="preserve">كان للبنك </w:t>
      </w:r>
      <w:r w:rsidR="00D853A5">
        <w:rPr>
          <w:rFonts w:hint="cs"/>
          <w:rtl/>
        </w:rPr>
        <w:t>شركة تابعة خارجية وأ</w:t>
      </w:r>
      <w:r w:rsidR="003342E2">
        <w:rPr>
          <w:rFonts w:hint="cs"/>
          <w:rtl/>
        </w:rPr>
        <w:t>ن نسبة كفاية رأس المال المطلوبة من</w:t>
      </w:r>
      <w:r w:rsidR="00206447">
        <w:rPr>
          <w:rFonts w:hint="cs"/>
          <w:rtl/>
        </w:rPr>
        <w:t xml:space="preserve"> </w:t>
      </w:r>
      <w:r w:rsidR="00306EB1">
        <w:rPr>
          <w:rFonts w:hint="cs"/>
          <w:rtl/>
        </w:rPr>
        <w:t xml:space="preserve">هذه الشركة </w:t>
      </w:r>
      <w:r w:rsidR="00D853A5">
        <w:rPr>
          <w:rFonts w:hint="cs"/>
          <w:rtl/>
        </w:rPr>
        <w:t>(</w:t>
      </w:r>
      <w:r w:rsidR="003342E2">
        <w:rPr>
          <w:rFonts w:hint="cs"/>
          <w:rtl/>
        </w:rPr>
        <w:t>16%</w:t>
      </w:r>
      <w:r w:rsidR="00D853A5">
        <w:rPr>
          <w:rFonts w:hint="cs"/>
          <w:rtl/>
        </w:rPr>
        <w:t>)</w:t>
      </w:r>
      <w:r w:rsidR="003342E2">
        <w:rPr>
          <w:rFonts w:hint="cs"/>
          <w:rtl/>
        </w:rPr>
        <w:t xml:space="preserve"> </w:t>
      </w:r>
      <w:r w:rsidR="00D853A5">
        <w:rPr>
          <w:rFonts w:hint="cs"/>
          <w:rtl/>
        </w:rPr>
        <w:t>و</w:t>
      </w:r>
      <w:r w:rsidR="003342E2">
        <w:rPr>
          <w:rFonts w:hint="cs"/>
          <w:rtl/>
        </w:rPr>
        <w:t xml:space="preserve">الموجودات المرجحة للمخاطر </w:t>
      </w:r>
      <w:r w:rsidR="00306EB1">
        <w:rPr>
          <w:rFonts w:hint="cs"/>
          <w:rtl/>
        </w:rPr>
        <w:t>لهذه الشركة</w:t>
      </w:r>
      <w:r w:rsidR="003342E2">
        <w:rPr>
          <w:rFonts w:hint="cs"/>
          <w:rtl/>
        </w:rPr>
        <w:t xml:space="preserve"> تبلغ (1) مليار دينار، ففي هذه الحالة فان رأس المال المطلوب من </w:t>
      </w:r>
      <w:r w:rsidR="00D853A5">
        <w:rPr>
          <w:rFonts w:hint="cs"/>
          <w:rtl/>
        </w:rPr>
        <w:t>هذه الشركة</w:t>
      </w:r>
      <w:r w:rsidR="003342E2">
        <w:rPr>
          <w:rFonts w:hint="cs"/>
          <w:rtl/>
        </w:rPr>
        <w:t xml:space="preserve"> حسب تعليمات السلطة الرقابية المضيفة تبلغ </w:t>
      </w:r>
      <w:r w:rsidR="00D853A5">
        <w:rPr>
          <w:rFonts w:hint="cs"/>
          <w:rtl/>
        </w:rPr>
        <w:t>(</w:t>
      </w:r>
      <w:r w:rsidR="003342E2">
        <w:rPr>
          <w:rFonts w:hint="cs"/>
          <w:rtl/>
        </w:rPr>
        <w:t>160</w:t>
      </w:r>
      <w:r w:rsidR="00D853A5">
        <w:rPr>
          <w:rFonts w:hint="cs"/>
          <w:rtl/>
        </w:rPr>
        <w:t>) مليون دينار في حين أن رأ</w:t>
      </w:r>
      <w:r w:rsidR="003342E2">
        <w:rPr>
          <w:rFonts w:hint="cs"/>
          <w:rtl/>
        </w:rPr>
        <w:t xml:space="preserve">س المال المطلوب حسب تعليمات البنك المركزي هو </w:t>
      </w:r>
      <w:r w:rsidR="00D853A5">
        <w:rPr>
          <w:rFonts w:hint="cs"/>
          <w:rtl/>
        </w:rPr>
        <w:t>(</w:t>
      </w:r>
      <w:r w:rsidR="008A265D">
        <w:rPr>
          <w:rFonts w:hint="cs"/>
          <w:rtl/>
        </w:rPr>
        <w:t>120</w:t>
      </w:r>
      <w:r w:rsidR="00D853A5">
        <w:rPr>
          <w:rFonts w:hint="cs"/>
          <w:rtl/>
        </w:rPr>
        <w:t>)</w:t>
      </w:r>
      <w:r w:rsidR="003342E2">
        <w:rPr>
          <w:rFonts w:hint="cs"/>
          <w:rtl/>
        </w:rPr>
        <w:t xml:space="preserve"> مليون دينار</w:t>
      </w:r>
      <w:r w:rsidR="004A67C3">
        <w:rPr>
          <w:rFonts w:hint="cs"/>
          <w:rtl/>
        </w:rPr>
        <w:t>, وحتى يتم عكس زيادة نسبة كفاية رأس المال لهذ</w:t>
      </w:r>
      <w:r w:rsidR="00D853A5">
        <w:rPr>
          <w:rFonts w:hint="cs"/>
          <w:rtl/>
        </w:rPr>
        <w:t>ه</w:t>
      </w:r>
      <w:r w:rsidR="00D853A5">
        <w:rPr>
          <w:rtl/>
        </w:rPr>
        <w:br/>
      </w:r>
      <w:r w:rsidR="004A67C3">
        <w:rPr>
          <w:rFonts w:hint="cs"/>
          <w:rtl/>
        </w:rPr>
        <w:t>ال</w:t>
      </w:r>
      <w:r w:rsidR="00D853A5">
        <w:rPr>
          <w:rFonts w:hint="cs"/>
          <w:rtl/>
        </w:rPr>
        <w:t>شركة</w:t>
      </w:r>
      <w:r w:rsidR="004A67C3">
        <w:rPr>
          <w:rFonts w:hint="cs"/>
          <w:rtl/>
        </w:rPr>
        <w:t xml:space="preserve"> فان الموجودات المرجحة </w:t>
      </w:r>
      <w:r w:rsidR="00D853A5">
        <w:rPr>
          <w:rFonts w:hint="cs"/>
          <w:rtl/>
        </w:rPr>
        <w:t>بال</w:t>
      </w:r>
      <w:r w:rsidR="004A67C3">
        <w:rPr>
          <w:rFonts w:hint="cs"/>
          <w:rtl/>
        </w:rPr>
        <w:t xml:space="preserve">مخاطر </w:t>
      </w:r>
      <w:r w:rsidR="00D853A5">
        <w:rPr>
          <w:rFonts w:hint="cs"/>
          <w:rtl/>
        </w:rPr>
        <w:t>للشركة التابعة</w:t>
      </w:r>
      <w:r w:rsidR="004A67C3">
        <w:rPr>
          <w:rFonts w:hint="cs"/>
          <w:rtl/>
        </w:rPr>
        <w:t xml:space="preserve"> عند توحيد البيانات المالية ستساوي</w:t>
      </w:r>
      <w:r w:rsidR="00D853A5">
        <w:rPr>
          <w:rtl/>
        </w:rPr>
        <w:br/>
      </w:r>
      <w:r w:rsidR="004A67C3">
        <w:rPr>
          <w:rFonts w:hint="cs"/>
          <w:rtl/>
        </w:rPr>
        <w:t xml:space="preserve">(160 مليون </w:t>
      </w:r>
      <w:r w:rsidR="004A67C3">
        <w:rPr>
          <w:rtl/>
        </w:rPr>
        <w:t>×</w:t>
      </w:r>
      <w:r w:rsidR="004A67C3">
        <w:rPr>
          <w:rFonts w:hint="cs"/>
          <w:rtl/>
        </w:rPr>
        <w:t xml:space="preserve"> 1 مليار)/ </w:t>
      </w:r>
      <w:r w:rsidR="008A265D">
        <w:rPr>
          <w:rFonts w:hint="cs"/>
          <w:rtl/>
        </w:rPr>
        <w:t>120</w:t>
      </w:r>
      <w:r w:rsidR="004A67C3">
        <w:rPr>
          <w:rFonts w:hint="cs"/>
          <w:rtl/>
        </w:rPr>
        <w:t xml:space="preserve"> مليون = 1,</w:t>
      </w:r>
      <w:r w:rsidR="008A265D">
        <w:rPr>
          <w:rFonts w:hint="cs"/>
          <w:rtl/>
        </w:rPr>
        <w:t>333</w:t>
      </w:r>
      <w:r w:rsidR="004A67C3">
        <w:rPr>
          <w:rFonts w:hint="cs"/>
          <w:rtl/>
        </w:rPr>
        <w:t xml:space="preserve"> مليار دينار. </w:t>
      </w:r>
      <w:r w:rsidR="005353BB">
        <w:rPr>
          <w:rFonts w:hint="cs"/>
          <w:rtl/>
        </w:rPr>
        <w:t xml:space="preserve"> </w:t>
      </w:r>
    </w:p>
    <w:p w:rsidR="00206447" w:rsidRPr="00D64172" w:rsidRDefault="00206447" w:rsidP="00206447">
      <w:pPr>
        <w:pStyle w:val="ListParagraph"/>
        <w:ind w:left="708"/>
        <w:rPr>
          <w:rtl/>
        </w:rPr>
      </w:pPr>
    </w:p>
    <w:p w:rsidR="00B3109B" w:rsidRPr="00D500AF" w:rsidRDefault="00D64D75" w:rsidP="00136C4D">
      <w:pPr>
        <w:pStyle w:val="Heading2"/>
        <w:rPr>
          <w:rtl/>
        </w:rPr>
      </w:pPr>
      <w:bookmarkStart w:id="21" w:name="_Toc372557473"/>
      <w:bookmarkStart w:id="22" w:name="_Toc451176014"/>
      <w:bookmarkStart w:id="23" w:name="_Toc451179995"/>
      <w:bookmarkStart w:id="24" w:name="_Toc451260325"/>
      <w:r w:rsidRPr="00D500AF">
        <w:rPr>
          <w:rFonts w:hint="cs"/>
          <w:rtl/>
        </w:rPr>
        <w:t>ثالثاً:</w:t>
      </w:r>
      <w:r w:rsidR="00E14D32" w:rsidRPr="00D500AF">
        <w:rPr>
          <w:rFonts w:hint="cs"/>
          <w:rtl/>
        </w:rPr>
        <w:tab/>
      </w:r>
      <w:r w:rsidR="00B3109B" w:rsidRPr="00D500AF">
        <w:rPr>
          <w:rFonts w:hint="cs"/>
          <w:rtl/>
        </w:rPr>
        <w:t>العناصر المؤهلة ل</w:t>
      </w:r>
      <w:r w:rsidR="00766392" w:rsidRPr="00D500AF">
        <w:rPr>
          <w:rFonts w:hint="cs"/>
          <w:rtl/>
        </w:rPr>
        <w:t xml:space="preserve">مكونات </w:t>
      </w:r>
      <w:r w:rsidR="00B3109B" w:rsidRPr="00D500AF">
        <w:rPr>
          <w:rFonts w:hint="cs"/>
          <w:rtl/>
        </w:rPr>
        <w:t>رأس المال</w:t>
      </w:r>
      <w:bookmarkEnd w:id="21"/>
      <w:bookmarkEnd w:id="22"/>
      <w:bookmarkEnd w:id="23"/>
      <w:bookmarkEnd w:id="24"/>
    </w:p>
    <w:p w:rsidR="00E14D32" w:rsidRPr="00D026CE" w:rsidRDefault="009B17B3" w:rsidP="009B17B3">
      <w:pPr>
        <w:ind w:left="755" w:hanging="540"/>
        <w:rPr>
          <w:rtl/>
        </w:rPr>
      </w:pPr>
      <w:r>
        <w:rPr>
          <w:rFonts w:hint="cs"/>
          <w:rtl/>
          <w:lang w:bidi="ar-JO"/>
        </w:rPr>
        <w:t xml:space="preserve">1.   </w:t>
      </w:r>
      <w:r w:rsidR="00E14D32" w:rsidRPr="00D026CE">
        <w:rPr>
          <w:rFonts w:hint="cs"/>
          <w:rtl/>
        </w:rPr>
        <w:t>حقوق حملة الأسهم العادية (</w:t>
      </w:r>
      <w:r w:rsidR="00E14D32" w:rsidRPr="00D026CE">
        <w:t>CET1</w:t>
      </w:r>
      <w:r w:rsidR="00E14D32" w:rsidRPr="00D026CE">
        <w:rPr>
          <w:rFonts w:hint="cs"/>
          <w:rtl/>
        </w:rPr>
        <w:t>)</w:t>
      </w:r>
    </w:p>
    <w:p w:rsidR="00B3109B" w:rsidRPr="00154B0B" w:rsidRDefault="00D64D75" w:rsidP="00E52119">
      <w:pPr>
        <w:ind w:left="1275" w:hanging="567"/>
        <w:rPr>
          <w:b w:val="0"/>
          <w:bCs w:val="0"/>
          <w:rtl/>
          <w:lang w:bidi="ar-JO"/>
        </w:rPr>
      </w:pPr>
      <w:r w:rsidRPr="00154B0B">
        <w:rPr>
          <w:rFonts w:hint="cs"/>
          <w:b w:val="0"/>
          <w:bCs w:val="0"/>
          <w:noProof/>
          <w:rtl/>
        </w:rPr>
        <w:t>1.1</w:t>
      </w:r>
      <w:r w:rsidR="00154B0B" w:rsidRPr="00154B0B">
        <w:rPr>
          <w:rFonts w:hint="cs"/>
          <w:b w:val="0"/>
          <w:bCs w:val="0"/>
          <w:noProof/>
          <w:rtl/>
        </w:rPr>
        <w:t>.</w:t>
      </w:r>
      <w:r w:rsidR="00E14D32" w:rsidRPr="00154B0B">
        <w:rPr>
          <w:rFonts w:hint="cs"/>
          <w:b w:val="0"/>
          <w:bCs w:val="0"/>
          <w:noProof/>
          <w:rtl/>
        </w:rPr>
        <w:tab/>
      </w:r>
      <w:r w:rsidR="00B3109B" w:rsidRPr="00154B0B">
        <w:rPr>
          <w:b w:val="0"/>
          <w:bCs w:val="0"/>
          <w:noProof/>
          <w:rtl/>
        </w:rPr>
        <w:t xml:space="preserve">تتكون </w:t>
      </w:r>
      <w:r w:rsidR="00F765A0" w:rsidRPr="00154B0B">
        <w:rPr>
          <w:rFonts w:hint="cs"/>
          <w:b w:val="0"/>
          <w:bCs w:val="0"/>
          <w:noProof/>
          <w:rtl/>
        </w:rPr>
        <w:t xml:space="preserve">حقوق </w:t>
      </w:r>
      <w:r w:rsidR="00F765A0" w:rsidRPr="0036451D">
        <w:rPr>
          <w:rFonts w:eastAsiaTheme="majorEastAsia" w:hint="cs"/>
          <w:b w:val="0"/>
          <w:bCs w:val="0"/>
          <w:rtl/>
        </w:rPr>
        <w:t>حملة</w:t>
      </w:r>
      <w:r w:rsidR="00F765A0" w:rsidRPr="00154B0B">
        <w:rPr>
          <w:rFonts w:hint="cs"/>
          <w:b w:val="0"/>
          <w:bCs w:val="0"/>
          <w:noProof/>
          <w:rtl/>
        </w:rPr>
        <w:t xml:space="preserve"> </w:t>
      </w:r>
      <w:r w:rsidR="008805D1" w:rsidRPr="00154B0B">
        <w:rPr>
          <w:rFonts w:hint="cs"/>
          <w:b w:val="0"/>
          <w:bCs w:val="0"/>
          <w:noProof/>
          <w:rtl/>
        </w:rPr>
        <w:t>الأسهم</w:t>
      </w:r>
      <w:r w:rsidR="00F765A0" w:rsidRPr="00154B0B">
        <w:rPr>
          <w:rFonts w:hint="cs"/>
          <w:b w:val="0"/>
          <w:bCs w:val="0"/>
          <w:noProof/>
          <w:rtl/>
        </w:rPr>
        <w:t xml:space="preserve"> العادية </w:t>
      </w:r>
      <w:r w:rsidR="00B3109B" w:rsidRPr="00154B0B">
        <w:rPr>
          <w:b w:val="0"/>
          <w:bCs w:val="0"/>
          <w:noProof/>
          <w:rtl/>
        </w:rPr>
        <w:t>(</w:t>
      </w:r>
      <w:r w:rsidR="00B3109B" w:rsidRPr="00154B0B">
        <w:rPr>
          <w:b w:val="0"/>
          <w:bCs w:val="0"/>
          <w:noProof/>
        </w:rPr>
        <w:t xml:space="preserve"> (CET1 </w:t>
      </w:r>
      <w:r w:rsidR="00B3109B" w:rsidRPr="00154B0B">
        <w:rPr>
          <w:b w:val="0"/>
          <w:bCs w:val="0"/>
          <w:noProof/>
          <w:rtl/>
        </w:rPr>
        <w:t xml:space="preserve"> من </w:t>
      </w:r>
      <w:r w:rsidR="009B07E2" w:rsidRPr="00154B0B">
        <w:rPr>
          <w:rFonts w:hint="cs"/>
          <w:b w:val="0"/>
          <w:bCs w:val="0"/>
          <w:noProof/>
          <w:rtl/>
        </w:rPr>
        <w:t xml:space="preserve">مجموع </w:t>
      </w:r>
      <w:r w:rsidR="00B3109B" w:rsidRPr="00154B0B">
        <w:rPr>
          <w:b w:val="0"/>
          <w:bCs w:val="0"/>
          <w:noProof/>
          <w:rtl/>
        </w:rPr>
        <w:t xml:space="preserve">البنود </w:t>
      </w:r>
      <w:r w:rsidR="00362F64" w:rsidRPr="00154B0B">
        <w:rPr>
          <w:rFonts w:hint="cs"/>
          <w:b w:val="0"/>
          <w:bCs w:val="0"/>
          <w:noProof/>
          <w:rtl/>
        </w:rPr>
        <w:t>المدرجة أدناه</w:t>
      </w:r>
      <w:r w:rsidR="002E087E" w:rsidRPr="00154B0B">
        <w:rPr>
          <w:rStyle w:val="FootnoteReference"/>
          <w:b w:val="0"/>
          <w:bCs w:val="0"/>
          <w:noProof/>
          <w:rtl/>
        </w:rPr>
        <w:footnoteReference w:id="5"/>
      </w:r>
      <w:r w:rsidR="00362F64" w:rsidRPr="00154B0B">
        <w:rPr>
          <w:rFonts w:hint="cs"/>
          <w:b w:val="0"/>
          <w:bCs w:val="0"/>
          <w:noProof/>
          <w:rtl/>
        </w:rPr>
        <w:t xml:space="preserve"> [</w:t>
      </w:r>
      <w:r w:rsidR="00154B0B">
        <w:rPr>
          <w:rFonts w:hint="cs"/>
          <w:b w:val="0"/>
          <w:bCs w:val="0"/>
          <w:noProof/>
          <w:rtl/>
        </w:rPr>
        <w:t xml:space="preserve"> </w:t>
      </w:r>
      <w:r w:rsidR="00362F64" w:rsidRPr="00154B0B">
        <w:rPr>
          <w:rFonts w:hint="cs"/>
          <w:b w:val="0"/>
          <w:bCs w:val="0"/>
          <w:noProof/>
          <w:rtl/>
        </w:rPr>
        <w:t xml:space="preserve">وذلك بعد التعديلات </w:t>
      </w:r>
      <w:r w:rsidR="00362F64" w:rsidRPr="00154B0B">
        <w:rPr>
          <w:rFonts w:hint="cs"/>
          <w:b w:val="0"/>
          <w:bCs w:val="0"/>
          <w:rtl/>
        </w:rPr>
        <w:t>الرقابية (الطروحات) المستخدمة ل</w:t>
      </w:r>
      <w:r w:rsidR="00154B0B">
        <w:rPr>
          <w:rFonts w:hint="cs"/>
          <w:b w:val="0"/>
          <w:bCs w:val="0"/>
          <w:rtl/>
        </w:rPr>
        <w:t>احتساب حقوق حملة الأسهم العادية (</w:t>
      </w:r>
      <w:r w:rsidR="00154B0B">
        <w:rPr>
          <w:b w:val="0"/>
          <w:bCs w:val="0"/>
        </w:rPr>
        <w:t>CET1</w:t>
      </w:r>
      <w:r w:rsidR="00154B0B">
        <w:rPr>
          <w:rFonts w:hint="cs"/>
          <w:b w:val="0"/>
          <w:bCs w:val="0"/>
          <w:rtl/>
          <w:lang w:bidi="ar-JO"/>
        </w:rPr>
        <w:t xml:space="preserve">) </w:t>
      </w:r>
      <w:r w:rsidR="00362F64" w:rsidRPr="00154B0B">
        <w:rPr>
          <w:rFonts w:hint="cs"/>
          <w:b w:val="0"/>
          <w:bCs w:val="0"/>
          <w:rtl/>
        </w:rPr>
        <w:t>والمدرجة ضمن البند (رابعاً)</w:t>
      </w:r>
      <w:r w:rsidR="00957576">
        <w:rPr>
          <w:rFonts w:hint="cs"/>
          <w:b w:val="0"/>
          <w:bCs w:val="0"/>
          <w:rtl/>
        </w:rPr>
        <w:t xml:space="preserve"> من هذا الفصل</w:t>
      </w:r>
      <w:r w:rsidR="00154B0B">
        <w:rPr>
          <w:rFonts w:hint="cs"/>
          <w:b w:val="0"/>
          <w:bCs w:val="0"/>
          <w:rtl/>
        </w:rPr>
        <w:t xml:space="preserve"> </w:t>
      </w:r>
      <w:r w:rsidR="00362F64" w:rsidRPr="00154B0B">
        <w:rPr>
          <w:rFonts w:hint="cs"/>
          <w:b w:val="0"/>
          <w:bCs w:val="0"/>
          <w:rtl/>
        </w:rPr>
        <w:t>]</w:t>
      </w:r>
      <w:r w:rsidR="00154B0B">
        <w:rPr>
          <w:rFonts w:hint="cs"/>
          <w:b w:val="0"/>
          <w:bCs w:val="0"/>
          <w:rtl/>
        </w:rPr>
        <w:t xml:space="preserve"> </w:t>
      </w:r>
      <w:r w:rsidR="00362F64" w:rsidRPr="00154B0B">
        <w:rPr>
          <w:rFonts w:hint="cs"/>
          <w:b w:val="0"/>
          <w:bCs w:val="0"/>
          <w:rtl/>
        </w:rPr>
        <w:t xml:space="preserve">: </w:t>
      </w:r>
    </w:p>
    <w:p w:rsidR="00B3109B" w:rsidRPr="00154B0B" w:rsidRDefault="00D64D75" w:rsidP="00E52119">
      <w:pPr>
        <w:ind w:left="1984" w:hanging="709"/>
        <w:rPr>
          <w:b w:val="0"/>
          <w:bCs w:val="0"/>
          <w:rtl/>
          <w:lang w:bidi="ar-JO"/>
        </w:rPr>
      </w:pPr>
      <w:r w:rsidRPr="00154B0B">
        <w:rPr>
          <w:rFonts w:hint="cs"/>
          <w:b w:val="0"/>
          <w:bCs w:val="0"/>
          <w:rtl/>
        </w:rPr>
        <w:t>1.1.1</w:t>
      </w:r>
      <w:r w:rsidR="00154B0B" w:rsidRPr="00154B0B">
        <w:rPr>
          <w:rFonts w:hint="cs"/>
          <w:b w:val="0"/>
          <w:bCs w:val="0"/>
          <w:rtl/>
        </w:rPr>
        <w:t>.</w:t>
      </w:r>
      <w:r w:rsidR="00B3109B" w:rsidRPr="00154B0B">
        <w:rPr>
          <w:rFonts w:hint="cs"/>
          <w:b w:val="0"/>
          <w:bCs w:val="0"/>
          <w:rtl/>
        </w:rPr>
        <w:tab/>
        <w:t xml:space="preserve">الأسهم العادية </w:t>
      </w:r>
      <w:r w:rsidR="00B3109B" w:rsidRPr="00154B0B">
        <w:rPr>
          <w:b w:val="0"/>
          <w:bCs w:val="0"/>
        </w:rPr>
        <w:t>(Common Shares)</w:t>
      </w:r>
      <w:r w:rsidR="00B3109B" w:rsidRPr="00154B0B">
        <w:rPr>
          <w:rFonts w:hint="cs"/>
          <w:b w:val="0"/>
          <w:bCs w:val="0"/>
          <w:rtl/>
        </w:rPr>
        <w:t xml:space="preserve"> الصادرة عن البنك والتي تحقق المعايير اللازمة لاع</w:t>
      </w:r>
      <w:r w:rsidR="00766392" w:rsidRPr="00154B0B">
        <w:rPr>
          <w:rFonts w:hint="cs"/>
          <w:b w:val="0"/>
          <w:bCs w:val="0"/>
          <w:rtl/>
        </w:rPr>
        <w:t>تبارها أسهم عادية لأغراض رقابية.</w:t>
      </w:r>
    </w:p>
    <w:p w:rsidR="00B3109B" w:rsidRPr="00154B0B" w:rsidRDefault="00150D4B" w:rsidP="00E52119">
      <w:pPr>
        <w:ind w:left="1984" w:hanging="709"/>
        <w:rPr>
          <w:b w:val="0"/>
          <w:bCs w:val="0"/>
          <w:rtl/>
        </w:rPr>
      </w:pPr>
      <w:r w:rsidRPr="00154B0B">
        <w:rPr>
          <w:rFonts w:hint="cs"/>
          <w:b w:val="0"/>
          <w:bCs w:val="0"/>
          <w:rtl/>
        </w:rPr>
        <w:t>2.1.1</w:t>
      </w:r>
      <w:r w:rsidR="00154B0B" w:rsidRPr="00154B0B">
        <w:rPr>
          <w:rFonts w:hint="cs"/>
          <w:b w:val="0"/>
          <w:bCs w:val="0"/>
          <w:rtl/>
        </w:rPr>
        <w:t>.</w:t>
      </w:r>
      <w:r w:rsidR="00B3109B" w:rsidRPr="00154B0B">
        <w:rPr>
          <w:rFonts w:hint="cs"/>
          <w:b w:val="0"/>
          <w:bCs w:val="0"/>
          <w:rtl/>
        </w:rPr>
        <w:tab/>
        <w:t>الأرباح</w:t>
      </w:r>
      <w:r w:rsidR="00C6262A" w:rsidRPr="00154B0B">
        <w:rPr>
          <w:rFonts w:hint="cs"/>
          <w:b w:val="0"/>
          <w:bCs w:val="0"/>
          <w:rtl/>
        </w:rPr>
        <w:t xml:space="preserve"> (الخسائر)</w:t>
      </w:r>
      <w:r w:rsidR="00B3109B" w:rsidRPr="00154B0B">
        <w:rPr>
          <w:rFonts w:hint="cs"/>
          <w:b w:val="0"/>
          <w:bCs w:val="0"/>
          <w:rtl/>
        </w:rPr>
        <w:t xml:space="preserve"> </w:t>
      </w:r>
      <w:r w:rsidR="00766392" w:rsidRPr="00154B0B">
        <w:rPr>
          <w:rFonts w:hint="cs"/>
          <w:b w:val="0"/>
          <w:bCs w:val="0"/>
          <w:rtl/>
        </w:rPr>
        <w:t>المدورة</w:t>
      </w:r>
      <w:r w:rsidR="00C6262A" w:rsidRPr="00154B0B">
        <w:rPr>
          <w:rFonts w:hint="cs"/>
          <w:b w:val="0"/>
          <w:bCs w:val="0"/>
          <w:rtl/>
        </w:rPr>
        <w:t>.</w:t>
      </w:r>
    </w:p>
    <w:p w:rsidR="00C6262A" w:rsidRPr="00154B0B" w:rsidRDefault="00150D4B" w:rsidP="00E52119">
      <w:pPr>
        <w:ind w:left="1984" w:hanging="709"/>
        <w:rPr>
          <w:b w:val="0"/>
          <w:bCs w:val="0"/>
          <w:rtl/>
        </w:rPr>
      </w:pPr>
      <w:r w:rsidRPr="00154B0B">
        <w:rPr>
          <w:rFonts w:hint="cs"/>
          <w:b w:val="0"/>
          <w:bCs w:val="0"/>
          <w:rtl/>
        </w:rPr>
        <w:lastRenderedPageBreak/>
        <w:t>3.1.1</w:t>
      </w:r>
      <w:r w:rsidR="00154B0B" w:rsidRPr="00154B0B">
        <w:rPr>
          <w:rFonts w:hint="cs"/>
          <w:b w:val="0"/>
          <w:bCs w:val="0"/>
          <w:rtl/>
        </w:rPr>
        <w:t>.</w:t>
      </w:r>
      <w:r w:rsidR="00154B0B">
        <w:rPr>
          <w:rFonts w:hint="cs"/>
          <w:b w:val="0"/>
          <w:bCs w:val="0"/>
          <w:rtl/>
        </w:rPr>
        <w:t xml:space="preserve"> </w:t>
      </w:r>
      <w:r w:rsidR="00A774D2" w:rsidRPr="00154B0B">
        <w:rPr>
          <w:rFonts w:hint="cs"/>
          <w:b w:val="0"/>
          <w:bCs w:val="0"/>
          <w:rtl/>
        </w:rPr>
        <w:t xml:space="preserve">بنود </w:t>
      </w:r>
      <w:r w:rsidR="00C6262A" w:rsidRPr="00154B0B">
        <w:rPr>
          <w:rFonts w:hint="cs"/>
          <w:b w:val="0"/>
          <w:bCs w:val="0"/>
          <w:rtl/>
        </w:rPr>
        <w:t>الدخل المتراكم الشامل</w:t>
      </w:r>
      <w:r w:rsidR="00C142CD" w:rsidRPr="00154B0B">
        <w:rPr>
          <w:rFonts w:hint="cs"/>
          <w:b w:val="0"/>
          <w:bCs w:val="0"/>
          <w:rtl/>
        </w:rPr>
        <w:t xml:space="preserve"> الأخرى والتي تشمل التغير المتراكم في القيمة العادلة</w:t>
      </w:r>
      <w:r w:rsidR="00A86BBB" w:rsidRPr="00154B0B">
        <w:rPr>
          <w:rFonts w:hint="cs"/>
          <w:b w:val="0"/>
          <w:bCs w:val="0"/>
          <w:rtl/>
        </w:rPr>
        <w:t xml:space="preserve"> بالكامل</w:t>
      </w:r>
      <w:r w:rsidR="00C142CD" w:rsidRPr="00154B0B">
        <w:rPr>
          <w:rFonts w:hint="cs"/>
          <w:b w:val="0"/>
          <w:bCs w:val="0"/>
          <w:rtl/>
        </w:rPr>
        <w:t>، فروقات ترجمة العملات الأجنبية</w:t>
      </w:r>
      <w:r w:rsidR="003C7391" w:rsidRPr="00154B0B">
        <w:rPr>
          <w:rFonts w:hint="cs"/>
          <w:b w:val="0"/>
          <w:bCs w:val="0"/>
          <w:rtl/>
        </w:rPr>
        <w:t xml:space="preserve"> </w:t>
      </w:r>
      <w:r w:rsidR="001E1BF3" w:rsidRPr="00154B0B">
        <w:rPr>
          <w:rFonts w:hint="cs"/>
          <w:b w:val="0"/>
          <w:bCs w:val="0"/>
          <w:rtl/>
        </w:rPr>
        <w:t>و</w:t>
      </w:r>
      <w:r w:rsidR="003C7391" w:rsidRPr="00154B0B">
        <w:rPr>
          <w:rFonts w:hint="cs"/>
          <w:b w:val="0"/>
          <w:bCs w:val="0"/>
          <w:rtl/>
        </w:rPr>
        <w:t>احتياطي التحوط للتدفقات النقد</w:t>
      </w:r>
      <w:r w:rsidR="001E1BF3" w:rsidRPr="00154B0B">
        <w:rPr>
          <w:rFonts w:hint="cs"/>
          <w:b w:val="0"/>
          <w:bCs w:val="0"/>
          <w:rtl/>
        </w:rPr>
        <w:t>ية لأصول</w:t>
      </w:r>
      <w:r w:rsidR="00431976" w:rsidRPr="00154B0B">
        <w:rPr>
          <w:rFonts w:hint="cs"/>
          <w:b w:val="0"/>
          <w:bCs w:val="0"/>
          <w:rtl/>
        </w:rPr>
        <w:t xml:space="preserve"> غير</w:t>
      </w:r>
      <w:r w:rsidR="001E1BF3" w:rsidRPr="00154B0B">
        <w:rPr>
          <w:rFonts w:hint="cs"/>
          <w:b w:val="0"/>
          <w:bCs w:val="0"/>
          <w:rtl/>
        </w:rPr>
        <w:t xml:space="preserve"> </w:t>
      </w:r>
      <w:r w:rsidR="00431976" w:rsidRPr="00154B0B">
        <w:rPr>
          <w:rFonts w:hint="cs"/>
          <w:b w:val="0"/>
          <w:bCs w:val="0"/>
          <w:rtl/>
        </w:rPr>
        <w:t>ال</w:t>
      </w:r>
      <w:r w:rsidR="001E1BF3" w:rsidRPr="00154B0B">
        <w:rPr>
          <w:rFonts w:hint="cs"/>
          <w:b w:val="0"/>
          <w:bCs w:val="0"/>
          <w:rtl/>
        </w:rPr>
        <w:t>مقيمة بالقيمة العادلة</w:t>
      </w:r>
      <w:r w:rsidR="001E1BF3" w:rsidRPr="00316783">
        <w:rPr>
          <w:b w:val="0"/>
          <w:bCs w:val="0"/>
          <w:vertAlign w:val="superscript"/>
          <w:rtl/>
        </w:rPr>
        <w:footnoteReference w:id="6"/>
      </w:r>
      <w:r w:rsidR="00C6262A" w:rsidRPr="00154B0B">
        <w:rPr>
          <w:rFonts w:hint="cs"/>
          <w:b w:val="0"/>
          <w:bCs w:val="0"/>
          <w:rtl/>
        </w:rPr>
        <w:t xml:space="preserve">. </w:t>
      </w:r>
    </w:p>
    <w:p w:rsidR="00C6262A" w:rsidRPr="00154B0B" w:rsidRDefault="00150D4B" w:rsidP="00E52119">
      <w:pPr>
        <w:ind w:left="1984" w:hanging="709"/>
        <w:rPr>
          <w:b w:val="0"/>
          <w:bCs w:val="0"/>
          <w:rtl/>
        </w:rPr>
      </w:pPr>
      <w:r w:rsidRPr="00154B0B">
        <w:rPr>
          <w:rFonts w:hint="cs"/>
          <w:b w:val="0"/>
          <w:bCs w:val="0"/>
          <w:rtl/>
        </w:rPr>
        <w:t>4.1.1</w:t>
      </w:r>
      <w:r w:rsidR="00154B0B" w:rsidRPr="00154B0B">
        <w:rPr>
          <w:rFonts w:hint="cs"/>
          <w:b w:val="0"/>
          <w:bCs w:val="0"/>
          <w:rtl/>
        </w:rPr>
        <w:t>.</w:t>
      </w:r>
      <w:r w:rsidR="00C6262A" w:rsidRPr="00154B0B">
        <w:rPr>
          <w:rFonts w:hint="cs"/>
          <w:b w:val="0"/>
          <w:bCs w:val="0"/>
          <w:rtl/>
        </w:rPr>
        <w:tab/>
        <w:t>الاحتياطيات</w:t>
      </w:r>
      <w:r w:rsidR="00C6262A" w:rsidRPr="00154B0B">
        <w:rPr>
          <w:b w:val="0"/>
          <w:bCs w:val="0"/>
          <w:rtl/>
        </w:rPr>
        <w:t xml:space="preserve"> المُعلنة: </w:t>
      </w:r>
      <w:r w:rsidR="00C142CD" w:rsidRPr="00154B0B">
        <w:rPr>
          <w:rFonts w:hint="cs"/>
          <w:b w:val="0"/>
          <w:bCs w:val="0"/>
          <w:rtl/>
        </w:rPr>
        <w:t>الا</w:t>
      </w:r>
      <w:r w:rsidR="00C6262A" w:rsidRPr="00154B0B">
        <w:rPr>
          <w:rFonts w:hint="cs"/>
          <w:b w:val="0"/>
          <w:bCs w:val="0"/>
          <w:rtl/>
        </w:rPr>
        <w:t>حتياطي</w:t>
      </w:r>
      <w:r w:rsidR="00C6262A" w:rsidRPr="00154B0B">
        <w:rPr>
          <w:b w:val="0"/>
          <w:bCs w:val="0"/>
          <w:rtl/>
        </w:rPr>
        <w:t xml:space="preserve"> القانوني، ا</w:t>
      </w:r>
      <w:r w:rsidR="00C6262A" w:rsidRPr="00154B0B">
        <w:rPr>
          <w:rFonts w:hint="cs"/>
          <w:b w:val="0"/>
          <w:bCs w:val="0"/>
          <w:rtl/>
        </w:rPr>
        <w:t>لا</w:t>
      </w:r>
      <w:r w:rsidR="00C6262A" w:rsidRPr="00154B0B">
        <w:rPr>
          <w:b w:val="0"/>
          <w:bCs w:val="0"/>
          <w:rtl/>
        </w:rPr>
        <w:t xml:space="preserve">حتياطي </w:t>
      </w:r>
      <w:r w:rsidR="00C6262A" w:rsidRPr="00154B0B">
        <w:rPr>
          <w:rFonts w:hint="cs"/>
          <w:b w:val="0"/>
          <w:bCs w:val="0"/>
          <w:rtl/>
        </w:rPr>
        <w:t>الاختياري</w:t>
      </w:r>
      <w:r w:rsidR="00C6262A" w:rsidRPr="00154B0B">
        <w:rPr>
          <w:b w:val="0"/>
          <w:bCs w:val="0"/>
          <w:rtl/>
        </w:rPr>
        <w:t>،</w:t>
      </w:r>
      <w:r w:rsidR="00C6262A" w:rsidRPr="00154B0B">
        <w:rPr>
          <w:rFonts w:hint="cs"/>
          <w:b w:val="0"/>
          <w:bCs w:val="0"/>
          <w:rtl/>
        </w:rPr>
        <w:t xml:space="preserve"> </w:t>
      </w:r>
      <w:r w:rsidR="00C6262A" w:rsidRPr="00154B0B">
        <w:rPr>
          <w:b w:val="0"/>
          <w:bCs w:val="0"/>
          <w:rtl/>
        </w:rPr>
        <w:t>علاوة (خصم</w:t>
      </w:r>
      <w:r w:rsidR="00C6262A" w:rsidRPr="00154B0B">
        <w:rPr>
          <w:rFonts w:hint="cs"/>
          <w:b w:val="0"/>
          <w:bCs w:val="0"/>
          <w:rtl/>
        </w:rPr>
        <w:t>)</w:t>
      </w:r>
      <w:r w:rsidR="00C6262A" w:rsidRPr="00154B0B">
        <w:rPr>
          <w:b w:val="0"/>
          <w:bCs w:val="0"/>
          <w:rtl/>
        </w:rPr>
        <w:t xml:space="preserve"> الإصدار،</w:t>
      </w:r>
      <w:r w:rsidR="00A86BBB" w:rsidRPr="00154B0B">
        <w:rPr>
          <w:rFonts w:hint="cs"/>
          <w:b w:val="0"/>
          <w:bCs w:val="0"/>
          <w:rtl/>
        </w:rPr>
        <w:t xml:space="preserve"> </w:t>
      </w:r>
      <w:r w:rsidR="00C6262A" w:rsidRPr="00154B0B">
        <w:rPr>
          <w:b w:val="0"/>
          <w:bCs w:val="0"/>
          <w:rtl/>
        </w:rPr>
        <w:t>علاوة إصدار أسهم الخزينة</w:t>
      </w:r>
      <w:r w:rsidR="00C6262A" w:rsidRPr="00154B0B">
        <w:rPr>
          <w:rFonts w:hint="cs"/>
          <w:b w:val="0"/>
          <w:bCs w:val="0"/>
          <w:rtl/>
        </w:rPr>
        <w:t>.</w:t>
      </w:r>
    </w:p>
    <w:p w:rsidR="00C6262A" w:rsidRPr="00154B0B" w:rsidRDefault="00150D4B" w:rsidP="00E52119">
      <w:pPr>
        <w:ind w:left="1984" w:hanging="709"/>
        <w:rPr>
          <w:b w:val="0"/>
          <w:bCs w:val="0"/>
          <w:rtl/>
        </w:rPr>
      </w:pPr>
      <w:r w:rsidRPr="00154B0B">
        <w:rPr>
          <w:rFonts w:hint="cs"/>
          <w:b w:val="0"/>
          <w:bCs w:val="0"/>
          <w:rtl/>
        </w:rPr>
        <w:t>5.1.1</w:t>
      </w:r>
      <w:r w:rsidR="00154B0B">
        <w:rPr>
          <w:rFonts w:hint="cs"/>
          <w:b w:val="0"/>
          <w:bCs w:val="0"/>
          <w:rtl/>
        </w:rPr>
        <w:t>.</w:t>
      </w:r>
      <w:r w:rsidR="00C6262A" w:rsidRPr="00154B0B">
        <w:rPr>
          <w:rFonts w:hint="cs"/>
          <w:b w:val="0"/>
          <w:bCs w:val="0"/>
          <w:rtl/>
        </w:rPr>
        <w:tab/>
        <w:t>أية ا</w:t>
      </w:r>
      <w:r w:rsidR="00C6262A" w:rsidRPr="00154B0B">
        <w:rPr>
          <w:b w:val="0"/>
          <w:bCs w:val="0"/>
          <w:rtl/>
        </w:rPr>
        <w:t>حتياطيات أخرى</w:t>
      </w:r>
      <w:r w:rsidR="00C6262A" w:rsidRPr="00154B0B">
        <w:rPr>
          <w:rFonts w:hint="cs"/>
          <w:b w:val="0"/>
          <w:bCs w:val="0"/>
          <w:rtl/>
        </w:rPr>
        <w:t xml:space="preserve"> </w:t>
      </w:r>
      <w:r w:rsidR="008F2BB6" w:rsidRPr="00154B0B">
        <w:rPr>
          <w:rFonts w:hint="cs"/>
          <w:b w:val="0"/>
          <w:bCs w:val="0"/>
          <w:rtl/>
        </w:rPr>
        <w:t>غير مقيدة وخاضعة</w:t>
      </w:r>
      <w:r w:rsidR="00C6262A" w:rsidRPr="00154B0B">
        <w:rPr>
          <w:rFonts w:hint="cs"/>
          <w:b w:val="0"/>
          <w:bCs w:val="0"/>
          <w:rtl/>
        </w:rPr>
        <w:t xml:space="preserve"> لموافقة البنك المركزي الأردني المسبقة</w:t>
      </w:r>
      <w:r w:rsidR="00C6262A" w:rsidRPr="00154B0B">
        <w:rPr>
          <w:b w:val="0"/>
          <w:bCs w:val="0"/>
          <w:rtl/>
        </w:rPr>
        <w:t>.</w:t>
      </w:r>
    </w:p>
    <w:p w:rsidR="00B3109B" w:rsidRPr="00316783" w:rsidRDefault="00150D4B" w:rsidP="00E52119">
      <w:pPr>
        <w:ind w:left="1984" w:hanging="709"/>
        <w:rPr>
          <w:b w:val="0"/>
          <w:bCs w:val="0"/>
          <w:rtl/>
        </w:rPr>
      </w:pPr>
      <w:r w:rsidRPr="00316783">
        <w:rPr>
          <w:rFonts w:hint="cs"/>
          <w:b w:val="0"/>
          <w:bCs w:val="0"/>
          <w:rtl/>
        </w:rPr>
        <w:t>6.1.1</w:t>
      </w:r>
      <w:r w:rsidR="00316783">
        <w:rPr>
          <w:rFonts w:hint="cs"/>
          <w:b w:val="0"/>
          <w:bCs w:val="0"/>
          <w:rtl/>
        </w:rPr>
        <w:t>.</w:t>
      </w:r>
      <w:r w:rsidR="00B3109B" w:rsidRPr="00316783">
        <w:rPr>
          <w:rFonts w:hint="cs"/>
          <w:b w:val="0"/>
          <w:bCs w:val="0"/>
          <w:rtl/>
        </w:rPr>
        <w:tab/>
      </w:r>
      <w:r w:rsidR="00C6262A" w:rsidRPr="00316783">
        <w:rPr>
          <w:rFonts w:hint="cs"/>
          <w:b w:val="0"/>
          <w:bCs w:val="0"/>
          <w:rtl/>
        </w:rPr>
        <w:t xml:space="preserve">حقوق الأقلية وهي </w:t>
      </w:r>
      <w:r w:rsidR="00B3109B" w:rsidRPr="00316783">
        <w:rPr>
          <w:rFonts w:hint="cs"/>
          <w:b w:val="0"/>
          <w:bCs w:val="0"/>
          <w:rtl/>
        </w:rPr>
        <w:t>الأسهم العادية الصادرة عن شركات تابعة للبنك وموحدة حساباتها مع حسابات ا</w:t>
      </w:r>
      <w:r w:rsidR="00C6262A" w:rsidRPr="00316783">
        <w:rPr>
          <w:rFonts w:hint="cs"/>
          <w:b w:val="0"/>
          <w:bCs w:val="0"/>
          <w:rtl/>
        </w:rPr>
        <w:t xml:space="preserve">لبنك ومحتفظ بها من قبل طرف ثالث، </w:t>
      </w:r>
      <w:r w:rsidR="00AD7F88" w:rsidRPr="00316783">
        <w:rPr>
          <w:rFonts w:hint="cs"/>
          <w:b w:val="0"/>
          <w:bCs w:val="0"/>
          <w:rtl/>
        </w:rPr>
        <w:t xml:space="preserve">والتي تحقق </w:t>
      </w:r>
      <w:r w:rsidR="00B3109B" w:rsidRPr="00316783">
        <w:rPr>
          <w:rFonts w:hint="cs"/>
          <w:b w:val="0"/>
          <w:bCs w:val="0"/>
          <w:rtl/>
        </w:rPr>
        <w:t xml:space="preserve">معايير تضمينها في </w:t>
      </w:r>
      <w:r w:rsidR="00F765A0" w:rsidRPr="00316783">
        <w:rPr>
          <w:rFonts w:hint="cs"/>
          <w:b w:val="0"/>
          <w:bCs w:val="0"/>
          <w:rtl/>
        </w:rPr>
        <w:t>حقوق حملة الاسهم العادية</w:t>
      </w:r>
      <w:r w:rsidR="00A41D37" w:rsidRPr="00316783">
        <w:rPr>
          <w:rFonts w:hint="cs"/>
          <w:b w:val="0"/>
          <w:bCs w:val="0"/>
          <w:rtl/>
        </w:rPr>
        <w:t xml:space="preserve"> (</w:t>
      </w:r>
      <w:r w:rsidR="00A41D37" w:rsidRPr="00316783">
        <w:rPr>
          <w:b w:val="0"/>
          <w:bCs w:val="0"/>
        </w:rPr>
        <w:t>CET1</w:t>
      </w:r>
      <w:r w:rsidR="00A41D37" w:rsidRPr="00316783">
        <w:rPr>
          <w:rFonts w:hint="cs"/>
          <w:b w:val="0"/>
          <w:bCs w:val="0"/>
          <w:rtl/>
        </w:rPr>
        <w:t xml:space="preserve">) </w:t>
      </w:r>
      <w:r w:rsidR="00B3109B" w:rsidRPr="00316783">
        <w:rPr>
          <w:rFonts w:hint="cs"/>
          <w:b w:val="0"/>
          <w:bCs w:val="0"/>
          <w:rtl/>
        </w:rPr>
        <w:t>و</w:t>
      </w:r>
      <w:r w:rsidR="00AD7F88" w:rsidRPr="00316783">
        <w:rPr>
          <w:rFonts w:hint="cs"/>
          <w:b w:val="0"/>
          <w:bCs w:val="0"/>
          <w:rtl/>
        </w:rPr>
        <w:t>ال</w:t>
      </w:r>
      <w:r w:rsidR="00B3109B" w:rsidRPr="00316783">
        <w:rPr>
          <w:rFonts w:hint="cs"/>
          <w:b w:val="0"/>
          <w:bCs w:val="0"/>
          <w:rtl/>
        </w:rPr>
        <w:t xml:space="preserve">موضحة في </w:t>
      </w:r>
      <w:r w:rsidR="001D60FF" w:rsidRPr="00316783">
        <w:rPr>
          <w:rFonts w:hint="cs"/>
          <w:b w:val="0"/>
          <w:bCs w:val="0"/>
          <w:rtl/>
        </w:rPr>
        <w:t>البند (</w:t>
      </w:r>
      <w:r w:rsidR="00AD7F88" w:rsidRPr="00316783">
        <w:rPr>
          <w:rFonts w:hint="cs"/>
          <w:b w:val="0"/>
          <w:bCs w:val="0"/>
          <w:rtl/>
        </w:rPr>
        <w:t>ثالثاً/4</w:t>
      </w:r>
      <w:r w:rsidR="001D60FF" w:rsidRPr="00316783">
        <w:rPr>
          <w:rFonts w:hint="cs"/>
          <w:b w:val="0"/>
          <w:bCs w:val="0"/>
          <w:rtl/>
        </w:rPr>
        <w:t>)</w:t>
      </w:r>
      <w:r w:rsidR="00776491" w:rsidRPr="00316783">
        <w:rPr>
          <w:rFonts w:hint="cs"/>
          <w:b w:val="0"/>
          <w:bCs w:val="0"/>
          <w:rtl/>
        </w:rPr>
        <w:t xml:space="preserve"> من هذا الفصل</w:t>
      </w:r>
      <w:r w:rsidR="00B3109B" w:rsidRPr="00316783">
        <w:rPr>
          <w:rFonts w:hint="cs"/>
          <w:b w:val="0"/>
          <w:bCs w:val="0"/>
          <w:rtl/>
        </w:rPr>
        <w:t>.</w:t>
      </w:r>
    </w:p>
    <w:p w:rsidR="00E14D32" w:rsidRPr="00316783" w:rsidRDefault="0048642E" w:rsidP="00D853A5">
      <w:pPr>
        <w:ind w:left="1275" w:hanging="567"/>
        <w:rPr>
          <w:b w:val="0"/>
          <w:bCs w:val="0"/>
          <w:rtl/>
        </w:rPr>
      </w:pPr>
      <w:r w:rsidRPr="00316783">
        <w:rPr>
          <w:rFonts w:hint="cs"/>
          <w:b w:val="0"/>
          <w:bCs w:val="0"/>
          <w:rtl/>
        </w:rPr>
        <w:t>2.1</w:t>
      </w:r>
      <w:r w:rsidR="00316783">
        <w:rPr>
          <w:rFonts w:hint="cs"/>
          <w:b w:val="0"/>
          <w:bCs w:val="0"/>
          <w:rtl/>
        </w:rPr>
        <w:t>.</w:t>
      </w:r>
      <w:r w:rsidRPr="00316783">
        <w:rPr>
          <w:rFonts w:hint="cs"/>
          <w:b w:val="0"/>
          <w:bCs w:val="0"/>
          <w:rtl/>
        </w:rPr>
        <w:tab/>
      </w:r>
      <w:r w:rsidR="00D853A5">
        <w:rPr>
          <w:rFonts w:hint="cs"/>
          <w:b w:val="0"/>
          <w:bCs w:val="0"/>
          <w:rtl/>
        </w:rPr>
        <w:t>ت</w:t>
      </w:r>
      <w:r w:rsidRPr="00316783">
        <w:rPr>
          <w:rFonts w:hint="cs"/>
          <w:b w:val="0"/>
          <w:bCs w:val="0"/>
          <w:rtl/>
        </w:rPr>
        <w:t xml:space="preserve">دخل </w:t>
      </w:r>
      <w:r w:rsidR="00D853A5">
        <w:rPr>
          <w:rFonts w:hint="cs"/>
          <w:b w:val="0"/>
          <w:bCs w:val="0"/>
          <w:rtl/>
        </w:rPr>
        <w:t xml:space="preserve">صافي </w:t>
      </w:r>
      <w:r w:rsidRPr="00316783">
        <w:rPr>
          <w:rFonts w:hint="cs"/>
          <w:b w:val="0"/>
          <w:bCs w:val="0"/>
          <w:rtl/>
        </w:rPr>
        <w:t xml:space="preserve">الأرباح </w:t>
      </w:r>
      <w:r w:rsidR="00D853A5">
        <w:rPr>
          <w:rFonts w:hint="cs"/>
          <w:b w:val="0"/>
          <w:bCs w:val="0"/>
          <w:rtl/>
        </w:rPr>
        <w:t xml:space="preserve">المرحلية بعد الضريبة </w:t>
      </w:r>
      <w:r w:rsidR="00E46D20">
        <w:rPr>
          <w:rFonts w:hint="cs"/>
          <w:b w:val="0"/>
          <w:bCs w:val="0"/>
          <w:rtl/>
        </w:rPr>
        <w:t>و</w:t>
      </w:r>
      <w:r w:rsidR="00D853A5">
        <w:rPr>
          <w:rFonts w:hint="cs"/>
          <w:b w:val="0"/>
          <w:bCs w:val="0"/>
          <w:rtl/>
        </w:rPr>
        <w:t xml:space="preserve">طرح قيمة التوزيعات المتوقعة </w:t>
      </w:r>
      <w:r w:rsidRPr="00316783">
        <w:rPr>
          <w:rFonts w:hint="cs"/>
          <w:b w:val="0"/>
          <w:bCs w:val="0"/>
          <w:rtl/>
        </w:rPr>
        <w:t>ضمن (</w:t>
      </w:r>
      <w:r w:rsidRPr="00316783">
        <w:rPr>
          <w:b w:val="0"/>
          <w:bCs w:val="0"/>
        </w:rPr>
        <w:t>(CET1</w:t>
      </w:r>
      <w:r w:rsidR="00D853A5">
        <w:rPr>
          <w:rFonts w:hint="cs"/>
          <w:b w:val="0"/>
          <w:bCs w:val="0"/>
          <w:rtl/>
        </w:rPr>
        <w:t>،</w:t>
      </w:r>
      <w:r w:rsidR="00EB718B" w:rsidRPr="00316783">
        <w:rPr>
          <w:rFonts w:hint="cs"/>
          <w:b w:val="0"/>
          <w:bCs w:val="0"/>
          <w:rtl/>
        </w:rPr>
        <w:t xml:space="preserve"> بينما تُطرح خسائر الفترة</w:t>
      </w:r>
      <w:r w:rsidR="00AD7F88" w:rsidRPr="00316783">
        <w:rPr>
          <w:rFonts w:hint="cs"/>
          <w:b w:val="0"/>
          <w:bCs w:val="0"/>
          <w:rtl/>
        </w:rPr>
        <w:t>.</w:t>
      </w:r>
    </w:p>
    <w:p w:rsidR="00B3109B" w:rsidRPr="00316783" w:rsidRDefault="0048642E" w:rsidP="00E52119">
      <w:pPr>
        <w:ind w:left="1275" w:hanging="567"/>
        <w:rPr>
          <w:b w:val="0"/>
          <w:bCs w:val="0"/>
          <w:rtl/>
        </w:rPr>
      </w:pPr>
      <w:r w:rsidRPr="00316783">
        <w:rPr>
          <w:rFonts w:hint="cs"/>
          <w:b w:val="0"/>
          <w:bCs w:val="0"/>
          <w:rtl/>
        </w:rPr>
        <w:t>3.1</w:t>
      </w:r>
      <w:r w:rsidR="00316783">
        <w:rPr>
          <w:rFonts w:hint="cs"/>
          <w:b w:val="0"/>
          <w:bCs w:val="0"/>
          <w:rtl/>
        </w:rPr>
        <w:t>.</w:t>
      </w:r>
      <w:r w:rsidR="00E14D32" w:rsidRPr="00316783">
        <w:rPr>
          <w:rFonts w:hint="cs"/>
          <w:b w:val="0"/>
          <w:bCs w:val="0"/>
          <w:rtl/>
        </w:rPr>
        <w:tab/>
      </w:r>
      <w:r w:rsidR="00A774D2" w:rsidRPr="00316783">
        <w:rPr>
          <w:rFonts w:hint="cs"/>
          <w:b w:val="0"/>
          <w:bCs w:val="0"/>
          <w:rtl/>
        </w:rPr>
        <w:t xml:space="preserve">معايير التأهيل </w:t>
      </w:r>
      <w:r w:rsidR="00A774D2" w:rsidRPr="0036451D">
        <w:rPr>
          <w:rFonts w:eastAsiaTheme="majorEastAsia" w:hint="cs"/>
          <w:b w:val="0"/>
          <w:bCs w:val="0"/>
          <w:rtl/>
        </w:rPr>
        <w:t>للأسهم</w:t>
      </w:r>
      <w:r w:rsidR="00A774D2" w:rsidRPr="00316783">
        <w:rPr>
          <w:rFonts w:hint="cs"/>
          <w:b w:val="0"/>
          <w:bCs w:val="0"/>
          <w:rtl/>
        </w:rPr>
        <w:t xml:space="preserve"> </w:t>
      </w:r>
      <w:r w:rsidR="00B3109B" w:rsidRPr="00316783">
        <w:rPr>
          <w:rFonts w:hint="cs"/>
          <w:b w:val="0"/>
          <w:bCs w:val="0"/>
          <w:rtl/>
        </w:rPr>
        <w:t>العادية الصادرة عن البنك</w:t>
      </w:r>
      <w:r w:rsidR="00FA1555" w:rsidRPr="00316783">
        <w:rPr>
          <w:rFonts w:hint="cs"/>
          <w:b w:val="0"/>
          <w:bCs w:val="0"/>
          <w:rtl/>
        </w:rPr>
        <w:t>:</w:t>
      </w:r>
    </w:p>
    <w:p w:rsidR="00B3109B" w:rsidRPr="00316783" w:rsidRDefault="00B3109B" w:rsidP="00E52119">
      <w:pPr>
        <w:shd w:val="clear" w:color="auto" w:fill="FFFFFF"/>
        <w:spacing w:line="276" w:lineRule="auto"/>
        <w:ind w:left="1275"/>
        <w:rPr>
          <w:b w:val="0"/>
          <w:bCs w:val="0"/>
          <w:rtl/>
        </w:rPr>
      </w:pPr>
      <w:r w:rsidRPr="00316783">
        <w:rPr>
          <w:rFonts w:hint="cs"/>
          <w:b w:val="0"/>
          <w:bCs w:val="0"/>
          <w:rtl/>
        </w:rPr>
        <w:t xml:space="preserve">حتى يتم </w:t>
      </w:r>
      <w:r w:rsidR="00766392" w:rsidRPr="00316783">
        <w:rPr>
          <w:rFonts w:hint="cs"/>
          <w:b w:val="0"/>
          <w:bCs w:val="0"/>
          <w:rtl/>
        </w:rPr>
        <w:t>تضمين</w:t>
      </w:r>
      <w:r w:rsidRPr="00316783">
        <w:rPr>
          <w:rFonts w:hint="cs"/>
          <w:b w:val="0"/>
          <w:bCs w:val="0"/>
          <w:rtl/>
        </w:rPr>
        <w:t xml:space="preserve"> أي أداة مالية ضمن </w:t>
      </w:r>
      <w:r w:rsidR="00F765A0" w:rsidRPr="00316783">
        <w:rPr>
          <w:rFonts w:hint="cs"/>
          <w:b w:val="0"/>
          <w:bCs w:val="0"/>
          <w:rtl/>
        </w:rPr>
        <w:t>حقوق حملة الاسهم العادية</w:t>
      </w:r>
      <w:r w:rsidR="00AD7F88" w:rsidRPr="00316783">
        <w:rPr>
          <w:rFonts w:hint="cs"/>
          <w:b w:val="0"/>
          <w:bCs w:val="0"/>
          <w:rtl/>
        </w:rPr>
        <w:t xml:space="preserve"> </w:t>
      </w:r>
      <w:r w:rsidRPr="00316783">
        <w:rPr>
          <w:rFonts w:hint="cs"/>
          <w:b w:val="0"/>
          <w:bCs w:val="0"/>
          <w:rtl/>
        </w:rPr>
        <w:t>(</w:t>
      </w:r>
      <w:r w:rsidRPr="00316783">
        <w:rPr>
          <w:b w:val="0"/>
          <w:bCs w:val="0"/>
        </w:rPr>
        <w:t xml:space="preserve"> (CET1</w:t>
      </w:r>
      <w:r w:rsidRPr="00316783">
        <w:rPr>
          <w:rFonts w:hint="cs"/>
          <w:b w:val="0"/>
          <w:bCs w:val="0"/>
          <w:rtl/>
        </w:rPr>
        <w:t xml:space="preserve"> فيجب أن تحقق جميع المعايير التالية</w:t>
      </w:r>
      <w:r w:rsidR="00C6262A" w:rsidRPr="00316783">
        <w:rPr>
          <w:rFonts w:hint="cs"/>
          <w:b w:val="0"/>
          <w:bCs w:val="0"/>
          <w:rtl/>
        </w:rPr>
        <w:t xml:space="preserve">: </w:t>
      </w:r>
    </w:p>
    <w:p w:rsidR="00B3109B" w:rsidRPr="00316783" w:rsidRDefault="00150D4B" w:rsidP="00E52119">
      <w:pPr>
        <w:ind w:left="1984" w:hanging="709"/>
        <w:rPr>
          <w:b w:val="0"/>
          <w:bCs w:val="0"/>
          <w:rtl/>
        </w:rPr>
      </w:pPr>
      <w:r w:rsidRPr="00316783">
        <w:rPr>
          <w:rFonts w:hint="cs"/>
          <w:b w:val="0"/>
          <w:bCs w:val="0"/>
          <w:rtl/>
        </w:rPr>
        <w:t>1.3.1</w:t>
      </w:r>
      <w:r w:rsidR="00316783">
        <w:rPr>
          <w:rFonts w:hint="cs"/>
          <w:b w:val="0"/>
          <w:bCs w:val="0"/>
          <w:rtl/>
        </w:rPr>
        <w:t>.</w:t>
      </w:r>
      <w:r w:rsidR="00B3109B" w:rsidRPr="00316783">
        <w:rPr>
          <w:rFonts w:hint="cs"/>
          <w:b w:val="0"/>
          <w:bCs w:val="0"/>
          <w:rtl/>
        </w:rPr>
        <w:tab/>
      </w:r>
      <w:r w:rsidR="0020698A" w:rsidRPr="00316783">
        <w:rPr>
          <w:rFonts w:hint="cs"/>
          <w:b w:val="0"/>
          <w:bCs w:val="0"/>
          <w:rtl/>
        </w:rPr>
        <w:t>أ</w:t>
      </w:r>
      <w:r w:rsidR="00B3109B" w:rsidRPr="00316783">
        <w:rPr>
          <w:rFonts w:hint="cs"/>
          <w:b w:val="0"/>
          <w:bCs w:val="0"/>
          <w:rtl/>
        </w:rPr>
        <w:t xml:space="preserve">ن تمثل المطالبة الأولوية الأدنى </w:t>
      </w:r>
      <w:r w:rsidR="008B147C" w:rsidRPr="00316783">
        <w:rPr>
          <w:rFonts w:hint="cs"/>
          <w:b w:val="0"/>
          <w:bCs w:val="0"/>
          <w:rtl/>
        </w:rPr>
        <w:t xml:space="preserve">ضمن أدوات رأس المال </w:t>
      </w:r>
      <w:r w:rsidR="00B3109B" w:rsidRPr="00316783">
        <w:rPr>
          <w:rFonts w:hint="cs"/>
          <w:b w:val="0"/>
          <w:bCs w:val="0"/>
          <w:rtl/>
        </w:rPr>
        <w:t xml:space="preserve">في حال تصفية البنك. </w:t>
      </w:r>
    </w:p>
    <w:p w:rsidR="00B3109B" w:rsidRPr="00316783" w:rsidRDefault="00150D4B" w:rsidP="00E52119">
      <w:pPr>
        <w:ind w:left="1984" w:hanging="709"/>
        <w:rPr>
          <w:b w:val="0"/>
          <w:bCs w:val="0"/>
          <w:rtl/>
        </w:rPr>
      </w:pPr>
      <w:r w:rsidRPr="00316783">
        <w:rPr>
          <w:rFonts w:hint="cs"/>
          <w:b w:val="0"/>
          <w:bCs w:val="0"/>
          <w:rtl/>
        </w:rPr>
        <w:t>2.3.1</w:t>
      </w:r>
      <w:r w:rsidR="00316783">
        <w:rPr>
          <w:rFonts w:hint="cs"/>
          <w:b w:val="0"/>
          <w:bCs w:val="0"/>
          <w:rtl/>
        </w:rPr>
        <w:t>.</w:t>
      </w:r>
      <w:r w:rsidR="0020698A" w:rsidRPr="00316783">
        <w:rPr>
          <w:rFonts w:hint="cs"/>
          <w:b w:val="0"/>
          <w:bCs w:val="0"/>
          <w:rtl/>
        </w:rPr>
        <w:tab/>
      </w:r>
      <w:r w:rsidR="00B3109B" w:rsidRPr="00316783">
        <w:rPr>
          <w:rFonts w:hint="cs"/>
          <w:b w:val="0"/>
          <w:bCs w:val="0"/>
          <w:rtl/>
        </w:rPr>
        <w:t xml:space="preserve">لها الحق بالمطالبة بالأصول المتبقية بما يتناسب مع نسبة مشاركتها في رأس المال بعد سداد جميع الديون ذات الأولوية في حالة التصفية (أي لها </w:t>
      </w:r>
      <w:r w:rsidR="008B147C" w:rsidRPr="00316783">
        <w:rPr>
          <w:rFonts w:hint="cs"/>
          <w:b w:val="0"/>
          <w:bCs w:val="0"/>
          <w:rtl/>
        </w:rPr>
        <w:t>الحق ب</w:t>
      </w:r>
      <w:r w:rsidR="00B3109B" w:rsidRPr="00316783">
        <w:rPr>
          <w:rFonts w:hint="cs"/>
          <w:b w:val="0"/>
          <w:bCs w:val="0"/>
          <w:rtl/>
        </w:rPr>
        <w:t xml:space="preserve">مطالبة </w:t>
      </w:r>
      <w:r w:rsidR="00222C45" w:rsidRPr="00316783">
        <w:rPr>
          <w:rFonts w:hint="cs"/>
          <w:b w:val="0"/>
          <w:bCs w:val="0"/>
          <w:rtl/>
        </w:rPr>
        <w:t>غير محددة و</w:t>
      </w:r>
      <w:r w:rsidR="008B147C" w:rsidRPr="00316783">
        <w:rPr>
          <w:rFonts w:hint="cs"/>
          <w:b w:val="0"/>
          <w:bCs w:val="0"/>
          <w:rtl/>
        </w:rPr>
        <w:t xml:space="preserve">غير </w:t>
      </w:r>
      <w:r w:rsidR="00B3109B" w:rsidRPr="00316783">
        <w:rPr>
          <w:rFonts w:hint="cs"/>
          <w:b w:val="0"/>
          <w:bCs w:val="0"/>
          <w:rtl/>
        </w:rPr>
        <w:t>متغيرة وليست ثابتة أو محددة بسقف).</w:t>
      </w:r>
    </w:p>
    <w:p w:rsidR="00B3109B" w:rsidRPr="00316783" w:rsidRDefault="00150D4B" w:rsidP="00E52119">
      <w:pPr>
        <w:ind w:left="1984" w:hanging="709"/>
        <w:rPr>
          <w:b w:val="0"/>
          <w:bCs w:val="0"/>
          <w:rtl/>
        </w:rPr>
      </w:pPr>
      <w:r w:rsidRPr="00316783">
        <w:rPr>
          <w:rFonts w:hint="cs"/>
          <w:b w:val="0"/>
          <w:bCs w:val="0"/>
          <w:rtl/>
        </w:rPr>
        <w:t>3.3.1</w:t>
      </w:r>
      <w:r w:rsidR="00316783">
        <w:rPr>
          <w:rFonts w:hint="cs"/>
          <w:b w:val="0"/>
          <w:bCs w:val="0"/>
          <w:rtl/>
        </w:rPr>
        <w:t>.</w:t>
      </w:r>
      <w:r w:rsidR="00B3109B" w:rsidRPr="00316783">
        <w:rPr>
          <w:rFonts w:hint="cs"/>
          <w:b w:val="0"/>
          <w:bCs w:val="0"/>
          <w:rtl/>
        </w:rPr>
        <w:tab/>
        <w:t>القيمة الاسمية دائمة ولا</w:t>
      </w:r>
      <w:r w:rsidR="00C6262A" w:rsidRPr="00316783">
        <w:rPr>
          <w:rFonts w:hint="cs"/>
          <w:b w:val="0"/>
          <w:bCs w:val="0"/>
          <w:rtl/>
        </w:rPr>
        <w:t xml:space="preserve"> يمكن دفعها إلا في حالة التصفية</w:t>
      </w:r>
      <w:r w:rsidR="00B3109B" w:rsidRPr="00316783">
        <w:rPr>
          <w:rFonts w:hint="cs"/>
          <w:b w:val="0"/>
          <w:bCs w:val="0"/>
          <w:rtl/>
        </w:rPr>
        <w:t xml:space="preserve"> (وبغض النظر عن وجود خيار إعادة الشراء أو أي وسائل لتخفيض رأس المال على أسس اختيارية تسمح بها القوانين المرعية). </w:t>
      </w:r>
    </w:p>
    <w:p w:rsidR="00B3109B" w:rsidRPr="00316783" w:rsidRDefault="00150D4B" w:rsidP="00E52119">
      <w:pPr>
        <w:ind w:left="1984" w:hanging="709"/>
        <w:rPr>
          <w:b w:val="0"/>
          <w:bCs w:val="0"/>
          <w:rtl/>
        </w:rPr>
      </w:pPr>
      <w:r w:rsidRPr="00316783">
        <w:rPr>
          <w:rFonts w:hint="cs"/>
          <w:b w:val="0"/>
          <w:bCs w:val="0"/>
          <w:rtl/>
        </w:rPr>
        <w:t>4.3.1</w:t>
      </w:r>
      <w:r w:rsidR="00E52119">
        <w:rPr>
          <w:rFonts w:hint="cs"/>
          <w:b w:val="0"/>
          <w:bCs w:val="0"/>
          <w:rtl/>
        </w:rPr>
        <w:t xml:space="preserve">. </w:t>
      </w:r>
      <w:r w:rsidR="00B3109B" w:rsidRPr="00316783">
        <w:rPr>
          <w:rFonts w:hint="cs"/>
          <w:b w:val="0"/>
          <w:bCs w:val="0"/>
          <w:rtl/>
        </w:rPr>
        <w:t xml:space="preserve">أن لا يخلق البنك أي توقعات عند الإصدار بأنه سيقوم بإعادة شراء الأداة أو إطفائها أو إلغائها، </w:t>
      </w:r>
      <w:r w:rsidR="00776491" w:rsidRPr="00316783">
        <w:rPr>
          <w:rFonts w:hint="cs"/>
          <w:b w:val="0"/>
          <w:bCs w:val="0"/>
          <w:rtl/>
        </w:rPr>
        <w:t>وأن</w:t>
      </w:r>
      <w:r w:rsidR="00B3109B" w:rsidRPr="00316783">
        <w:rPr>
          <w:rFonts w:hint="cs"/>
          <w:b w:val="0"/>
          <w:bCs w:val="0"/>
          <w:rtl/>
        </w:rPr>
        <w:t xml:space="preserve"> لا تحتوي الشروط التعاقدية على أي ميزة يمكن أن يفهم منها ذلك.</w:t>
      </w:r>
    </w:p>
    <w:p w:rsidR="00C6262A" w:rsidRPr="00316783" w:rsidRDefault="00150D4B" w:rsidP="00E52119">
      <w:pPr>
        <w:ind w:left="1984" w:hanging="709"/>
        <w:rPr>
          <w:b w:val="0"/>
          <w:bCs w:val="0"/>
          <w:rtl/>
        </w:rPr>
      </w:pPr>
      <w:r w:rsidRPr="00316783">
        <w:rPr>
          <w:rFonts w:hint="cs"/>
          <w:b w:val="0"/>
          <w:bCs w:val="0"/>
          <w:rtl/>
        </w:rPr>
        <w:t>5.3.1</w:t>
      </w:r>
      <w:r w:rsidR="00316783">
        <w:rPr>
          <w:rFonts w:hint="cs"/>
          <w:b w:val="0"/>
          <w:bCs w:val="0"/>
          <w:rtl/>
        </w:rPr>
        <w:t>.</w:t>
      </w:r>
      <w:r w:rsidR="00B3109B" w:rsidRPr="00316783">
        <w:rPr>
          <w:rFonts w:hint="cs"/>
          <w:b w:val="0"/>
          <w:bCs w:val="0"/>
          <w:rtl/>
        </w:rPr>
        <w:tab/>
        <w:t>التوزيعات تدفع من بنود قابلة للتوزيع (بما في ذلك الأرباح المدورة) ولا يتم ربط مستوى التوزيع بأي شكل من الأشكال بالقيمة المدفوعة ع</w:t>
      </w:r>
      <w:r w:rsidR="00C6262A" w:rsidRPr="00316783">
        <w:rPr>
          <w:rFonts w:hint="cs"/>
          <w:b w:val="0"/>
          <w:bCs w:val="0"/>
          <w:rtl/>
        </w:rPr>
        <w:t>ند الإصدار ولا تخضع لسقف تعاقدي.</w:t>
      </w:r>
    </w:p>
    <w:p w:rsidR="00B3109B" w:rsidRPr="00316783" w:rsidRDefault="00150D4B" w:rsidP="00E52119">
      <w:pPr>
        <w:ind w:left="1984" w:hanging="709"/>
        <w:rPr>
          <w:b w:val="0"/>
          <w:bCs w:val="0"/>
          <w:rtl/>
        </w:rPr>
      </w:pPr>
      <w:r w:rsidRPr="00316783">
        <w:rPr>
          <w:rFonts w:hint="cs"/>
          <w:b w:val="0"/>
          <w:bCs w:val="0"/>
          <w:rtl/>
        </w:rPr>
        <w:lastRenderedPageBreak/>
        <w:t>6.3.1</w:t>
      </w:r>
      <w:r w:rsidR="00316783">
        <w:rPr>
          <w:rFonts w:hint="cs"/>
          <w:b w:val="0"/>
          <w:bCs w:val="0"/>
          <w:rtl/>
        </w:rPr>
        <w:t>.</w:t>
      </w:r>
      <w:r w:rsidR="00B3109B" w:rsidRPr="00316783">
        <w:rPr>
          <w:rFonts w:hint="cs"/>
          <w:b w:val="0"/>
          <w:bCs w:val="0"/>
          <w:rtl/>
        </w:rPr>
        <w:tab/>
        <w:t>ليس هناك أي حالة يكون فيها التوزيع إجباريا وبالتالي فان عدم الدفع لا يعتبر حدث تعثر.</w:t>
      </w:r>
    </w:p>
    <w:p w:rsidR="00C6262A" w:rsidRPr="00316783" w:rsidRDefault="00150D4B" w:rsidP="00E52119">
      <w:pPr>
        <w:ind w:left="1984" w:hanging="709"/>
        <w:rPr>
          <w:b w:val="0"/>
          <w:bCs w:val="0"/>
          <w:rtl/>
        </w:rPr>
      </w:pPr>
      <w:r w:rsidRPr="00316783">
        <w:rPr>
          <w:rFonts w:hint="cs"/>
          <w:b w:val="0"/>
          <w:bCs w:val="0"/>
          <w:rtl/>
        </w:rPr>
        <w:t>7.3.1</w:t>
      </w:r>
      <w:r w:rsidR="00316783">
        <w:rPr>
          <w:rFonts w:hint="cs"/>
          <w:b w:val="0"/>
          <w:bCs w:val="0"/>
          <w:rtl/>
        </w:rPr>
        <w:t>.</w:t>
      </w:r>
      <w:r w:rsidR="00B3109B" w:rsidRPr="00316783">
        <w:rPr>
          <w:rFonts w:hint="cs"/>
          <w:b w:val="0"/>
          <w:bCs w:val="0"/>
          <w:rtl/>
        </w:rPr>
        <w:tab/>
        <w:t>يتم دفع التوزيعات فقط بعد تسديد جميع الالتزامات التعاقدية والقانونية وكذلك دفع ما يستحق ع</w:t>
      </w:r>
      <w:r w:rsidR="00C6262A" w:rsidRPr="00316783">
        <w:rPr>
          <w:rFonts w:hint="cs"/>
          <w:b w:val="0"/>
          <w:bCs w:val="0"/>
          <w:rtl/>
        </w:rPr>
        <w:t>لى أدوات رأس المال ذات الأولوية</w:t>
      </w:r>
      <w:r w:rsidR="00362F64" w:rsidRPr="00316783">
        <w:rPr>
          <w:rFonts w:hint="cs"/>
          <w:b w:val="0"/>
          <w:bCs w:val="0"/>
          <w:rtl/>
        </w:rPr>
        <w:t xml:space="preserve"> الأعلى</w:t>
      </w:r>
      <w:r w:rsidR="00C6262A" w:rsidRPr="00316783">
        <w:rPr>
          <w:rFonts w:hint="cs"/>
          <w:b w:val="0"/>
          <w:bCs w:val="0"/>
          <w:rtl/>
        </w:rPr>
        <w:t>.</w:t>
      </w:r>
    </w:p>
    <w:p w:rsidR="00B3109B" w:rsidRPr="00316783" w:rsidRDefault="00150D4B" w:rsidP="00E52119">
      <w:pPr>
        <w:ind w:left="1984" w:hanging="709"/>
        <w:rPr>
          <w:b w:val="0"/>
          <w:bCs w:val="0"/>
          <w:rtl/>
        </w:rPr>
      </w:pPr>
      <w:r w:rsidRPr="00316783">
        <w:rPr>
          <w:rFonts w:hint="cs"/>
          <w:b w:val="0"/>
          <w:bCs w:val="0"/>
          <w:rtl/>
        </w:rPr>
        <w:t>8.3.1</w:t>
      </w:r>
      <w:r w:rsidR="00316783">
        <w:rPr>
          <w:rFonts w:hint="cs"/>
          <w:b w:val="0"/>
          <w:bCs w:val="0"/>
          <w:rtl/>
        </w:rPr>
        <w:t>.</w:t>
      </w:r>
      <w:r w:rsidR="00B3109B" w:rsidRPr="00316783">
        <w:rPr>
          <w:rFonts w:hint="cs"/>
          <w:b w:val="0"/>
          <w:bCs w:val="0"/>
          <w:rtl/>
        </w:rPr>
        <w:tab/>
      </w:r>
      <w:r w:rsidR="00C6262A" w:rsidRPr="00316783">
        <w:rPr>
          <w:rFonts w:hint="cs"/>
          <w:b w:val="0"/>
          <w:bCs w:val="0"/>
          <w:rtl/>
        </w:rPr>
        <w:t>ت</w:t>
      </w:r>
      <w:r w:rsidR="00B3109B" w:rsidRPr="00316783">
        <w:rPr>
          <w:rFonts w:hint="cs"/>
          <w:b w:val="0"/>
          <w:bCs w:val="0"/>
          <w:rtl/>
        </w:rPr>
        <w:t>تحمل أولا</w:t>
      </w:r>
      <w:r w:rsidR="00C6262A" w:rsidRPr="00316783">
        <w:rPr>
          <w:rFonts w:hint="cs"/>
          <w:b w:val="0"/>
          <w:bCs w:val="0"/>
          <w:rtl/>
        </w:rPr>
        <w:t>ً</w:t>
      </w:r>
      <w:r w:rsidR="00B3109B" w:rsidRPr="00316783">
        <w:rPr>
          <w:rFonts w:hint="cs"/>
          <w:b w:val="0"/>
          <w:bCs w:val="0"/>
          <w:rtl/>
        </w:rPr>
        <w:t xml:space="preserve"> أي خسائر </w:t>
      </w:r>
      <w:r w:rsidR="00C6262A" w:rsidRPr="00316783">
        <w:rPr>
          <w:rFonts w:hint="cs"/>
          <w:b w:val="0"/>
          <w:bCs w:val="0"/>
          <w:rtl/>
        </w:rPr>
        <w:t>يمكن</w:t>
      </w:r>
      <w:r w:rsidR="00A774D2" w:rsidRPr="00316783">
        <w:rPr>
          <w:rFonts w:hint="cs"/>
          <w:b w:val="0"/>
          <w:bCs w:val="0"/>
          <w:rtl/>
        </w:rPr>
        <w:t xml:space="preserve"> أن</w:t>
      </w:r>
      <w:r w:rsidR="00C6262A" w:rsidRPr="00316783">
        <w:rPr>
          <w:rFonts w:hint="cs"/>
          <w:b w:val="0"/>
          <w:bCs w:val="0"/>
          <w:rtl/>
        </w:rPr>
        <w:t xml:space="preserve"> </w:t>
      </w:r>
      <w:r w:rsidR="00B3109B" w:rsidRPr="00316783">
        <w:rPr>
          <w:rFonts w:hint="cs"/>
          <w:b w:val="0"/>
          <w:bCs w:val="0"/>
          <w:rtl/>
        </w:rPr>
        <w:t>تحدث</w:t>
      </w:r>
      <w:r w:rsidR="003F65DB" w:rsidRPr="00316783">
        <w:rPr>
          <w:rFonts w:hint="cs"/>
          <w:b w:val="0"/>
          <w:bCs w:val="0"/>
          <w:rtl/>
        </w:rPr>
        <w:t xml:space="preserve">. </w:t>
      </w:r>
      <w:r w:rsidR="00B3109B" w:rsidRPr="00316783">
        <w:rPr>
          <w:rFonts w:hint="cs"/>
          <w:b w:val="0"/>
          <w:bCs w:val="0"/>
          <w:rtl/>
        </w:rPr>
        <w:t xml:space="preserve"> </w:t>
      </w:r>
    </w:p>
    <w:p w:rsidR="00B3109B" w:rsidRPr="00316783" w:rsidRDefault="00150D4B" w:rsidP="00E52119">
      <w:pPr>
        <w:ind w:left="1984" w:hanging="709"/>
        <w:rPr>
          <w:b w:val="0"/>
          <w:bCs w:val="0"/>
          <w:rtl/>
        </w:rPr>
      </w:pPr>
      <w:r w:rsidRPr="00316783">
        <w:rPr>
          <w:rFonts w:hint="cs"/>
          <w:b w:val="0"/>
          <w:bCs w:val="0"/>
          <w:rtl/>
        </w:rPr>
        <w:t>9.3.1</w:t>
      </w:r>
      <w:r w:rsidR="00316783">
        <w:rPr>
          <w:rFonts w:hint="cs"/>
          <w:b w:val="0"/>
          <w:bCs w:val="0"/>
          <w:rtl/>
        </w:rPr>
        <w:t>.</w:t>
      </w:r>
      <w:r w:rsidR="00776491" w:rsidRPr="00316783">
        <w:rPr>
          <w:rFonts w:hint="cs"/>
          <w:b w:val="0"/>
          <w:bCs w:val="0"/>
          <w:rtl/>
        </w:rPr>
        <w:tab/>
        <w:t>إ</w:t>
      </w:r>
      <w:r w:rsidR="00B3109B" w:rsidRPr="00316783">
        <w:rPr>
          <w:rFonts w:hint="cs"/>
          <w:b w:val="0"/>
          <w:bCs w:val="0"/>
          <w:rtl/>
        </w:rPr>
        <w:t xml:space="preserve">ن القيمة المدفوعة تعتبر من ضمن حقوق الملكية (أي ليست التزامات) لغايات </w:t>
      </w:r>
      <w:r w:rsidR="004248DC" w:rsidRPr="00316783">
        <w:rPr>
          <w:rFonts w:hint="cs"/>
          <w:b w:val="0"/>
          <w:bCs w:val="0"/>
          <w:rtl/>
        </w:rPr>
        <w:t>تحديد</w:t>
      </w:r>
      <w:r w:rsidR="00B3109B" w:rsidRPr="00316783">
        <w:rPr>
          <w:rFonts w:hint="cs"/>
          <w:b w:val="0"/>
          <w:bCs w:val="0"/>
          <w:rtl/>
        </w:rPr>
        <w:t xml:space="preserve"> </w:t>
      </w:r>
      <w:r w:rsidR="00A774D2" w:rsidRPr="00316783">
        <w:rPr>
          <w:rFonts w:hint="cs"/>
          <w:b w:val="0"/>
          <w:bCs w:val="0"/>
          <w:rtl/>
        </w:rPr>
        <w:t xml:space="preserve">عدم </w:t>
      </w:r>
      <w:r w:rsidR="00B3109B" w:rsidRPr="00316783">
        <w:rPr>
          <w:rFonts w:hint="cs"/>
          <w:b w:val="0"/>
          <w:bCs w:val="0"/>
          <w:rtl/>
        </w:rPr>
        <w:t>الملاء</w:t>
      </w:r>
      <w:r w:rsidR="00D20A1F" w:rsidRPr="00316783">
        <w:rPr>
          <w:rFonts w:hint="cs"/>
          <w:b w:val="0"/>
          <w:bCs w:val="0"/>
          <w:rtl/>
        </w:rPr>
        <w:t xml:space="preserve">ة المالية في الميزانية العمومية، كما </w:t>
      </w:r>
      <w:r w:rsidR="00B3109B" w:rsidRPr="00316783">
        <w:rPr>
          <w:rFonts w:hint="cs"/>
          <w:b w:val="0"/>
          <w:bCs w:val="0"/>
          <w:rtl/>
        </w:rPr>
        <w:t>تصنف كحقوق ملكية وفقا للمعايير المحاسبية ذات العلاقة.</w:t>
      </w:r>
    </w:p>
    <w:p w:rsidR="00B3109B" w:rsidRPr="00316783" w:rsidRDefault="00150D4B" w:rsidP="00E52119">
      <w:pPr>
        <w:ind w:left="1984" w:hanging="709"/>
        <w:rPr>
          <w:b w:val="0"/>
          <w:bCs w:val="0"/>
          <w:rtl/>
        </w:rPr>
      </w:pPr>
      <w:r w:rsidRPr="00316783">
        <w:rPr>
          <w:rFonts w:hint="cs"/>
          <w:b w:val="0"/>
          <w:bCs w:val="0"/>
          <w:rtl/>
        </w:rPr>
        <w:t>10.3.1</w:t>
      </w:r>
      <w:r w:rsidR="00E52119">
        <w:rPr>
          <w:rFonts w:hint="cs"/>
          <w:b w:val="0"/>
          <w:bCs w:val="0"/>
          <w:rtl/>
        </w:rPr>
        <w:t>.</w:t>
      </w:r>
      <w:r w:rsidR="00776491" w:rsidRPr="00316783">
        <w:rPr>
          <w:rFonts w:hint="cs"/>
          <w:b w:val="0"/>
          <w:bCs w:val="0"/>
          <w:rtl/>
        </w:rPr>
        <w:t>أ</w:t>
      </w:r>
      <w:r w:rsidR="00B3109B" w:rsidRPr="00316783">
        <w:rPr>
          <w:rFonts w:hint="cs"/>
          <w:b w:val="0"/>
          <w:bCs w:val="0"/>
          <w:rtl/>
        </w:rPr>
        <w:t xml:space="preserve">ن تكون مصدرة مباشرة ومدفوعة بالكامل </w:t>
      </w:r>
      <w:r w:rsidR="008B147C" w:rsidRPr="00316783">
        <w:rPr>
          <w:rFonts w:hint="cs"/>
          <w:b w:val="0"/>
          <w:bCs w:val="0"/>
          <w:rtl/>
        </w:rPr>
        <w:t>و</w:t>
      </w:r>
      <w:r w:rsidR="00B3109B" w:rsidRPr="00316783">
        <w:rPr>
          <w:rFonts w:hint="cs"/>
          <w:b w:val="0"/>
          <w:bCs w:val="0"/>
          <w:rtl/>
        </w:rPr>
        <w:t xml:space="preserve">أن </w:t>
      </w:r>
      <w:r w:rsidR="008B147C" w:rsidRPr="00316783">
        <w:rPr>
          <w:rFonts w:hint="cs"/>
          <w:b w:val="0"/>
          <w:bCs w:val="0"/>
          <w:rtl/>
        </w:rPr>
        <w:t xml:space="preserve">لا </w:t>
      </w:r>
      <w:r w:rsidR="00B3109B" w:rsidRPr="00316783">
        <w:rPr>
          <w:rFonts w:hint="cs"/>
          <w:b w:val="0"/>
          <w:bCs w:val="0"/>
          <w:rtl/>
        </w:rPr>
        <w:t>يكون البنك قد مول شراء الأداة بشكل مباشر أو غير مباشر.</w:t>
      </w:r>
    </w:p>
    <w:p w:rsidR="00B3109B" w:rsidRPr="00316783" w:rsidRDefault="00150D4B" w:rsidP="00E52119">
      <w:pPr>
        <w:ind w:left="1984" w:hanging="709"/>
        <w:rPr>
          <w:b w:val="0"/>
          <w:bCs w:val="0"/>
          <w:rtl/>
        </w:rPr>
      </w:pPr>
      <w:r w:rsidRPr="00316783">
        <w:rPr>
          <w:rFonts w:hint="cs"/>
          <w:b w:val="0"/>
          <w:bCs w:val="0"/>
          <w:rtl/>
        </w:rPr>
        <w:t>11.3.1</w:t>
      </w:r>
      <w:r w:rsidR="00316783">
        <w:rPr>
          <w:rFonts w:hint="cs"/>
          <w:b w:val="0"/>
          <w:bCs w:val="0"/>
          <w:rtl/>
        </w:rPr>
        <w:t>.</w:t>
      </w:r>
      <w:r w:rsidR="00776491" w:rsidRPr="00316783">
        <w:rPr>
          <w:rFonts w:hint="cs"/>
          <w:b w:val="0"/>
          <w:bCs w:val="0"/>
          <w:rtl/>
        </w:rPr>
        <w:t>إ</w:t>
      </w:r>
      <w:r w:rsidR="00B3109B" w:rsidRPr="00316783">
        <w:rPr>
          <w:rFonts w:hint="cs"/>
          <w:b w:val="0"/>
          <w:bCs w:val="0"/>
          <w:rtl/>
        </w:rPr>
        <w:t>ن القيمة المدفوعة ليست مضمونة أو مغطاة بكفالة من المصدر أو أي جهة ذات علاقة به</w:t>
      </w:r>
      <w:r w:rsidR="00B3109B" w:rsidRPr="00DC20B9">
        <w:rPr>
          <w:b w:val="0"/>
          <w:bCs w:val="0"/>
          <w:vertAlign w:val="superscript"/>
          <w:rtl/>
        </w:rPr>
        <w:footnoteReference w:id="7"/>
      </w:r>
      <w:r w:rsidR="00AD7F88" w:rsidRPr="00316783">
        <w:rPr>
          <w:rFonts w:hint="cs"/>
          <w:b w:val="0"/>
          <w:bCs w:val="0"/>
          <w:rtl/>
        </w:rPr>
        <w:t xml:space="preserve">، </w:t>
      </w:r>
      <w:r w:rsidR="00B3109B" w:rsidRPr="00316783">
        <w:rPr>
          <w:rFonts w:hint="cs"/>
          <w:b w:val="0"/>
          <w:bCs w:val="0"/>
          <w:rtl/>
        </w:rPr>
        <w:t>أو تخضع لأي ترتيبات تعزز من درجة أولويتها قانونياً أو اقتصادياً.</w:t>
      </w:r>
    </w:p>
    <w:p w:rsidR="00B3109B" w:rsidRPr="00316783" w:rsidRDefault="00150D4B" w:rsidP="00E52119">
      <w:pPr>
        <w:spacing w:after="0"/>
        <w:ind w:left="1984" w:hanging="709"/>
        <w:rPr>
          <w:b w:val="0"/>
          <w:bCs w:val="0"/>
          <w:rtl/>
        </w:rPr>
      </w:pPr>
      <w:r w:rsidRPr="00316783">
        <w:rPr>
          <w:rFonts w:hint="cs"/>
          <w:b w:val="0"/>
          <w:bCs w:val="0"/>
          <w:rtl/>
        </w:rPr>
        <w:t>12.3.1</w:t>
      </w:r>
      <w:r w:rsidR="00316783">
        <w:rPr>
          <w:rFonts w:hint="cs"/>
          <w:b w:val="0"/>
          <w:bCs w:val="0"/>
          <w:rtl/>
        </w:rPr>
        <w:t>.</w:t>
      </w:r>
      <w:r w:rsidR="00776491" w:rsidRPr="00316783">
        <w:rPr>
          <w:rFonts w:hint="cs"/>
          <w:b w:val="0"/>
          <w:bCs w:val="0"/>
          <w:rtl/>
        </w:rPr>
        <w:t>أ</w:t>
      </w:r>
      <w:r w:rsidR="00B3109B" w:rsidRPr="00316783">
        <w:rPr>
          <w:rFonts w:hint="cs"/>
          <w:b w:val="0"/>
          <w:bCs w:val="0"/>
          <w:rtl/>
        </w:rPr>
        <w:t>ن تصدر فقط بموافقة مالكي البنك سواء منحت</w:t>
      </w:r>
      <w:r w:rsidR="00222C45" w:rsidRPr="00316783">
        <w:rPr>
          <w:rFonts w:hint="cs"/>
          <w:b w:val="0"/>
          <w:bCs w:val="0"/>
          <w:rtl/>
        </w:rPr>
        <w:t xml:space="preserve"> هذه الموافقة</w:t>
      </w:r>
      <w:r w:rsidR="00B3109B" w:rsidRPr="00316783">
        <w:rPr>
          <w:rFonts w:hint="cs"/>
          <w:b w:val="0"/>
          <w:bCs w:val="0"/>
          <w:rtl/>
        </w:rPr>
        <w:t xml:space="preserve"> مباشرة من قبل المالكين أنفسهم أو من قبل أشخاص مفوضين </w:t>
      </w:r>
      <w:r w:rsidR="0048642E" w:rsidRPr="00316783">
        <w:rPr>
          <w:rFonts w:hint="cs"/>
          <w:b w:val="0"/>
          <w:bCs w:val="0"/>
          <w:rtl/>
        </w:rPr>
        <w:t>ع</w:t>
      </w:r>
      <w:r w:rsidR="00B3109B" w:rsidRPr="00316783">
        <w:rPr>
          <w:rFonts w:hint="cs"/>
          <w:b w:val="0"/>
          <w:bCs w:val="0"/>
          <w:rtl/>
        </w:rPr>
        <w:t>ن هؤلاء المالكين.</w:t>
      </w:r>
    </w:p>
    <w:p w:rsidR="00E14D32" w:rsidRPr="00316783" w:rsidRDefault="00150D4B" w:rsidP="00E52119">
      <w:pPr>
        <w:ind w:left="1984" w:hanging="709"/>
        <w:rPr>
          <w:b w:val="0"/>
          <w:bCs w:val="0"/>
          <w:rtl/>
        </w:rPr>
      </w:pPr>
      <w:r w:rsidRPr="00316783">
        <w:rPr>
          <w:rFonts w:hint="cs"/>
          <w:b w:val="0"/>
          <w:bCs w:val="0"/>
          <w:rtl/>
        </w:rPr>
        <w:t>13.3.1</w:t>
      </w:r>
      <w:r w:rsidR="00316783">
        <w:rPr>
          <w:rFonts w:hint="cs"/>
          <w:b w:val="0"/>
          <w:bCs w:val="0"/>
          <w:rtl/>
        </w:rPr>
        <w:t>.</w:t>
      </w:r>
      <w:r w:rsidR="00B3109B" w:rsidRPr="00316783">
        <w:rPr>
          <w:rFonts w:hint="cs"/>
          <w:b w:val="0"/>
          <w:bCs w:val="0"/>
          <w:rtl/>
        </w:rPr>
        <w:t>مفصح عنها بشكل واضح ومنفصل في ميزانية البنك.</w:t>
      </w:r>
    </w:p>
    <w:p w:rsidR="00B3109B" w:rsidRPr="009B17B3" w:rsidRDefault="00DC20B9" w:rsidP="00E52119">
      <w:pPr>
        <w:spacing w:before="240" w:after="240"/>
        <w:ind w:left="708" w:hanging="425"/>
        <w:rPr>
          <w:rtl/>
        </w:rPr>
      </w:pPr>
      <w:bookmarkStart w:id="25" w:name="_Toc372557475"/>
      <w:r>
        <w:rPr>
          <w:rtl/>
        </w:rPr>
        <w:t>2.</w:t>
      </w:r>
      <w:r w:rsidR="00277449">
        <w:rPr>
          <w:rFonts w:hint="cs"/>
          <w:rtl/>
        </w:rPr>
        <w:tab/>
      </w:r>
      <w:r w:rsidR="00B3109B" w:rsidRPr="009B17B3">
        <w:rPr>
          <w:rtl/>
        </w:rPr>
        <w:t>رأس المال الإضافي</w:t>
      </w:r>
      <w:r w:rsidR="00D20A1F" w:rsidRPr="009B17B3">
        <w:rPr>
          <w:rtl/>
        </w:rPr>
        <w:t xml:space="preserve"> </w:t>
      </w:r>
      <w:r w:rsidR="00B3109B" w:rsidRPr="009B17B3">
        <w:t>Additional Tier 1 (AT1)</w:t>
      </w:r>
      <w:bookmarkEnd w:id="25"/>
    </w:p>
    <w:p w:rsidR="00B3109B" w:rsidRPr="00316783" w:rsidRDefault="0048642E" w:rsidP="00E52119">
      <w:pPr>
        <w:ind w:left="1275" w:hanging="567"/>
        <w:rPr>
          <w:b w:val="0"/>
          <w:bCs w:val="0"/>
          <w:noProof/>
          <w:rtl/>
        </w:rPr>
      </w:pPr>
      <w:r w:rsidRPr="00316783">
        <w:rPr>
          <w:rFonts w:hint="cs"/>
          <w:b w:val="0"/>
          <w:bCs w:val="0"/>
          <w:noProof/>
          <w:rtl/>
        </w:rPr>
        <w:t>1.2</w:t>
      </w:r>
      <w:r w:rsidR="00316783">
        <w:rPr>
          <w:rFonts w:hint="cs"/>
          <w:b w:val="0"/>
          <w:bCs w:val="0"/>
          <w:noProof/>
          <w:rtl/>
        </w:rPr>
        <w:t>.</w:t>
      </w:r>
      <w:r w:rsidR="009D6B4E" w:rsidRPr="00316783">
        <w:rPr>
          <w:rFonts w:hint="cs"/>
          <w:b w:val="0"/>
          <w:bCs w:val="0"/>
          <w:noProof/>
          <w:rtl/>
        </w:rPr>
        <w:tab/>
      </w:r>
      <w:r w:rsidR="00B3109B" w:rsidRPr="00316783">
        <w:rPr>
          <w:rFonts w:hint="cs"/>
          <w:b w:val="0"/>
          <w:bCs w:val="0"/>
          <w:noProof/>
          <w:rtl/>
        </w:rPr>
        <w:t>يتكون رأس المال</w:t>
      </w:r>
      <w:r w:rsidR="00362F64" w:rsidRPr="00316783">
        <w:rPr>
          <w:rFonts w:hint="cs"/>
          <w:b w:val="0"/>
          <w:bCs w:val="0"/>
          <w:noProof/>
          <w:rtl/>
        </w:rPr>
        <w:t xml:space="preserve"> </w:t>
      </w:r>
      <w:r w:rsidR="00362F64" w:rsidRPr="0036451D">
        <w:rPr>
          <w:rFonts w:eastAsiaTheme="majorEastAsia" w:hint="cs"/>
          <w:b w:val="0"/>
          <w:bCs w:val="0"/>
          <w:rtl/>
        </w:rPr>
        <w:t>الإضافي</w:t>
      </w:r>
      <w:r w:rsidR="00362F64" w:rsidRPr="00316783">
        <w:rPr>
          <w:rFonts w:hint="cs"/>
          <w:b w:val="0"/>
          <w:bCs w:val="0"/>
          <w:noProof/>
          <w:rtl/>
        </w:rPr>
        <w:t xml:space="preserve"> من مجموع البنود المدرجة أدناه [وذلك بعد التعديلات </w:t>
      </w:r>
      <w:r w:rsidR="00362F64" w:rsidRPr="00316783">
        <w:rPr>
          <w:rFonts w:hint="cs"/>
          <w:b w:val="0"/>
          <w:bCs w:val="0"/>
          <w:rtl/>
        </w:rPr>
        <w:t>الرقابية (الطروحات) المستخدمة لاحتساب رأس المال الإضافي (</w:t>
      </w:r>
      <w:r w:rsidR="00362F64" w:rsidRPr="00316783">
        <w:rPr>
          <w:b w:val="0"/>
          <w:bCs w:val="0"/>
        </w:rPr>
        <w:t>AT1</w:t>
      </w:r>
      <w:r w:rsidR="00362F64" w:rsidRPr="00316783">
        <w:rPr>
          <w:rFonts w:hint="cs"/>
          <w:b w:val="0"/>
          <w:bCs w:val="0"/>
          <w:rtl/>
          <w:lang w:bidi="ar-JO"/>
        </w:rPr>
        <w:t>)]</w:t>
      </w:r>
      <w:r w:rsidR="00B3109B" w:rsidRPr="00316783">
        <w:rPr>
          <w:rFonts w:hint="cs"/>
          <w:b w:val="0"/>
          <w:bCs w:val="0"/>
          <w:noProof/>
          <w:rtl/>
        </w:rPr>
        <w:t>:</w:t>
      </w:r>
    </w:p>
    <w:p w:rsidR="00B3109B" w:rsidRPr="00316783" w:rsidRDefault="00AF1543" w:rsidP="00E52119">
      <w:pPr>
        <w:ind w:left="1984" w:hanging="709"/>
        <w:rPr>
          <w:b w:val="0"/>
          <w:bCs w:val="0"/>
          <w:rtl/>
        </w:rPr>
      </w:pPr>
      <w:r w:rsidRPr="00316783">
        <w:rPr>
          <w:rFonts w:hint="cs"/>
          <w:b w:val="0"/>
          <w:bCs w:val="0"/>
          <w:rtl/>
        </w:rPr>
        <w:t>1.1.2</w:t>
      </w:r>
      <w:r w:rsidR="00316783">
        <w:rPr>
          <w:rFonts w:hint="cs"/>
          <w:b w:val="0"/>
          <w:bCs w:val="0"/>
          <w:rtl/>
        </w:rPr>
        <w:t>.</w:t>
      </w:r>
      <w:r w:rsidR="00B3109B" w:rsidRPr="00316783">
        <w:rPr>
          <w:rFonts w:hint="cs"/>
          <w:b w:val="0"/>
          <w:bCs w:val="0"/>
          <w:rtl/>
        </w:rPr>
        <w:tab/>
        <w:t>الأدوات المالية الصادرة عن البنك التي تحقق عنا</w:t>
      </w:r>
      <w:r w:rsidR="009D1555" w:rsidRPr="00316783">
        <w:rPr>
          <w:rFonts w:hint="cs"/>
          <w:b w:val="0"/>
          <w:bCs w:val="0"/>
          <w:rtl/>
        </w:rPr>
        <w:t>صر الإدراج في رأس المال الإضافي</w:t>
      </w:r>
      <w:r w:rsidR="009D1555" w:rsidRPr="00316783">
        <w:rPr>
          <w:b w:val="0"/>
          <w:bCs w:val="0"/>
        </w:rPr>
        <w:t xml:space="preserve"> </w:t>
      </w:r>
      <w:r w:rsidR="009D1555" w:rsidRPr="00316783">
        <w:rPr>
          <w:rFonts w:hint="cs"/>
          <w:b w:val="0"/>
          <w:bCs w:val="0"/>
          <w:rtl/>
          <w:lang w:bidi="ar-JO"/>
        </w:rPr>
        <w:t xml:space="preserve"> (</w:t>
      </w:r>
      <w:r w:rsidR="009D1555" w:rsidRPr="00316783">
        <w:rPr>
          <w:b w:val="0"/>
          <w:bCs w:val="0"/>
          <w:lang w:bidi="ar-JO"/>
        </w:rPr>
        <w:t>AT1</w:t>
      </w:r>
      <w:r w:rsidR="009D1555" w:rsidRPr="00316783">
        <w:rPr>
          <w:rFonts w:hint="cs"/>
          <w:b w:val="0"/>
          <w:bCs w:val="0"/>
          <w:rtl/>
          <w:lang w:bidi="ar-JO"/>
        </w:rPr>
        <w:t>)</w:t>
      </w:r>
      <w:r w:rsidR="00B3109B" w:rsidRPr="00316783">
        <w:rPr>
          <w:rFonts w:hint="cs"/>
          <w:b w:val="0"/>
          <w:bCs w:val="0"/>
          <w:rtl/>
        </w:rPr>
        <w:t xml:space="preserve"> </w:t>
      </w:r>
      <w:r w:rsidR="0048642E" w:rsidRPr="00316783">
        <w:rPr>
          <w:rFonts w:hint="cs"/>
          <w:b w:val="0"/>
          <w:bCs w:val="0"/>
          <w:rtl/>
        </w:rPr>
        <w:t>و</w:t>
      </w:r>
      <w:r w:rsidR="00B3109B" w:rsidRPr="00316783">
        <w:rPr>
          <w:rFonts w:hint="cs"/>
          <w:b w:val="0"/>
          <w:bCs w:val="0"/>
          <w:rtl/>
        </w:rPr>
        <w:t>غير موجود</w:t>
      </w:r>
      <w:r w:rsidR="00776491" w:rsidRPr="00316783">
        <w:rPr>
          <w:rFonts w:hint="cs"/>
          <w:b w:val="0"/>
          <w:bCs w:val="0"/>
          <w:rtl/>
        </w:rPr>
        <w:t>ة</w:t>
      </w:r>
      <w:r w:rsidR="00B3109B" w:rsidRPr="00316783">
        <w:rPr>
          <w:rFonts w:hint="cs"/>
          <w:b w:val="0"/>
          <w:bCs w:val="0"/>
          <w:rtl/>
        </w:rPr>
        <w:t xml:space="preserve"> ضمن </w:t>
      </w:r>
      <w:r w:rsidR="00F765A0" w:rsidRPr="00316783">
        <w:rPr>
          <w:rFonts w:hint="cs"/>
          <w:b w:val="0"/>
          <w:bCs w:val="0"/>
          <w:rtl/>
        </w:rPr>
        <w:t>حقوق حملة الأسهم العادية</w:t>
      </w:r>
      <w:r w:rsidR="0048642E" w:rsidRPr="00316783">
        <w:rPr>
          <w:rFonts w:hint="cs"/>
          <w:b w:val="0"/>
          <w:bCs w:val="0"/>
          <w:rtl/>
        </w:rPr>
        <w:t xml:space="preserve"> </w:t>
      </w:r>
      <w:r w:rsidR="00B3109B" w:rsidRPr="00316783">
        <w:rPr>
          <w:rFonts w:hint="cs"/>
          <w:b w:val="0"/>
          <w:bCs w:val="0"/>
          <w:rtl/>
        </w:rPr>
        <w:t>(</w:t>
      </w:r>
      <w:r w:rsidR="00B3109B" w:rsidRPr="00316783">
        <w:rPr>
          <w:b w:val="0"/>
          <w:bCs w:val="0"/>
        </w:rPr>
        <w:t xml:space="preserve"> (CET1</w:t>
      </w:r>
      <w:r w:rsidR="00D20A1F" w:rsidRPr="00316783">
        <w:rPr>
          <w:rFonts w:hint="cs"/>
          <w:b w:val="0"/>
          <w:bCs w:val="0"/>
          <w:rtl/>
        </w:rPr>
        <w:t xml:space="preserve">مثل القيمة الإسمية للأسهم الممتازة الدائمة غير متراكمة الفوائد (العوائد) والأدوات المشابهة لها. </w:t>
      </w:r>
    </w:p>
    <w:p w:rsidR="00B3109B" w:rsidRPr="00316783" w:rsidRDefault="00AF1543" w:rsidP="00E52119">
      <w:pPr>
        <w:ind w:left="1984" w:hanging="709"/>
        <w:rPr>
          <w:b w:val="0"/>
          <w:bCs w:val="0"/>
          <w:rtl/>
        </w:rPr>
      </w:pPr>
      <w:r w:rsidRPr="00316783">
        <w:rPr>
          <w:rFonts w:hint="cs"/>
          <w:b w:val="0"/>
          <w:bCs w:val="0"/>
          <w:rtl/>
        </w:rPr>
        <w:t>2.1.2</w:t>
      </w:r>
      <w:r w:rsidR="00316783">
        <w:rPr>
          <w:rFonts w:hint="cs"/>
          <w:b w:val="0"/>
          <w:bCs w:val="0"/>
          <w:rtl/>
        </w:rPr>
        <w:t>.</w:t>
      </w:r>
      <w:r w:rsidR="0020698A" w:rsidRPr="00316783">
        <w:rPr>
          <w:rFonts w:hint="cs"/>
          <w:b w:val="0"/>
          <w:bCs w:val="0"/>
          <w:rtl/>
        </w:rPr>
        <w:tab/>
      </w:r>
      <w:r w:rsidR="00B3109B" w:rsidRPr="00316783">
        <w:rPr>
          <w:rFonts w:hint="cs"/>
          <w:b w:val="0"/>
          <w:bCs w:val="0"/>
          <w:rtl/>
        </w:rPr>
        <w:t xml:space="preserve">علاوة </w:t>
      </w:r>
      <w:r w:rsidR="00D20A1F" w:rsidRPr="00316783">
        <w:rPr>
          <w:rFonts w:hint="cs"/>
          <w:b w:val="0"/>
          <w:bCs w:val="0"/>
          <w:rtl/>
        </w:rPr>
        <w:t xml:space="preserve">(خصم) </w:t>
      </w:r>
      <w:r w:rsidR="00B3109B" w:rsidRPr="00316783">
        <w:rPr>
          <w:rFonts w:hint="cs"/>
          <w:b w:val="0"/>
          <w:bCs w:val="0"/>
          <w:rtl/>
        </w:rPr>
        <w:t>الإصدار</w:t>
      </w:r>
      <w:r w:rsidR="00D20A1F" w:rsidRPr="00316783">
        <w:rPr>
          <w:rFonts w:hint="cs"/>
          <w:b w:val="0"/>
          <w:bCs w:val="0"/>
          <w:rtl/>
        </w:rPr>
        <w:t xml:space="preserve"> </w:t>
      </w:r>
      <w:r w:rsidR="00B3109B" w:rsidRPr="00316783">
        <w:rPr>
          <w:rFonts w:hint="cs"/>
          <w:b w:val="0"/>
          <w:bCs w:val="0"/>
          <w:rtl/>
        </w:rPr>
        <w:t>الناتج عن إصدار أدوات مالية من ضمن رأس المال الإضافي</w:t>
      </w:r>
      <w:r w:rsidR="009D1555" w:rsidRPr="00316783">
        <w:rPr>
          <w:rFonts w:hint="cs"/>
          <w:b w:val="0"/>
          <w:bCs w:val="0"/>
          <w:rtl/>
        </w:rPr>
        <w:t xml:space="preserve"> (</w:t>
      </w:r>
      <w:r w:rsidR="009D1555" w:rsidRPr="00316783">
        <w:rPr>
          <w:b w:val="0"/>
          <w:bCs w:val="0"/>
        </w:rPr>
        <w:t>AT1</w:t>
      </w:r>
      <w:r w:rsidR="009D1555" w:rsidRPr="00316783">
        <w:rPr>
          <w:rFonts w:hint="cs"/>
          <w:b w:val="0"/>
          <w:bCs w:val="0"/>
          <w:rtl/>
        </w:rPr>
        <w:t>)</w:t>
      </w:r>
      <w:r w:rsidR="00B3109B" w:rsidRPr="00316783">
        <w:rPr>
          <w:rFonts w:hint="cs"/>
          <w:b w:val="0"/>
          <w:bCs w:val="0"/>
          <w:rtl/>
        </w:rPr>
        <w:t xml:space="preserve">؛ </w:t>
      </w:r>
    </w:p>
    <w:p w:rsidR="00572231" w:rsidRPr="00EC2943" w:rsidRDefault="00AF1543" w:rsidP="00E52119">
      <w:pPr>
        <w:ind w:left="1984" w:hanging="709"/>
        <w:rPr>
          <w:b w:val="0"/>
          <w:bCs w:val="0"/>
          <w:rtl/>
        </w:rPr>
      </w:pPr>
      <w:r w:rsidRPr="00316783">
        <w:rPr>
          <w:rFonts w:hint="cs"/>
          <w:b w:val="0"/>
          <w:bCs w:val="0"/>
          <w:rtl/>
        </w:rPr>
        <w:t>3.1.2</w:t>
      </w:r>
      <w:r w:rsidR="00316783">
        <w:rPr>
          <w:rFonts w:hint="cs"/>
          <w:b w:val="0"/>
          <w:bCs w:val="0"/>
          <w:rtl/>
        </w:rPr>
        <w:t>.</w:t>
      </w:r>
      <w:r w:rsidR="00B3109B" w:rsidRPr="00316783">
        <w:rPr>
          <w:rFonts w:hint="cs"/>
          <w:b w:val="0"/>
          <w:bCs w:val="0"/>
          <w:rtl/>
        </w:rPr>
        <w:tab/>
      </w:r>
      <w:r w:rsidR="00D20A1F" w:rsidRPr="00316783">
        <w:rPr>
          <w:rFonts w:hint="cs"/>
          <w:b w:val="0"/>
          <w:bCs w:val="0"/>
          <w:rtl/>
        </w:rPr>
        <w:t xml:space="preserve">حقوق الأقلية وهي </w:t>
      </w:r>
      <w:r w:rsidR="00AD7F88" w:rsidRPr="00316783">
        <w:rPr>
          <w:rFonts w:hint="cs"/>
          <w:b w:val="0"/>
          <w:bCs w:val="0"/>
          <w:rtl/>
        </w:rPr>
        <w:t>الأدوات</w:t>
      </w:r>
      <w:r w:rsidR="00D20A1F" w:rsidRPr="00316783">
        <w:rPr>
          <w:rFonts w:hint="cs"/>
          <w:b w:val="0"/>
          <w:bCs w:val="0"/>
          <w:rtl/>
        </w:rPr>
        <w:t xml:space="preserve"> الصادرة عن شركات تابعة للبنك وموحدة حساباتها مع حسابات البنك ومحتفظ بها من قبل طرف ثالث، والتي </w:t>
      </w:r>
      <w:r w:rsidR="00B3109B" w:rsidRPr="00316783">
        <w:rPr>
          <w:rFonts w:hint="cs"/>
          <w:b w:val="0"/>
          <w:bCs w:val="0"/>
          <w:rtl/>
        </w:rPr>
        <w:t>تحقق عناصر</w:t>
      </w:r>
      <w:r w:rsidR="00D20A1F" w:rsidRPr="00316783">
        <w:rPr>
          <w:rFonts w:hint="cs"/>
          <w:b w:val="0"/>
          <w:bCs w:val="0"/>
          <w:rtl/>
        </w:rPr>
        <w:t xml:space="preserve"> الإدراج ضمن </w:t>
      </w:r>
      <w:r w:rsidR="00D20A1F" w:rsidRPr="00316783">
        <w:rPr>
          <w:rFonts w:hint="cs"/>
          <w:b w:val="0"/>
          <w:bCs w:val="0"/>
          <w:rtl/>
        </w:rPr>
        <w:lastRenderedPageBreak/>
        <w:t>رأس المال الإضافي</w:t>
      </w:r>
      <w:r w:rsidR="009D1555" w:rsidRPr="00316783">
        <w:rPr>
          <w:rFonts w:hint="cs"/>
          <w:b w:val="0"/>
          <w:bCs w:val="0"/>
          <w:rtl/>
        </w:rPr>
        <w:t xml:space="preserve"> (</w:t>
      </w:r>
      <w:r w:rsidR="009D1555" w:rsidRPr="00316783">
        <w:rPr>
          <w:b w:val="0"/>
          <w:bCs w:val="0"/>
        </w:rPr>
        <w:t>AT1</w:t>
      </w:r>
      <w:r w:rsidR="009D1555" w:rsidRPr="00316783">
        <w:rPr>
          <w:rFonts w:hint="cs"/>
          <w:b w:val="0"/>
          <w:bCs w:val="0"/>
          <w:rtl/>
        </w:rPr>
        <w:t>)</w:t>
      </w:r>
      <w:r w:rsidR="00D20A1F" w:rsidRPr="00316783">
        <w:rPr>
          <w:rFonts w:hint="cs"/>
          <w:b w:val="0"/>
          <w:bCs w:val="0"/>
          <w:rtl/>
        </w:rPr>
        <w:t xml:space="preserve"> </w:t>
      </w:r>
      <w:r w:rsidR="00B3109B" w:rsidRPr="00316783">
        <w:rPr>
          <w:rFonts w:hint="cs"/>
          <w:b w:val="0"/>
          <w:bCs w:val="0"/>
          <w:rtl/>
        </w:rPr>
        <w:t xml:space="preserve">وغير موجودة ضمن </w:t>
      </w:r>
      <w:r w:rsidR="00F765A0" w:rsidRPr="00316783">
        <w:rPr>
          <w:rFonts w:hint="cs"/>
          <w:b w:val="0"/>
          <w:bCs w:val="0"/>
          <w:rtl/>
        </w:rPr>
        <w:t xml:space="preserve">حقوق حملة الأسهم العادية </w:t>
      </w:r>
      <w:r w:rsidR="00B3109B" w:rsidRPr="00316783">
        <w:rPr>
          <w:rFonts w:hint="cs"/>
          <w:b w:val="0"/>
          <w:bCs w:val="0"/>
          <w:rtl/>
        </w:rPr>
        <w:t>(</w:t>
      </w:r>
      <w:r w:rsidR="00B3109B" w:rsidRPr="00316783">
        <w:rPr>
          <w:b w:val="0"/>
          <w:bCs w:val="0"/>
        </w:rPr>
        <w:t>(CET1</w:t>
      </w:r>
      <w:r w:rsidR="0048642E" w:rsidRPr="00316783">
        <w:rPr>
          <w:rFonts w:hint="cs"/>
          <w:b w:val="0"/>
          <w:bCs w:val="0"/>
          <w:rtl/>
        </w:rPr>
        <w:t>.</w:t>
      </w:r>
    </w:p>
    <w:p w:rsidR="00B3109B" w:rsidRPr="00316783" w:rsidRDefault="0048642E" w:rsidP="00E52119">
      <w:pPr>
        <w:ind w:left="1275" w:hanging="567"/>
        <w:rPr>
          <w:b w:val="0"/>
          <w:bCs w:val="0"/>
          <w:rtl/>
        </w:rPr>
      </w:pPr>
      <w:r w:rsidRPr="00316783">
        <w:rPr>
          <w:rFonts w:hint="cs"/>
          <w:b w:val="0"/>
          <w:bCs w:val="0"/>
          <w:rtl/>
        </w:rPr>
        <w:t>2.2</w:t>
      </w:r>
      <w:r w:rsidR="00316783">
        <w:rPr>
          <w:rFonts w:hint="cs"/>
          <w:b w:val="0"/>
          <w:bCs w:val="0"/>
          <w:rtl/>
        </w:rPr>
        <w:t>.</w:t>
      </w:r>
      <w:r w:rsidR="009D6B4E" w:rsidRPr="00316783">
        <w:rPr>
          <w:rFonts w:hint="cs"/>
          <w:b w:val="0"/>
          <w:bCs w:val="0"/>
          <w:rtl/>
        </w:rPr>
        <w:tab/>
      </w:r>
      <w:r w:rsidRPr="00316783">
        <w:rPr>
          <w:rFonts w:hint="cs"/>
          <w:b w:val="0"/>
          <w:bCs w:val="0"/>
          <w:rtl/>
        </w:rPr>
        <w:t xml:space="preserve">للاعتراف </w:t>
      </w:r>
      <w:r w:rsidRPr="0036451D">
        <w:rPr>
          <w:rFonts w:eastAsiaTheme="majorEastAsia" w:hint="cs"/>
          <w:b w:val="0"/>
          <w:bCs w:val="0"/>
          <w:rtl/>
        </w:rPr>
        <w:t>ب</w:t>
      </w:r>
      <w:r w:rsidR="00B3109B" w:rsidRPr="0036451D">
        <w:rPr>
          <w:rFonts w:eastAsiaTheme="majorEastAsia" w:hint="cs"/>
          <w:b w:val="0"/>
          <w:bCs w:val="0"/>
          <w:rtl/>
        </w:rPr>
        <w:t>الأدوات</w:t>
      </w:r>
      <w:r w:rsidR="00B3109B" w:rsidRPr="00316783">
        <w:rPr>
          <w:rFonts w:hint="cs"/>
          <w:b w:val="0"/>
          <w:bCs w:val="0"/>
          <w:rtl/>
        </w:rPr>
        <w:t xml:space="preserve"> المالية الصادرة عن </w:t>
      </w:r>
      <w:r w:rsidRPr="00316783">
        <w:rPr>
          <w:rFonts w:hint="cs"/>
          <w:b w:val="0"/>
          <w:bCs w:val="0"/>
          <w:rtl/>
        </w:rPr>
        <w:t xml:space="preserve">البنك والتي تحقق معايير الإدراج </w:t>
      </w:r>
      <w:r w:rsidR="00B3109B" w:rsidRPr="00316783">
        <w:rPr>
          <w:rFonts w:hint="cs"/>
          <w:b w:val="0"/>
          <w:bCs w:val="0"/>
          <w:rtl/>
        </w:rPr>
        <w:t>ضمن رأس المال الإضافي</w:t>
      </w:r>
      <w:r w:rsidR="00C644FC" w:rsidRPr="00316783">
        <w:rPr>
          <w:rFonts w:hint="cs"/>
          <w:b w:val="0"/>
          <w:bCs w:val="0"/>
          <w:rtl/>
        </w:rPr>
        <w:t xml:space="preserve"> </w:t>
      </w:r>
      <w:r w:rsidR="009D1555" w:rsidRPr="00316783">
        <w:rPr>
          <w:rFonts w:hint="cs"/>
          <w:b w:val="0"/>
          <w:bCs w:val="0"/>
          <w:rtl/>
        </w:rPr>
        <w:t>(</w:t>
      </w:r>
      <w:r w:rsidR="009D1555" w:rsidRPr="00316783">
        <w:rPr>
          <w:b w:val="0"/>
          <w:bCs w:val="0"/>
        </w:rPr>
        <w:t>AT1</w:t>
      </w:r>
      <w:r w:rsidR="009D1555" w:rsidRPr="00316783">
        <w:rPr>
          <w:rFonts w:hint="cs"/>
          <w:b w:val="0"/>
          <w:bCs w:val="0"/>
          <w:rtl/>
        </w:rPr>
        <w:t>)</w:t>
      </w:r>
      <w:r w:rsidRPr="00316783">
        <w:rPr>
          <w:rFonts w:hint="cs"/>
          <w:b w:val="0"/>
          <w:bCs w:val="0"/>
          <w:rtl/>
        </w:rPr>
        <w:t xml:space="preserve"> </w:t>
      </w:r>
      <w:r w:rsidR="00B3109B" w:rsidRPr="00316783">
        <w:rPr>
          <w:rFonts w:hint="cs"/>
          <w:b w:val="0"/>
          <w:bCs w:val="0"/>
          <w:rtl/>
        </w:rPr>
        <w:t xml:space="preserve">يجب </w:t>
      </w:r>
      <w:r w:rsidR="0020698A" w:rsidRPr="00316783">
        <w:rPr>
          <w:rFonts w:hint="cs"/>
          <w:b w:val="0"/>
          <w:bCs w:val="0"/>
          <w:rtl/>
        </w:rPr>
        <w:t>أن</w:t>
      </w:r>
      <w:r w:rsidR="00B3109B" w:rsidRPr="00316783">
        <w:rPr>
          <w:rFonts w:hint="cs"/>
          <w:b w:val="0"/>
          <w:bCs w:val="0"/>
          <w:rtl/>
        </w:rPr>
        <w:t xml:space="preserve"> تحقق المعايير التالية كحد أدنى أو تتجاوزها</w:t>
      </w:r>
      <w:r w:rsidR="00C53E63" w:rsidRPr="00316783">
        <w:rPr>
          <w:rFonts w:hint="cs"/>
          <w:b w:val="0"/>
          <w:bCs w:val="0"/>
          <w:rtl/>
        </w:rPr>
        <w:t>:</w:t>
      </w:r>
    </w:p>
    <w:p w:rsidR="00B3109B" w:rsidRPr="00316783" w:rsidRDefault="00AF1543" w:rsidP="00E52119">
      <w:pPr>
        <w:ind w:left="1984" w:hanging="709"/>
        <w:rPr>
          <w:b w:val="0"/>
          <w:bCs w:val="0"/>
          <w:rtl/>
        </w:rPr>
      </w:pPr>
      <w:r w:rsidRPr="00316783">
        <w:rPr>
          <w:rFonts w:hint="cs"/>
          <w:b w:val="0"/>
          <w:bCs w:val="0"/>
          <w:rtl/>
        </w:rPr>
        <w:t>1.2.2</w:t>
      </w:r>
      <w:r w:rsidR="00316783">
        <w:rPr>
          <w:rFonts w:hint="cs"/>
          <w:b w:val="0"/>
          <w:bCs w:val="0"/>
          <w:rtl/>
        </w:rPr>
        <w:t>.</w:t>
      </w:r>
      <w:r w:rsidR="00B3109B" w:rsidRPr="00316783">
        <w:rPr>
          <w:rFonts w:hint="cs"/>
          <w:b w:val="0"/>
          <w:bCs w:val="0"/>
          <w:rtl/>
        </w:rPr>
        <w:tab/>
        <w:t xml:space="preserve">صادرة ومدفوعة بالكامل. </w:t>
      </w:r>
    </w:p>
    <w:p w:rsidR="00B3109B" w:rsidRPr="00316783" w:rsidRDefault="00AF1543" w:rsidP="00E52119">
      <w:pPr>
        <w:ind w:left="1984" w:hanging="709"/>
        <w:rPr>
          <w:b w:val="0"/>
          <w:bCs w:val="0"/>
          <w:rtl/>
        </w:rPr>
      </w:pPr>
      <w:r w:rsidRPr="00316783">
        <w:rPr>
          <w:rFonts w:hint="cs"/>
          <w:b w:val="0"/>
          <w:bCs w:val="0"/>
          <w:rtl/>
        </w:rPr>
        <w:t>2.2.2</w:t>
      </w:r>
      <w:r w:rsidR="00316783">
        <w:rPr>
          <w:rFonts w:hint="cs"/>
          <w:b w:val="0"/>
          <w:bCs w:val="0"/>
          <w:rtl/>
        </w:rPr>
        <w:t>.</w:t>
      </w:r>
      <w:r w:rsidR="00E52119">
        <w:rPr>
          <w:rFonts w:hint="cs"/>
          <w:b w:val="0"/>
          <w:bCs w:val="0"/>
          <w:rtl/>
        </w:rPr>
        <w:tab/>
      </w:r>
      <w:r w:rsidR="00B3109B" w:rsidRPr="00316783">
        <w:rPr>
          <w:rFonts w:hint="cs"/>
          <w:b w:val="0"/>
          <w:bCs w:val="0"/>
          <w:rtl/>
        </w:rPr>
        <w:t xml:space="preserve">مساندة للمودعين والدائنين العامين والقروض المساندة للبنك. </w:t>
      </w:r>
    </w:p>
    <w:p w:rsidR="00B3109B" w:rsidRPr="00316783" w:rsidRDefault="00AF1543" w:rsidP="00E52119">
      <w:pPr>
        <w:ind w:left="1984" w:hanging="709"/>
        <w:rPr>
          <w:b w:val="0"/>
          <w:bCs w:val="0"/>
          <w:rtl/>
        </w:rPr>
      </w:pPr>
      <w:r w:rsidRPr="00316783">
        <w:rPr>
          <w:rFonts w:hint="cs"/>
          <w:b w:val="0"/>
          <w:bCs w:val="0"/>
          <w:rtl/>
        </w:rPr>
        <w:t>3.2.2</w:t>
      </w:r>
      <w:r w:rsidR="00316783" w:rsidRPr="00316783">
        <w:rPr>
          <w:rFonts w:hint="cs"/>
          <w:b w:val="0"/>
          <w:bCs w:val="0"/>
          <w:rtl/>
        </w:rPr>
        <w:t>.</w:t>
      </w:r>
      <w:r w:rsidR="00B3109B" w:rsidRPr="00316783">
        <w:rPr>
          <w:rFonts w:hint="cs"/>
          <w:b w:val="0"/>
          <w:bCs w:val="0"/>
          <w:rtl/>
        </w:rPr>
        <w:tab/>
        <w:t>غير مضمونة وغير مغطاة بكفالة من المصدر أو أي طرف ذو علاقة</w:t>
      </w:r>
      <w:r w:rsidR="00C53E63" w:rsidRPr="00316783">
        <w:rPr>
          <w:rFonts w:hint="cs"/>
          <w:b w:val="0"/>
          <w:bCs w:val="0"/>
          <w:rtl/>
        </w:rPr>
        <w:t xml:space="preserve"> به</w:t>
      </w:r>
      <w:r w:rsidR="00B3109B" w:rsidRPr="00316783">
        <w:rPr>
          <w:rFonts w:hint="cs"/>
          <w:b w:val="0"/>
          <w:bCs w:val="0"/>
          <w:rtl/>
        </w:rPr>
        <w:t>، أو تحتوي</w:t>
      </w:r>
      <w:r w:rsidR="00C53E63" w:rsidRPr="00316783">
        <w:rPr>
          <w:rFonts w:hint="cs"/>
          <w:b w:val="0"/>
          <w:bCs w:val="0"/>
          <w:rtl/>
        </w:rPr>
        <w:t xml:space="preserve"> على</w:t>
      </w:r>
      <w:r w:rsidR="00B3109B" w:rsidRPr="00316783">
        <w:rPr>
          <w:rFonts w:hint="cs"/>
          <w:b w:val="0"/>
          <w:bCs w:val="0"/>
          <w:rtl/>
        </w:rPr>
        <w:t xml:space="preserve"> أي ترتيبات يمك</w:t>
      </w:r>
      <w:r w:rsidR="00C53E63" w:rsidRPr="00316783">
        <w:rPr>
          <w:rFonts w:hint="cs"/>
          <w:b w:val="0"/>
          <w:bCs w:val="0"/>
          <w:rtl/>
        </w:rPr>
        <w:t>ن أن تعزز من أولويتها اقتصاديا أ</w:t>
      </w:r>
      <w:r w:rsidR="00B3109B" w:rsidRPr="00316783">
        <w:rPr>
          <w:rFonts w:hint="cs"/>
          <w:b w:val="0"/>
          <w:bCs w:val="0"/>
          <w:rtl/>
        </w:rPr>
        <w:t>و قانونياً مقابل دائني البنك الآخرين.</w:t>
      </w:r>
    </w:p>
    <w:p w:rsidR="00B3109B" w:rsidRPr="00572231" w:rsidRDefault="00AF1543" w:rsidP="00E52119">
      <w:pPr>
        <w:ind w:left="1984" w:hanging="709"/>
        <w:rPr>
          <w:b w:val="0"/>
          <w:bCs w:val="0"/>
          <w:rtl/>
        </w:rPr>
      </w:pPr>
      <w:r w:rsidRPr="00572231">
        <w:rPr>
          <w:rFonts w:hint="cs"/>
          <w:b w:val="0"/>
          <w:bCs w:val="0"/>
          <w:rtl/>
        </w:rPr>
        <w:t>4.2.2</w:t>
      </w:r>
      <w:r w:rsidR="00572231">
        <w:rPr>
          <w:rFonts w:hint="cs"/>
          <w:b w:val="0"/>
          <w:bCs w:val="0"/>
          <w:rtl/>
        </w:rPr>
        <w:t>.</w:t>
      </w:r>
      <w:r w:rsidR="00E52119">
        <w:rPr>
          <w:rFonts w:hint="cs"/>
          <w:b w:val="0"/>
          <w:bCs w:val="0"/>
          <w:rtl/>
        </w:rPr>
        <w:tab/>
      </w:r>
      <w:r w:rsidR="00B3109B" w:rsidRPr="00572231">
        <w:rPr>
          <w:rFonts w:hint="cs"/>
          <w:b w:val="0"/>
          <w:bCs w:val="0"/>
          <w:rtl/>
        </w:rPr>
        <w:t>دائمة أي ليس لها تاريخ استحقاق ولا يمكن تعديل قيمتها.</w:t>
      </w:r>
    </w:p>
    <w:p w:rsidR="00B3109B" w:rsidRPr="00572231" w:rsidRDefault="00AF1543" w:rsidP="00E52119">
      <w:pPr>
        <w:ind w:left="1984" w:hanging="709"/>
        <w:rPr>
          <w:b w:val="0"/>
          <w:bCs w:val="0"/>
          <w:rtl/>
        </w:rPr>
      </w:pPr>
      <w:r w:rsidRPr="00572231">
        <w:rPr>
          <w:rFonts w:hint="cs"/>
          <w:b w:val="0"/>
          <w:bCs w:val="0"/>
          <w:rtl/>
        </w:rPr>
        <w:t>5.2.2</w:t>
      </w:r>
      <w:r w:rsidR="00572231">
        <w:rPr>
          <w:rFonts w:hint="cs"/>
          <w:b w:val="0"/>
          <w:bCs w:val="0"/>
          <w:rtl/>
        </w:rPr>
        <w:t>.</w:t>
      </w:r>
      <w:r w:rsidR="00B3109B" w:rsidRPr="00572231">
        <w:rPr>
          <w:rFonts w:hint="cs"/>
          <w:b w:val="0"/>
          <w:bCs w:val="0"/>
          <w:rtl/>
        </w:rPr>
        <w:tab/>
        <w:t>يمكن تسديدها بناء على طلب المصدر فقط بعد (5) سنوات كحد أدنى</w:t>
      </w:r>
      <w:r w:rsidR="00E46D20">
        <w:rPr>
          <w:rFonts w:hint="cs"/>
          <w:b w:val="0"/>
          <w:bCs w:val="0"/>
          <w:rtl/>
        </w:rPr>
        <w:t xml:space="preserve"> من تاريخ إصدارها</w:t>
      </w:r>
      <w:r w:rsidR="00C53E63" w:rsidRPr="00572231">
        <w:rPr>
          <w:rFonts w:hint="cs"/>
          <w:b w:val="0"/>
          <w:bCs w:val="0"/>
          <w:rtl/>
        </w:rPr>
        <w:t>، وفي حال وجود خيار حق الشراء للمصدر يتوجب عليه ما يلي</w:t>
      </w:r>
      <w:r w:rsidR="00B3109B" w:rsidRPr="00572231">
        <w:rPr>
          <w:rFonts w:hint="cs"/>
          <w:b w:val="0"/>
          <w:bCs w:val="0"/>
          <w:rtl/>
        </w:rPr>
        <w:t>:</w:t>
      </w:r>
    </w:p>
    <w:p w:rsidR="00572231" w:rsidRDefault="00C53E63" w:rsidP="00E52119">
      <w:pPr>
        <w:pStyle w:val="ListParagraph"/>
        <w:numPr>
          <w:ilvl w:val="0"/>
          <w:numId w:val="27"/>
        </w:numPr>
        <w:ind w:left="2409" w:hanging="425"/>
        <w:rPr>
          <w:b w:val="0"/>
          <w:bCs w:val="0"/>
        </w:rPr>
      </w:pPr>
      <w:r w:rsidRPr="00572231">
        <w:rPr>
          <w:rFonts w:hint="cs"/>
          <w:b w:val="0"/>
          <w:bCs w:val="0"/>
          <w:rtl/>
        </w:rPr>
        <w:t>ال</w:t>
      </w:r>
      <w:r w:rsidR="00B3109B" w:rsidRPr="00572231">
        <w:rPr>
          <w:rFonts w:hint="cs"/>
          <w:b w:val="0"/>
          <w:bCs w:val="0"/>
          <w:rtl/>
        </w:rPr>
        <w:t xml:space="preserve">حصول على موافقة </w:t>
      </w:r>
      <w:r w:rsidR="008C2EBC" w:rsidRPr="00572231">
        <w:rPr>
          <w:rFonts w:hint="cs"/>
          <w:b w:val="0"/>
          <w:bCs w:val="0"/>
          <w:rtl/>
        </w:rPr>
        <w:t>ال</w:t>
      </w:r>
      <w:r w:rsidR="00B3109B" w:rsidRPr="00572231">
        <w:rPr>
          <w:rFonts w:hint="cs"/>
          <w:b w:val="0"/>
          <w:bCs w:val="0"/>
          <w:rtl/>
        </w:rPr>
        <w:t>بنك المركزي</w:t>
      </w:r>
      <w:r w:rsidR="008C2EBC" w:rsidRPr="00572231">
        <w:rPr>
          <w:rFonts w:hint="cs"/>
          <w:b w:val="0"/>
          <w:bCs w:val="0"/>
          <w:rtl/>
        </w:rPr>
        <w:t xml:space="preserve"> الأردني</w:t>
      </w:r>
      <w:r w:rsidR="00572231">
        <w:rPr>
          <w:rFonts w:hint="cs"/>
          <w:b w:val="0"/>
          <w:bCs w:val="0"/>
          <w:rtl/>
        </w:rPr>
        <w:t xml:space="preserve"> المسبقة</w:t>
      </w:r>
      <w:r w:rsidR="00E46D20">
        <w:rPr>
          <w:rFonts w:hint="cs"/>
          <w:b w:val="0"/>
          <w:bCs w:val="0"/>
          <w:rtl/>
        </w:rPr>
        <w:t xml:space="preserve"> على التنفيذ</w:t>
      </w:r>
      <w:r w:rsidR="00572231">
        <w:rPr>
          <w:rFonts w:hint="cs"/>
          <w:b w:val="0"/>
          <w:bCs w:val="0"/>
          <w:rtl/>
        </w:rPr>
        <w:t>.</w:t>
      </w:r>
    </w:p>
    <w:p w:rsidR="00B3109B" w:rsidRPr="00572231" w:rsidRDefault="00B3109B" w:rsidP="00E52119">
      <w:pPr>
        <w:pStyle w:val="ListParagraph"/>
        <w:numPr>
          <w:ilvl w:val="0"/>
          <w:numId w:val="27"/>
        </w:numPr>
        <w:ind w:left="2409" w:hanging="425"/>
        <w:rPr>
          <w:b w:val="0"/>
          <w:bCs w:val="0"/>
        </w:rPr>
      </w:pPr>
      <w:r w:rsidRPr="00572231">
        <w:rPr>
          <w:rFonts w:hint="cs"/>
          <w:b w:val="0"/>
          <w:bCs w:val="0"/>
          <w:rtl/>
        </w:rPr>
        <w:t>أن لا يخلق أي تو</w:t>
      </w:r>
      <w:r w:rsidR="0048642E" w:rsidRPr="00572231">
        <w:rPr>
          <w:rFonts w:hint="cs"/>
          <w:b w:val="0"/>
          <w:bCs w:val="0"/>
          <w:rtl/>
        </w:rPr>
        <w:t xml:space="preserve">قعات بأنه سيمارس خيار حق الشراء، </w:t>
      </w:r>
      <w:r w:rsidR="00C53E63" w:rsidRPr="00572231">
        <w:rPr>
          <w:rFonts w:hint="cs"/>
          <w:b w:val="0"/>
          <w:bCs w:val="0"/>
          <w:rtl/>
        </w:rPr>
        <w:t xml:space="preserve">علماً بأنه </w:t>
      </w:r>
      <w:r w:rsidRPr="00572231">
        <w:rPr>
          <w:rFonts w:hint="cs"/>
          <w:b w:val="0"/>
          <w:bCs w:val="0"/>
          <w:rtl/>
        </w:rPr>
        <w:t xml:space="preserve">لا يجوز للبنك ممارسة خيار حق الشراء </w:t>
      </w:r>
      <w:r w:rsidR="00FA1555" w:rsidRPr="00572231">
        <w:rPr>
          <w:rFonts w:hint="cs"/>
          <w:b w:val="0"/>
          <w:bCs w:val="0"/>
          <w:rtl/>
        </w:rPr>
        <w:t>إلا إذا</w:t>
      </w:r>
      <w:r w:rsidRPr="00572231">
        <w:rPr>
          <w:rFonts w:hint="cs"/>
          <w:b w:val="0"/>
          <w:bCs w:val="0"/>
          <w:rtl/>
        </w:rPr>
        <w:t>:</w:t>
      </w:r>
    </w:p>
    <w:p w:rsidR="00B3109B" w:rsidRPr="00D026CE" w:rsidRDefault="0048642E" w:rsidP="00E46D20">
      <w:pPr>
        <w:pStyle w:val="ListParagraph"/>
        <w:ind w:left="2834" w:hanging="425"/>
        <w:rPr>
          <w:sz w:val="27"/>
          <w:szCs w:val="27"/>
          <w:rtl/>
        </w:rPr>
      </w:pPr>
      <w:r w:rsidRPr="00D026CE">
        <w:rPr>
          <w:rFonts w:hint="cs"/>
          <w:sz w:val="27"/>
          <w:szCs w:val="27"/>
          <w:rtl/>
        </w:rPr>
        <w:t>أ.</w:t>
      </w:r>
      <w:r w:rsidR="0020698A" w:rsidRPr="00D026CE">
        <w:rPr>
          <w:rFonts w:hint="cs"/>
          <w:sz w:val="27"/>
          <w:szCs w:val="27"/>
          <w:rtl/>
        </w:rPr>
        <w:tab/>
      </w:r>
      <w:r w:rsidR="00B3109B" w:rsidRPr="00572231">
        <w:rPr>
          <w:rFonts w:hint="cs"/>
          <w:b w:val="0"/>
          <w:bCs w:val="0"/>
          <w:rtl/>
        </w:rPr>
        <w:t>قام باستبدال الأداة المسددة برأسمال ذو نوعية مماثلة أو نوعية أفضل وان</w:t>
      </w:r>
      <w:r w:rsidR="00776491" w:rsidRPr="00572231">
        <w:rPr>
          <w:rFonts w:hint="cs"/>
          <w:b w:val="0"/>
          <w:bCs w:val="0"/>
          <w:rtl/>
        </w:rPr>
        <w:t xml:space="preserve"> يكون</w:t>
      </w:r>
      <w:r w:rsidR="00B3109B" w:rsidRPr="00572231">
        <w:rPr>
          <w:rFonts w:hint="cs"/>
          <w:b w:val="0"/>
          <w:bCs w:val="0"/>
          <w:rtl/>
        </w:rPr>
        <w:t xml:space="preserve"> الاستبدال تم بشروط تحافظ على قدرة البنك على </w:t>
      </w:r>
      <w:r w:rsidR="00E46D20">
        <w:rPr>
          <w:rFonts w:hint="cs"/>
          <w:b w:val="0"/>
          <w:bCs w:val="0"/>
          <w:rtl/>
        </w:rPr>
        <w:t>المحافظة</w:t>
      </w:r>
      <w:r w:rsidR="00E46D20" w:rsidRPr="00572231">
        <w:rPr>
          <w:rFonts w:hint="cs"/>
          <w:b w:val="0"/>
          <w:bCs w:val="0"/>
          <w:rtl/>
        </w:rPr>
        <w:t xml:space="preserve"> </w:t>
      </w:r>
      <w:r w:rsidR="00E46D20">
        <w:rPr>
          <w:rFonts w:hint="cs"/>
          <w:b w:val="0"/>
          <w:bCs w:val="0"/>
          <w:rtl/>
        </w:rPr>
        <w:t>على ال</w:t>
      </w:r>
      <w:r w:rsidR="00B3109B" w:rsidRPr="00572231">
        <w:rPr>
          <w:rFonts w:hint="cs"/>
          <w:b w:val="0"/>
          <w:bCs w:val="0"/>
          <w:rtl/>
        </w:rPr>
        <w:t xml:space="preserve">دخل </w:t>
      </w:r>
      <w:r w:rsidR="00E46D20">
        <w:rPr>
          <w:rFonts w:hint="cs"/>
          <w:b w:val="0"/>
          <w:bCs w:val="0"/>
          <w:rtl/>
        </w:rPr>
        <w:t>ال</w:t>
      </w:r>
      <w:r w:rsidR="00B3109B" w:rsidRPr="00572231">
        <w:rPr>
          <w:rFonts w:hint="cs"/>
          <w:b w:val="0"/>
          <w:bCs w:val="0"/>
          <w:rtl/>
        </w:rPr>
        <w:t>مستدام</w:t>
      </w:r>
      <w:r w:rsidR="00B3109B" w:rsidRPr="00572231">
        <w:rPr>
          <w:rStyle w:val="FootnoteReference"/>
          <w:rFonts w:ascii="Arial" w:hAnsi="Arial"/>
          <w:b w:val="0"/>
          <w:bCs w:val="0"/>
          <w:rtl/>
        </w:rPr>
        <w:footnoteReference w:id="8"/>
      </w:r>
      <w:r w:rsidR="00B3109B" w:rsidRPr="00572231">
        <w:rPr>
          <w:rFonts w:hint="cs"/>
          <w:b w:val="0"/>
          <w:bCs w:val="0"/>
          <w:rtl/>
        </w:rPr>
        <w:t>.</w:t>
      </w:r>
      <w:r w:rsidR="00B3109B" w:rsidRPr="00D026CE">
        <w:rPr>
          <w:rFonts w:hint="cs"/>
          <w:sz w:val="27"/>
          <w:szCs w:val="27"/>
          <w:rtl/>
        </w:rPr>
        <w:t xml:space="preserve"> </w:t>
      </w:r>
    </w:p>
    <w:p w:rsidR="00B3109B" w:rsidRPr="00572231" w:rsidRDefault="0048642E" w:rsidP="00E52119">
      <w:pPr>
        <w:pStyle w:val="ListParagraph"/>
        <w:spacing w:after="0"/>
        <w:ind w:left="2834" w:right="288" w:hanging="425"/>
        <w:contextualSpacing w:val="0"/>
        <w:rPr>
          <w:b w:val="0"/>
          <w:bCs w:val="0"/>
        </w:rPr>
      </w:pPr>
      <w:r w:rsidRPr="00572231">
        <w:rPr>
          <w:rFonts w:hint="cs"/>
          <w:b w:val="0"/>
          <w:bCs w:val="0"/>
          <w:rtl/>
        </w:rPr>
        <w:t>ب.</w:t>
      </w:r>
      <w:r w:rsidR="0020698A" w:rsidRPr="00572231">
        <w:rPr>
          <w:rFonts w:hint="cs"/>
          <w:b w:val="0"/>
          <w:bCs w:val="0"/>
          <w:rtl/>
        </w:rPr>
        <w:tab/>
      </w:r>
      <w:r w:rsidR="00B3109B" w:rsidRPr="00572231">
        <w:rPr>
          <w:rFonts w:hint="cs"/>
          <w:b w:val="0"/>
          <w:bCs w:val="0"/>
          <w:rtl/>
        </w:rPr>
        <w:t xml:space="preserve">أن يثبت البنك بأن مستوى رأس المال لديه بعد ممارسة حق الشراء اعلى من الحد المقرر </w:t>
      </w:r>
      <w:r w:rsidR="004079F7" w:rsidRPr="00572231">
        <w:rPr>
          <w:rFonts w:hint="cs"/>
          <w:b w:val="0"/>
          <w:bCs w:val="0"/>
          <w:rtl/>
        </w:rPr>
        <w:t>من قبل البنك المركزي</w:t>
      </w:r>
      <w:r w:rsidR="00B3109B" w:rsidRPr="00572231">
        <w:rPr>
          <w:rStyle w:val="FootnoteReference"/>
          <w:rFonts w:ascii="Arial" w:hAnsi="Arial"/>
          <w:b w:val="0"/>
          <w:bCs w:val="0"/>
          <w:rtl/>
        </w:rPr>
        <w:footnoteReference w:id="9"/>
      </w:r>
      <w:r w:rsidR="00B3109B" w:rsidRPr="00572231">
        <w:rPr>
          <w:rFonts w:hint="cs"/>
          <w:b w:val="0"/>
          <w:bCs w:val="0"/>
          <w:rtl/>
        </w:rPr>
        <w:t xml:space="preserve">. </w:t>
      </w:r>
    </w:p>
    <w:p w:rsidR="00B3109B" w:rsidRPr="00572231" w:rsidRDefault="00AF1543" w:rsidP="00E52119">
      <w:pPr>
        <w:ind w:left="1984" w:hanging="709"/>
        <w:rPr>
          <w:b w:val="0"/>
          <w:bCs w:val="0"/>
          <w:rtl/>
        </w:rPr>
      </w:pPr>
      <w:r w:rsidRPr="00572231">
        <w:rPr>
          <w:rFonts w:hint="cs"/>
          <w:b w:val="0"/>
          <w:bCs w:val="0"/>
          <w:rtl/>
        </w:rPr>
        <w:t>6.2.2</w:t>
      </w:r>
      <w:r w:rsidR="00572231">
        <w:rPr>
          <w:rFonts w:hint="cs"/>
          <w:b w:val="0"/>
          <w:bCs w:val="0"/>
          <w:rtl/>
        </w:rPr>
        <w:t>.</w:t>
      </w:r>
      <w:r w:rsidR="00B3109B" w:rsidRPr="00572231">
        <w:rPr>
          <w:rFonts w:hint="cs"/>
          <w:b w:val="0"/>
          <w:bCs w:val="0"/>
          <w:rtl/>
        </w:rPr>
        <w:tab/>
        <w:t xml:space="preserve">أي تسديد لأصل المبلغ (من خلال اعادة الشراء أو </w:t>
      </w:r>
      <w:r w:rsidR="00E52119" w:rsidRPr="00572231">
        <w:rPr>
          <w:rFonts w:hint="cs"/>
          <w:b w:val="0"/>
          <w:bCs w:val="0"/>
          <w:rtl/>
        </w:rPr>
        <w:t>الإطفاء</w:t>
      </w:r>
      <w:r w:rsidR="00B3109B" w:rsidRPr="00572231">
        <w:rPr>
          <w:rFonts w:hint="cs"/>
          <w:b w:val="0"/>
          <w:bCs w:val="0"/>
          <w:rtl/>
        </w:rPr>
        <w:t xml:space="preserve">) يجب أن يتم بالموافقة المسبقة </w:t>
      </w:r>
      <w:r w:rsidR="008C2EBC" w:rsidRPr="00572231">
        <w:rPr>
          <w:rFonts w:hint="cs"/>
          <w:b w:val="0"/>
          <w:bCs w:val="0"/>
          <w:rtl/>
        </w:rPr>
        <w:t xml:space="preserve">للبنك المركزي الأردني </w:t>
      </w:r>
      <w:r w:rsidR="00B3109B" w:rsidRPr="00572231">
        <w:rPr>
          <w:rFonts w:hint="cs"/>
          <w:b w:val="0"/>
          <w:bCs w:val="0"/>
          <w:rtl/>
        </w:rPr>
        <w:t xml:space="preserve">ولا يجوز للبنك أن </w:t>
      </w:r>
      <w:r w:rsidR="004079F7" w:rsidRPr="00572231">
        <w:rPr>
          <w:rFonts w:hint="cs"/>
          <w:b w:val="0"/>
          <w:bCs w:val="0"/>
          <w:rtl/>
        </w:rPr>
        <w:t xml:space="preserve">يوحي للسوق أو أن </w:t>
      </w:r>
      <w:r w:rsidR="00B3109B" w:rsidRPr="00572231">
        <w:rPr>
          <w:rFonts w:hint="cs"/>
          <w:b w:val="0"/>
          <w:bCs w:val="0"/>
          <w:rtl/>
        </w:rPr>
        <w:t xml:space="preserve">يفترض أن موافقة </w:t>
      </w:r>
      <w:r w:rsidR="008C2EBC" w:rsidRPr="00572231">
        <w:rPr>
          <w:rFonts w:hint="cs"/>
          <w:b w:val="0"/>
          <w:bCs w:val="0"/>
          <w:rtl/>
        </w:rPr>
        <w:t xml:space="preserve">البنك المركزي الأردني </w:t>
      </w:r>
      <w:r w:rsidR="004079F7" w:rsidRPr="00572231">
        <w:rPr>
          <w:rFonts w:hint="cs"/>
          <w:b w:val="0"/>
          <w:bCs w:val="0"/>
          <w:rtl/>
        </w:rPr>
        <w:t>مضمونة</w:t>
      </w:r>
      <w:r w:rsidR="00B3109B" w:rsidRPr="00572231">
        <w:rPr>
          <w:rFonts w:hint="cs"/>
          <w:b w:val="0"/>
          <w:bCs w:val="0"/>
          <w:rtl/>
        </w:rPr>
        <w:t>.</w:t>
      </w:r>
    </w:p>
    <w:p w:rsidR="00B3109B" w:rsidRPr="00572231" w:rsidRDefault="00AF1543" w:rsidP="00E52119">
      <w:pPr>
        <w:ind w:left="1984" w:hanging="709"/>
        <w:rPr>
          <w:b w:val="0"/>
          <w:bCs w:val="0"/>
          <w:rtl/>
        </w:rPr>
      </w:pPr>
      <w:r w:rsidRPr="00572231">
        <w:rPr>
          <w:rFonts w:hint="cs"/>
          <w:b w:val="0"/>
          <w:bCs w:val="0"/>
          <w:rtl/>
        </w:rPr>
        <w:t>7.2.2</w:t>
      </w:r>
      <w:r w:rsidR="00572231">
        <w:rPr>
          <w:rFonts w:hint="cs"/>
          <w:b w:val="0"/>
          <w:bCs w:val="0"/>
          <w:rtl/>
        </w:rPr>
        <w:t>.</w:t>
      </w:r>
      <w:r w:rsidR="00B3109B" w:rsidRPr="00572231">
        <w:rPr>
          <w:rFonts w:hint="cs"/>
          <w:b w:val="0"/>
          <w:bCs w:val="0"/>
          <w:rtl/>
        </w:rPr>
        <w:tab/>
        <w:t>خيار</w:t>
      </w:r>
      <w:r w:rsidR="00B3109B" w:rsidRPr="00572231">
        <w:rPr>
          <w:rFonts w:hint="cs"/>
          <w:b w:val="0"/>
          <w:bCs w:val="0"/>
          <w:rtl/>
          <w:lang w:bidi="ar-JO"/>
        </w:rPr>
        <w:t xml:space="preserve"> </w:t>
      </w:r>
      <w:r w:rsidR="00B3109B" w:rsidRPr="00572231">
        <w:rPr>
          <w:rFonts w:hint="cs"/>
          <w:b w:val="0"/>
          <w:bCs w:val="0"/>
          <w:rtl/>
        </w:rPr>
        <w:t>توزيع الأرباح / دفع الفائدة :</w:t>
      </w:r>
    </w:p>
    <w:p w:rsidR="00572231" w:rsidRDefault="00B3109B" w:rsidP="00E52119">
      <w:pPr>
        <w:pStyle w:val="ListParagraph"/>
        <w:numPr>
          <w:ilvl w:val="0"/>
          <w:numId w:val="28"/>
        </w:numPr>
        <w:ind w:left="2409" w:hanging="425"/>
        <w:rPr>
          <w:b w:val="0"/>
          <w:bCs w:val="0"/>
        </w:rPr>
      </w:pPr>
      <w:r w:rsidRPr="00572231">
        <w:rPr>
          <w:rFonts w:hint="cs"/>
          <w:b w:val="0"/>
          <w:bCs w:val="0"/>
          <w:rtl/>
        </w:rPr>
        <w:t xml:space="preserve">للبنك الحق في جميع الأوقات </w:t>
      </w:r>
      <w:r w:rsidR="00105440" w:rsidRPr="00572231">
        <w:rPr>
          <w:rFonts w:hint="cs"/>
          <w:b w:val="0"/>
          <w:bCs w:val="0"/>
          <w:rtl/>
        </w:rPr>
        <w:t xml:space="preserve">إلغاء توزيع </w:t>
      </w:r>
      <w:r w:rsidR="00183F39" w:rsidRPr="00572231">
        <w:rPr>
          <w:rFonts w:hint="cs"/>
          <w:b w:val="0"/>
          <w:bCs w:val="0"/>
          <w:rtl/>
        </w:rPr>
        <w:t>ال</w:t>
      </w:r>
      <w:r w:rsidR="00105440" w:rsidRPr="00572231">
        <w:rPr>
          <w:rFonts w:hint="cs"/>
          <w:b w:val="0"/>
          <w:bCs w:val="0"/>
          <w:rtl/>
        </w:rPr>
        <w:t>أ</w:t>
      </w:r>
      <w:r w:rsidRPr="00572231">
        <w:rPr>
          <w:rFonts w:hint="cs"/>
          <w:b w:val="0"/>
          <w:bCs w:val="0"/>
          <w:rtl/>
        </w:rPr>
        <w:t xml:space="preserve">رباح/دفع الفوائد. </w:t>
      </w:r>
    </w:p>
    <w:p w:rsidR="00572231" w:rsidRDefault="00B3109B" w:rsidP="00E52119">
      <w:pPr>
        <w:pStyle w:val="ListParagraph"/>
        <w:numPr>
          <w:ilvl w:val="0"/>
          <w:numId w:val="28"/>
        </w:numPr>
        <w:ind w:left="2409" w:hanging="425"/>
        <w:rPr>
          <w:b w:val="0"/>
          <w:bCs w:val="0"/>
        </w:rPr>
      </w:pPr>
      <w:r w:rsidRPr="00572231">
        <w:rPr>
          <w:rFonts w:hint="cs"/>
          <w:b w:val="0"/>
          <w:bCs w:val="0"/>
          <w:rtl/>
        </w:rPr>
        <w:t xml:space="preserve">عدم الدفع لا يعني باي حال أن </w:t>
      </w:r>
      <w:r w:rsidR="00544A2B" w:rsidRPr="00572231">
        <w:rPr>
          <w:rFonts w:hint="cs"/>
          <w:b w:val="0"/>
          <w:bCs w:val="0"/>
          <w:rtl/>
        </w:rPr>
        <w:t>هنالك حدث تعثر في البنك.</w:t>
      </w:r>
    </w:p>
    <w:p w:rsidR="00572231" w:rsidRDefault="00B3109B" w:rsidP="00E52119">
      <w:pPr>
        <w:pStyle w:val="ListParagraph"/>
        <w:numPr>
          <w:ilvl w:val="0"/>
          <w:numId w:val="28"/>
        </w:numPr>
        <w:ind w:left="2409" w:hanging="425"/>
        <w:rPr>
          <w:b w:val="0"/>
          <w:bCs w:val="0"/>
        </w:rPr>
      </w:pPr>
      <w:r w:rsidRPr="00572231">
        <w:rPr>
          <w:rFonts w:hint="cs"/>
          <w:b w:val="0"/>
          <w:bCs w:val="0"/>
          <w:rtl/>
        </w:rPr>
        <w:lastRenderedPageBreak/>
        <w:t xml:space="preserve">للبنك الحق في استخدام </w:t>
      </w:r>
      <w:r w:rsidR="004079F7" w:rsidRPr="00572231">
        <w:rPr>
          <w:rFonts w:hint="cs"/>
          <w:b w:val="0"/>
          <w:bCs w:val="0"/>
          <w:rtl/>
        </w:rPr>
        <w:t>الأرباح/الفوائد غير المدفوعة</w:t>
      </w:r>
      <w:r w:rsidRPr="00572231">
        <w:rPr>
          <w:rFonts w:hint="cs"/>
          <w:b w:val="0"/>
          <w:bCs w:val="0"/>
          <w:rtl/>
        </w:rPr>
        <w:t xml:space="preserve"> لتسديد التزامات استحقت</w:t>
      </w:r>
      <w:r w:rsidR="004079F7" w:rsidRPr="00572231">
        <w:rPr>
          <w:rFonts w:hint="cs"/>
          <w:b w:val="0"/>
          <w:bCs w:val="0"/>
          <w:rtl/>
        </w:rPr>
        <w:t xml:space="preserve"> عليه</w:t>
      </w:r>
      <w:r w:rsidRPr="00572231">
        <w:rPr>
          <w:rFonts w:hint="cs"/>
          <w:b w:val="0"/>
          <w:bCs w:val="0"/>
          <w:rtl/>
        </w:rPr>
        <w:t xml:space="preserve">. </w:t>
      </w:r>
    </w:p>
    <w:p w:rsidR="00B3109B" w:rsidRPr="00572231" w:rsidRDefault="00B3109B" w:rsidP="00E52119">
      <w:pPr>
        <w:pStyle w:val="ListParagraph"/>
        <w:numPr>
          <w:ilvl w:val="0"/>
          <w:numId w:val="28"/>
        </w:numPr>
        <w:ind w:left="2409" w:hanging="425"/>
        <w:rPr>
          <w:b w:val="0"/>
          <w:bCs w:val="0"/>
        </w:rPr>
      </w:pPr>
      <w:r w:rsidRPr="00572231">
        <w:rPr>
          <w:rFonts w:hint="cs"/>
          <w:b w:val="0"/>
          <w:bCs w:val="0"/>
          <w:rtl/>
        </w:rPr>
        <w:t xml:space="preserve">إلغاء توزيع </w:t>
      </w:r>
      <w:r w:rsidR="00572231" w:rsidRPr="00572231">
        <w:rPr>
          <w:rFonts w:hint="cs"/>
          <w:b w:val="0"/>
          <w:bCs w:val="0"/>
          <w:rtl/>
        </w:rPr>
        <w:t>الأرباح</w:t>
      </w:r>
      <w:r w:rsidRPr="00572231">
        <w:rPr>
          <w:rFonts w:hint="cs"/>
          <w:b w:val="0"/>
          <w:bCs w:val="0"/>
          <w:rtl/>
        </w:rPr>
        <w:t xml:space="preserve"> /دفع الفوائد ل</w:t>
      </w:r>
      <w:r w:rsidR="004079F7" w:rsidRPr="00572231">
        <w:rPr>
          <w:rFonts w:hint="cs"/>
          <w:b w:val="0"/>
          <w:bCs w:val="0"/>
          <w:rtl/>
        </w:rPr>
        <w:t>ا يتسبب في فرض اي قيود</w:t>
      </w:r>
      <w:r w:rsidR="00AD7F88" w:rsidRPr="00572231">
        <w:rPr>
          <w:rFonts w:hint="cs"/>
          <w:b w:val="0"/>
          <w:bCs w:val="0"/>
          <w:rtl/>
        </w:rPr>
        <w:t xml:space="preserve"> قانونية أو تنظيمية</w:t>
      </w:r>
      <w:r w:rsidR="004079F7" w:rsidRPr="00572231">
        <w:rPr>
          <w:rFonts w:hint="cs"/>
          <w:b w:val="0"/>
          <w:bCs w:val="0"/>
          <w:rtl/>
        </w:rPr>
        <w:t xml:space="preserve"> على البنك</w:t>
      </w:r>
      <w:r w:rsidR="00544A2B" w:rsidRPr="00572231">
        <w:rPr>
          <w:rFonts w:hint="cs"/>
          <w:b w:val="0"/>
          <w:bCs w:val="0"/>
          <w:rtl/>
        </w:rPr>
        <w:t>.</w:t>
      </w:r>
    </w:p>
    <w:p w:rsidR="00B3109B" w:rsidRPr="00572231" w:rsidRDefault="00AF1543" w:rsidP="00E52119">
      <w:pPr>
        <w:ind w:left="1984" w:hanging="709"/>
        <w:rPr>
          <w:b w:val="0"/>
          <w:bCs w:val="0"/>
          <w:rtl/>
        </w:rPr>
      </w:pPr>
      <w:r w:rsidRPr="00572231">
        <w:rPr>
          <w:rFonts w:hint="cs"/>
          <w:b w:val="0"/>
          <w:bCs w:val="0"/>
          <w:rtl/>
        </w:rPr>
        <w:t>8.2.2</w:t>
      </w:r>
      <w:r w:rsidR="00572231">
        <w:rPr>
          <w:rFonts w:hint="cs"/>
          <w:b w:val="0"/>
          <w:bCs w:val="0"/>
          <w:rtl/>
        </w:rPr>
        <w:t>.</w:t>
      </w:r>
      <w:r w:rsidR="00B3109B" w:rsidRPr="00572231">
        <w:rPr>
          <w:rFonts w:hint="cs"/>
          <w:b w:val="0"/>
          <w:bCs w:val="0"/>
          <w:rtl/>
        </w:rPr>
        <w:tab/>
        <w:t>يتم توزيع الارباح / دفع الفوائد من خلال البنود القابلة للتوزيع.</w:t>
      </w:r>
    </w:p>
    <w:p w:rsidR="00B3109B" w:rsidRPr="00572231" w:rsidRDefault="00AF1543" w:rsidP="00E52119">
      <w:pPr>
        <w:ind w:left="1984" w:hanging="709"/>
        <w:rPr>
          <w:b w:val="0"/>
          <w:bCs w:val="0"/>
          <w:rtl/>
        </w:rPr>
      </w:pPr>
      <w:r w:rsidRPr="00572231">
        <w:rPr>
          <w:rFonts w:hint="cs"/>
          <w:b w:val="0"/>
          <w:bCs w:val="0"/>
          <w:rtl/>
        </w:rPr>
        <w:t>9.2.2</w:t>
      </w:r>
      <w:r w:rsidR="00572231">
        <w:rPr>
          <w:rFonts w:hint="cs"/>
          <w:b w:val="0"/>
          <w:bCs w:val="0"/>
          <w:rtl/>
        </w:rPr>
        <w:t>.</w:t>
      </w:r>
      <w:r w:rsidR="00183F39" w:rsidRPr="00572231">
        <w:rPr>
          <w:rFonts w:hint="cs"/>
          <w:b w:val="0"/>
          <w:bCs w:val="0"/>
          <w:rtl/>
        </w:rPr>
        <w:tab/>
        <w:t>لا يجوز أن يكون توزيع الأرباح/</w:t>
      </w:r>
      <w:r w:rsidR="00B3109B" w:rsidRPr="00572231">
        <w:rPr>
          <w:rFonts w:hint="cs"/>
          <w:b w:val="0"/>
          <w:bCs w:val="0"/>
          <w:rtl/>
        </w:rPr>
        <w:t xml:space="preserve">دفع الفوائد </w:t>
      </w:r>
      <w:r w:rsidR="00E52119" w:rsidRPr="00572231">
        <w:rPr>
          <w:rFonts w:hint="cs"/>
          <w:b w:val="0"/>
          <w:bCs w:val="0"/>
          <w:rtl/>
        </w:rPr>
        <w:t>للأداة</w:t>
      </w:r>
      <w:r w:rsidR="00B3109B" w:rsidRPr="00572231">
        <w:rPr>
          <w:rFonts w:hint="cs"/>
          <w:b w:val="0"/>
          <w:bCs w:val="0"/>
          <w:rtl/>
        </w:rPr>
        <w:t xml:space="preserve"> </w:t>
      </w:r>
      <w:r w:rsidR="004079F7" w:rsidRPr="00572231">
        <w:rPr>
          <w:rFonts w:hint="cs"/>
          <w:b w:val="0"/>
          <w:bCs w:val="0"/>
          <w:rtl/>
        </w:rPr>
        <w:t xml:space="preserve">مرتبط بتغير التصنيف الائتماني للبنك </w:t>
      </w:r>
      <w:r w:rsidR="00B3109B" w:rsidRPr="00572231">
        <w:rPr>
          <w:rFonts w:hint="cs"/>
          <w:b w:val="0"/>
          <w:bCs w:val="0"/>
          <w:rtl/>
        </w:rPr>
        <w:t>(</w:t>
      </w:r>
      <w:r w:rsidR="00183F39" w:rsidRPr="00572231">
        <w:rPr>
          <w:rFonts w:hint="cs"/>
          <w:b w:val="0"/>
          <w:bCs w:val="0"/>
          <w:rtl/>
        </w:rPr>
        <w:t>أي أ</w:t>
      </w:r>
      <w:r w:rsidR="00B3109B" w:rsidRPr="00572231">
        <w:rPr>
          <w:rFonts w:hint="cs"/>
          <w:b w:val="0"/>
          <w:bCs w:val="0"/>
          <w:rtl/>
        </w:rPr>
        <w:t>ن</w:t>
      </w:r>
      <w:r w:rsidR="008B147C" w:rsidRPr="00572231">
        <w:rPr>
          <w:rFonts w:hint="cs"/>
          <w:b w:val="0"/>
          <w:bCs w:val="0"/>
          <w:rtl/>
        </w:rPr>
        <w:t>ه</w:t>
      </w:r>
      <w:r w:rsidR="00B3109B" w:rsidRPr="00572231">
        <w:rPr>
          <w:rFonts w:hint="cs"/>
          <w:b w:val="0"/>
          <w:bCs w:val="0"/>
          <w:rtl/>
        </w:rPr>
        <w:t xml:space="preserve"> لا يت</w:t>
      </w:r>
      <w:r w:rsidR="00183F39" w:rsidRPr="00572231">
        <w:rPr>
          <w:rFonts w:hint="cs"/>
          <w:b w:val="0"/>
          <w:bCs w:val="0"/>
          <w:rtl/>
        </w:rPr>
        <w:t>م اعادة النظر في توزيع الأ</w:t>
      </w:r>
      <w:r w:rsidR="00B16566" w:rsidRPr="00572231">
        <w:rPr>
          <w:rFonts w:hint="cs"/>
          <w:b w:val="0"/>
          <w:bCs w:val="0"/>
          <w:rtl/>
        </w:rPr>
        <w:t>رباح أ</w:t>
      </w:r>
      <w:r w:rsidR="00B3109B" w:rsidRPr="00572231">
        <w:rPr>
          <w:rFonts w:hint="cs"/>
          <w:b w:val="0"/>
          <w:bCs w:val="0"/>
          <w:rtl/>
        </w:rPr>
        <w:t>و</w:t>
      </w:r>
      <w:r w:rsidR="00B16566" w:rsidRPr="00572231">
        <w:rPr>
          <w:rFonts w:hint="cs"/>
          <w:b w:val="0"/>
          <w:bCs w:val="0"/>
          <w:rtl/>
        </w:rPr>
        <w:t xml:space="preserve"> </w:t>
      </w:r>
      <w:r w:rsidR="00B3109B" w:rsidRPr="00572231">
        <w:rPr>
          <w:rFonts w:hint="cs"/>
          <w:b w:val="0"/>
          <w:bCs w:val="0"/>
          <w:rtl/>
        </w:rPr>
        <w:t xml:space="preserve">دفع الفوائد في حال تخفيض التصنيف الائتماني للبنك او المجموعة البنكية).  </w:t>
      </w:r>
    </w:p>
    <w:p w:rsidR="00B3109B" w:rsidRPr="00572231" w:rsidRDefault="00AF1543" w:rsidP="00E52119">
      <w:pPr>
        <w:ind w:left="1984" w:hanging="709"/>
        <w:rPr>
          <w:b w:val="0"/>
          <w:bCs w:val="0"/>
          <w:rtl/>
        </w:rPr>
      </w:pPr>
      <w:r w:rsidRPr="00572231">
        <w:rPr>
          <w:rFonts w:hint="cs"/>
          <w:b w:val="0"/>
          <w:bCs w:val="0"/>
          <w:rtl/>
        </w:rPr>
        <w:t>10.2.2</w:t>
      </w:r>
      <w:r w:rsidR="00572231">
        <w:rPr>
          <w:rFonts w:hint="cs"/>
          <w:b w:val="0"/>
          <w:bCs w:val="0"/>
          <w:rtl/>
        </w:rPr>
        <w:t>.</w:t>
      </w:r>
      <w:r w:rsidR="00B3109B" w:rsidRPr="00572231">
        <w:rPr>
          <w:rFonts w:hint="cs"/>
          <w:b w:val="0"/>
          <w:bCs w:val="0"/>
          <w:rtl/>
        </w:rPr>
        <w:t xml:space="preserve">الأدوات المصنفة كالتزامات لأغراض محاسبية </w:t>
      </w:r>
      <w:r w:rsidR="004079F7" w:rsidRPr="00572231">
        <w:rPr>
          <w:rFonts w:hint="cs"/>
          <w:b w:val="0"/>
          <w:bCs w:val="0"/>
          <w:rtl/>
        </w:rPr>
        <w:t>(مثل السندات طويلة الأجل</w:t>
      </w:r>
      <w:r w:rsidR="00572231">
        <w:rPr>
          <w:rFonts w:hint="cs"/>
          <w:b w:val="0"/>
          <w:bCs w:val="0"/>
          <w:rtl/>
        </w:rPr>
        <w:t xml:space="preserve"> وتُصنف </w:t>
      </w:r>
      <w:r w:rsidR="00AD7F88" w:rsidRPr="00572231">
        <w:rPr>
          <w:rFonts w:hint="cs"/>
          <w:b w:val="0"/>
          <w:bCs w:val="0"/>
          <w:rtl/>
        </w:rPr>
        <w:t xml:space="preserve">ضمن </w:t>
      </w:r>
      <w:r w:rsidR="00AD7F88" w:rsidRPr="00572231">
        <w:rPr>
          <w:b w:val="0"/>
          <w:bCs w:val="0"/>
        </w:rPr>
        <w:t>AT1</w:t>
      </w:r>
      <w:r w:rsidR="009B17B3">
        <w:rPr>
          <w:b w:val="0"/>
          <w:bCs w:val="0"/>
        </w:rPr>
        <w:t>)</w:t>
      </w:r>
      <w:r w:rsidR="004079F7" w:rsidRPr="00572231">
        <w:rPr>
          <w:rFonts w:hint="cs"/>
          <w:b w:val="0"/>
          <w:bCs w:val="0"/>
          <w:rtl/>
        </w:rPr>
        <w:t xml:space="preserve">) </w:t>
      </w:r>
      <w:r w:rsidR="00B3109B" w:rsidRPr="00572231">
        <w:rPr>
          <w:rFonts w:hint="cs"/>
          <w:b w:val="0"/>
          <w:bCs w:val="0"/>
          <w:rtl/>
        </w:rPr>
        <w:t>يجب أن تحتوي على خ</w:t>
      </w:r>
      <w:r w:rsidR="00FA1555" w:rsidRPr="00572231">
        <w:rPr>
          <w:rFonts w:hint="cs"/>
          <w:b w:val="0"/>
          <w:bCs w:val="0"/>
          <w:rtl/>
        </w:rPr>
        <w:t>اصية امتصاص الخسائر إما عن طريق</w:t>
      </w:r>
      <w:r w:rsidR="00B3109B" w:rsidRPr="00572231">
        <w:rPr>
          <w:rFonts w:hint="cs"/>
          <w:b w:val="0"/>
          <w:bCs w:val="0"/>
          <w:rtl/>
        </w:rPr>
        <w:t>:</w:t>
      </w:r>
    </w:p>
    <w:p w:rsidR="00572231" w:rsidRPr="00572231" w:rsidRDefault="00B3109B" w:rsidP="00097451">
      <w:pPr>
        <w:pStyle w:val="ListParagraph"/>
        <w:numPr>
          <w:ilvl w:val="0"/>
          <w:numId w:val="28"/>
        </w:numPr>
        <w:ind w:left="2409" w:hanging="425"/>
        <w:rPr>
          <w:b w:val="0"/>
          <w:bCs w:val="0"/>
        </w:rPr>
      </w:pPr>
      <w:r w:rsidRPr="00572231">
        <w:rPr>
          <w:rFonts w:hint="cs"/>
          <w:b w:val="0"/>
          <w:bCs w:val="0"/>
          <w:rtl/>
        </w:rPr>
        <w:t xml:space="preserve">التحول إلى </w:t>
      </w:r>
      <w:r w:rsidR="004079F7" w:rsidRPr="00572231">
        <w:rPr>
          <w:rFonts w:hint="cs"/>
          <w:b w:val="0"/>
          <w:bCs w:val="0"/>
          <w:rtl/>
        </w:rPr>
        <w:t>أ</w:t>
      </w:r>
      <w:r w:rsidRPr="00572231">
        <w:rPr>
          <w:rFonts w:hint="cs"/>
          <w:b w:val="0"/>
          <w:bCs w:val="0"/>
          <w:rtl/>
        </w:rPr>
        <w:t xml:space="preserve">سهم عادية </w:t>
      </w:r>
      <w:r w:rsidR="004079F7" w:rsidRPr="00572231">
        <w:rPr>
          <w:rFonts w:hint="cs"/>
          <w:b w:val="0"/>
          <w:bCs w:val="0"/>
          <w:rtl/>
        </w:rPr>
        <w:t xml:space="preserve">بعد فترة زمنية </w:t>
      </w:r>
      <w:r w:rsidR="00EB718B" w:rsidRPr="00572231">
        <w:rPr>
          <w:rFonts w:hint="cs"/>
          <w:b w:val="0"/>
          <w:bCs w:val="0"/>
          <w:rtl/>
        </w:rPr>
        <w:t>بناءً على مؤشر الخسائر في (</w:t>
      </w:r>
      <w:r w:rsidR="00EB718B" w:rsidRPr="00572231">
        <w:rPr>
          <w:b w:val="0"/>
          <w:bCs w:val="0"/>
        </w:rPr>
        <w:t>CET1</w:t>
      </w:r>
      <w:r w:rsidR="00EB718B" w:rsidRPr="00572231">
        <w:rPr>
          <w:rFonts w:hint="cs"/>
          <w:b w:val="0"/>
          <w:bCs w:val="0"/>
          <w:rtl/>
        </w:rPr>
        <w:t xml:space="preserve">) وبحيث يتم التحويل عندما </w:t>
      </w:r>
      <w:r w:rsidR="00362F64" w:rsidRPr="00572231">
        <w:rPr>
          <w:rFonts w:hint="cs"/>
          <w:b w:val="0"/>
          <w:bCs w:val="0"/>
          <w:rtl/>
        </w:rPr>
        <w:t>تصل</w:t>
      </w:r>
      <w:r w:rsidR="00EB718B" w:rsidRPr="00572231">
        <w:rPr>
          <w:rFonts w:hint="cs"/>
          <w:b w:val="0"/>
          <w:bCs w:val="0"/>
          <w:rtl/>
        </w:rPr>
        <w:t xml:space="preserve"> الخسائر </w:t>
      </w:r>
      <w:r w:rsidR="00362F64" w:rsidRPr="00572231">
        <w:rPr>
          <w:rFonts w:hint="cs"/>
          <w:b w:val="0"/>
          <w:bCs w:val="0"/>
          <w:rtl/>
        </w:rPr>
        <w:t>لما نسبته</w:t>
      </w:r>
      <w:r w:rsidR="00EB718B" w:rsidRPr="00572231">
        <w:rPr>
          <w:rFonts w:hint="cs"/>
          <w:b w:val="0"/>
          <w:bCs w:val="0"/>
          <w:rtl/>
        </w:rPr>
        <w:t xml:space="preserve"> (</w:t>
      </w:r>
      <w:r w:rsidR="00097451">
        <w:rPr>
          <w:rFonts w:hint="cs"/>
          <w:b w:val="0"/>
          <w:bCs w:val="0"/>
          <w:rtl/>
        </w:rPr>
        <w:t>30</w:t>
      </w:r>
      <w:r w:rsidR="00EB718B" w:rsidRPr="00572231">
        <w:rPr>
          <w:rFonts w:hint="cs"/>
          <w:b w:val="0"/>
          <w:bCs w:val="0"/>
          <w:rtl/>
        </w:rPr>
        <w:t>%) من (</w:t>
      </w:r>
      <w:r w:rsidR="00EB718B" w:rsidRPr="00572231">
        <w:rPr>
          <w:b w:val="0"/>
          <w:bCs w:val="0"/>
        </w:rPr>
        <w:t>CET1</w:t>
      </w:r>
      <w:r w:rsidR="00EB718B" w:rsidRPr="00572231">
        <w:rPr>
          <w:rFonts w:hint="cs"/>
          <w:b w:val="0"/>
          <w:bCs w:val="0"/>
          <w:rtl/>
        </w:rPr>
        <w:t>)</w:t>
      </w:r>
      <w:r w:rsidRPr="00572231">
        <w:rPr>
          <w:rFonts w:hint="cs"/>
          <w:b w:val="0"/>
          <w:bCs w:val="0"/>
          <w:rtl/>
        </w:rPr>
        <w:t xml:space="preserve"> </w:t>
      </w:r>
      <w:r w:rsidRPr="00572231">
        <w:rPr>
          <w:rFonts w:hint="cs"/>
          <w:rtl/>
        </w:rPr>
        <w:t>أو</w:t>
      </w:r>
    </w:p>
    <w:p w:rsidR="00572231" w:rsidRPr="00EC2943" w:rsidRDefault="00B3109B" w:rsidP="00E52119">
      <w:pPr>
        <w:pStyle w:val="ListParagraph"/>
        <w:numPr>
          <w:ilvl w:val="0"/>
          <w:numId w:val="28"/>
        </w:numPr>
        <w:ind w:left="2409" w:hanging="425"/>
        <w:rPr>
          <w:b w:val="0"/>
          <w:bCs w:val="0"/>
        </w:rPr>
      </w:pPr>
      <w:r w:rsidRPr="00572231">
        <w:rPr>
          <w:rFonts w:hint="cs"/>
          <w:b w:val="0"/>
          <w:bCs w:val="0"/>
          <w:rtl/>
        </w:rPr>
        <w:t xml:space="preserve">آلية </w:t>
      </w:r>
      <w:r w:rsidR="009B17B3">
        <w:rPr>
          <w:rFonts w:hint="cs"/>
          <w:b w:val="0"/>
          <w:bCs w:val="0"/>
          <w:rtl/>
        </w:rPr>
        <w:t>ا</w:t>
      </w:r>
      <w:r w:rsidR="004079F7" w:rsidRPr="00572231">
        <w:rPr>
          <w:rFonts w:hint="cs"/>
          <w:b w:val="0"/>
          <w:bCs w:val="0"/>
          <w:rtl/>
        </w:rPr>
        <w:t>لشطب (</w:t>
      </w:r>
      <w:r w:rsidR="004079F7" w:rsidRPr="00572231">
        <w:rPr>
          <w:b w:val="0"/>
          <w:bCs w:val="0"/>
        </w:rPr>
        <w:t>Write-off</w:t>
      </w:r>
      <w:r w:rsidR="004079F7" w:rsidRPr="00572231">
        <w:rPr>
          <w:rFonts w:hint="cs"/>
          <w:b w:val="0"/>
          <w:bCs w:val="0"/>
          <w:rtl/>
          <w:lang w:bidi="ar-JO"/>
        </w:rPr>
        <w:t xml:space="preserve">) جزء من </w:t>
      </w:r>
      <w:r w:rsidR="009B17B3" w:rsidRPr="00572231">
        <w:rPr>
          <w:rFonts w:hint="cs"/>
          <w:b w:val="0"/>
          <w:bCs w:val="0"/>
          <w:rtl/>
          <w:lang w:bidi="ar-JO"/>
        </w:rPr>
        <w:t>الأداة</w:t>
      </w:r>
      <w:r w:rsidR="004079F7" w:rsidRPr="00572231">
        <w:rPr>
          <w:rFonts w:hint="cs"/>
          <w:b w:val="0"/>
          <w:bCs w:val="0"/>
          <w:rtl/>
          <w:lang w:bidi="ar-JO"/>
        </w:rPr>
        <w:t xml:space="preserve"> المالية وبحيث يكون هذا الجزء لتغطية خسائر، </w:t>
      </w:r>
      <w:r w:rsidR="00183F39" w:rsidRPr="00572231">
        <w:rPr>
          <w:rFonts w:hint="cs"/>
          <w:b w:val="0"/>
          <w:bCs w:val="0"/>
          <w:rtl/>
        </w:rPr>
        <w:t>ويكون للشطب التأثيرات التالية</w:t>
      </w:r>
      <w:r w:rsidRPr="00572231">
        <w:rPr>
          <w:rFonts w:hint="cs"/>
          <w:b w:val="0"/>
          <w:bCs w:val="0"/>
          <w:rtl/>
        </w:rPr>
        <w:t>:</w:t>
      </w:r>
    </w:p>
    <w:p w:rsidR="00B3109B" w:rsidRPr="00572231" w:rsidRDefault="00105440" w:rsidP="00E52119">
      <w:pPr>
        <w:pStyle w:val="ListParagraph"/>
        <w:spacing w:after="0"/>
        <w:ind w:left="2834" w:hanging="425"/>
        <w:rPr>
          <w:b w:val="0"/>
          <w:bCs w:val="0"/>
        </w:rPr>
      </w:pPr>
      <w:r w:rsidRPr="00572231">
        <w:rPr>
          <w:rFonts w:hint="cs"/>
          <w:b w:val="0"/>
          <w:bCs w:val="0"/>
          <w:rtl/>
        </w:rPr>
        <w:t>أ.</w:t>
      </w:r>
      <w:r w:rsidR="0020698A" w:rsidRPr="00572231">
        <w:rPr>
          <w:rFonts w:hint="cs"/>
          <w:b w:val="0"/>
          <w:bCs w:val="0"/>
          <w:rtl/>
        </w:rPr>
        <w:tab/>
      </w:r>
      <w:r w:rsidR="00B3109B" w:rsidRPr="00572231">
        <w:rPr>
          <w:rFonts w:hint="cs"/>
          <w:b w:val="0"/>
          <w:bCs w:val="0"/>
          <w:rtl/>
        </w:rPr>
        <w:t>تخفيض قيمة المطالبة على الاداة في حالة التصفية.</w:t>
      </w:r>
    </w:p>
    <w:p w:rsidR="00B3109B" w:rsidRPr="00572231" w:rsidRDefault="00105440" w:rsidP="00E52119">
      <w:pPr>
        <w:pStyle w:val="ListParagraph"/>
        <w:spacing w:after="0"/>
        <w:ind w:left="2834" w:hanging="425"/>
        <w:rPr>
          <w:b w:val="0"/>
          <w:bCs w:val="0"/>
        </w:rPr>
      </w:pPr>
      <w:r w:rsidRPr="00572231">
        <w:rPr>
          <w:rFonts w:hint="cs"/>
          <w:b w:val="0"/>
          <w:bCs w:val="0"/>
          <w:rtl/>
        </w:rPr>
        <w:t>ب.</w:t>
      </w:r>
      <w:r w:rsidR="0020698A" w:rsidRPr="00572231">
        <w:rPr>
          <w:rFonts w:hint="cs"/>
          <w:b w:val="0"/>
          <w:bCs w:val="0"/>
          <w:rtl/>
        </w:rPr>
        <w:tab/>
      </w:r>
      <w:r w:rsidR="00B3109B" w:rsidRPr="00572231">
        <w:rPr>
          <w:rFonts w:hint="cs"/>
          <w:b w:val="0"/>
          <w:bCs w:val="0"/>
          <w:rtl/>
        </w:rPr>
        <w:t>تخفيض القيمة المدفوعة إذا ما تم استخدام خيار الشراء.</w:t>
      </w:r>
    </w:p>
    <w:p w:rsidR="00B3109B" w:rsidRPr="00572231" w:rsidRDefault="00105440" w:rsidP="00E52119">
      <w:pPr>
        <w:pStyle w:val="ListParagraph"/>
        <w:spacing w:after="0" w:line="360" w:lineRule="auto"/>
        <w:ind w:left="2834" w:hanging="425"/>
        <w:contextualSpacing w:val="0"/>
        <w:rPr>
          <w:b w:val="0"/>
          <w:bCs w:val="0"/>
          <w:rtl/>
        </w:rPr>
      </w:pPr>
      <w:r w:rsidRPr="00572231">
        <w:rPr>
          <w:rFonts w:hint="cs"/>
          <w:b w:val="0"/>
          <w:bCs w:val="0"/>
          <w:rtl/>
        </w:rPr>
        <w:t>ج.</w:t>
      </w:r>
      <w:r w:rsidR="0020698A" w:rsidRPr="00572231">
        <w:rPr>
          <w:rFonts w:hint="cs"/>
          <w:b w:val="0"/>
          <w:bCs w:val="0"/>
          <w:rtl/>
        </w:rPr>
        <w:tab/>
      </w:r>
      <w:r w:rsidR="00B3109B" w:rsidRPr="00572231">
        <w:rPr>
          <w:rFonts w:hint="cs"/>
          <w:b w:val="0"/>
          <w:bCs w:val="0"/>
          <w:rtl/>
        </w:rPr>
        <w:t>تخفيض جزئي أو كلي لقيمة الفائدة أو التوزيعات على الأداة.</w:t>
      </w:r>
    </w:p>
    <w:p w:rsidR="00B3109B" w:rsidRPr="00572231" w:rsidRDefault="00AF1543" w:rsidP="00E52119">
      <w:pPr>
        <w:ind w:left="2126" w:hanging="851"/>
        <w:rPr>
          <w:b w:val="0"/>
          <w:bCs w:val="0"/>
          <w:rtl/>
        </w:rPr>
      </w:pPr>
      <w:r w:rsidRPr="00572231">
        <w:rPr>
          <w:rFonts w:hint="cs"/>
          <w:b w:val="0"/>
          <w:bCs w:val="0"/>
          <w:rtl/>
        </w:rPr>
        <w:t>11.2.2</w:t>
      </w:r>
      <w:r w:rsidR="00572231" w:rsidRPr="00572231">
        <w:rPr>
          <w:rFonts w:hint="cs"/>
          <w:b w:val="0"/>
          <w:bCs w:val="0"/>
          <w:rtl/>
        </w:rPr>
        <w:t>.</w:t>
      </w:r>
      <w:r w:rsidR="00B3109B" w:rsidRPr="00572231">
        <w:rPr>
          <w:rFonts w:hint="cs"/>
          <w:b w:val="0"/>
          <w:bCs w:val="0"/>
          <w:rtl/>
        </w:rPr>
        <w:tab/>
        <w:t>أن لا يكون البنك أو أي جهة ذات علاقة به</w:t>
      </w:r>
      <w:r w:rsidR="00E71A2E" w:rsidRPr="00572231">
        <w:rPr>
          <w:rFonts w:hint="cs"/>
          <w:b w:val="0"/>
          <w:bCs w:val="0"/>
          <w:rtl/>
        </w:rPr>
        <w:t xml:space="preserve"> </w:t>
      </w:r>
      <w:r w:rsidR="004079F7" w:rsidRPr="00572231">
        <w:rPr>
          <w:rFonts w:hint="cs"/>
          <w:b w:val="0"/>
          <w:bCs w:val="0"/>
          <w:rtl/>
        </w:rPr>
        <w:t>يسيطر عليها البنك</w:t>
      </w:r>
      <w:r w:rsidR="00B3109B" w:rsidRPr="00572231">
        <w:rPr>
          <w:rFonts w:hint="cs"/>
          <w:b w:val="0"/>
          <w:bCs w:val="0"/>
          <w:rtl/>
        </w:rPr>
        <w:t xml:space="preserve"> أو له تأثير فعال عليها قد قام/ قامت بشراء الأداة وألا يكون البنك</w:t>
      </w:r>
      <w:r w:rsidR="008B147C" w:rsidRPr="00572231">
        <w:rPr>
          <w:rFonts w:hint="cs"/>
          <w:b w:val="0"/>
          <w:bCs w:val="0"/>
          <w:rtl/>
        </w:rPr>
        <w:t xml:space="preserve"> قد</w:t>
      </w:r>
      <w:r w:rsidR="00B3109B" w:rsidRPr="00572231">
        <w:rPr>
          <w:rFonts w:hint="cs"/>
          <w:b w:val="0"/>
          <w:bCs w:val="0"/>
          <w:rtl/>
        </w:rPr>
        <w:t xml:space="preserve"> موّل </w:t>
      </w:r>
      <w:r w:rsidR="004079F7" w:rsidRPr="00572231">
        <w:rPr>
          <w:rFonts w:hint="cs"/>
          <w:b w:val="0"/>
          <w:bCs w:val="0"/>
          <w:rtl/>
        </w:rPr>
        <w:t xml:space="preserve">شراء الأداة </w:t>
      </w:r>
      <w:r w:rsidR="00B3109B" w:rsidRPr="00572231">
        <w:rPr>
          <w:rFonts w:hint="cs"/>
          <w:b w:val="0"/>
          <w:bCs w:val="0"/>
          <w:rtl/>
        </w:rPr>
        <w:t>(بشكل مباشر أو غير مباشر).</w:t>
      </w:r>
    </w:p>
    <w:p w:rsidR="00B3109B" w:rsidRPr="00572231" w:rsidRDefault="00AF1543" w:rsidP="00E46D20">
      <w:pPr>
        <w:ind w:left="2126" w:hanging="851"/>
        <w:rPr>
          <w:b w:val="0"/>
          <w:bCs w:val="0"/>
          <w:rtl/>
        </w:rPr>
      </w:pPr>
      <w:r w:rsidRPr="00572231">
        <w:rPr>
          <w:rFonts w:hint="cs"/>
          <w:b w:val="0"/>
          <w:bCs w:val="0"/>
          <w:rtl/>
        </w:rPr>
        <w:t>12.2.2</w:t>
      </w:r>
      <w:r w:rsidR="00572231" w:rsidRPr="00572231">
        <w:rPr>
          <w:rFonts w:hint="cs"/>
          <w:b w:val="0"/>
          <w:bCs w:val="0"/>
          <w:rtl/>
        </w:rPr>
        <w:t>.</w:t>
      </w:r>
      <w:r w:rsidR="00B3109B" w:rsidRPr="00572231">
        <w:rPr>
          <w:rFonts w:hint="cs"/>
          <w:b w:val="0"/>
          <w:bCs w:val="0"/>
          <w:rtl/>
        </w:rPr>
        <w:tab/>
        <w:t xml:space="preserve">لا يجوز أن تحتوي الأداة على أي ميزات تتطلب من المصدر تعويض المساهم إذا تم إصدار أداة </w:t>
      </w:r>
      <w:r w:rsidR="00E46D20">
        <w:rPr>
          <w:rFonts w:hint="cs"/>
          <w:b w:val="0"/>
          <w:bCs w:val="0"/>
          <w:rtl/>
        </w:rPr>
        <w:t xml:space="preserve">جديدة </w:t>
      </w:r>
      <w:r w:rsidR="00B3109B" w:rsidRPr="00572231">
        <w:rPr>
          <w:rFonts w:hint="cs"/>
          <w:b w:val="0"/>
          <w:bCs w:val="0"/>
          <w:rtl/>
        </w:rPr>
        <w:t>بسعر اقل ضمن إطار زمني معين.</w:t>
      </w:r>
    </w:p>
    <w:p w:rsidR="00B3109B" w:rsidRPr="006C28EA" w:rsidRDefault="00AF1543" w:rsidP="00E52119">
      <w:pPr>
        <w:ind w:left="2126" w:hanging="851"/>
        <w:rPr>
          <w:b w:val="0"/>
          <w:bCs w:val="0"/>
          <w:rtl/>
        </w:rPr>
      </w:pPr>
      <w:r w:rsidRPr="006C28EA">
        <w:rPr>
          <w:rFonts w:hint="cs"/>
          <w:b w:val="0"/>
          <w:bCs w:val="0"/>
          <w:rtl/>
        </w:rPr>
        <w:t>13.2.2</w:t>
      </w:r>
      <w:r w:rsidR="00572231" w:rsidRPr="006C28EA">
        <w:rPr>
          <w:rFonts w:hint="cs"/>
          <w:b w:val="0"/>
          <w:bCs w:val="0"/>
          <w:rtl/>
        </w:rPr>
        <w:t>.</w:t>
      </w:r>
      <w:r w:rsidR="00B3109B" w:rsidRPr="006C28EA">
        <w:rPr>
          <w:rFonts w:hint="cs"/>
          <w:b w:val="0"/>
          <w:bCs w:val="0"/>
          <w:rtl/>
        </w:rPr>
        <w:tab/>
      </w:r>
      <w:r w:rsidR="00A774D2" w:rsidRPr="006C28EA">
        <w:rPr>
          <w:rFonts w:hint="cs"/>
          <w:b w:val="0"/>
          <w:bCs w:val="0"/>
          <w:rtl/>
        </w:rPr>
        <w:t xml:space="preserve">إذا كانت الأداة غير </w:t>
      </w:r>
      <w:r w:rsidR="00B3109B" w:rsidRPr="006C28EA">
        <w:rPr>
          <w:rFonts w:hint="cs"/>
          <w:b w:val="0"/>
          <w:bCs w:val="0"/>
          <w:rtl/>
        </w:rPr>
        <w:t xml:space="preserve">صادرة عن وحدة عاملة منشأة من البنك أو ضمن الشركة القابضة في المجموعة البنكية (على سبيل المثال </w:t>
      </w:r>
      <w:r w:rsidR="00A41D37" w:rsidRPr="006C28EA">
        <w:rPr>
          <w:rFonts w:hint="cs"/>
          <w:b w:val="0"/>
          <w:bCs w:val="0"/>
          <w:rtl/>
        </w:rPr>
        <w:t xml:space="preserve">صادرة عن </w:t>
      </w:r>
      <w:r w:rsidR="00B3109B" w:rsidRPr="006C28EA">
        <w:rPr>
          <w:rFonts w:hint="cs"/>
          <w:b w:val="0"/>
          <w:bCs w:val="0"/>
          <w:rtl/>
        </w:rPr>
        <w:t>م</w:t>
      </w:r>
      <w:r w:rsidR="004079F7" w:rsidRPr="006C28EA">
        <w:rPr>
          <w:rFonts w:hint="cs"/>
          <w:b w:val="0"/>
          <w:bCs w:val="0"/>
          <w:rtl/>
        </w:rPr>
        <w:t>ن</w:t>
      </w:r>
      <w:r w:rsidR="004F542D" w:rsidRPr="006C28EA">
        <w:rPr>
          <w:rFonts w:hint="cs"/>
          <w:b w:val="0"/>
          <w:bCs w:val="0"/>
          <w:rtl/>
        </w:rPr>
        <w:t xml:space="preserve">شأة ذات </w:t>
      </w:r>
      <w:r w:rsidR="00B3109B" w:rsidRPr="006C28EA">
        <w:rPr>
          <w:rFonts w:hint="cs"/>
          <w:b w:val="0"/>
          <w:bCs w:val="0"/>
          <w:rtl/>
        </w:rPr>
        <w:t>غرض خاص (</w:t>
      </w:r>
      <w:r w:rsidR="00B3109B" w:rsidRPr="006C28EA">
        <w:rPr>
          <w:b w:val="0"/>
          <w:bCs w:val="0"/>
        </w:rPr>
        <w:t>SPV</w:t>
      </w:r>
      <w:r w:rsidR="00B3109B" w:rsidRPr="006C28EA">
        <w:rPr>
          <w:rFonts w:hint="cs"/>
          <w:b w:val="0"/>
          <w:bCs w:val="0"/>
          <w:rtl/>
        </w:rPr>
        <w:t>) فيجب أن تكون العوائد متاحة فوراً دون قيود لأي وحدة عاملة أو للشركة</w:t>
      </w:r>
      <w:r w:rsidR="00A41D37" w:rsidRPr="006C28EA">
        <w:rPr>
          <w:rFonts w:hint="cs"/>
          <w:b w:val="0"/>
          <w:bCs w:val="0"/>
          <w:rtl/>
        </w:rPr>
        <w:t xml:space="preserve"> القابضة في المجموعة البنكية و</w:t>
      </w:r>
      <w:r w:rsidR="00B3109B" w:rsidRPr="006C28EA">
        <w:rPr>
          <w:rFonts w:hint="cs"/>
          <w:b w:val="0"/>
          <w:bCs w:val="0"/>
          <w:rtl/>
        </w:rPr>
        <w:t xml:space="preserve">بشكل </w:t>
      </w:r>
      <w:r w:rsidR="00CA6D85" w:rsidRPr="006C28EA">
        <w:rPr>
          <w:rFonts w:hint="cs"/>
          <w:b w:val="0"/>
          <w:bCs w:val="0"/>
          <w:rtl/>
        </w:rPr>
        <w:t>يحقق</w:t>
      </w:r>
      <w:r w:rsidR="00A41D37" w:rsidRPr="006C28EA">
        <w:rPr>
          <w:rFonts w:hint="cs"/>
          <w:b w:val="0"/>
          <w:bCs w:val="0"/>
          <w:rtl/>
        </w:rPr>
        <w:t xml:space="preserve"> جميع</w:t>
      </w:r>
      <w:r w:rsidR="00984FC9" w:rsidRPr="006C28EA">
        <w:rPr>
          <w:rFonts w:hint="cs"/>
          <w:b w:val="0"/>
          <w:bCs w:val="0"/>
          <w:rtl/>
        </w:rPr>
        <w:t xml:space="preserve"> الاسس للإدراج</w:t>
      </w:r>
      <w:r w:rsidR="002923D3" w:rsidRPr="006C28EA">
        <w:rPr>
          <w:rFonts w:hint="cs"/>
          <w:b w:val="0"/>
          <w:bCs w:val="0"/>
          <w:rtl/>
        </w:rPr>
        <w:t xml:space="preserve"> أو يزيد عنها</w:t>
      </w:r>
      <w:r w:rsidR="00984FC9" w:rsidRPr="006C28EA">
        <w:rPr>
          <w:rFonts w:hint="cs"/>
          <w:b w:val="0"/>
          <w:bCs w:val="0"/>
          <w:rtl/>
        </w:rPr>
        <w:t xml:space="preserve"> ضمن رأس المال الإ</w:t>
      </w:r>
      <w:r w:rsidR="00A41D37" w:rsidRPr="006C28EA">
        <w:rPr>
          <w:rFonts w:hint="cs"/>
          <w:b w:val="0"/>
          <w:bCs w:val="0"/>
          <w:rtl/>
        </w:rPr>
        <w:t>ضافي (</w:t>
      </w:r>
      <w:r w:rsidR="00A41D37" w:rsidRPr="006C28EA">
        <w:rPr>
          <w:b w:val="0"/>
          <w:bCs w:val="0"/>
        </w:rPr>
        <w:t>AT1</w:t>
      </w:r>
      <w:r w:rsidR="00A41D37" w:rsidRPr="006C28EA">
        <w:rPr>
          <w:rFonts w:hint="cs"/>
          <w:b w:val="0"/>
          <w:bCs w:val="0"/>
          <w:rtl/>
        </w:rPr>
        <w:t>)</w:t>
      </w:r>
      <w:r w:rsidR="00B3109B" w:rsidRPr="006C28EA">
        <w:rPr>
          <w:rFonts w:hint="cs"/>
          <w:b w:val="0"/>
          <w:bCs w:val="0"/>
          <w:rtl/>
        </w:rPr>
        <w:t>.</w:t>
      </w:r>
    </w:p>
    <w:p w:rsidR="00B3109B" w:rsidRPr="006C28EA" w:rsidRDefault="009D6B4E" w:rsidP="00E52119">
      <w:pPr>
        <w:tabs>
          <w:tab w:val="left" w:pos="1417"/>
        </w:tabs>
        <w:ind w:left="1275" w:hanging="567"/>
        <w:rPr>
          <w:b w:val="0"/>
          <w:bCs w:val="0"/>
          <w:rtl/>
        </w:rPr>
      </w:pPr>
      <w:r w:rsidRPr="006C28EA">
        <w:rPr>
          <w:rFonts w:hint="cs"/>
          <w:b w:val="0"/>
          <w:bCs w:val="0"/>
          <w:rtl/>
        </w:rPr>
        <w:t>3.2</w:t>
      </w:r>
      <w:r w:rsidR="00572231" w:rsidRPr="006C28EA">
        <w:rPr>
          <w:rFonts w:hint="cs"/>
          <w:b w:val="0"/>
          <w:bCs w:val="0"/>
          <w:rtl/>
        </w:rPr>
        <w:t>.</w:t>
      </w:r>
      <w:r w:rsidRPr="006C28EA">
        <w:rPr>
          <w:rFonts w:hint="cs"/>
          <w:b w:val="0"/>
          <w:bCs w:val="0"/>
          <w:rtl/>
        </w:rPr>
        <w:tab/>
      </w:r>
      <w:r w:rsidR="00B3109B" w:rsidRPr="006C28EA">
        <w:rPr>
          <w:b w:val="0"/>
          <w:bCs w:val="0"/>
          <w:rtl/>
        </w:rPr>
        <w:t xml:space="preserve">علاوة </w:t>
      </w:r>
      <w:r w:rsidR="009D1555" w:rsidRPr="006C28EA">
        <w:rPr>
          <w:rFonts w:hint="cs"/>
          <w:b w:val="0"/>
          <w:bCs w:val="0"/>
          <w:rtl/>
        </w:rPr>
        <w:t xml:space="preserve">(خصم) </w:t>
      </w:r>
      <w:r w:rsidR="00B3109B" w:rsidRPr="0036451D">
        <w:rPr>
          <w:rFonts w:eastAsiaTheme="majorEastAsia"/>
          <w:b w:val="0"/>
          <w:bCs w:val="0"/>
          <w:rtl/>
        </w:rPr>
        <w:t>الإصدار</w:t>
      </w:r>
      <w:r w:rsidR="00B3109B" w:rsidRPr="006C28EA">
        <w:rPr>
          <w:rFonts w:hint="cs"/>
          <w:b w:val="0"/>
          <w:bCs w:val="0"/>
          <w:rtl/>
        </w:rPr>
        <w:t xml:space="preserve"> الناتجة</w:t>
      </w:r>
      <w:r w:rsidR="00105440" w:rsidRPr="006C28EA">
        <w:rPr>
          <w:rFonts w:hint="cs"/>
          <w:b w:val="0"/>
          <w:bCs w:val="0"/>
          <w:rtl/>
        </w:rPr>
        <w:t xml:space="preserve"> عن إصدار الأدوات المالية التي ي</w:t>
      </w:r>
      <w:r w:rsidR="00B3109B" w:rsidRPr="006C28EA">
        <w:rPr>
          <w:rFonts w:hint="cs"/>
          <w:b w:val="0"/>
          <w:bCs w:val="0"/>
          <w:rtl/>
        </w:rPr>
        <w:t xml:space="preserve">تضمنها </w:t>
      </w:r>
      <w:r w:rsidR="00B3109B" w:rsidRPr="006C28EA">
        <w:rPr>
          <w:b w:val="0"/>
          <w:bCs w:val="0"/>
          <w:rtl/>
        </w:rPr>
        <w:t>رأس المال الإضافي</w:t>
      </w:r>
      <w:r w:rsidR="00B3109B" w:rsidRPr="006C28EA">
        <w:rPr>
          <w:rFonts w:hint="cs"/>
          <w:b w:val="0"/>
          <w:bCs w:val="0"/>
          <w:rtl/>
        </w:rPr>
        <w:t xml:space="preserve"> </w:t>
      </w:r>
      <w:r w:rsidR="009D1555" w:rsidRPr="006C28EA">
        <w:rPr>
          <w:rFonts w:hint="cs"/>
          <w:b w:val="0"/>
          <w:bCs w:val="0"/>
          <w:rtl/>
        </w:rPr>
        <w:t>(</w:t>
      </w:r>
      <w:r w:rsidR="009D1555" w:rsidRPr="006C28EA">
        <w:rPr>
          <w:b w:val="0"/>
          <w:bCs w:val="0"/>
        </w:rPr>
        <w:t>AT1</w:t>
      </w:r>
      <w:r w:rsidR="009D1555" w:rsidRPr="006C28EA">
        <w:rPr>
          <w:rFonts w:hint="cs"/>
          <w:b w:val="0"/>
          <w:bCs w:val="0"/>
          <w:rtl/>
        </w:rPr>
        <w:t>)</w:t>
      </w:r>
      <w:r w:rsidR="00FA1555" w:rsidRPr="006C28EA">
        <w:rPr>
          <w:rFonts w:hint="cs"/>
          <w:b w:val="0"/>
          <w:bCs w:val="0"/>
          <w:rtl/>
        </w:rPr>
        <w:t>:</w:t>
      </w:r>
    </w:p>
    <w:p w:rsidR="00B3109B" w:rsidRPr="006C28EA" w:rsidRDefault="004F542D" w:rsidP="00E52119">
      <w:pPr>
        <w:pStyle w:val="ListParagraph"/>
        <w:ind w:left="1275"/>
        <w:rPr>
          <w:b w:val="0"/>
          <w:bCs w:val="0"/>
          <w:rtl/>
        </w:rPr>
      </w:pPr>
      <w:r w:rsidRPr="006C28EA">
        <w:rPr>
          <w:b w:val="0"/>
          <w:bCs w:val="0"/>
          <w:rtl/>
        </w:rPr>
        <w:lastRenderedPageBreak/>
        <w:t xml:space="preserve">يسمح </w:t>
      </w:r>
      <w:r w:rsidRPr="006C28EA">
        <w:rPr>
          <w:rFonts w:hint="cs"/>
          <w:b w:val="0"/>
          <w:bCs w:val="0"/>
          <w:rtl/>
        </w:rPr>
        <w:t xml:space="preserve">بإدراج </w:t>
      </w:r>
      <w:r w:rsidR="00B3109B" w:rsidRPr="006C28EA">
        <w:rPr>
          <w:b w:val="0"/>
          <w:bCs w:val="0"/>
          <w:rtl/>
        </w:rPr>
        <w:t xml:space="preserve">علاوة </w:t>
      </w:r>
      <w:r w:rsidR="009D1555" w:rsidRPr="006C28EA">
        <w:rPr>
          <w:rFonts w:hint="cs"/>
          <w:b w:val="0"/>
          <w:bCs w:val="0"/>
          <w:rtl/>
        </w:rPr>
        <w:t xml:space="preserve">(خصم) </w:t>
      </w:r>
      <w:r w:rsidR="00B3109B" w:rsidRPr="006C28EA">
        <w:rPr>
          <w:b w:val="0"/>
          <w:bCs w:val="0"/>
          <w:rtl/>
        </w:rPr>
        <w:t xml:space="preserve">الإصدار غير المؤهل للإدراج كجزء من </w:t>
      </w:r>
      <w:r w:rsidR="00F765A0" w:rsidRPr="006C28EA">
        <w:rPr>
          <w:rFonts w:hint="cs"/>
          <w:b w:val="0"/>
          <w:bCs w:val="0"/>
          <w:rtl/>
        </w:rPr>
        <w:t>حقوق حملة الأسهم العادية</w:t>
      </w:r>
      <w:r w:rsidR="00B3109B" w:rsidRPr="006C28EA">
        <w:rPr>
          <w:rFonts w:hint="cs"/>
          <w:b w:val="0"/>
          <w:bCs w:val="0"/>
          <w:rtl/>
        </w:rPr>
        <w:t xml:space="preserve"> (</w:t>
      </w:r>
      <w:r w:rsidRPr="006C28EA">
        <w:rPr>
          <w:b w:val="0"/>
          <w:bCs w:val="0"/>
        </w:rPr>
        <w:t xml:space="preserve"> (CET</w:t>
      </w:r>
      <w:r w:rsidRPr="006C28EA">
        <w:rPr>
          <w:rFonts w:hint="cs"/>
          <w:b w:val="0"/>
          <w:bCs w:val="0"/>
          <w:rtl/>
        </w:rPr>
        <w:t xml:space="preserve"> ضمن رأ</w:t>
      </w:r>
      <w:r w:rsidR="00B3109B" w:rsidRPr="006C28EA">
        <w:rPr>
          <w:rFonts w:hint="cs"/>
          <w:b w:val="0"/>
          <w:bCs w:val="0"/>
          <w:rtl/>
        </w:rPr>
        <w:t xml:space="preserve">س المال الاضافي </w:t>
      </w:r>
      <w:r w:rsidR="009D1555" w:rsidRPr="006C28EA">
        <w:rPr>
          <w:rFonts w:hint="cs"/>
          <w:b w:val="0"/>
          <w:bCs w:val="0"/>
          <w:rtl/>
        </w:rPr>
        <w:t>(</w:t>
      </w:r>
      <w:r w:rsidR="009D1555" w:rsidRPr="006C28EA">
        <w:rPr>
          <w:b w:val="0"/>
          <w:bCs w:val="0"/>
        </w:rPr>
        <w:t>AT1</w:t>
      </w:r>
      <w:r w:rsidR="009D1555" w:rsidRPr="006C28EA">
        <w:rPr>
          <w:rFonts w:hint="cs"/>
          <w:b w:val="0"/>
          <w:bCs w:val="0"/>
          <w:rtl/>
        </w:rPr>
        <w:t xml:space="preserve">) </w:t>
      </w:r>
      <w:r w:rsidR="00B3109B" w:rsidRPr="006C28EA">
        <w:rPr>
          <w:rFonts w:hint="cs"/>
          <w:b w:val="0"/>
          <w:bCs w:val="0"/>
          <w:rtl/>
        </w:rPr>
        <w:t>اذا نتج</w:t>
      </w:r>
      <w:r w:rsidR="004079F7" w:rsidRPr="006C28EA">
        <w:rPr>
          <w:rFonts w:hint="cs"/>
          <w:b w:val="0"/>
          <w:bCs w:val="0"/>
          <w:rtl/>
        </w:rPr>
        <w:t>ت</w:t>
      </w:r>
      <w:r w:rsidR="00B3109B" w:rsidRPr="006C28EA">
        <w:rPr>
          <w:rFonts w:hint="cs"/>
          <w:b w:val="0"/>
          <w:bCs w:val="0"/>
          <w:rtl/>
        </w:rPr>
        <w:t xml:space="preserve"> هذ</w:t>
      </w:r>
      <w:r w:rsidR="004079F7" w:rsidRPr="006C28EA">
        <w:rPr>
          <w:rFonts w:hint="cs"/>
          <w:b w:val="0"/>
          <w:bCs w:val="0"/>
          <w:rtl/>
        </w:rPr>
        <w:t>ه</w:t>
      </w:r>
      <w:r w:rsidR="00B3109B" w:rsidRPr="006C28EA">
        <w:rPr>
          <w:rFonts w:hint="cs"/>
          <w:b w:val="0"/>
          <w:bCs w:val="0"/>
          <w:rtl/>
        </w:rPr>
        <w:t xml:space="preserve"> </w:t>
      </w:r>
      <w:r w:rsidR="004079F7" w:rsidRPr="006C28EA">
        <w:rPr>
          <w:rFonts w:hint="cs"/>
          <w:b w:val="0"/>
          <w:bCs w:val="0"/>
          <w:rtl/>
        </w:rPr>
        <w:t xml:space="preserve">العلاوة </w:t>
      </w:r>
      <w:r w:rsidRPr="006C28EA">
        <w:rPr>
          <w:rFonts w:hint="cs"/>
          <w:b w:val="0"/>
          <w:bCs w:val="0"/>
          <w:rtl/>
        </w:rPr>
        <w:t xml:space="preserve">(الخصم) </w:t>
      </w:r>
      <w:r w:rsidR="004079F7" w:rsidRPr="006C28EA">
        <w:rPr>
          <w:rFonts w:hint="cs"/>
          <w:b w:val="0"/>
          <w:bCs w:val="0"/>
          <w:rtl/>
        </w:rPr>
        <w:t>م</w:t>
      </w:r>
      <w:r w:rsidR="00B3109B" w:rsidRPr="006C28EA">
        <w:rPr>
          <w:rFonts w:hint="cs"/>
          <w:b w:val="0"/>
          <w:bCs w:val="0"/>
          <w:rtl/>
        </w:rPr>
        <w:t xml:space="preserve">ن </w:t>
      </w:r>
      <w:r w:rsidRPr="006C28EA">
        <w:rPr>
          <w:rFonts w:hint="cs"/>
          <w:b w:val="0"/>
          <w:bCs w:val="0"/>
          <w:rtl/>
        </w:rPr>
        <w:t>أدوات</w:t>
      </w:r>
      <w:r w:rsidR="00B3109B" w:rsidRPr="006C28EA">
        <w:rPr>
          <w:rFonts w:hint="cs"/>
          <w:b w:val="0"/>
          <w:bCs w:val="0"/>
          <w:rtl/>
        </w:rPr>
        <w:t xml:space="preserve"> مدرجة</w:t>
      </w:r>
      <w:r w:rsidR="00B3109B" w:rsidRPr="006C28EA">
        <w:rPr>
          <w:b w:val="0"/>
          <w:bCs w:val="0"/>
          <w:rtl/>
        </w:rPr>
        <w:t xml:space="preserve"> </w:t>
      </w:r>
      <w:r w:rsidR="00B3109B" w:rsidRPr="006C28EA">
        <w:rPr>
          <w:rFonts w:hint="cs"/>
          <w:b w:val="0"/>
          <w:bCs w:val="0"/>
          <w:rtl/>
        </w:rPr>
        <w:t xml:space="preserve">ضمن </w:t>
      </w:r>
      <w:r w:rsidR="00B3109B" w:rsidRPr="006C28EA">
        <w:rPr>
          <w:b w:val="0"/>
          <w:bCs w:val="0"/>
          <w:rtl/>
        </w:rPr>
        <w:t>رأس المال الإضافي</w:t>
      </w:r>
      <w:r w:rsidR="00B3109B" w:rsidRPr="006C28EA">
        <w:rPr>
          <w:rFonts w:hint="cs"/>
          <w:b w:val="0"/>
          <w:bCs w:val="0"/>
          <w:rtl/>
        </w:rPr>
        <w:t xml:space="preserve"> </w:t>
      </w:r>
      <w:r w:rsidR="009D1555" w:rsidRPr="006C28EA">
        <w:rPr>
          <w:rFonts w:hint="cs"/>
          <w:b w:val="0"/>
          <w:bCs w:val="0"/>
          <w:rtl/>
        </w:rPr>
        <w:t>(</w:t>
      </w:r>
      <w:r w:rsidR="009D1555" w:rsidRPr="006C28EA">
        <w:rPr>
          <w:b w:val="0"/>
          <w:bCs w:val="0"/>
        </w:rPr>
        <w:t>AT1</w:t>
      </w:r>
      <w:r w:rsidR="009D1555" w:rsidRPr="006C28EA">
        <w:rPr>
          <w:rFonts w:hint="cs"/>
          <w:b w:val="0"/>
          <w:bCs w:val="0"/>
          <w:rtl/>
        </w:rPr>
        <w:t>)</w:t>
      </w:r>
      <w:r w:rsidR="006C28EA">
        <w:rPr>
          <w:b w:val="0"/>
          <w:bCs w:val="0"/>
          <w:rtl/>
        </w:rPr>
        <w:t>.</w:t>
      </w:r>
    </w:p>
    <w:p w:rsidR="00B3109B" w:rsidRPr="00D026CE" w:rsidRDefault="00150D4B" w:rsidP="00277449">
      <w:pPr>
        <w:ind w:left="708" w:hanging="425"/>
        <w:rPr>
          <w:rtl/>
        </w:rPr>
      </w:pPr>
      <w:bookmarkStart w:id="26" w:name="_Toc372557476"/>
      <w:r w:rsidRPr="00D026CE">
        <w:rPr>
          <w:rFonts w:hint="cs"/>
          <w:rtl/>
        </w:rPr>
        <w:t>3.</w:t>
      </w:r>
      <w:r w:rsidR="00277449">
        <w:rPr>
          <w:rFonts w:hint="cs"/>
          <w:rtl/>
        </w:rPr>
        <w:tab/>
      </w:r>
      <w:r w:rsidR="00B3109B" w:rsidRPr="00D026CE">
        <w:rPr>
          <w:rtl/>
        </w:rPr>
        <w:t>الشريحة الثانية</w:t>
      </w:r>
      <w:bookmarkEnd w:id="26"/>
      <w:r w:rsidR="00B3109B" w:rsidRPr="00D026CE">
        <w:rPr>
          <w:rtl/>
        </w:rPr>
        <w:t xml:space="preserve"> </w:t>
      </w:r>
      <w:r w:rsidR="00EA7606" w:rsidRPr="00D026CE">
        <w:rPr>
          <w:rFonts w:hint="cs"/>
          <w:rtl/>
        </w:rPr>
        <w:t>(</w:t>
      </w:r>
      <w:r w:rsidR="00EA7606" w:rsidRPr="00D026CE">
        <w:t>Tier 2</w:t>
      </w:r>
      <w:r w:rsidR="00EA7606" w:rsidRPr="00D026CE">
        <w:rPr>
          <w:rFonts w:hint="cs"/>
          <w:rtl/>
        </w:rPr>
        <w:t>)</w:t>
      </w:r>
    </w:p>
    <w:p w:rsidR="00B3109B" w:rsidRPr="006C28EA" w:rsidRDefault="00105440" w:rsidP="00E52119">
      <w:pPr>
        <w:ind w:left="1275" w:hanging="567"/>
        <w:rPr>
          <w:b w:val="0"/>
          <w:bCs w:val="0"/>
          <w:rtl/>
        </w:rPr>
      </w:pPr>
      <w:r w:rsidRPr="006C28EA">
        <w:rPr>
          <w:rFonts w:hint="cs"/>
          <w:b w:val="0"/>
          <w:bCs w:val="0"/>
          <w:rtl/>
        </w:rPr>
        <w:t>1.3</w:t>
      </w:r>
      <w:r w:rsidR="006C28EA">
        <w:rPr>
          <w:rFonts w:hint="cs"/>
          <w:b w:val="0"/>
          <w:bCs w:val="0"/>
          <w:rtl/>
        </w:rPr>
        <w:t>.</w:t>
      </w:r>
      <w:r w:rsidR="009D6B4E" w:rsidRPr="006C28EA">
        <w:rPr>
          <w:rFonts w:hint="cs"/>
          <w:b w:val="0"/>
          <w:bCs w:val="0"/>
          <w:rtl/>
        </w:rPr>
        <w:tab/>
      </w:r>
      <w:r w:rsidR="00B3109B" w:rsidRPr="006C28EA">
        <w:rPr>
          <w:b w:val="0"/>
          <w:bCs w:val="0"/>
          <w:rtl/>
        </w:rPr>
        <w:t xml:space="preserve">يتكون </w:t>
      </w:r>
      <w:r w:rsidR="00B3109B" w:rsidRPr="0036451D">
        <w:rPr>
          <w:rFonts w:eastAsiaTheme="majorEastAsia"/>
          <w:b w:val="0"/>
          <w:bCs w:val="0"/>
          <w:rtl/>
        </w:rPr>
        <w:t>رأس</w:t>
      </w:r>
      <w:r w:rsidR="00B3109B" w:rsidRPr="006C28EA">
        <w:rPr>
          <w:b w:val="0"/>
          <w:bCs w:val="0"/>
          <w:rtl/>
        </w:rPr>
        <w:t xml:space="preserve"> المال في الشريحة الثانية من </w:t>
      </w:r>
      <w:r w:rsidR="00FA1555" w:rsidRPr="006C28EA">
        <w:rPr>
          <w:b w:val="0"/>
          <w:bCs w:val="0"/>
          <w:rtl/>
        </w:rPr>
        <w:t>مجموع البنود أدناه</w:t>
      </w:r>
      <w:r w:rsidR="0073314A" w:rsidRPr="006C28EA">
        <w:rPr>
          <w:rFonts w:hint="cs"/>
          <w:b w:val="0"/>
          <w:bCs w:val="0"/>
          <w:rtl/>
        </w:rPr>
        <w:t xml:space="preserve"> وذلك بعد </w:t>
      </w:r>
      <w:r w:rsidR="0073314A" w:rsidRPr="006C28EA">
        <w:rPr>
          <w:b w:val="0"/>
          <w:bCs w:val="0"/>
          <w:rtl/>
        </w:rPr>
        <w:t>التعديلات الرقابية</w:t>
      </w:r>
      <w:r w:rsidR="0073314A" w:rsidRPr="006C28EA">
        <w:rPr>
          <w:rFonts w:hint="cs"/>
          <w:b w:val="0"/>
          <w:bCs w:val="0"/>
          <w:rtl/>
        </w:rPr>
        <w:t xml:space="preserve"> (الطروحات)</w:t>
      </w:r>
      <w:r w:rsidR="0073314A" w:rsidRPr="006C28EA">
        <w:rPr>
          <w:b w:val="0"/>
          <w:bCs w:val="0"/>
          <w:rtl/>
        </w:rPr>
        <w:t xml:space="preserve"> المستخدمة في احتساب الشريحة الثانية </w:t>
      </w:r>
      <w:r w:rsidR="0073314A" w:rsidRPr="006C28EA">
        <w:rPr>
          <w:rFonts w:hint="cs"/>
          <w:b w:val="0"/>
          <w:bCs w:val="0"/>
          <w:rtl/>
        </w:rPr>
        <w:t>(</w:t>
      </w:r>
      <w:r w:rsidR="0073314A" w:rsidRPr="006C28EA">
        <w:rPr>
          <w:b w:val="0"/>
          <w:bCs w:val="0"/>
        </w:rPr>
        <w:t>Tier 2</w:t>
      </w:r>
      <w:r w:rsidR="0073314A" w:rsidRPr="006C28EA">
        <w:rPr>
          <w:rFonts w:hint="cs"/>
          <w:b w:val="0"/>
          <w:bCs w:val="0"/>
          <w:rtl/>
        </w:rPr>
        <w:t>)</w:t>
      </w:r>
      <w:r w:rsidR="00B3109B" w:rsidRPr="006C28EA">
        <w:rPr>
          <w:b w:val="0"/>
          <w:bCs w:val="0"/>
          <w:rtl/>
        </w:rPr>
        <w:t>:</w:t>
      </w:r>
    </w:p>
    <w:p w:rsidR="00B3109B" w:rsidRPr="006C28EA" w:rsidRDefault="00AF1543" w:rsidP="00E52119">
      <w:pPr>
        <w:ind w:left="2126" w:hanging="851"/>
        <w:rPr>
          <w:b w:val="0"/>
          <w:bCs w:val="0"/>
          <w:rtl/>
        </w:rPr>
      </w:pPr>
      <w:r w:rsidRPr="006C28EA">
        <w:rPr>
          <w:rFonts w:hint="cs"/>
          <w:b w:val="0"/>
          <w:bCs w:val="0"/>
          <w:rtl/>
        </w:rPr>
        <w:t>1.1.3</w:t>
      </w:r>
      <w:r w:rsidR="006C28EA">
        <w:rPr>
          <w:rFonts w:hint="cs"/>
          <w:b w:val="0"/>
          <w:bCs w:val="0"/>
          <w:rtl/>
        </w:rPr>
        <w:t>.</w:t>
      </w:r>
      <w:r w:rsidR="00B16566" w:rsidRPr="006C28EA">
        <w:rPr>
          <w:rFonts w:hint="cs"/>
          <w:b w:val="0"/>
          <w:bCs w:val="0"/>
          <w:rtl/>
        </w:rPr>
        <w:tab/>
      </w:r>
      <w:r w:rsidR="00B3109B" w:rsidRPr="006C28EA">
        <w:rPr>
          <w:b w:val="0"/>
          <w:bCs w:val="0"/>
          <w:rtl/>
        </w:rPr>
        <w:t>الأدوات الصادرة عن البنك والتي تحقق شروط الإدراج ضمن الشريحة الثانية ولا تكون مدرجة ضمن الشريحة الأولى من رأس المال.</w:t>
      </w:r>
    </w:p>
    <w:p w:rsidR="00B3109B" w:rsidRPr="006C28EA" w:rsidRDefault="00AF1543" w:rsidP="00E52119">
      <w:pPr>
        <w:ind w:left="2126" w:hanging="851"/>
        <w:rPr>
          <w:b w:val="0"/>
          <w:bCs w:val="0"/>
        </w:rPr>
      </w:pPr>
      <w:r w:rsidRPr="006C28EA">
        <w:rPr>
          <w:rFonts w:hint="cs"/>
          <w:b w:val="0"/>
          <w:bCs w:val="0"/>
          <w:rtl/>
        </w:rPr>
        <w:t>2.1.3</w:t>
      </w:r>
      <w:r w:rsidR="006C28EA">
        <w:rPr>
          <w:rFonts w:hint="cs"/>
          <w:b w:val="0"/>
          <w:bCs w:val="0"/>
          <w:rtl/>
        </w:rPr>
        <w:t>.</w:t>
      </w:r>
      <w:r w:rsidR="00B16566" w:rsidRPr="006C28EA">
        <w:rPr>
          <w:rFonts w:hint="cs"/>
          <w:b w:val="0"/>
          <w:bCs w:val="0"/>
          <w:rtl/>
        </w:rPr>
        <w:tab/>
      </w:r>
      <w:r w:rsidR="00E71A2E" w:rsidRPr="006C28EA">
        <w:rPr>
          <w:b w:val="0"/>
          <w:bCs w:val="0"/>
          <w:rtl/>
        </w:rPr>
        <w:t>علاوة</w:t>
      </w:r>
      <w:r w:rsidR="00E71A2E" w:rsidRPr="006C28EA">
        <w:rPr>
          <w:rFonts w:hint="cs"/>
          <w:b w:val="0"/>
          <w:bCs w:val="0"/>
          <w:rtl/>
        </w:rPr>
        <w:t xml:space="preserve"> (خصم) </w:t>
      </w:r>
      <w:r w:rsidR="00B3109B" w:rsidRPr="006C28EA">
        <w:rPr>
          <w:b w:val="0"/>
          <w:bCs w:val="0"/>
          <w:rtl/>
        </w:rPr>
        <w:t xml:space="preserve">الإصدار الناتج </w:t>
      </w:r>
      <w:r w:rsidR="00E71A2E" w:rsidRPr="006C28EA">
        <w:rPr>
          <w:rFonts w:hint="cs"/>
          <w:b w:val="0"/>
          <w:bCs w:val="0"/>
          <w:rtl/>
        </w:rPr>
        <w:t>عن</w:t>
      </w:r>
      <w:r w:rsidR="00B3109B" w:rsidRPr="006C28EA">
        <w:rPr>
          <w:b w:val="0"/>
          <w:bCs w:val="0"/>
          <w:rtl/>
        </w:rPr>
        <w:t xml:space="preserve"> اصدار أدوات </w:t>
      </w:r>
      <w:r w:rsidR="00B3109B" w:rsidRPr="006C28EA">
        <w:rPr>
          <w:rFonts w:hint="cs"/>
          <w:b w:val="0"/>
          <w:bCs w:val="0"/>
          <w:rtl/>
        </w:rPr>
        <w:t>مدرجة ضمن</w:t>
      </w:r>
      <w:r w:rsidR="00B3109B" w:rsidRPr="006C28EA">
        <w:rPr>
          <w:b w:val="0"/>
          <w:bCs w:val="0"/>
          <w:rtl/>
        </w:rPr>
        <w:t xml:space="preserve"> الشريحة الثانية </w:t>
      </w:r>
      <w:r w:rsidR="00E71A2E" w:rsidRPr="006C28EA">
        <w:rPr>
          <w:rFonts w:hint="cs"/>
          <w:b w:val="0"/>
          <w:bCs w:val="0"/>
          <w:rtl/>
        </w:rPr>
        <w:t>(</w:t>
      </w:r>
      <w:r w:rsidR="00E71A2E" w:rsidRPr="006C28EA">
        <w:rPr>
          <w:b w:val="0"/>
          <w:bCs w:val="0"/>
        </w:rPr>
        <w:t>Tier 2</w:t>
      </w:r>
      <w:r w:rsidR="00E71A2E" w:rsidRPr="006C28EA">
        <w:rPr>
          <w:rFonts w:hint="cs"/>
          <w:b w:val="0"/>
          <w:bCs w:val="0"/>
          <w:rtl/>
        </w:rPr>
        <w:t>)</w:t>
      </w:r>
      <w:r w:rsidR="00B3109B" w:rsidRPr="006C28EA">
        <w:rPr>
          <w:b w:val="0"/>
          <w:bCs w:val="0"/>
          <w:rtl/>
        </w:rPr>
        <w:t xml:space="preserve">. </w:t>
      </w:r>
    </w:p>
    <w:p w:rsidR="00B3109B" w:rsidRPr="00D026CE" w:rsidRDefault="00AF1543" w:rsidP="00E52119">
      <w:pPr>
        <w:ind w:left="2126" w:hanging="851"/>
        <w:rPr>
          <w:sz w:val="27"/>
          <w:szCs w:val="27"/>
          <w:rtl/>
        </w:rPr>
      </w:pPr>
      <w:r w:rsidRPr="006C28EA">
        <w:rPr>
          <w:rFonts w:hint="cs"/>
          <w:b w:val="0"/>
          <w:bCs w:val="0"/>
          <w:rtl/>
        </w:rPr>
        <w:t>3.1.3</w:t>
      </w:r>
      <w:r w:rsidR="006C28EA">
        <w:rPr>
          <w:rFonts w:hint="cs"/>
          <w:b w:val="0"/>
          <w:bCs w:val="0"/>
          <w:rtl/>
        </w:rPr>
        <w:t>.</w:t>
      </w:r>
      <w:r w:rsidR="00B16566" w:rsidRPr="006C28EA">
        <w:rPr>
          <w:rFonts w:hint="cs"/>
          <w:b w:val="0"/>
          <w:bCs w:val="0"/>
          <w:rtl/>
        </w:rPr>
        <w:tab/>
      </w:r>
      <w:r w:rsidR="00EA7606" w:rsidRPr="006C28EA">
        <w:rPr>
          <w:rFonts w:hint="cs"/>
          <w:b w:val="0"/>
          <w:bCs w:val="0"/>
          <w:rtl/>
        </w:rPr>
        <w:t xml:space="preserve">حقوق الأقلية وهي </w:t>
      </w:r>
      <w:r w:rsidR="00B3109B" w:rsidRPr="006C28EA">
        <w:rPr>
          <w:b w:val="0"/>
          <w:bCs w:val="0"/>
          <w:rtl/>
        </w:rPr>
        <w:t>الأدوات المالية الصادرة عن شركات تابعة توحد بياناتها مع البنك يملكها طرف ثالث وتحقق أسس الإدراج في الشريحة الثاني</w:t>
      </w:r>
      <w:r w:rsidR="00105440" w:rsidRPr="006C28EA">
        <w:rPr>
          <w:b w:val="0"/>
          <w:bCs w:val="0"/>
          <w:rtl/>
        </w:rPr>
        <w:t>ة وليست مدرجة في الشريحة الأولى</w:t>
      </w:r>
      <w:r w:rsidR="00105440" w:rsidRPr="00D026CE">
        <w:rPr>
          <w:rFonts w:hint="cs"/>
          <w:sz w:val="27"/>
          <w:szCs w:val="27"/>
          <w:rtl/>
        </w:rPr>
        <w:t>.</w:t>
      </w:r>
    </w:p>
    <w:p w:rsidR="00B3109B" w:rsidRPr="0036451D" w:rsidRDefault="00AF1543" w:rsidP="00E52119">
      <w:pPr>
        <w:ind w:left="2126" w:hanging="851"/>
        <w:rPr>
          <w:b w:val="0"/>
          <w:bCs w:val="0"/>
          <w:rtl/>
        </w:rPr>
      </w:pPr>
      <w:r w:rsidRPr="006C28EA">
        <w:rPr>
          <w:rFonts w:hint="cs"/>
          <w:b w:val="0"/>
          <w:bCs w:val="0"/>
          <w:rtl/>
        </w:rPr>
        <w:t>4.1.3</w:t>
      </w:r>
      <w:r w:rsidR="00776087">
        <w:rPr>
          <w:rFonts w:hint="cs"/>
          <w:b w:val="0"/>
          <w:bCs w:val="0"/>
          <w:rtl/>
        </w:rPr>
        <w:t>.</w:t>
      </w:r>
      <w:r w:rsidR="00B16566" w:rsidRPr="006C28EA">
        <w:rPr>
          <w:rFonts w:hint="cs"/>
          <w:b w:val="0"/>
          <w:bCs w:val="0"/>
          <w:rtl/>
        </w:rPr>
        <w:tab/>
      </w:r>
      <w:r w:rsidR="00222C45" w:rsidRPr="006C28EA">
        <w:rPr>
          <w:rFonts w:hint="cs"/>
          <w:b w:val="0"/>
          <w:bCs w:val="0"/>
          <w:rtl/>
        </w:rPr>
        <w:t xml:space="preserve">احتياطي مخاطر مصرفية عامة: </w:t>
      </w:r>
      <w:r w:rsidR="00431976" w:rsidRPr="006C28EA">
        <w:rPr>
          <w:rFonts w:hint="cs"/>
          <w:b w:val="0"/>
          <w:bCs w:val="0"/>
          <w:rtl/>
        </w:rPr>
        <w:t xml:space="preserve">وبما لا يزيد عن </w:t>
      </w:r>
      <w:r w:rsidR="00222C45" w:rsidRPr="006C28EA">
        <w:rPr>
          <w:rFonts w:hint="cs"/>
          <w:b w:val="0"/>
          <w:bCs w:val="0"/>
          <w:rtl/>
        </w:rPr>
        <w:t>(1.25%)</w:t>
      </w:r>
      <w:r w:rsidR="00222C45" w:rsidRPr="006C28EA">
        <w:rPr>
          <w:b w:val="0"/>
          <w:bCs w:val="0"/>
          <w:rtl/>
        </w:rPr>
        <w:t xml:space="preserve"> من مجموع الموجودات المرجحة لمخاطر</w:t>
      </w:r>
      <w:r w:rsidR="0073314A" w:rsidRPr="006C28EA">
        <w:rPr>
          <w:rFonts w:hint="cs"/>
          <w:b w:val="0"/>
          <w:bCs w:val="0"/>
          <w:rtl/>
        </w:rPr>
        <w:t xml:space="preserve"> الائتمان</w:t>
      </w:r>
      <w:r w:rsidR="00222C45" w:rsidRPr="006C28EA">
        <w:rPr>
          <w:b w:val="0"/>
          <w:bCs w:val="0"/>
          <w:rtl/>
        </w:rPr>
        <w:t xml:space="preserve"> المحتسبة ضمن الطريقة المعيارية</w:t>
      </w:r>
      <w:r w:rsidR="00222C45" w:rsidRPr="006C28EA">
        <w:rPr>
          <w:rFonts w:hint="cs"/>
          <w:b w:val="0"/>
          <w:bCs w:val="0"/>
          <w:rtl/>
        </w:rPr>
        <w:t>، علماً بأن أي مخصصات أو احتياطيات مقتطعة من قبل البنك لمواجهة خس</w:t>
      </w:r>
      <w:r w:rsidR="00431976" w:rsidRPr="006C28EA">
        <w:rPr>
          <w:rFonts w:hint="cs"/>
          <w:b w:val="0"/>
          <w:bCs w:val="0"/>
          <w:rtl/>
        </w:rPr>
        <w:t>ائر قد حصلت لا يتم الاعتراف بها</w:t>
      </w:r>
      <w:r w:rsidR="00431976" w:rsidRPr="00776087">
        <w:rPr>
          <w:rFonts w:hint="cs"/>
          <w:b w:val="0"/>
          <w:bCs w:val="0"/>
          <w:rtl/>
        </w:rPr>
        <w:t>.</w:t>
      </w:r>
    </w:p>
    <w:p w:rsidR="00B3109B" w:rsidRPr="00776087" w:rsidRDefault="00105440" w:rsidP="00E52119">
      <w:pPr>
        <w:ind w:left="1275" w:hanging="567"/>
        <w:rPr>
          <w:b w:val="0"/>
          <w:bCs w:val="0"/>
          <w:rtl/>
        </w:rPr>
      </w:pPr>
      <w:r w:rsidRPr="00776087">
        <w:rPr>
          <w:rFonts w:hint="cs"/>
          <w:b w:val="0"/>
          <w:bCs w:val="0"/>
          <w:rtl/>
        </w:rPr>
        <w:t>2.3</w:t>
      </w:r>
      <w:r w:rsidR="00776087">
        <w:rPr>
          <w:rFonts w:hint="cs"/>
          <w:b w:val="0"/>
          <w:bCs w:val="0"/>
          <w:rtl/>
        </w:rPr>
        <w:t>.</w:t>
      </w:r>
      <w:r w:rsidR="009D6B4E" w:rsidRPr="00776087">
        <w:rPr>
          <w:rFonts w:hint="cs"/>
          <w:b w:val="0"/>
          <w:bCs w:val="0"/>
          <w:rtl/>
        </w:rPr>
        <w:tab/>
      </w:r>
      <w:r w:rsidR="00B16566" w:rsidRPr="00776087">
        <w:rPr>
          <w:rFonts w:hint="cs"/>
          <w:b w:val="0"/>
          <w:bCs w:val="0"/>
          <w:rtl/>
        </w:rPr>
        <w:t>ا</w:t>
      </w:r>
      <w:r w:rsidR="00B3109B" w:rsidRPr="00776087">
        <w:rPr>
          <w:b w:val="0"/>
          <w:bCs w:val="0"/>
          <w:rtl/>
        </w:rPr>
        <w:t>لأدوات</w:t>
      </w:r>
      <w:r w:rsidR="00B3109B" w:rsidRPr="00776087">
        <w:rPr>
          <w:b w:val="0"/>
          <w:bCs w:val="0"/>
        </w:rPr>
        <w:t xml:space="preserve"> </w:t>
      </w:r>
      <w:r w:rsidR="00B3109B" w:rsidRPr="00776087">
        <w:rPr>
          <w:b w:val="0"/>
          <w:bCs w:val="0"/>
          <w:rtl/>
        </w:rPr>
        <w:t xml:space="preserve">المالية </w:t>
      </w:r>
      <w:r w:rsidR="00B3109B" w:rsidRPr="0036451D">
        <w:rPr>
          <w:rFonts w:eastAsiaTheme="majorEastAsia" w:hint="cs"/>
          <w:b w:val="0"/>
          <w:bCs w:val="0"/>
          <w:rtl/>
        </w:rPr>
        <w:t>الصادرة</w:t>
      </w:r>
      <w:r w:rsidR="00B3109B" w:rsidRPr="00776087">
        <w:rPr>
          <w:rFonts w:hint="cs"/>
          <w:b w:val="0"/>
          <w:bCs w:val="0"/>
          <w:rtl/>
        </w:rPr>
        <w:t xml:space="preserve"> عن</w:t>
      </w:r>
      <w:r w:rsidR="00B3109B" w:rsidRPr="00776087">
        <w:rPr>
          <w:b w:val="0"/>
          <w:bCs w:val="0"/>
          <w:rtl/>
        </w:rPr>
        <w:t xml:space="preserve"> البنك </w:t>
      </w:r>
      <w:r w:rsidR="00E71A2E" w:rsidRPr="00776087">
        <w:rPr>
          <w:rFonts w:hint="cs"/>
          <w:b w:val="0"/>
          <w:bCs w:val="0"/>
          <w:rtl/>
        </w:rPr>
        <w:t>والتي تحقق</w:t>
      </w:r>
      <w:r w:rsidR="00B3109B" w:rsidRPr="00776087">
        <w:rPr>
          <w:b w:val="0"/>
          <w:bCs w:val="0"/>
          <w:rtl/>
        </w:rPr>
        <w:t xml:space="preserve"> معايير </w:t>
      </w:r>
      <w:r w:rsidR="00E71A2E" w:rsidRPr="00776087">
        <w:rPr>
          <w:rFonts w:hint="cs"/>
          <w:b w:val="0"/>
          <w:bCs w:val="0"/>
          <w:rtl/>
        </w:rPr>
        <w:t>الإدراج في</w:t>
      </w:r>
      <w:r w:rsidRPr="00776087">
        <w:rPr>
          <w:rFonts w:hint="cs"/>
          <w:b w:val="0"/>
          <w:bCs w:val="0"/>
          <w:rtl/>
        </w:rPr>
        <w:t xml:space="preserve"> </w:t>
      </w:r>
      <w:r w:rsidR="00B3109B" w:rsidRPr="00776087">
        <w:rPr>
          <w:b w:val="0"/>
          <w:bCs w:val="0"/>
          <w:rtl/>
        </w:rPr>
        <w:t xml:space="preserve">الشريحة الثانية </w:t>
      </w:r>
      <w:r w:rsidR="00B16566" w:rsidRPr="00776087">
        <w:rPr>
          <w:rFonts w:hint="cs"/>
          <w:b w:val="0"/>
          <w:bCs w:val="0"/>
          <w:rtl/>
        </w:rPr>
        <w:t>(</w:t>
      </w:r>
      <w:r w:rsidR="00B16566" w:rsidRPr="00776087">
        <w:rPr>
          <w:b w:val="0"/>
          <w:bCs w:val="0"/>
        </w:rPr>
        <w:t>Tier2</w:t>
      </w:r>
      <w:r w:rsidR="00B16566" w:rsidRPr="00776087">
        <w:rPr>
          <w:rFonts w:hint="cs"/>
          <w:b w:val="0"/>
          <w:bCs w:val="0"/>
          <w:rtl/>
        </w:rPr>
        <w:t>)</w:t>
      </w:r>
      <w:r w:rsidR="00577D67" w:rsidRPr="00776087">
        <w:rPr>
          <w:rFonts w:hint="cs"/>
          <w:b w:val="0"/>
          <w:bCs w:val="0"/>
          <w:rtl/>
        </w:rPr>
        <w:t>:</w:t>
      </w:r>
    </w:p>
    <w:p w:rsidR="00B3109B" w:rsidRPr="00776087" w:rsidRDefault="00B3109B" w:rsidP="00E52119">
      <w:pPr>
        <w:pStyle w:val="ListParagraph"/>
        <w:spacing w:line="276" w:lineRule="auto"/>
        <w:ind w:left="1275"/>
        <w:rPr>
          <w:b w:val="0"/>
          <w:bCs w:val="0"/>
          <w:rtl/>
        </w:rPr>
      </w:pPr>
      <w:r w:rsidRPr="00776087">
        <w:rPr>
          <w:b w:val="0"/>
          <w:bCs w:val="0"/>
          <w:rtl/>
        </w:rPr>
        <w:t xml:space="preserve">إن الهدف من الشريحة الثانية هو </w:t>
      </w:r>
      <w:r w:rsidR="00EA7606" w:rsidRPr="00776087">
        <w:rPr>
          <w:rFonts w:hint="cs"/>
          <w:b w:val="0"/>
          <w:bCs w:val="0"/>
          <w:rtl/>
        </w:rPr>
        <w:t>توفر أدوات رأسمالية</w:t>
      </w:r>
      <w:r w:rsidRPr="00776087">
        <w:rPr>
          <w:b w:val="0"/>
          <w:bCs w:val="0"/>
          <w:rtl/>
        </w:rPr>
        <w:t xml:space="preserve"> </w:t>
      </w:r>
      <w:r w:rsidR="00EA7606" w:rsidRPr="00776087">
        <w:rPr>
          <w:rFonts w:hint="cs"/>
          <w:b w:val="0"/>
          <w:bCs w:val="0"/>
          <w:rtl/>
        </w:rPr>
        <w:t>ل</w:t>
      </w:r>
      <w:r w:rsidRPr="00776087">
        <w:rPr>
          <w:b w:val="0"/>
          <w:bCs w:val="0"/>
          <w:rtl/>
        </w:rPr>
        <w:t xml:space="preserve">امتصاص الخسائر </w:t>
      </w:r>
      <w:r w:rsidRPr="00776087">
        <w:rPr>
          <w:rFonts w:hint="cs"/>
          <w:b w:val="0"/>
          <w:bCs w:val="0"/>
          <w:rtl/>
        </w:rPr>
        <w:t xml:space="preserve">على </w:t>
      </w:r>
      <w:r w:rsidR="005A686A" w:rsidRPr="00776087">
        <w:rPr>
          <w:rFonts w:hint="cs"/>
          <w:b w:val="0"/>
          <w:bCs w:val="0"/>
          <w:rtl/>
        </w:rPr>
        <w:t>أساس</w:t>
      </w:r>
      <w:r w:rsidR="00E71A2E" w:rsidRPr="00776087">
        <w:rPr>
          <w:rFonts w:hint="cs"/>
          <w:b w:val="0"/>
          <w:bCs w:val="0"/>
          <w:rtl/>
        </w:rPr>
        <w:t xml:space="preserve"> عدم</w:t>
      </w:r>
      <w:r w:rsidRPr="00776087">
        <w:rPr>
          <w:b w:val="0"/>
          <w:bCs w:val="0"/>
          <w:rtl/>
        </w:rPr>
        <w:t xml:space="preserve"> </w:t>
      </w:r>
      <w:r w:rsidRPr="00776087">
        <w:rPr>
          <w:rFonts w:hint="cs"/>
          <w:b w:val="0"/>
          <w:bCs w:val="0"/>
          <w:rtl/>
        </w:rPr>
        <w:t>استمرارية</w:t>
      </w:r>
      <w:r w:rsidRPr="00776087">
        <w:rPr>
          <w:b w:val="0"/>
          <w:bCs w:val="0"/>
          <w:rtl/>
        </w:rPr>
        <w:t xml:space="preserve"> عمل البنك</w:t>
      </w:r>
      <w:r w:rsidR="00EA7606" w:rsidRPr="00776087">
        <w:rPr>
          <w:rFonts w:hint="cs"/>
          <w:b w:val="0"/>
          <w:bCs w:val="0"/>
          <w:rtl/>
        </w:rPr>
        <w:t xml:space="preserve"> (</w:t>
      </w:r>
      <w:r w:rsidR="00552760" w:rsidRPr="00776087">
        <w:rPr>
          <w:b w:val="0"/>
          <w:bCs w:val="0"/>
        </w:rPr>
        <w:t xml:space="preserve">Gone </w:t>
      </w:r>
      <w:r w:rsidR="00A41D37" w:rsidRPr="00776087">
        <w:rPr>
          <w:b w:val="0"/>
          <w:bCs w:val="0"/>
        </w:rPr>
        <w:t>C</w:t>
      </w:r>
      <w:r w:rsidR="00552760" w:rsidRPr="00776087">
        <w:rPr>
          <w:b w:val="0"/>
          <w:bCs w:val="0"/>
        </w:rPr>
        <w:t>oncern</w:t>
      </w:r>
      <w:r w:rsidR="00EA7606" w:rsidRPr="00776087">
        <w:rPr>
          <w:rFonts w:hint="cs"/>
          <w:b w:val="0"/>
          <w:bCs w:val="0"/>
          <w:rtl/>
        </w:rPr>
        <w:t>)</w:t>
      </w:r>
      <w:r w:rsidRPr="00776087">
        <w:rPr>
          <w:b w:val="0"/>
          <w:bCs w:val="0"/>
          <w:rtl/>
        </w:rPr>
        <w:t xml:space="preserve">، </w:t>
      </w:r>
      <w:r w:rsidR="00105440" w:rsidRPr="00776087">
        <w:rPr>
          <w:rFonts w:hint="cs"/>
          <w:b w:val="0"/>
          <w:bCs w:val="0"/>
          <w:rtl/>
        </w:rPr>
        <w:t xml:space="preserve">وحتى يتم اعتبار أي أداة ضمن </w:t>
      </w:r>
      <w:r w:rsidR="00E71A2E" w:rsidRPr="00776087">
        <w:rPr>
          <w:b w:val="0"/>
          <w:bCs w:val="0"/>
          <w:rtl/>
        </w:rPr>
        <w:t>الشريحة الثانية</w:t>
      </w:r>
      <w:r w:rsidR="00105440" w:rsidRPr="00776087">
        <w:rPr>
          <w:rFonts w:hint="cs"/>
          <w:b w:val="0"/>
          <w:bCs w:val="0"/>
          <w:rtl/>
        </w:rPr>
        <w:t xml:space="preserve"> يجب أن تحقق الحد الأدنى من المعايير التالية</w:t>
      </w:r>
      <w:r w:rsidR="00E71A2E" w:rsidRPr="00776087">
        <w:rPr>
          <w:rFonts w:hint="cs"/>
          <w:b w:val="0"/>
          <w:bCs w:val="0"/>
          <w:rtl/>
        </w:rPr>
        <w:t xml:space="preserve">: </w:t>
      </w:r>
    </w:p>
    <w:p w:rsidR="00B3109B" w:rsidRPr="00776087" w:rsidRDefault="00AF1543" w:rsidP="00E52119">
      <w:pPr>
        <w:ind w:left="2126" w:hanging="851"/>
        <w:rPr>
          <w:b w:val="0"/>
          <w:bCs w:val="0"/>
          <w:rtl/>
        </w:rPr>
      </w:pPr>
      <w:r w:rsidRPr="00776087">
        <w:rPr>
          <w:rFonts w:hint="cs"/>
          <w:b w:val="0"/>
          <w:bCs w:val="0"/>
          <w:rtl/>
        </w:rPr>
        <w:t>1.2.3</w:t>
      </w:r>
      <w:r w:rsidR="00776087">
        <w:rPr>
          <w:rFonts w:hint="cs"/>
          <w:b w:val="0"/>
          <w:bCs w:val="0"/>
          <w:rtl/>
        </w:rPr>
        <w:t>.</w:t>
      </w:r>
      <w:r w:rsidR="005A686A" w:rsidRPr="00776087">
        <w:rPr>
          <w:rFonts w:hint="cs"/>
          <w:b w:val="0"/>
          <w:bCs w:val="0"/>
          <w:rtl/>
        </w:rPr>
        <w:tab/>
      </w:r>
      <w:r w:rsidR="00E71A2E" w:rsidRPr="00776087">
        <w:rPr>
          <w:rFonts w:hint="cs"/>
          <w:b w:val="0"/>
          <w:bCs w:val="0"/>
          <w:rtl/>
        </w:rPr>
        <w:t>صادرة ومدفوعة بالكامل</w:t>
      </w:r>
      <w:r w:rsidR="00B3109B" w:rsidRPr="00776087">
        <w:rPr>
          <w:b w:val="0"/>
          <w:bCs w:val="0"/>
          <w:rtl/>
        </w:rPr>
        <w:t>.</w:t>
      </w:r>
    </w:p>
    <w:p w:rsidR="00B3109B" w:rsidRPr="00776087" w:rsidRDefault="00AF1543" w:rsidP="00E52119">
      <w:pPr>
        <w:ind w:left="2126" w:hanging="851"/>
        <w:rPr>
          <w:b w:val="0"/>
          <w:bCs w:val="0"/>
        </w:rPr>
      </w:pPr>
      <w:r w:rsidRPr="00776087">
        <w:rPr>
          <w:rFonts w:hint="cs"/>
          <w:b w:val="0"/>
          <w:bCs w:val="0"/>
          <w:rtl/>
        </w:rPr>
        <w:t>2.2.3</w:t>
      </w:r>
      <w:r w:rsidR="00776087">
        <w:rPr>
          <w:rFonts w:hint="cs"/>
          <w:b w:val="0"/>
          <w:bCs w:val="0"/>
          <w:rtl/>
        </w:rPr>
        <w:t>.</w:t>
      </w:r>
      <w:r w:rsidR="005A686A" w:rsidRPr="00776087">
        <w:rPr>
          <w:rFonts w:hint="cs"/>
          <w:b w:val="0"/>
          <w:bCs w:val="0"/>
          <w:rtl/>
        </w:rPr>
        <w:tab/>
      </w:r>
      <w:r w:rsidR="00B3109B" w:rsidRPr="00776087">
        <w:rPr>
          <w:b w:val="0"/>
          <w:bCs w:val="0"/>
          <w:rtl/>
        </w:rPr>
        <w:t xml:space="preserve">ان لا </w:t>
      </w:r>
      <w:r w:rsidR="00552760" w:rsidRPr="00776087">
        <w:rPr>
          <w:rFonts w:hint="cs"/>
          <w:b w:val="0"/>
          <w:bCs w:val="0"/>
          <w:rtl/>
        </w:rPr>
        <w:t>ي</w:t>
      </w:r>
      <w:r w:rsidR="00552760" w:rsidRPr="00776087">
        <w:rPr>
          <w:b w:val="0"/>
          <w:bCs w:val="0"/>
          <w:rtl/>
        </w:rPr>
        <w:t xml:space="preserve">كون للأداة المالية </w:t>
      </w:r>
      <w:r w:rsidR="00552760" w:rsidRPr="00776087">
        <w:rPr>
          <w:rFonts w:hint="cs"/>
          <w:b w:val="0"/>
          <w:bCs w:val="0"/>
          <w:rtl/>
        </w:rPr>
        <w:t>أ</w:t>
      </w:r>
      <w:r w:rsidR="00B3109B" w:rsidRPr="00776087">
        <w:rPr>
          <w:b w:val="0"/>
          <w:bCs w:val="0"/>
          <w:rtl/>
        </w:rPr>
        <w:t xml:space="preserve">ولوية في المطالبة </w:t>
      </w:r>
      <w:r w:rsidR="00552760" w:rsidRPr="00776087">
        <w:rPr>
          <w:b w:val="0"/>
          <w:bCs w:val="0"/>
          <w:rtl/>
        </w:rPr>
        <w:t>على أموال المودعين والدائنين ال</w:t>
      </w:r>
      <w:r w:rsidR="00552760" w:rsidRPr="00776087">
        <w:rPr>
          <w:rFonts w:hint="cs"/>
          <w:b w:val="0"/>
          <w:bCs w:val="0"/>
          <w:rtl/>
        </w:rPr>
        <w:t>آ</w:t>
      </w:r>
      <w:r w:rsidR="00B3109B" w:rsidRPr="00776087">
        <w:rPr>
          <w:b w:val="0"/>
          <w:bCs w:val="0"/>
          <w:rtl/>
        </w:rPr>
        <w:t>خرين للبنك.</w:t>
      </w:r>
    </w:p>
    <w:p w:rsidR="00B3109B" w:rsidRDefault="00AF1543" w:rsidP="00E46D20">
      <w:pPr>
        <w:ind w:left="2126" w:hanging="851"/>
        <w:rPr>
          <w:b w:val="0"/>
          <w:bCs w:val="0"/>
          <w:rtl/>
        </w:rPr>
      </w:pPr>
      <w:r w:rsidRPr="00776087">
        <w:rPr>
          <w:rFonts w:hint="cs"/>
          <w:b w:val="0"/>
          <w:bCs w:val="0"/>
          <w:rtl/>
        </w:rPr>
        <w:t>3.2.3</w:t>
      </w:r>
      <w:r w:rsidR="00776087">
        <w:rPr>
          <w:rFonts w:hint="cs"/>
          <w:b w:val="0"/>
          <w:bCs w:val="0"/>
          <w:rtl/>
        </w:rPr>
        <w:t>.</w:t>
      </w:r>
      <w:r w:rsidR="00FA1555" w:rsidRPr="00776087">
        <w:rPr>
          <w:rFonts w:hint="cs"/>
          <w:b w:val="0"/>
          <w:bCs w:val="0"/>
          <w:rtl/>
        </w:rPr>
        <w:tab/>
      </w:r>
      <w:r w:rsidR="00B3109B" w:rsidRPr="00776087">
        <w:rPr>
          <w:b w:val="0"/>
          <w:bCs w:val="0"/>
          <w:rtl/>
        </w:rPr>
        <w:t>ان لا تكون الأداة المالية مضمونة أو مغطاة بكفالة من الم</w:t>
      </w:r>
      <w:r w:rsidR="004F542D" w:rsidRPr="00776087">
        <w:rPr>
          <w:rFonts w:hint="cs"/>
          <w:b w:val="0"/>
          <w:bCs w:val="0"/>
          <w:rtl/>
        </w:rPr>
        <w:t>ُ</w:t>
      </w:r>
      <w:r w:rsidR="00B3109B" w:rsidRPr="00776087">
        <w:rPr>
          <w:b w:val="0"/>
          <w:bCs w:val="0"/>
          <w:rtl/>
        </w:rPr>
        <w:t>صدر او اي جهة ذات علاقة به، وألا تخضع</w:t>
      </w:r>
      <w:r w:rsidR="006959A7" w:rsidRPr="00776087">
        <w:rPr>
          <w:b w:val="0"/>
          <w:bCs w:val="0"/>
          <w:rtl/>
        </w:rPr>
        <w:t xml:space="preserve"> لأي ترتيبات يمكن ان تعزز درجة </w:t>
      </w:r>
      <w:r w:rsidR="006959A7" w:rsidRPr="00776087">
        <w:rPr>
          <w:rFonts w:hint="cs"/>
          <w:b w:val="0"/>
          <w:bCs w:val="0"/>
          <w:rtl/>
        </w:rPr>
        <w:t>أ</w:t>
      </w:r>
      <w:r w:rsidR="00B3109B" w:rsidRPr="00776087">
        <w:rPr>
          <w:b w:val="0"/>
          <w:bCs w:val="0"/>
          <w:rtl/>
        </w:rPr>
        <w:t>ولويتها اقتصاديا أو قانونيا مقارنة</w:t>
      </w:r>
      <w:r w:rsidR="00105440" w:rsidRPr="00776087">
        <w:rPr>
          <w:rFonts w:hint="cs"/>
          <w:b w:val="0"/>
          <w:bCs w:val="0"/>
          <w:rtl/>
        </w:rPr>
        <w:t xml:space="preserve"> </w:t>
      </w:r>
      <w:r w:rsidR="00105440" w:rsidRPr="00776087">
        <w:rPr>
          <w:b w:val="0"/>
          <w:bCs w:val="0"/>
          <w:rtl/>
        </w:rPr>
        <w:t>بحقوق المودعين أو الدائنين ال</w:t>
      </w:r>
      <w:r w:rsidR="00105440" w:rsidRPr="00776087">
        <w:rPr>
          <w:rFonts w:hint="cs"/>
          <w:b w:val="0"/>
          <w:bCs w:val="0"/>
          <w:rtl/>
        </w:rPr>
        <w:t>آ</w:t>
      </w:r>
      <w:r w:rsidR="00B3109B" w:rsidRPr="00776087">
        <w:rPr>
          <w:b w:val="0"/>
          <w:bCs w:val="0"/>
          <w:rtl/>
        </w:rPr>
        <w:t>خرين للبنك</w:t>
      </w:r>
      <w:r w:rsidR="00B3109B" w:rsidRPr="00776087">
        <w:rPr>
          <w:rFonts w:hint="cs"/>
          <w:b w:val="0"/>
          <w:bCs w:val="0"/>
          <w:rtl/>
        </w:rPr>
        <w:t>.</w:t>
      </w:r>
    </w:p>
    <w:p w:rsidR="00D853A5" w:rsidRPr="00776087" w:rsidRDefault="00D853A5" w:rsidP="00E46D20">
      <w:pPr>
        <w:ind w:left="2126" w:hanging="851"/>
        <w:rPr>
          <w:b w:val="0"/>
          <w:bCs w:val="0"/>
          <w:rtl/>
        </w:rPr>
      </w:pPr>
    </w:p>
    <w:p w:rsidR="00B3109B" w:rsidRPr="00776087" w:rsidRDefault="00AF1543" w:rsidP="00E52119">
      <w:pPr>
        <w:spacing w:after="0"/>
        <w:ind w:left="2126" w:hanging="851"/>
        <w:rPr>
          <w:b w:val="0"/>
          <w:bCs w:val="0"/>
        </w:rPr>
      </w:pPr>
      <w:r w:rsidRPr="00776087">
        <w:rPr>
          <w:rFonts w:hint="cs"/>
          <w:b w:val="0"/>
          <w:bCs w:val="0"/>
          <w:rtl/>
        </w:rPr>
        <w:lastRenderedPageBreak/>
        <w:t>4.2.3</w:t>
      </w:r>
      <w:r w:rsidR="00776087">
        <w:rPr>
          <w:rFonts w:hint="cs"/>
          <w:b w:val="0"/>
          <w:bCs w:val="0"/>
          <w:rtl/>
        </w:rPr>
        <w:t>.</w:t>
      </w:r>
      <w:r w:rsidR="005A686A" w:rsidRPr="00776087">
        <w:rPr>
          <w:rFonts w:hint="cs"/>
          <w:b w:val="0"/>
          <w:bCs w:val="0"/>
          <w:rtl/>
        </w:rPr>
        <w:tab/>
      </w:r>
      <w:r w:rsidR="00E52119">
        <w:rPr>
          <w:b w:val="0"/>
          <w:bCs w:val="0"/>
          <w:rtl/>
        </w:rPr>
        <w:t>ال</w:t>
      </w:r>
      <w:r w:rsidR="00E52119">
        <w:rPr>
          <w:rFonts w:hint="cs"/>
          <w:b w:val="0"/>
          <w:bCs w:val="0"/>
          <w:rtl/>
        </w:rPr>
        <w:t>ا</w:t>
      </w:r>
      <w:r w:rsidR="00B3109B" w:rsidRPr="00776087">
        <w:rPr>
          <w:b w:val="0"/>
          <w:bCs w:val="0"/>
          <w:rtl/>
        </w:rPr>
        <w:t>ستحقاق:</w:t>
      </w:r>
    </w:p>
    <w:p w:rsidR="00776087" w:rsidRPr="00776087" w:rsidRDefault="00B3109B" w:rsidP="00E52119">
      <w:pPr>
        <w:pStyle w:val="ListParagraph"/>
        <w:numPr>
          <w:ilvl w:val="0"/>
          <w:numId w:val="29"/>
        </w:numPr>
        <w:ind w:left="2409" w:hanging="425"/>
        <w:rPr>
          <w:b w:val="0"/>
          <w:bCs w:val="0"/>
        </w:rPr>
      </w:pPr>
      <w:r w:rsidRPr="00776087">
        <w:rPr>
          <w:rFonts w:hint="cs"/>
          <w:b w:val="0"/>
          <w:bCs w:val="0"/>
          <w:rtl/>
        </w:rPr>
        <w:t>أن</w:t>
      </w:r>
      <w:r w:rsidRPr="00776087">
        <w:rPr>
          <w:b w:val="0"/>
          <w:bCs w:val="0"/>
          <w:rtl/>
        </w:rPr>
        <w:t xml:space="preserve"> لا يقل استحقاقها الأصلي عن خمس سنوات؛</w:t>
      </w:r>
    </w:p>
    <w:p w:rsidR="00231B04" w:rsidRPr="00DC20B9" w:rsidRDefault="00B3109B" w:rsidP="00D853A5">
      <w:pPr>
        <w:pStyle w:val="ListParagraph"/>
        <w:numPr>
          <w:ilvl w:val="0"/>
          <w:numId w:val="29"/>
        </w:numPr>
        <w:ind w:left="2409" w:hanging="425"/>
        <w:rPr>
          <w:b w:val="0"/>
          <w:bCs w:val="0"/>
          <w:rtl/>
        </w:rPr>
      </w:pPr>
      <w:r w:rsidRPr="00776087">
        <w:rPr>
          <w:b w:val="0"/>
          <w:bCs w:val="0"/>
          <w:rtl/>
        </w:rPr>
        <w:t xml:space="preserve">يخضع الجزء المعترف به </w:t>
      </w:r>
      <w:r w:rsidR="00E46D20">
        <w:rPr>
          <w:rFonts w:hint="cs"/>
          <w:b w:val="0"/>
          <w:bCs w:val="0"/>
          <w:rtl/>
        </w:rPr>
        <w:t xml:space="preserve">ضمن </w:t>
      </w:r>
      <w:r w:rsidRPr="00776087">
        <w:rPr>
          <w:b w:val="0"/>
          <w:bCs w:val="0"/>
          <w:rtl/>
        </w:rPr>
        <w:t xml:space="preserve">رأس المال خلال السنوات الخمس المتبقية من عمر الأداة المالية لنسب </w:t>
      </w:r>
      <w:r w:rsidR="00776087" w:rsidRPr="00776087">
        <w:rPr>
          <w:rFonts w:hint="cs"/>
          <w:b w:val="0"/>
          <w:bCs w:val="0"/>
          <w:rtl/>
        </w:rPr>
        <w:t>إطفاء</w:t>
      </w:r>
      <w:r w:rsidRPr="00776087">
        <w:rPr>
          <w:b w:val="0"/>
          <w:bCs w:val="0"/>
          <w:rtl/>
        </w:rPr>
        <w:t xml:space="preserve"> وفق</w:t>
      </w:r>
      <w:r w:rsidR="00105440" w:rsidRPr="00776087">
        <w:rPr>
          <w:rFonts w:hint="cs"/>
          <w:b w:val="0"/>
          <w:bCs w:val="0"/>
          <w:rtl/>
        </w:rPr>
        <w:t>اً</w:t>
      </w:r>
      <w:r w:rsidRPr="00776087">
        <w:rPr>
          <w:b w:val="0"/>
          <w:bCs w:val="0"/>
          <w:rtl/>
        </w:rPr>
        <w:t xml:space="preserve"> </w:t>
      </w:r>
      <w:r w:rsidR="00105440" w:rsidRPr="00776087">
        <w:rPr>
          <w:rFonts w:hint="cs"/>
          <w:b w:val="0"/>
          <w:bCs w:val="0"/>
          <w:rtl/>
        </w:rPr>
        <w:t>ل</w:t>
      </w:r>
      <w:r w:rsidR="00EA7606" w:rsidRPr="00776087">
        <w:rPr>
          <w:rFonts w:hint="cs"/>
          <w:b w:val="0"/>
          <w:bCs w:val="0"/>
          <w:rtl/>
        </w:rPr>
        <w:t xml:space="preserve">ما يلي: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6"/>
        <w:gridCol w:w="1602"/>
      </w:tblGrid>
      <w:tr w:rsidR="00EA7606" w:rsidTr="00231B04">
        <w:trPr>
          <w:cantSplit/>
          <w:trHeight w:hRule="exact" w:val="432"/>
          <w:jc w:val="center"/>
        </w:trPr>
        <w:tc>
          <w:tcPr>
            <w:tcW w:w="0" w:type="auto"/>
            <w:shd w:val="clear" w:color="auto" w:fill="D9D9D9"/>
            <w:vAlign w:val="bottom"/>
          </w:tcPr>
          <w:p w:rsidR="00EA7606" w:rsidRPr="00776087" w:rsidRDefault="00EA7606" w:rsidP="00776087">
            <w:pPr>
              <w:pStyle w:val="BlockText"/>
              <w:ind w:left="0" w:firstLine="0"/>
              <w:jc w:val="center"/>
              <w:rPr>
                <w:rFonts w:cs="Simplified Arabic"/>
                <w:b/>
                <w:bCs/>
                <w:sz w:val="24"/>
                <w:szCs w:val="24"/>
                <w:rtl/>
              </w:rPr>
            </w:pPr>
            <w:r w:rsidRPr="00776087">
              <w:rPr>
                <w:rFonts w:cs="Simplified Arabic" w:hint="cs"/>
                <w:b/>
                <w:bCs/>
                <w:sz w:val="24"/>
                <w:szCs w:val="24"/>
                <w:rtl/>
              </w:rPr>
              <w:t>الفترة المتبقية للاستحقاق</w:t>
            </w:r>
          </w:p>
        </w:tc>
        <w:tc>
          <w:tcPr>
            <w:tcW w:w="1602" w:type="dxa"/>
            <w:shd w:val="clear" w:color="auto" w:fill="D9D9D9"/>
            <w:vAlign w:val="bottom"/>
          </w:tcPr>
          <w:p w:rsidR="00EA7606" w:rsidRPr="00776087" w:rsidRDefault="00EA7606" w:rsidP="00776087">
            <w:pPr>
              <w:pStyle w:val="BlockText"/>
              <w:ind w:left="0" w:firstLine="0"/>
              <w:jc w:val="center"/>
              <w:rPr>
                <w:rFonts w:cs="Simplified Arabic"/>
                <w:b/>
                <w:bCs/>
                <w:sz w:val="24"/>
                <w:szCs w:val="24"/>
                <w:rtl/>
              </w:rPr>
            </w:pPr>
            <w:r w:rsidRPr="00776087">
              <w:rPr>
                <w:rFonts w:cs="Simplified Arabic" w:hint="cs"/>
                <w:b/>
                <w:bCs/>
                <w:sz w:val="24"/>
                <w:szCs w:val="24"/>
                <w:rtl/>
              </w:rPr>
              <w:t>الوزن</w:t>
            </w:r>
          </w:p>
        </w:tc>
      </w:tr>
      <w:tr w:rsidR="00EA7606" w:rsidTr="00231B04">
        <w:trPr>
          <w:cantSplit/>
          <w:trHeight w:hRule="exact" w:val="432"/>
          <w:jc w:val="center"/>
        </w:trPr>
        <w:tc>
          <w:tcPr>
            <w:tcW w:w="0" w:type="auto"/>
            <w:vAlign w:val="center"/>
          </w:tcPr>
          <w:p w:rsidR="00EA7606" w:rsidRPr="00776087" w:rsidRDefault="00EA7606" w:rsidP="00776087">
            <w:pPr>
              <w:pStyle w:val="BlockText"/>
              <w:ind w:left="0" w:right="179" w:firstLine="0"/>
              <w:jc w:val="left"/>
              <w:rPr>
                <w:rFonts w:cs="Simplified Arabic"/>
                <w:sz w:val="24"/>
                <w:szCs w:val="24"/>
              </w:rPr>
            </w:pPr>
            <w:r w:rsidRPr="00776087">
              <w:rPr>
                <w:rFonts w:cs="Simplified Arabic" w:hint="cs"/>
                <w:sz w:val="24"/>
                <w:szCs w:val="24"/>
                <w:rtl/>
              </w:rPr>
              <w:t>سنة أو أقل</w:t>
            </w:r>
          </w:p>
        </w:tc>
        <w:tc>
          <w:tcPr>
            <w:tcW w:w="1602" w:type="dxa"/>
            <w:vAlign w:val="center"/>
          </w:tcPr>
          <w:p w:rsidR="00EA7606" w:rsidRPr="00776087" w:rsidRDefault="00EA7606" w:rsidP="00776087">
            <w:pPr>
              <w:pStyle w:val="BlockText"/>
              <w:ind w:left="0" w:firstLine="0"/>
              <w:jc w:val="center"/>
              <w:rPr>
                <w:rFonts w:cs="Simplified Arabic"/>
                <w:sz w:val="24"/>
                <w:szCs w:val="24"/>
              </w:rPr>
            </w:pPr>
            <w:r w:rsidRPr="00776087">
              <w:rPr>
                <w:rFonts w:cs="Simplified Arabic" w:hint="cs"/>
                <w:sz w:val="24"/>
                <w:szCs w:val="24"/>
                <w:rtl/>
              </w:rPr>
              <w:t>صفر %</w:t>
            </w:r>
          </w:p>
        </w:tc>
      </w:tr>
      <w:tr w:rsidR="00EA7606" w:rsidTr="00231B04">
        <w:trPr>
          <w:cantSplit/>
          <w:trHeight w:hRule="exact" w:val="432"/>
          <w:jc w:val="center"/>
        </w:trPr>
        <w:tc>
          <w:tcPr>
            <w:tcW w:w="0" w:type="auto"/>
            <w:vAlign w:val="center"/>
          </w:tcPr>
          <w:p w:rsidR="00EA7606" w:rsidRPr="00776087" w:rsidRDefault="00EA7606" w:rsidP="00776087">
            <w:pPr>
              <w:pStyle w:val="BlockText"/>
              <w:ind w:left="0" w:right="179" w:firstLine="0"/>
              <w:jc w:val="left"/>
              <w:rPr>
                <w:rFonts w:cs="Simplified Arabic"/>
                <w:sz w:val="24"/>
                <w:szCs w:val="24"/>
              </w:rPr>
            </w:pPr>
            <w:r w:rsidRPr="00776087">
              <w:rPr>
                <w:rFonts w:cs="Simplified Arabic" w:hint="cs"/>
                <w:sz w:val="24"/>
                <w:szCs w:val="24"/>
                <w:rtl/>
              </w:rPr>
              <w:t xml:space="preserve">أكثر من سنة </w:t>
            </w:r>
            <w:r w:rsidRPr="00776087">
              <w:rPr>
                <w:rFonts w:cs="Simplified Arabic"/>
                <w:sz w:val="24"/>
                <w:szCs w:val="24"/>
                <w:rtl/>
              </w:rPr>
              <w:t>–</w:t>
            </w:r>
            <w:r w:rsidRPr="00776087">
              <w:rPr>
                <w:rFonts w:cs="Simplified Arabic" w:hint="cs"/>
                <w:sz w:val="24"/>
                <w:szCs w:val="24"/>
                <w:rtl/>
              </w:rPr>
              <w:t xml:space="preserve"> سنتين</w:t>
            </w:r>
          </w:p>
        </w:tc>
        <w:tc>
          <w:tcPr>
            <w:tcW w:w="1602" w:type="dxa"/>
            <w:vAlign w:val="center"/>
          </w:tcPr>
          <w:p w:rsidR="00EA7606" w:rsidRPr="00776087" w:rsidRDefault="00EA7606" w:rsidP="00776087">
            <w:pPr>
              <w:pStyle w:val="BlockText"/>
              <w:ind w:left="0" w:firstLine="0"/>
              <w:jc w:val="center"/>
              <w:rPr>
                <w:rFonts w:cs="Simplified Arabic"/>
                <w:sz w:val="24"/>
                <w:szCs w:val="24"/>
              </w:rPr>
            </w:pPr>
            <w:r w:rsidRPr="00776087">
              <w:rPr>
                <w:rFonts w:cs="Simplified Arabic" w:hint="cs"/>
                <w:sz w:val="24"/>
                <w:szCs w:val="24"/>
                <w:rtl/>
              </w:rPr>
              <w:t>20%</w:t>
            </w:r>
          </w:p>
        </w:tc>
      </w:tr>
      <w:tr w:rsidR="00EA7606" w:rsidTr="00231B04">
        <w:trPr>
          <w:cantSplit/>
          <w:trHeight w:hRule="exact" w:val="432"/>
          <w:jc w:val="center"/>
        </w:trPr>
        <w:tc>
          <w:tcPr>
            <w:tcW w:w="0" w:type="auto"/>
            <w:vAlign w:val="center"/>
          </w:tcPr>
          <w:p w:rsidR="00EA7606" w:rsidRPr="00776087" w:rsidRDefault="00EA7606" w:rsidP="00776087">
            <w:pPr>
              <w:pStyle w:val="BlockText"/>
              <w:ind w:left="0" w:right="179" w:firstLine="0"/>
              <w:jc w:val="left"/>
              <w:rPr>
                <w:rFonts w:cs="Simplified Arabic"/>
                <w:sz w:val="24"/>
                <w:szCs w:val="24"/>
              </w:rPr>
            </w:pPr>
            <w:r w:rsidRPr="00776087">
              <w:rPr>
                <w:rFonts w:cs="Simplified Arabic" w:hint="cs"/>
                <w:sz w:val="24"/>
                <w:szCs w:val="24"/>
                <w:rtl/>
              </w:rPr>
              <w:t xml:space="preserve">أكثر من سنتين </w:t>
            </w:r>
            <w:r w:rsidRPr="00776087">
              <w:rPr>
                <w:rFonts w:cs="Simplified Arabic"/>
                <w:sz w:val="24"/>
                <w:szCs w:val="24"/>
                <w:rtl/>
              </w:rPr>
              <w:t>–</w:t>
            </w:r>
            <w:r w:rsidRPr="00776087">
              <w:rPr>
                <w:rFonts w:cs="Simplified Arabic" w:hint="cs"/>
                <w:sz w:val="24"/>
                <w:szCs w:val="24"/>
                <w:rtl/>
              </w:rPr>
              <w:t xml:space="preserve"> ثلاث سنوات</w:t>
            </w:r>
          </w:p>
        </w:tc>
        <w:tc>
          <w:tcPr>
            <w:tcW w:w="1602" w:type="dxa"/>
            <w:vAlign w:val="center"/>
          </w:tcPr>
          <w:p w:rsidR="00EA7606" w:rsidRPr="00776087" w:rsidRDefault="00EA7606" w:rsidP="00776087">
            <w:pPr>
              <w:pStyle w:val="BlockText"/>
              <w:ind w:left="0" w:firstLine="0"/>
              <w:jc w:val="center"/>
              <w:rPr>
                <w:rFonts w:cs="Simplified Arabic"/>
                <w:sz w:val="24"/>
                <w:szCs w:val="24"/>
              </w:rPr>
            </w:pPr>
            <w:r w:rsidRPr="00776087">
              <w:rPr>
                <w:rFonts w:cs="Simplified Arabic" w:hint="cs"/>
                <w:sz w:val="24"/>
                <w:szCs w:val="24"/>
                <w:rtl/>
              </w:rPr>
              <w:t>40%</w:t>
            </w:r>
          </w:p>
        </w:tc>
      </w:tr>
      <w:tr w:rsidR="00EA7606" w:rsidTr="00231B04">
        <w:trPr>
          <w:cantSplit/>
          <w:trHeight w:hRule="exact" w:val="432"/>
          <w:jc w:val="center"/>
        </w:trPr>
        <w:tc>
          <w:tcPr>
            <w:tcW w:w="0" w:type="auto"/>
            <w:vAlign w:val="center"/>
          </w:tcPr>
          <w:p w:rsidR="00EA7606" w:rsidRPr="00776087" w:rsidRDefault="00EA7606" w:rsidP="00776087">
            <w:pPr>
              <w:pStyle w:val="BlockText"/>
              <w:ind w:left="0" w:right="179" w:firstLine="0"/>
              <w:jc w:val="left"/>
              <w:rPr>
                <w:rFonts w:cs="Simplified Arabic"/>
                <w:sz w:val="24"/>
                <w:szCs w:val="24"/>
              </w:rPr>
            </w:pPr>
            <w:r w:rsidRPr="00776087">
              <w:rPr>
                <w:rFonts w:cs="Simplified Arabic" w:hint="cs"/>
                <w:sz w:val="24"/>
                <w:szCs w:val="24"/>
                <w:rtl/>
              </w:rPr>
              <w:t xml:space="preserve">أكثر من ثلاث سنوات </w:t>
            </w:r>
            <w:r w:rsidRPr="00776087">
              <w:rPr>
                <w:rFonts w:cs="Simplified Arabic"/>
                <w:sz w:val="24"/>
                <w:szCs w:val="24"/>
                <w:rtl/>
              </w:rPr>
              <w:t>–</w:t>
            </w:r>
            <w:r w:rsidRPr="00776087">
              <w:rPr>
                <w:rFonts w:cs="Simplified Arabic" w:hint="cs"/>
                <w:sz w:val="24"/>
                <w:szCs w:val="24"/>
                <w:rtl/>
              </w:rPr>
              <w:t xml:space="preserve"> أربع سنوات</w:t>
            </w:r>
          </w:p>
        </w:tc>
        <w:tc>
          <w:tcPr>
            <w:tcW w:w="1602" w:type="dxa"/>
            <w:vAlign w:val="center"/>
          </w:tcPr>
          <w:p w:rsidR="00EA7606" w:rsidRPr="00776087" w:rsidRDefault="00EA7606" w:rsidP="00776087">
            <w:pPr>
              <w:pStyle w:val="BlockText"/>
              <w:ind w:left="0" w:firstLine="0"/>
              <w:jc w:val="center"/>
              <w:rPr>
                <w:rFonts w:cs="Simplified Arabic"/>
                <w:sz w:val="24"/>
                <w:szCs w:val="24"/>
              </w:rPr>
            </w:pPr>
            <w:r w:rsidRPr="00776087">
              <w:rPr>
                <w:rFonts w:cs="Simplified Arabic" w:hint="cs"/>
                <w:sz w:val="24"/>
                <w:szCs w:val="24"/>
                <w:rtl/>
              </w:rPr>
              <w:t>60%</w:t>
            </w:r>
          </w:p>
        </w:tc>
      </w:tr>
      <w:tr w:rsidR="00EA7606" w:rsidTr="00231B04">
        <w:trPr>
          <w:cantSplit/>
          <w:trHeight w:hRule="exact" w:val="432"/>
          <w:jc w:val="center"/>
        </w:trPr>
        <w:tc>
          <w:tcPr>
            <w:tcW w:w="0" w:type="auto"/>
            <w:vAlign w:val="center"/>
          </w:tcPr>
          <w:p w:rsidR="00EA7606" w:rsidRPr="00776087" w:rsidRDefault="00EA7606" w:rsidP="00776087">
            <w:pPr>
              <w:pStyle w:val="BlockText"/>
              <w:ind w:left="0" w:right="179" w:firstLine="0"/>
              <w:jc w:val="left"/>
              <w:rPr>
                <w:rFonts w:cs="Simplified Arabic"/>
                <w:sz w:val="24"/>
                <w:szCs w:val="24"/>
              </w:rPr>
            </w:pPr>
            <w:r w:rsidRPr="00776087">
              <w:rPr>
                <w:rFonts w:cs="Simplified Arabic" w:hint="cs"/>
                <w:sz w:val="24"/>
                <w:szCs w:val="24"/>
                <w:rtl/>
              </w:rPr>
              <w:t xml:space="preserve">أكثر من أربع سنوات </w:t>
            </w:r>
            <w:r w:rsidRPr="00776087">
              <w:rPr>
                <w:rFonts w:cs="Simplified Arabic"/>
                <w:sz w:val="24"/>
                <w:szCs w:val="24"/>
                <w:rtl/>
              </w:rPr>
              <w:t>–</w:t>
            </w:r>
            <w:r w:rsidRPr="00776087">
              <w:rPr>
                <w:rFonts w:cs="Simplified Arabic" w:hint="cs"/>
                <w:sz w:val="24"/>
                <w:szCs w:val="24"/>
                <w:rtl/>
              </w:rPr>
              <w:t xml:space="preserve"> خمس سنوات</w:t>
            </w:r>
          </w:p>
        </w:tc>
        <w:tc>
          <w:tcPr>
            <w:tcW w:w="1602" w:type="dxa"/>
            <w:vAlign w:val="center"/>
          </w:tcPr>
          <w:p w:rsidR="00EA7606" w:rsidRPr="00776087" w:rsidRDefault="00EA7606" w:rsidP="00776087">
            <w:pPr>
              <w:pStyle w:val="BlockText"/>
              <w:ind w:left="0" w:firstLine="0"/>
              <w:jc w:val="center"/>
              <w:rPr>
                <w:rFonts w:cs="Simplified Arabic"/>
                <w:sz w:val="24"/>
                <w:szCs w:val="24"/>
              </w:rPr>
            </w:pPr>
            <w:r w:rsidRPr="00776087">
              <w:rPr>
                <w:rFonts w:cs="Simplified Arabic" w:hint="cs"/>
                <w:sz w:val="24"/>
                <w:szCs w:val="24"/>
                <w:rtl/>
              </w:rPr>
              <w:t>80%</w:t>
            </w:r>
          </w:p>
        </w:tc>
      </w:tr>
      <w:tr w:rsidR="00EA7606" w:rsidTr="00231B04">
        <w:trPr>
          <w:cantSplit/>
          <w:trHeight w:hRule="exact" w:val="432"/>
          <w:jc w:val="center"/>
        </w:trPr>
        <w:tc>
          <w:tcPr>
            <w:tcW w:w="0" w:type="auto"/>
            <w:vAlign w:val="center"/>
          </w:tcPr>
          <w:p w:rsidR="00EA7606" w:rsidRPr="00776087" w:rsidRDefault="00EA7606" w:rsidP="00776087">
            <w:pPr>
              <w:pStyle w:val="BlockText"/>
              <w:ind w:left="0" w:right="179" w:firstLine="0"/>
              <w:jc w:val="left"/>
              <w:rPr>
                <w:rFonts w:cs="Simplified Arabic"/>
                <w:sz w:val="24"/>
                <w:szCs w:val="24"/>
              </w:rPr>
            </w:pPr>
            <w:r w:rsidRPr="00776087">
              <w:rPr>
                <w:rFonts w:cs="Simplified Arabic" w:hint="cs"/>
                <w:sz w:val="24"/>
                <w:szCs w:val="24"/>
                <w:rtl/>
              </w:rPr>
              <w:t>أكثر من خمس سنوات</w:t>
            </w:r>
          </w:p>
        </w:tc>
        <w:tc>
          <w:tcPr>
            <w:tcW w:w="1602" w:type="dxa"/>
            <w:vAlign w:val="center"/>
          </w:tcPr>
          <w:p w:rsidR="00EA7606" w:rsidRPr="00776087" w:rsidRDefault="00EA7606" w:rsidP="00776087">
            <w:pPr>
              <w:pStyle w:val="BlockText"/>
              <w:ind w:left="0" w:firstLine="0"/>
              <w:jc w:val="center"/>
              <w:rPr>
                <w:rFonts w:cs="Simplified Arabic"/>
                <w:sz w:val="24"/>
                <w:szCs w:val="24"/>
              </w:rPr>
            </w:pPr>
            <w:r w:rsidRPr="00776087">
              <w:rPr>
                <w:rFonts w:cs="Simplified Arabic" w:hint="cs"/>
                <w:sz w:val="24"/>
                <w:szCs w:val="24"/>
                <w:rtl/>
              </w:rPr>
              <w:t>100%</w:t>
            </w:r>
          </w:p>
        </w:tc>
      </w:tr>
    </w:tbl>
    <w:p w:rsidR="00BF6334" w:rsidRPr="00231B04" w:rsidRDefault="00B3109B" w:rsidP="00E52119">
      <w:pPr>
        <w:pStyle w:val="ListParagraph"/>
        <w:numPr>
          <w:ilvl w:val="0"/>
          <w:numId w:val="29"/>
        </w:numPr>
        <w:ind w:left="2409" w:hanging="425"/>
        <w:rPr>
          <w:b w:val="0"/>
          <w:bCs w:val="0"/>
        </w:rPr>
      </w:pPr>
      <w:r w:rsidRPr="00776087">
        <w:rPr>
          <w:b w:val="0"/>
          <w:bCs w:val="0"/>
          <w:rtl/>
        </w:rPr>
        <w:t xml:space="preserve">أن لا </w:t>
      </w:r>
      <w:r w:rsidRPr="00776087">
        <w:rPr>
          <w:rFonts w:hint="cs"/>
          <w:b w:val="0"/>
          <w:bCs w:val="0"/>
          <w:rtl/>
        </w:rPr>
        <w:t>تكون</w:t>
      </w:r>
      <w:r w:rsidRPr="00776087">
        <w:rPr>
          <w:b w:val="0"/>
          <w:bCs w:val="0"/>
          <w:rtl/>
        </w:rPr>
        <w:t xml:space="preserve"> الأداة المالية </w:t>
      </w:r>
      <w:r w:rsidRPr="00776087">
        <w:rPr>
          <w:rFonts w:hint="cs"/>
          <w:b w:val="0"/>
          <w:bCs w:val="0"/>
          <w:rtl/>
        </w:rPr>
        <w:t>خا</w:t>
      </w:r>
      <w:r w:rsidR="004F542D" w:rsidRPr="00776087">
        <w:rPr>
          <w:rFonts w:hint="cs"/>
          <w:b w:val="0"/>
          <w:bCs w:val="0"/>
          <w:rtl/>
        </w:rPr>
        <w:t>ضعة لتعديلات قد تزيد من قيمتها أ</w:t>
      </w:r>
      <w:r w:rsidRPr="00776087">
        <w:rPr>
          <w:rFonts w:hint="cs"/>
          <w:b w:val="0"/>
          <w:bCs w:val="0"/>
          <w:rtl/>
        </w:rPr>
        <w:t>و</w:t>
      </w:r>
      <w:r w:rsidRPr="00776087">
        <w:rPr>
          <w:b w:val="0"/>
          <w:bCs w:val="0"/>
          <w:rtl/>
        </w:rPr>
        <w:t xml:space="preserve"> </w:t>
      </w:r>
      <w:r w:rsidR="004F542D" w:rsidRPr="00776087">
        <w:rPr>
          <w:rFonts w:hint="cs"/>
          <w:b w:val="0"/>
          <w:bCs w:val="0"/>
          <w:rtl/>
        </w:rPr>
        <w:t>لأ</w:t>
      </w:r>
      <w:r w:rsidRPr="00776087">
        <w:rPr>
          <w:b w:val="0"/>
          <w:bCs w:val="0"/>
          <w:rtl/>
        </w:rPr>
        <w:t>ية شروط تشجيعية للتسديد المبكر.</w:t>
      </w:r>
    </w:p>
    <w:p w:rsidR="00E71A2E" w:rsidRPr="00776087" w:rsidRDefault="00AF1543" w:rsidP="00D853A5">
      <w:pPr>
        <w:ind w:left="2126" w:hanging="851"/>
        <w:rPr>
          <w:b w:val="0"/>
          <w:bCs w:val="0"/>
          <w:rtl/>
        </w:rPr>
      </w:pPr>
      <w:r w:rsidRPr="00776087">
        <w:rPr>
          <w:rFonts w:hint="cs"/>
          <w:b w:val="0"/>
          <w:bCs w:val="0"/>
          <w:rtl/>
        </w:rPr>
        <w:t>5.2.3</w:t>
      </w:r>
      <w:r w:rsidR="00D61C1D">
        <w:rPr>
          <w:rFonts w:hint="cs"/>
          <w:b w:val="0"/>
          <w:bCs w:val="0"/>
          <w:rtl/>
        </w:rPr>
        <w:t>.</w:t>
      </w:r>
      <w:r w:rsidR="00E71A2E" w:rsidRPr="00776087">
        <w:rPr>
          <w:rFonts w:hint="cs"/>
          <w:b w:val="0"/>
          <w:bCs w:val="0"/>
          <w:rtl/>
        </w:rPr>
        <w:tab/>
        <w:t>يمكن تسديدها بناء على طلب المصدر فقط بعد (5) سنوات كحد أدنى</w:t>
      </w:r>
      <w:r w:rsidR="00E46D20">
        <w:rPr>
          <w:rFonts w:hint="cs"/>
          <w:b w:val="0"/>
          <w:bCs w:val="0"/>
          <w:rtl/>
        </w:rPr>
        <w:t xml:space="preserve"> من تاريخ إصدارها</w:t>
      </w:r>
      <w:r w:rsidR="00E71A2E" w:rsidRPr="00776087">
        <w:rPr>
          <w:rFonts w:hint="cs"/>
          <w:b w:val="0"/>
          <w:bCs w:val="0"/>
          <w:rtl/>
        </w:rPr>
        <w:t xml:space="preserve">، وفي حال وجود خيار حق الشراء </w:t>
      </w:r>
      <w:r w:rsidR="008E0C4C" w:rsidRPr="00776087">
        <w:rPr>
          <w:rFonts w:hint="cs"/>
          <w:b w:val="0"/>
          <w:bCs w:val="0"/>
          <w:rtl/>
        </w:rPr>
        <w:t xml:space="preserve">أو الإطفاء </w:t>
      </w:r>
      <w:r w:rsidR="00E71A2E" w:rsidRPr="00776087">
        <w:rPr>
          <w:rFonts w:hint="cs"/>
          <w:b w:val="0"/>
          <w:bCs w:val="0"/>
          <w:rtl/>
        </w:rPr>
        <w:t>يتوجب</w:t>
      </w:r>
      <w:r w:rsidR="00E46D20">
        <w:rPr>
          <w:rFonts w:hint="cs"/>
          <w:b w:val="0"/>
          <w:bCs w:val="0"/>
          <w:rtl/>
        </w:rPr>
        <w:t xml:space="preserve"> على البنك</w:t>
      </w:r>
      <w:r w:rsidR="00E71A2E" w:rsidRPr="00776087">
        <w:rPr>
          <w:rFonts w:hint="cs"/>
          <w:b w:val="0"/>
          <w:bCs w:val="0"/>
          <w:rtl/>
        </w:rPr>
        <w:t xml:space="preserve"> ما يلي:</w:t>
      </w:r>
    </w:p>
    <w:p w:rsidR="00776087" w:rsidRDefault="00E71A2E" w:rsidP="007E6550">
      <w:pPr>
        <w:pStyle w:val="ListParagraph"/>
        <w:numPr>
          <w:ilvl w:val="0"/>
          <w:numId w:val="29"/>
        </w:numPr>
        <w:ind w:left="2409" w:hanging="425"/>
        <w:rPr>
          <w:b w:val="0"/>
          <w:bCs w:val="0"/>
        </w:rPr>
      </w:pPr>
      <w:r w:rsidRPr="00776087">
        <w:rPr>
          <w:rFonts w:hint="cs"/>
          <w:b w:val="0"/>
          <w:bCs w:val="0"/>
          <w:rtl/>
        </w:rPr>
        <w:t>الحصول على موافقة البنك المركزي الأردني المسبقة</w:t>
      </w:r>
      <w:r w:rsidR="00D853A5">
        <w:rPr>
          <w:rFonts w:hint="cs"/>
          <w:b w:val="0"/>
          <w:bCs w:val="0"/>
          <w:rtl/>
        </w:rPr>
        <w:t xml:space="preserve"> على التنفيذ</w:t>
      </w:r>
      <w:r w:rsidRPr="00776087">
        <w:rPr>
          <w:rFonts w:hint="cs"/>
          <w:b w:val="0"/>
          <w:bCs w:val="0"/>
          <w:rtl/>
        </w:rPr>
        <w:t xml:space="preserve">؛ </w:t>
      </w:r>
      <w:r w:rsidRPr="00D61C1D">
        <w:rPr>
          <w:rFonts w:hint="cs"/>
          <w:rtl/>
        </w:rPr>
        <w:t>و</w:t>
      </w:r>
    </w:p>
    <w:p w:rsidR="00E71A2E" w:rsidRPr="00776087" w:rsidRDefault="00E71A2E" w:rsidP="007E6550">
      <w:pPr>
        <w:pStyle w:val="ListParagraph"/>
        <w:numPr>
          <w:ilvl w:val="0"/>
          <w:numId w:val="29"/>
        </w:numPr>
        <w:ind w:left="2409" w:hanging="425"/>
        <w:rPr>
          <w:b w:val="0"/>
          <w:bCs w:val="0"/>
        </w:rPr>
      </w:pPr>
      <w:r w:rsidRPr="00776087">
        <w:rPr>
          <w:rFonts w:hint="cs"/>
          <w:b w:val="0"/>
          <w:bCs w:val="0"/>
          <w:rtl/>
        </w:rPr>
        <w:t>أن لا يخلق أي توقعات بأنه سيمارس خيار حق الشراء</w:t>
      </w:r>
      <w:r w:rsidR="00DD7664" w:rsidRPr="00776087">
        <w:rPr>
          <w:rFonts w:hint="cs"/>
          <w:b w:val="0"/>
          <w:bCs w:val="0"/>
          <w:rtl/>
        </w:rPr>
        <w:t xml:space="preserve">، </w:t>
      </w:r>
      <w:r w:rsidRPr="00776087">
        <w:rPr>
          <w:rFonts w:hint="cs"/>
          <w:b w:val="0"/>
          <w:bCs w:val="0"/>
          <w:rtl/>
        </w:rPr>
        <w:t>علماً بأنه لا يجوز للبنك ممارسة خيار حق الشراء إلا إذا:</w:t>
      </w:r>
    </w:p>
    <w:p w:rsidR="00E71A2E" w:rsidRPr="00776087" w:rsidRDefault="00DD7664" w:rsidP="00E46D20">
      <w:pPr>
        <w:pStyle w:val="ListParagraph"/>
        <w:spacing w:line="276" w:lineRule="auto"/>
        <w:ind w:left="2693" w:hanging="284"/>
        <w:rPr>
          <w:b w:val="0"/>
          <w:bCs w:val="0"/>
          <w:rtl/>
        </w:rPr>
      </w:pPr>
      <w:r w:rsidRPr="00776087">
        <w:rPr>
          <w:rFonts w:hint="cs"/>
          <w:b w:val="0"/>
          <w:bCs w:val="0"/>
          <w:rtl/>
        </w:rPr>
        <w:t>أ.</w:t>
      </w:r>
      <w:r w:rsidR="00E71A2E" w:rsidRPr="00776087">
        <w:rPr>
          <w:rFonts w:hint="cs"/>
          <w:b w:val="0"/>
          <w:bCs w:val="0"/>
          <w:rtl/>
        </w:rPr>
        <w:tab/>
        <w:t xml:space="preserve">قام باستبدال الأداة المسددة برأسمال ذو نوعية مماثلة أو نوعية أفضل وان الاستبدال تم بشروط تحافظ على قدرة البنك على </w:t>
      </w:r>
      <w:r w:rsidR="00E46D20">
        <w:rPr>
          <w:rFonts w:hint="cs"/>
          <w:b w:val="0"/>
          <w:bCs w:val="0"/>
          <w:rtl/>
        </w:rPr>
        <w:t>المحافظة على</w:t>
      </w:r>
      <w:r w:rsidR="00E46D20" w:rsidRPr="00776087">
        <w:rPr>
          <w:rFonts w:hint="cs"/>
          <w:b w:val="0"/>
          <w:bCs w:val="0"/>
          <w:rtl/>
        </w:rPr>
        <w:t xml:space="preserve"> </w:t>
      </w:r>
      <w:r w:rsidR="00E46D20">
        <w:rPr>
          <w:rFonts w:hint="cs"/>
          <w:b w:val="0"/>
          <w:bCs w:val="0"/>
          <w:rtl/>
        </w:rPr>
        <w:t>ال</w:t>
      </w:r>
      <w:r w:rsidR="00E71A2E" w:rsidRPr="00776087">
        <w:rPr>
          <w:rFonts w:hint="cs"/>
          <w:b w:val="0"/>
          <w:bCs w:val="0"/>
          <w:rtl/>
        </w:rPr>
        <w:t xml:space="preserve">دخل </w:t>
      </w:r>
      <w:r w:rsidR="00E46D20">
        <w:rPr>
          <w:rFonts w:hint="cs"/>
          <w:b w:val="0"/>
          <w:bCs w:val="0"/>
          <w:rtl/>
        </w:rPr>
        <w:t>ال</w:t>
      </w:r>
      <w:r w:rsidR="00E71A2E" w:rsidRPr="00776087">
        <w:rPr>
          <w:rFonts w:hint="cs"/>
          <w:b w:val="0"/>
          <w:bCs w:val="0"/>
          <w:rtl/>
        </w:rPr>
        <w:t>مستدام</w:t>
      </w:r>
      <w:r w:rsidR="00E71A2E" w:rsidRPr="009B17B3">
        <w:rPr>
          <w:b w:val="0"/>
          <w:bCs w:val="0"/>
          <w:vertAlign w:val="superscript"/>
          <w:rtl/>
        </w:rPr>
        <w:footnoteReference w:id="10"/>
      </w:r>
      <w:r w:rsidR="00E71A2E" w:rsidRPr="00776087">
        <w:rPr>
          <w:rFonts w:hint="cs"/>
          <w:b w:val="0"/>
          <w:bCs w:val="0"/>
          <w:rtl/>
        </w:rPr>
        <w:t xml:space="preserve">. </w:t>
      </w:r>
    </w:p>
    <w:p w:rsidR="00E71A2E" w:rsidRPr="00776087" w:rsidRDefault="00DD7664" w:rsidP="007E6550">
      <w:pPr>
        <w:pStyle w:val="ListParagraph"/>
        <w:spacing w:after="0" w:line="276" w:lineRule="auto"/>
        <w:ind w:left="2693" w:hanging="284"/>
        <w:rPr>
          <w:b w:val="0"/>
          <w:bCs w:val="0"/>
        </w:rPr>
      </w:pPr>
      <w:r w:rsidRPr="00776087">
        <w:rPr>
          <w:rFonts w:hint="cs"/>
          <w:b w:val="0"/>
          <w:bCs w:val="0"/>
          <w:rtl/>
        </w:rPr>
        <w:t>ب.</w:t>
      </w:r>
      <w:r w:rsidR="00E71A2E" w:rsidRPr="00776087">
        <w:rPr>
          <w:rFonts w:hint="cs"/>
          <w:b w:val="0"/>
          <w:bCs w:val="0"/>
          <w:rtl/>
        </w:rPr>
        <w:tab/>
        <w:t>أن يثبت البنك بأن مستوى رأس المال لديه بعد ممارسة حق الشراء اعلى من الحد المقرر من قبل البنك المركزي</w:t>
      </w:r>
      <w:r w:rsidR="00E71A2E" w:rsidRPr="00BF6334">
        <w:rPr>
          <w:b w:val="0"/>
          <w:bCs w:val="0"/>
          <w:vertAlign w:val="superscript"/>
          <w:rtl/>
        </w:rPr>
        <w:footnoteReference w:id="11"/>
      </w:r>
      <w:r w:rsidR="00E71A2E" w:rsidRPr="00776087">
        <w:rPr>
          <w:rFonts w:hint="cs"/>
          <w:b w:val="0"/>
          <w:bCs w:val="0"/>
          <w:rtl/>
        </w:rPr>
        <w:t xml:space="preserve">. </w:t>
      </w:r>
    </w:p>
    <w:p w:rsidR="00B3109B" w:rsidRPr="00776087" w:rsidRDefault="00AF1543" w:rsidP="00F96D49">
      <w:pPr>
        <w:spacing w:after="0"/>
        <w:ind w:left="2126" w:hanging="851"/>
        <w:rPr>
          <w:b w:val="0"/>
          <w:bCs w:val="0"/>
          <w:rtl/>
        </w:rPr>
      </w:pPr>
      <w:r w:rsidRPr="00776087">
        <w:rPr>
          <w:rFonts w:hint="cs"/>
          <w:b w:val="0"/>
          <w:bCs w:val="0"/>
          <w:rtl/>
        </w:rPr>
        <w:t>6.2.3</w:t>
      </w:r>
      <w:r w:rsidR="009B17B3">
        <w:rPr>
          <w:rFonts w:hint="cs"/>
          <w:b w:val="0"/>
          <w:bCs w:val="0"/>
          <w:rtl/>
        </w:rPr>
        <w:t>.</w:t>
      </w:r>
      <w:r w:rsidR="005A686A" w:rsidRPr="00776087">
        <w:rPr>
          <w:rFonts w:hint="cs"/>
          <w:b w:val="0"/>
          <w:bCs w:val="0"/>
          <w:rtl/>
        </w:rPr>
        <w:tab/>
      </w:r>
      <w:r w:rsidR="00B3109B" w:rsidRPr="00776087">
        <w:rPr>
          <w:b w:val="0"/>
          <w:bCs w:val="0"/>
          <w:rtl/>
        </w:rPr>
        <w:t>أن لا يكون للمستثمر (حامل الأداة المالية) الحق في تسريع الدفعات المالية المستقبلية (الفائدة أو أصل المبلغ) إلا في حال الإفلاس أو التصفية.</w:t>
      </w:r>
    </w:p>
    <w:p w:rsidR="00B3109B" w:rsidRPr="00776087" w:rsidRDefault="00AF1543" w:rsidP="007E6550">
      <w:pPr>
        <w:ind w:left="2126" w:hanging="851"/>
        <w:rPr>
          <w:b w:val="0"/>
          <w:bCs w:val="0"/>
          <w:rtl/>
        </w:rPr>
      </w:pPr>
      <w:r w:rsidRPr="00776087">
        <w:rPr>
          <w:rFonts w:hint="cs"/>
          <w:b w:val="0"/>
          <w:bCs w:val="0"/>
          <w:rtl/>
        </w:rPr>
        <w:lastRenderedPageBreak/>
        <w:t>7.2.3</w:t>
      </w:r>
      <w:r w:rsidR="009B17B3">
        <w:rPr>
          <w:rFonts w:hint="cs"/>
          <w:b w:val="0"/>
          <w:bCs w:val="0"/>
          <w:rtl/>
        </w:rPr>
        <w:t>.</w:t>
      </w:r>
      <w:r w:rsidR="00E71A2E" w:rsidRPr="00776087">
        <w:rPr>
          <w:rFonts w:hint="cs"/>
          <w:b w:val="0"/>
          <w:bCs w:val="0"/>
          <w:rtl/>
        </w:rPr>
        <w:tab/>
      </w:r>
      <w:r w:rsidR="00B3109B" w:rsidRPr="00776087">
        <w:rPr>
          <w:rFonts w:hint="cs"/>
          <w:b w:val="0"/>
          <w:bCs w:val="0"/>
          <w:rtl/>
        </w:rPr>
        <w:t xml:space="preserve">لا يجوز أن يكون توزيع الارباح /دفع الفوائد </w:t>
      </w:r>
      <w:r w:rsidR="00E71A2E" w:rsidRPr="00776087">
        <w:rPr>
          <w:rFonts w:hint="cs"/>
          <w:b w:val="0"/>
          <w:bCs w:val="0"/>
          <w:rtl/>
        </w:rPr>
        <w:t>مرتبط</w:t>
      </w:r>
      <w:r w:rsidR="00CA6D85" w:rsidRPr="00776087">
        <w:rPr>
          <w:rFonts w:hint="cs"/>
          <w:b w:val="0"/>
          <w:bCs w:val="0"/>
          <w:rtl/>
        </w:rPr>
        <w:t>اً</w:t>
      </w:r>
      <w:r w:rsidR="00E71A2E" w:rsidRPr="00776087">
        <w:rPr>
          <w:rFonts w:hint="cs"/>
          <w:b w:val="0"/>
          <w:bCs w:val="0"/>
          <w:rtl/>
        </w:rPr>
        <w:t xml:space="preserve"> بتغير التصنيف</w:t>
      </w:r>
      <w:r w:rsidR="00B3109B" w:rsidRPr="00776087">
        <w:rPr>
          <w:rFonts w:hint="cs"/>
          <w:b w:val="0"/>
          <w:bCs w:val="0"/>
          <w:rtl/>
        </w:rPr>
        <w:t xml:space="preserve"> الائتماني لل</w:t>
      </w:r>
      <w:r w:rsidR="00E71A2E" w:rsidRPr="00776087">
        <w:rPr>
          <w:rFonts w:hint="cs"/>
          <w:b w:val="0"/>
          <w:bCs w:val="0"/>
          <w:rtl/>
        </w:rPr>
        <w:t xml:space="preserve">بنك </w:t>
      </w:r>
      <w:r w:rsidR="00B3109B" w:rsidRPr="00776087">
        <w:rPr>
          <w:rFonts w:hint="cs"/>
          <w:b w:val="0"/>
          <w:bCs w:val="0"/>
          <w:rtl/>
        </w:rPr>
        <w:t>(اي ان لا يت</w:t>
      </w:r>
      <w:r w:rsidR="004F542D" w:rsidRPr="00776087">
        <w:rPr>
          <w:rFonts w:hint="cs"/>
          <w:b w:val="0"/>
          <w:bCs w:val="0"/>
          <w:rtl/>
        </w:rPr>
        <w:t>م اعادة النظر في توزيع الارباح أ</w:t>
      </w:r>
      <w:r w:rsidR="00B3109B" w:rsidRPr="00776087">
        <w:rPr>
          <w:rFonts w:hint="cs"/>
          <w:b w:val="0"/>
          <w:bCs w:val="0"/>
          <w:rtl/>
        </w:rPr>
        <w:t>و</w:t>
      </w:r>
      <w:r w:rsidR="004F542D" w:rsidRPr="00776087">
        <w:rPr>
          <w:rFonts w:hint="cs"/>
          <w:b w:val="0"/>
          <w:bCs w:val="0"/>
          <w:rtl/>
        </w:rPr>
        <w:t xml:space="preserve"> </w:t>
      </w:r>
      <w:r w:rsidR="00B3109B" w:rsidRPr="00776087">
        <w:rPr>
          <w:rFonts w:hint="cs"/>
          <w:b w:val="0"/>
          <w:bCs w:val="0"/>
          <w:rtl/>
        </w:rPr>
        <w:t xml:space="preserve">دفع الفوائد في حال تخفيض التصنيف الائتماني للبنك او المجموعة البنكية).  </w:t>
      </w:r>
    </w:p>
    <w:p w:rsidR="00E71A2E" w:rsidRPr="00776087" w:rsidRDefault="00AF1543" w:rsidP="007E6550">
      <w:pPr>
        <w:ind w:left="2126" w:hanging="851"/>
        <w:rPr>
          <w:b w:val="0"/>
          <w:bCs w:val="0"/>
          <w:rtl/>
        </w:rPr>
      </w:pPr>
      <w:r w:rsidRPr="00776087">
        <w:rPr>
          <w:rFonts w:hint="cs"/>
          <w:b w:val="0"/>
          <w:bCs w:val="0"/>
          <w:rtl/>
        </w:rPr>
        <w:t>8.2.3</w:t>
      </w:r>
      <w:r w:rsidR="009B17B3">
        <w:rPr>
          <w:rFonts w:hint="cs"/>
          <w:b w:val="0"/>
          <w:bCs w:val="0"/>
          <w:rtl/>
        </w:rPr>
        <w:t>.</w:t>
      </w:r>
      <w:r w:rsidR="00B3109B" w:rsidRPr="00776087">
        <w:rPr>
          <w:rFonts w:hint="cs"/>
          <w:b w:val="0"/>
          <w:bCs w:val="0"/>
          <w:rtl/>
        </w:rPr>
        <w:t xml:space="preserve">  </w:t>
      </w:r>
      <w:r w:rsidR="00E71A2E" w:rsidRPr="00776087">
        <w:rPr>
          <w:rFonts w:hint="cs"/>
          <w:b w:val="0"/>
          <w:bCs w:val="0"/>
          <w:rtl/>
        </w:rPr>
        <w:tab/>
        <w:t>أن لا يكون البنك أو أي جهة ذات علاقة به يسيطر عليها البنك أو له تأثير فعال عليها قد قام/ قامت بشراء الأداة وألا يكون البنك موّل شراء الأداة (بشكل مباشر أو غير مباشر).</w:t>
      </w:r>
    </w:p>
    <w:p w:rsidR="00B3109B" w:rsidRDefault="00AF1543" w:rsidP="007E6550">
      <w:pPr>
        <w:ind w:left="2126" w:hanging="851"/>
        <w:rPr>
          <w:b w:val="0"/>
          <w:bCs w:val="0"/>
          <w:rtl/>
        </w:rPr>
      </w:pPr>
      <w:r w:rsidRPr="00776087">
        <w:rPr>
          <w:rFonts w:hint="cs"/>
          <w:b w:val="0"/>
          <w:bCs w:val="0"/>
          <w:rtl/>
        </w:rPr>
        <w:t>9.2.3</w:t>
      </w:r>
      <w:r w:rsidR="00BF6334">
        <w:rPr>
          <w:rFonts w:hint="cs"/>
          <w:b w:val="0"/>
          <w:bCs w:val="0"/>
          <w:rtl/>
        </w:rPr>
        <w:t>.</w:t>
      </w:r>
      <w:r w:rsidR="005A686A" w:rsidRPr="00776087">
        <w:rPr>
          <w:rFonts w:hint="cs"/>
          <w:b w:val="0"/>
          <w:bCs w:val="0"/>
          <w:rtl/>
        </w:rPr>
        <w:tab/>
      </w:r>
      <w:r w:rsidR="002B1A65" w:rsidRPr="00776087">
        <w:rPr>
          <w:rFonts w:hint="cs"/>
          <w:b w:val="0"/>
          <w:bCs w:val="0"/>
          <w:rtl/>
        </w:rPr>
        <w:t xml:space="preserve">إذا كانت الأداة غير </w:t>
      </w:r>
      <w:r w:rsidR="00B3109B" w:rsidRPr="00776087">
        <w:rPr>
          <w:b w:val="0"/>
          <w:bCs w:val="0"/>
          <w:rtl/>
        </w:rPr>
        <w:t xml:space="preserve">صادرة عن وحدة عاملة منشأة من البنك أو ضمن الشركة القابضة في المجموعة البنكية  (على سبيل المثال </w:t>
      </w:r>
      <w:r w:rsidR="00A41D37" w:rsidRPr="00776087">
        <w:rPr>
          <w:rFonts w:hint="cs"/>
          <w:b w:val="0"/>
          <w:bCs w:val="0"/>
          <w:rtl/>
        </w:rPr>
        <w:t xml:space="preserve">صادرة عن </w:t>
      </w:r>
      <w:r w:rsidR="00B3109B" w:rsidRPr="00776087">
        <w:rPr>
          <w:rFonts w:hint="cs"/>
          <w:b w:val="0"/>
          <w:bCs w:val="0"/>
          <w:rtl/>
        </w:rPr>
        <w:t>منشأة</w:t>
      </w:r>
      <w:r w:rsidR="00B3109B" w:rsidRPr="00776087">
        <w:rPr>
          <w:b w:val="0"/>
          <w:bCs w:val="0"/>
          <w:rtl/>
        </w:rPr>
        <w:t xml:space="preserve"> ذات غرض خاص </w:t>
      </w:r>
      <w:r w:rsidR="00B3109B" w:rsidRPr="00776087">
        <w:rPr>
          <w:rFonts w:hint="cs"/>
          <w:b w:val="0"/>
          <w:bCs w:val="0"/>
          <w:rtl/>
        </w:rPr>
        <w:t>(</w:t>
      </w:r>
      <w:r w:rsidR="00B3109B" w:rsidRPr="00776087">
        <w:rPr>
          <w:b w:val="0"/>
          <w:bCs w:val="0"/>
        </w:rPr>
        <w:t>SPV</w:t>
      </w:r>
      <w:r w:rsidR="00B3109B" w:rsidRPr="00776087">
        <w:rPr>
          <w:rFonts w:hint="cs"/>
          <w:b w:val="0"/>
          <w:bCs w:val="0"/>
          <w:rtl/>
        </w:rPr>
        <w:t>)</w:t>
      </w:r>
      <w:r w:rsidR="00E46D20">
        <w:rPr>
          <w:rFonts w:hint="cs"/>
          <w:b w:val="0"/>
          <w:bCs w:val="0"/>
          <w:rtl/>
        </w:rPr>
        <w:t>)</w:t>
      </w:r>
      <w:r w:rsidR="00B3109B" w:rsidRPr="00776087">
        <w:rPr>
          <w:b w:val="0"/>
          <w:bCs w:val="0"/>
          <w:rtl/>
        </w:rPr>
        <w:t>، فيجب أن تكون العوائد متاحة فوراً وبشكل يحقق جميع الأسس للإدراج ضمن الشريحة الثانية من رأس المال.</w:t>
      </w:r>
    </w:p>
    <w:p w:rsidR="00B3109B" w:rsidRPr="00776087" w:rsidRDefault="009D6B4E" w:rsidP="00E52119">
      <w:pPr>
        <w:ind w:left="1275" w:hanging="567"/>
        <w:rPr>
          <w:b w:val="0"/>
          <w:bCs w:val="0"/>
          <w:rtl/>
        </w:rPr>
      </w:pPr>
      <w:r w:rsidRPr="00776087">
        <w:rPr>
          <w:rFonts w:hint="cs"/>
          <w:b w:val="0"/>
          <w:bCs w:val="0"/>
          <w:rtl/>
        </w:rPr>
        <w:t>3.3</w:t>
      </w:r>
      <w:r w:rsidR="00BF6334">
        <w:rPr>
          <w:rFonts w:hint="cs"/>
          <w:b w:val="0"/>
          <w:bCs w:val="0"/>
          <w:rtl/>
        </w:rPr>
        <w:t>.</w:t>
      </w:r>
      <w:r w:rsidRPr="00776087">
        <w:rPr>
          <w:rFonts w:hint="cs"/>
          <w:b w:val="0"/>
          <w:bCs w:val="0"/>
          <w:rtl/>
        </w:rPr>
        <w:tab/>
      </w:r>
      <w:r w:rsidR="00B3109B" w:rsidRPr="00776087">
        <w:rPr>
          <w:b w:val="0"/>
          <w:bCs w:val="0"/>
          <w:rtl/>
        </w:rPr>
        <w:t xml:space="preserve">علاوة </w:t>
      </w:r>
      <w:r w:rsidR="00E71A2E" w:rsidRPr="00776087">
        <w:rPr>
          <w:rFonts w:hint="cs"/>
          <w:b w:val="0"/>
          <w:bCs w:val="0"/>
          <w:rtl/>
        </w:rPr>
        <w:t xml:space="preserve">(خصم) </w:t>
      </w:r>
      <w:r w:rsidR="00B3109B" w:rsidRPr="00776087">
        <w:rPr>
          <w:b w:val="0"/>
          <w:bCs w:val="0"/>
          <w:rtl/>
        </w:rPr>
        <w:t xml:space="preserve">الإصدار الناتج عن إصدار أدوات مالية ضمن الشريحة الثانية </w:t>
      </w:r>
      <w:r w:rsidR="00E71A2E" w:rsidRPr="00776087">
        <w:rPr>
          <w:rFonts w:hint="cs"/>
          <w:b w:val="0"/>
          <w:bCs w:val="0"/>
          <w:rtl/>
        </w:rPr>
        <w:t>(</w:t>
      </w:r>
      <w:r w:rsidR="00E71A2E" w:rsidRPr="00776087">
        <w:rPr>
          <w:b w:val="0"/>
          <w:bCs w:val="0"/>
        </w:rPr>
        <w:t>Tier2</w:t>
      </w:r>
      <w:r w:rsidR="00E71A2E" w:rsidRPr="00776087">
        <w:rPr>
          <w:rFonts w:hint="cs"/>
          <w:b w:val="0"/>
          <w:bCs w:val="0"/>
          <w:rtl/>
        </w:rPr>
        <w:t>)</w:t>
      </w:r>
      <w:r w:rsidR="00577D67" w:rsidRPr="00776087">
        <w:rPr>
          <w:rFonts w:hint="cs"/>
          <w:b w:val="0"/>
          <w:bCs w:val="0"/>
          <w:rtl/>
        </w:rPr>
        <w:t>:</w:t>
      </w:r>
    </w:p>
    <w:p w:rsidR="00940CD5" w:rsidRPr="00BF6334" w:rsidRDefault="00B3109B" w:rsidP="00E46D20">
      <w:pPr>
        <w:pStyle w:val="ListParagraph"/>
        <w:spacing w:line="276" w:lineRule="auto"/>
        <w:ind w:left="1275"/>
        <w:rPr>
          <w:b w:val="0"/>
          <w:bCs w:val="0"/>
          <w:rtl/>
        </w:rPr>
      </w:pPr>
      <w:r w:rsidRPr="00776087">
        <w:rPr>
          <w:b w:val="0"/>
          <w:bCs w:val="0"/>
          <w:rtl/>
        </w:rPr>
        <w:t xml:space="preserve">يسمح </w:t>
      </w:r>
      <w:r w:rsidR="005A686A" w:rsidRPr="00776087">
        <w:rPr>
          <w:rFonts w:hint="cs"/>
          <w:b w:val="0"/>
          <w:bCs w:val="0"/>
          <w:rtl/>
        </w:rPr>
        <w:t>بإدراج</w:t>
      </w:r>
      <w:r w:rsidRPr="00776087">
        <w:rPr>
          <w:b w:val="0"/>
          <w:bCs w:val="0"/>
          <w:rtl/>
        </w:rPr>
        <w:t xml:space="preserve"> علاوة </w:t>
      </w:r>
      <w:r w:rsidR="00E71A2E" w:rsidRPr="00776087">
        <w:rPr>
          <w:rFonts w:hint="cs"/>
          <w:b w:val="0"/>
          <w:bCs w:val="0"/>
          <w:rtl/>
        </w:rPr>
        <w:t xml:space="preserve">(خصم) </w:t>
      </w:r>
      <w:r w:rsidRPr="00776087">
        <w:rPr>
          <w:b w:val="0"/>
          <w:bCs w:val="0"/>
          <w:rtl/>
        </w:rPr>
        <w:t>الإصدار</w:t>
      </w:r>
      <w:r w:rsidRPr="00776087">
        <w:rPr>
          <w:rFonts w:hint="cs"/>
          <w:b w:val="0"/>
          <w:bCs w:val="0"/>
          <w:rtl/>
        </w:rPr>
        <w:t xml:space="preserve"> "</w:t>
      </w:r>
      <w:r w:rsidRPr="00776087">
        <w:rPr>
          <w:b w:val="0"/>
          <w:bCs w:val="0"/>
          <w:rtl/>
        </w:rPr>
        <w:t xml:space="preserve">غير المؤهل للإدراج </w:t>
      </w:r>
      <w:r w:rsidR="00AD0C08" w:rsidRPr="00776087">
        <w:rPr>
          <w:rFonts w:hint="cs"/>
          <w:b w:val="0"/>
          <w:bCs w:val="0"/>
          <w:rtl/>
        </w:rPr>
        <w:t>في</w:t>
      </w:r>
      <w:r w:rsidRPr="00776087">
        <w:rPr>
          <w:b w:val="0"/>
          <w:bCs w:val="0"/>
          <w:rtl/>
        </w:rPr>
        <w:t xml:space="preserve"> الشريحة الأولى</w:t>
      </w:r>
      <w:r w:rsidRPr="00776087">
        <w:rPr>
          <w:rFonts w:hint="cs"/>
          <w:b w:val="0"/>
          <w:bCs w:val="0"/>
          <w:rtl/>
        </w:rPr>
        <w:t>"،</w:t>
      </w:r>
      <w:r w:rsidRPr="00776087">
        <w:rPr>
          <w:b w:val="0"/>
          <w:bCs w:val="0"/>
          <w:rtl/>
        </w:rPr>
        <w:t xml:space="preserve"> ضمن الشريحة الثانية إذا كانت </w:t>
      </w:r>
      <w:r w:rsidR="00E46D20">
        <w:rPr>
          <w:rFonts w:hint="cs"/>
          <w:b w:val="0"/>
          <w:bCs w:val="0"/>
          <w:rtl/>
        </w:rPr>
        <w:t>الاداة</w:t>
      </w:r>
      <w:r w:rsidR="00E46D20" w:rsidRPr="00776087">
        <w:rPr>
          <w:b w:val="0"/>
          <w:bCs w:val="0"/>
          <w:rtl/>
        </w:rPr>
        <w:t xml:space="preserve"> </w:t>
      </w:r>
      <w:r w:rsidRPr="00776087">
        <w:rPr>
          <w:b w:val="0"/>
          <w:bCs w:val="0"/>
          <w:rtl/>
        </w:rPr>
        <w:t>التي أدت إلى ظهور هذا الفائض مؤهله للإدراج في الشريحة الثانية.</w:t>
      </w:r>
    </w:p>
    <w:p w:rsidR="00B3109B" w:rsidRPr="00D026CE" w:rsidRDefault="00AF1543" w:rsidP="00277449">
      <w:pPr>
        <w:ind w:left="708" w:hanging="425"/>
        <w:rPr>
          <w:rtl/>
        </w:rPr>
      </w:pPr>
      <w:bookmarkStart w:id="27" w:name="_Toc372557478"/>
      <w:r w:rsidRPr="00D026CE">
        <w:rPr>
          <w:rFonts w:hint="cs"/>
          <w:rtl/>
        </w:rPr>
        <w:t>4.</w:t>
      </w:r>
      <w:r w:rsidR="00164670" w:rsidRPr="00D026CE">
        <w:rPr>
          <w:rFonts w:hint="cs"/>
          <w:rtl/>
        </w:rPr>
        <w:tab/>
      </w:r>
      <w:r w:rsidR="00190660" w:rsidRPr="00D026CE">
        <w:rPr>
          <w:rtl/>
        </w:rPr>
        <w:t>حقوق الأقلية و</w:t>
      </w:r>
      <w:r w:rsidR="002E77D4" w:rsidRPr="00D026CE">
        <w:rPr>
          <w:rFonts w:hint="cs"/>
          <w:rtl/>
        </w:rPr>
        <w:t xml:space="preserve">أي </w:t>
      </w:r>
      <w:r w:rsidR="002E77D4" w:rsidRPr="00D026CE">
        <w:rPr>
          <w:rtl/>
        </w:rPr>
        <w:t>رأس</w:t>
      </w:r>
      <w:r w:rsidR="00190660" w:rsidRPr="00D026CE">
        <w:rPr>
          <w:rtl/>
        </w:rPr>
        <w:t xml:space="preserve">مال </w:t>
      </w:r>
      <w:r w:rsidR="00B3109B" w:rsidRPr="00D026CE">
        <w:rPr>
          <w:rtl/>
        </w:rPr>
        <w:t xml:space="preserve">مصدر من قبل الشركات التابعة </w:t>
      </w:r>
      <w:r w:rsidR="00AA4144" w:rsidRPr="00D026CE">
        <w:rPr>
          <w:rFonts w:hint="cs"/>
          <w:rtl/>
        </w:rPr>
        <w:t>الموحدة</w:t>
      </w:r>
      <w:r w:rsidR="00B3109B" w:rsidRPr="00D026CE">
        <w:rPr>
          <w:rtl/>
        </w:rPr>
        <w:t xml:space="preserve"> حساباتها </w:t>
      </w:r>
      <w:r w:rsidR="00B3109B" w:rsidRPr="00D026CE">
        <w:rPr>
          <w:rFonts w:hint="cs"/>
          <w:rtl/>
        </w:rPr>
        <w:t>مع حسابات</w:t>
      </w:r>
      <w:r w:rsidR="00B3109B" w:rsidRPr="00D026CE">
        <w:rPr>
          <w:rtl/>
        </w:rPr>
        <w:t xml:space="preserve"> البنك</w:t>
      </w:r>
      <w:bookmarkEnd w:id="27"/>
      <w:r w:rsidR="002E77D4" w:rsidRPr="00D026CE">
        <w:rPr>
          <w:rFonts w:hint="cs"/>
          <w:rtl/>
        </w:rPr>
        <w:t xml:space="preserve"> وال</w:t>
      </w:r>
      <w:r w:rsidR="00F843FE" w:rsidRPr="00D026CE">
        <w:rPr>
          <w:rFonts w:hint="cs"/>
          <w:rtl/>
        </w:rPr>
        <w:t>مملوك</w:t>
      </w:r>
      <w:r w:rsidR="008B147C">
        <w:rPr>
          <w:rFonts w:hint="cs"/>
          <w:rtl/>
        </w:rPr>
        <w:t>ة</w:t>
      </w:r>
      <w:r w:rsidR="00F843FE" w:rsidRPr="00D026CE">
        <w:rPr>
          <w:rFonts w:hint="cs"/>
          <w:rtl/>
        </w:rPr>
        <w:t xml:space="preserve"> من قبل طرف ثالث:</w:t>
      </w:r>
    </w:p>
    <w:p w:rsidR="00B3109B" w:rsidRPr="00BF6334" w:rsidRDefault="00AD0C08" w:rsidP="005C20BD">
      <w:pPr>
        <w:ind w:left="1275" w:hanging="567"/>
        <w:rPr>
          <w:b w:val="0"/>
          <w:bCs w:val="0"/>
          <w:rtl/>
        </w:rPr>
      </w:pPr>
      <w:r w:rsidRPr="00BF6334">
        <w:rPr>
          <w:rFonts w:hint="cs"/>
          <w:b w:val="0"/>
          <w:bCs w:val="0"/>
          <w:rtl/>
        </w:rPr>
        <w:t>1.4</w:t>
      </w:r>
      <w:r w:rsidR="00BF6334" w:rsidRPr="00BF6334">
        <w:rPr>
          <w:rFonts w:hint="cs"/>
          <w:b w:val="0"/>
          <w:bCs w:val="0"/>
          <w:rtl/>
        </w:rPr>
        <w:t>.</w:t>
      </w:r>
      <w:r w:rsidR="00DD7664" w:rsidRPr="00BF6334">
        <w:rPr>
          <w:rFonts w:hint="cs"/>
          <w:b w:val="0"/>
          <w:bCs w:val="0"/>
          <w:rtl/>
        </w:rPr>
        <w:tab/>
      </w:r>
      <w:r w:rsidR="002923D3" w:rsidRPr="00BF6334">
        <w:rPr>
          <w:b w:val="0"/>
          <w:bCs w:val="0"/>
          <w:rtl/>
        </w:rPr>
        <w:t>الأسهم العادية</w:t>
      </w:r>
      <w:r w:rsidR="002B1A65" w:rsidRPr="00BF6334">
        <w:rPr>
          <w:rFonts w:hint="cs"/>
          <w:b w:val="0"/>
          <w:bCs w:val="0"/>
          <w:rtl/>
        </w:rPr>
        <w:t xml:space="preserve"> الصادرة </w:t>
      </w:r>
      <w:r w:rsidR="002174AE">
        <w:rPr>
          <w:rFonts w:hint="cs"/>
          <w:b w:val="0"/>
          <w:bCs w:val="0"/>
          <w:rtl/>
        </w:rPr>
        <w:t xml:space="preserve">من </w:t>
      </w:r>
      <w:r w:rsidR="00B3109B" w:rsidRPr="00BF6334">
        <w:rPr>
          <w:b w:val="0"/>
          <w:bCs w:val="0"/>
          <w:rtl/>
        </w:rPr>
        <w:t xml:space="preserve">قبل الشركات التابعة </w:t>
      </w:r>
      <w:r w:rsidR="00B3109B" w:rsidRPr="00BF6334">
        <w:rPr>
          <w:rFonts w:hint="cs"/>
          <w:b w:val="0"/>
          <w:bCs w:val="0"/>
          <w:rtl/>
        </w:rPr>
        <w:t>الموحدة</w:t>
      </w:r>
      <w:r w:rsidR="00B3109B" w:rsidRPr="00BF6334">
        <w:rPr>
          <w:b w:val="0"/>
          <w:bCs w:val="0"/>
          <w:rtl/>
        </w:rPr>
        <w:t xml:space="preserve"> حساباتها </w:t>
      </w:r>
      <w:r w:rsidR="00B3109B" w:rsidRPr="00BF6334">
        <w:rPr>
          <w:rFonts w:hint="cs"/>
          <w:b w:val="0"/>
          <w:bCs w:val="0"/>
          <w:rtl/>
        </w:rPr>
        <w:t>مع حسابات</w:t>
      </w:r>
      <w:r w:rsidR="00B3109B" w:rsidRPr="00BF6334">
        <w:rPr>
          <w:b w:val="0"/>
          <w:bCs w:val="0"/>
          <w:rtl/>
        </w:rPr>
        <w:t xml:space="preserve"> البنك</w:t>
      </w:r>
      <w:r w:rsidR="001242D4" w:rsidRPr="00BF6334">
        <w:rPr>
          <w:rFonts w:hint="cs"/>
          <w:b w:val="0"/>
          <w:bCs w:val="0"/>
          <w:rtl/>
        </w:rPr>
        <w:t>:</w:t>
      </w:r>
    </w:p>
    <w:p w:rsidR="00B3109B" w:rsidRPr="00BF6334" w:rsidRDefault="00B3109B" w:rsidP="000A13C3">
      <w:pPr>
        <w:pStyle w:val="ListParagraph"/>
        <w:spacing w:after="0" w:line="276" w:lineRule="auto"/>
        <w:ind w:left="1275"/>
        <w:rPr>
          <w:b w:val="0"/>
          <w:bCs w:val="0"/>
          <w:rtl/>
        </w:rPr>
      </w:pPr>
      <w:r w:rsidRPr="00BF6334">
        <w:rPr>
          <w:b w:val="0"/>
          <w:bCs w:val="0"/>
          <w:rtl/>
        </w:rPr>
        <w:t xml:space="preserve">يمكن الاعتراف بحقوق الأقلية الناشئة عن إصدار أسهم عادية من قبل شركة تابعة </w:t>
      </w:r>
      <w:r w:rsidRPr="00BF6334">
        <w:rPr>
          <w:rFonts w:hint="cs"/>
          <w:b w:val="0"/>
          <w:bCs w:val="0"/>
          <w:rtl/>
        </w:rPr>
        <w:t>موحدة</w:t>
      </w:r>
      <w:r w:rsidRPr="00BF6334">
        <w:rPr>
          <w:b w:val="0"/>
          <w:bCs w:val="0"/>
          <w:rtl/>
        </w:rPr>
        <w:t xml:space="preserve"> حساباتها </w:t>
      </w:r>
      <w:r w:rsidRPr="00BF6334">
        <w:rPr>
          <w:rFonts w:hint="cs"/>
          <w:b w:val="0"/>
          <w:bCs w:val="0"/>
          <w:rtl/>
        </w:rPr>
        <w:t>مع حسابات</w:t>
      </w:r>
      <w:r w:rsidRPr="00BF6334">
        <w:rPr>
          <w:b w:val="0"/>
          <w:bCs w:val="0"/>
          <w:rtl/>
        </w:rPr>
        <w:t xml:space="preserve"> البنك</w:t>
      </w:r>
      <w:r w:rsidRPr="00BF6334">
        <w:rPr>
          <w:rFonts w:hint="cs"/>
          <w:b w:val="0"/>
          <w:bCs w:val="0"/>
          <w:rtl/>
        </w:rPr>
        <w:t xml:space="preserve"> </w:t>
      </w:r>
      <w:r w:rsidRPr="00BF6334">
        <w:rPr>
          <w:b w:val="0"/>
          <w:bCs w:val="0"/>
          <w:rtl/>
        </w:rPr>
        <w:t xml:space="preserve">ضمن </w:t>
      </w:r>
      <w:r w:rsidR="00F765A0" w:rsidRPr="00BF6334">
        <w:rPr>
          <w:rFonts w:hint="cs"/>
          <w:b w:val="0"/>
          <w:bCs w:val="0"/>
          <w:rtl/>
        </w:rPr>
        <w:t xml:space="preserve">حقوق حملة الأسهم العادية </w:t>
      </w:r>
      <w:r w:rsidRPr="00BF6334">
        <w:rPr>
          <w:rFonts w:hint="cs"/>
          <w:b w:val="0"/>
          <w:bCs w:val="0"/>
          <w:rtl/>
        </w:rPr>
        <w:t>(</w:t>
      </w:r>
      <w:r w:rsidRPr="00BF6334">
        <w:rPr>
          <w:b w:val="0"/>
          <w:bCs w:val="0"/>
        </w:rPr>
        <w:t>(CET1</w:t>
      </w:r>
      <w:r w:rsidRPr="00BF6334">
        <w:rPr>
          <w:b w:val="0"/>
          <w:bCs w:val="0"/>
          <w:rtl/>
        </w:rPr>
        <w:t xml:space="preserve"> </w:t>
      </w:r>
      <w:r w:rsidR="00AA4144" w:rsidRPr="00BF6334">
        <w:rPr>
          <w:rFonts w:hint="cs"/>
          <w:b w:val="0"/>
          <w:bCs w:val="0"/>
          <w:rtl/>
        </w:rPr>
        <w:t>إذا</w:t>
      </w:r>
      <w:r w:rsidRPr="00BF6334">
        <w:rPr>
          <w:b w:val="0"/>
          <w:bCs w:val="0"/>
          <w:rtl/>
        </w:rPr>
        <w:t xml:space="preserve"> توفرت الشروط التالية</w:t>
      </w:r>
      <w:r w:rsidR="002E77D4" w:rsidRPr="00BF6334">
        <w:rPr>
          <w:b w:val="0"/>
          <w:bCs w:val="0"/>
          <w:rtl/>
        </w:rPr>
        <w:t xml:space="preserve"> فقط</w:t>
      </w:r>
      <w:r w:rsidRPr="00BF6334">
        <w:rPr>
          <w:b w:val="0"/>
          <w:bCs w:val="0"/>
          <w:rtl/>
        </w:rPr>
        <w:t>:</w:t>
      </w:r>
    </w:p>
    <w:p w:rsidR="00B3109B" w:rsidRPr="00BF6334" w:rsidRDefault="00190660" w:rsidP="007E6550">
      <w:pPr>
        <w:ind w:left="2126" w:hanging="851"/>
        <w:rPr>
          <w:b w:val="0"/>
          <w:bCs w:val="0"/>
          <w:rtl/>
        </w:rPr>
      </w:pPr>
      <w:r w:rsidRPr="00BF6334">
        <w:rPr>
          <w:rFonts w:hint="cs"/>
          <w:b w:val="0"/>
          <w:bCs w:val="0"/>
          <w:rtl/>
        </w:rPr>
        <w:t>1.1.4</w:t>
      </w:r>
      <w:r w:rsidR="00BF6334">
        <w:rPr>
          <w:rFonts w:hint="cs"/>
          <w:b w:val="0"/>
          <w:bCs w:val="0"/>
          <w:rtl/>
        </w:rPr>
        <w:t>.</w:t>
      </w:r>
      <w:r w:rsidR="00B3109B" w:rsidRPr="00BF6334">
        <w:rPr>
          <w:b w:val="0"/>
          <w:bCs w:val="0"/>
          <w:rtl/>
        </w:rPr>
        <w:tab/>
        <w:t xml:space="preserve">أن تحقق الأداة التي أدت إلى ظهور حقوق الأقلية  جميع معايير التصنيف كأسهم </w:t>
      </w:r>
      <w:r w:rsidR="00B3109B" w:rsidRPr="00BF6334">
        <w:rPr>
          <w:rFonts w:hint="cs"/>
          <w:b w:val="0"/>
          <w:bCs w:val="0"/>
          <w:rtl/>
        </w:rPr>
        <w:t>عادية</w:t>
      </w:r>
      <w:r w:rsidR="00B3109B" w:rsidRPr="00BF6334">
        <w:rPr>
          <w:b w:val="0"/>
          <w:bCs w:val="0"/>
          <w:rtl/>
        </w:rPr>
        <w:t xml:space="preserve"> </w:t>
      </w:r>
      <w:r w:rsidR="00B3109B" w:rsidRPr="00BF6334">
        <w:rPr>
          <w:rFonts w:hint="cs"/>
          <w:b w:val="0"/>
          <w:bCs w:val="0"/>
          <w:rtl/>
        </w:rPr>
        <w:t>لأغراض</w:t>
      </w:r>
      <w:r w:rsidR="00B3109B" w:rsidRPr="00BF6334">
        <w:rPr>
          <w:b w:val="0"/>
          <w:bCs w:val="0"/>
          <w:rtl/>
        </w:rPr>
        <w:t xml:space="preserve"> </w:t>
      </w:r>
      <w:r w:rsidR="00B3109B" w:rsidRPr="00BF6334">
        <w:rPr>
          <w:rFonts w:hint="cs"/>
          <w:b w:val="0"/>
          <w:bCs w:val="0"/>
          <w:rtl/>
        </w:rPr>
        <w:t>رأس</w:t>
      </w:r>
      <w:r w:rsidR="00B3109B" w:rsidRPr="00BF6334">
        <w:rPr>
          <w:b w:val="0"/>
          <w:bCs w:val="0"/>
          <w:rtl/>
        </w:rPr>
        <w:t xml:space="preserve"> المال </w:t>
      </w:r>
      <w:r w:rsidR="00BA445D" w:rsidRPr="00BF6334">
        <w:rPr>
          <w:rFonts w:hint="cs"/>
          <w:b w:val="0"/>
          <w:bCs w:val="0"/>
          <w:rtl/>
        </w:rPr>
        <w:t>التنظيمي</w:t>
      </w:r>
      <w:r w:rsidR="00AA4144" w:rsidRPr="00BF6334">
        <w:rPr>
          <w:rFonts w:hint="cs"/>
          <w:b w:val="0"/>
          <w:bCs w:val="0"/>
          <w:rtl/>
        </w:rPr>
        <w:t xml:space="preserve"> (</w:t>
      </w:r>
      <w:r w:rsidR="002B1A65" w:rsidRPr="00BF6334">
        <w:rPr>
          <w:rFonts w:hint="cs"/>
          <w:b w:val="0"/>
          <w:bCs w:val="0"/>
          <w:rtl/>
        </w:rPr>
        <w:t xml:space="preserve"> كما أنها لو </w:t>
      </w:r>
      <w:r w:rsidR="00AA4144" w:rsidRPr="00BF6334">
        <w:rPr>
          <w:b w:val="0"/>
          <w:bCs w:val="0"/>
          <w:rtl/>
        </w:rPr>
        <w:t xml:space="preserve">صدرت عن البنك </w:t>
      </w:r>
      <w:r w:rsidR="00EB718B" w:rsidRPr="00BF6334">
        <w:rPr>
          <w:rFonts w:hint="cs"/>
          <w:b w:val="0"/>
          <w:bCs w:val="0"/>
          <w:rtl/>
        </w:rPr>
        <w:t>نفسه</w:t>
      </w:r>
      <w:r w:rsidR="00AA4144" w:rsidRPr="00BF6334">
        <w:rPr>
          <w:rFonts w:hint="cs"/>
          <w:b w:val="0"/>
          <w:bCs w:val="0"/>
          <w:rtl/>
        </w:rPr>
        <w:t>)</w:t>
      </w:r>
      <w:r w:rsidR="00B3109B" w:rsidRPr="00BF6334">
        <w:rPr>
          <w:b w:val="0"/>
          <w:bCs w:val="0"/>
          <w:rtl/>
        </w:rPr>
        <w:t>.</w:t>
      </w:r>
    </w:p>
    <w:p w:rsidR="002174AE" w:rsidRDefault="00190660" w:rsidP="007E6550">
      <w:pPr>
        <w:ind w:left="2126" w:hanging="851"/>
        <w:rPr>
          <w:b w:val="0"/>
          <w:bCs w:val="0"/>
          <w:rtl/>
        </w:rPr>
      </w:pPr>
      <w:r w:rsidRPr="00BF6334">
        <w:rPr>
          <w:rFonts w:hint="cs"/>
          <w:b w:val="0"/>
          <w:bCs w:val="0"/>
          <w:rtl/>
        </w:rPr>
        <w:t>2.1.4</w:t>
      </w:r>
      <w:r w:rsidR="00BF6334">
        <w:rPr>
          <w:rFonts w:hint="cs"/>
          <w:b w:val="0"/>
          <w:bCs w:val="0"/>
          <w:rtl/>
        </w:rPr>
        <w:t>.</w:t>
      </w:r>
      <w:r w:rsidR="00B3109B" w:rsidRPr="00BF6334">
        <w:rPr>
          <w:b w:val="0"/>
          <w:bCs w:val="0"/>
          <w:rtl/>
        </w:rPr>
        <w:tab/>
        <w:t>ان تكون الشركة التابعة التي أصدرت الأسهم بنك</w:t>
      </w:r>
      <w:r w:rsidR="008B147C" w:rsidRPr="00BF6334">
        <w:rPr>
          <w:rFonts w:hint="cs"/>
          <w:b w:val="0"/>
          <w:bCs w:val="0"/>
          <w:rtl/>
        </w:rPr>
        <w:t>اً</w:t>
      </w:r>
      <w:r w:rsidR="002174AE">
        <w:rPr>
          <w:rFonts w:hint="cs"/>
          <w:b w:val="0"/>
          <w:bCs w:val="0"/>
          <w:rtl/>
        </w:rPr>
        <w:t>.</w:t>
      </w:r>
    </w:p>
    <w:p w:rsidR="00B3109B" w:rsidRPr="00BF6334" w:rsidRDefault="002174AE" w:rsidP="002174AE">
      <w:pPr>
        <w:ind w:left="2126" w:hanging="851"/>
        <w:rPr>
          <w:b w:val="0"/>
          <w:bCs w:val="0"/>
          <w:rtl/>
        </w:rPr>
      </w:pPr>
      <w:r>
        <w:rPr>
          <w:rFonts w:hint="cs"/>
          <w:b w:val="0"/>
          <w:bCs w:val="0"/>
          <w:rtl/>
        </w:rPr>
        <w:t xml:space="preserve">3.1.4. </w:t>
      </w:r>
      <w:r w:rsidR="00B3109B" w:rsidRPr="00BF6334">
        <w:rPr>
          <w:b w:val="0"/>
          <w:bCs w:val="0"/>
          <w:rtl/>
        </w:rPr>
        <w:t xml:space="preserve">سيتم احتساب قيمة حقوق الأقلية التي يعترف بها ضمن </w:t>
      </w:r>
      <w:r w:rsidR="00F765A0" w:rsidRPr="00BF6334">
        <w:rPr>
          <w:rFonts w:hint="cs"/>
          <w:b w:val="0"/>
          <w:bCs w:val="0"/>
          <w:rtl/>
        </w:rPr>
        <w:t>حقوق حملة الأسهم العادية</w:t>
      </w:r>
      <w:r w:rsidR="00BB1574">
        <w:rPr>
          <w:b w:val="0"/>
          <w:bCs w:val="0"/>
          <w:rtl/>
        </w:rPr>
        <w:br/>
      </w:r>
      <w:r w:rsidR="00B3109B" w:rsidRPr="00BF6334">
        <w:rPr>
          <w:rFonts w:hint="cs"/>
          <w:b w:val="0"/>
          <w:bCs w:val="0"/>
          <w:rtl/>
        </w:rPr>
        <w:t>(</w:t>
      </w:r>
      <w:r w:rsidR="00B3109B" w:rsidRPr="00BF6334">
        <w:rPr>
          <w:b w:val="0"/>
          <w:bCs w:val="0"/>
        </w:rPr>
        <w:t xml:space="preserve"> (CET1</w:t>
      </w:r>
      <w:r w:rsidR="00940CD5" w:rsidRPr="00BF6334">
        <w:rPr>
          <w:b w:val="0"/>
          <w:bCs w:val="0"/>
          <w:rtl/>
        </w:rPr>
        <w:t>الموحدة</w:t>
      </w:r>
      <w:r w:rsidR="00B3109B" w:rsidRPr="00BF6334">
        <w:rPr>
          <w:rFonts w:hint="cs"/>
          <w:b w:val="0"/>
          <w:bCs w:val="0"/>
          <w:rtl/>
        </w:rPr>
        <w:t xml:space="preserve"> </w:t>
      </w:r>
      <w:r w:rsidR="00B3109B" w:rsidRPr="00BF6334">
        <w:rPr>
          <w:b w:val="0"/>
          <w:bCs w:val="0"/>
          <w:rtl/>
        </w:rPr>
        <w:t>التي تحق</w:t>
      </w:r>
      <w:r w:rsidR="00940CD5" w:rsidRPr="00BF6334">
        <w:rPr>
          <w:b w:val="0"/>
          <w:bCs w:val="0"/>
          <w:rtl/>
        </w:rPr>
        <w:t xml:space="preserve">ق </w:t>
      </w:r>
      <w:r>
        <w:rPr>
          <w:rFonts w:hint="cs"/>
          <w:b w:val="0"/>
          <w:bCs w:val="0"/>
          <w:rtl/>
        </w:rPr>
        <w:t>الشرطين</w:t>
      </w:r>
      <w:r w:rsidRPr="00BF6334">
        <w:rPr>
          <w:b w:val="0"/>
          <w:bCs w:val="0"/>
          <w:rtl/>
        </w:rPr>
        <w:t xml:space="preserve"> </w:t>
      </w:r>
      <w:r w:rsidR="00940CD5" w:rsidRPr="00BF6334">
        <w:rPr>
          <w:b w:val="0"/>
          <w:bCs w:val="0"/>
          <w:rtl/>
        </w:rPr>
        <w:t>أعلاه على النحو التالي</w:t>
      </w:r>
      <w:r w:rsidR="00B3109B" w:rsidRPr="00BF6334">
        <w:rPr>
          <w:b w:val="0"/>
          <w:bCs w:val="0"/>
          <w:rtl/>
        </w:rPr>
        <w:t>:</w:t>
      </w:r>
    </w:p>
    <w:p w:rsidR="00BF6334" w:rsidRPr="00BF6334" w:rsidRDefault="00B3109B" w:rsidP="007E6550">
      <w:pPr>
        <w:pStyle w:val="ListParagraph"/>
        <w:numPr>
          <w:ilvl w:val="0"/>
          <w:numId w:val="29"/>
        </w:numPr>
        <w:ind w:left="2409" w:hanging="283"/>
        <w:rPr>
          <w:b w:val="0"/>
          <w:bCs w:val="0"/>
        </w:rPr>
      </w:pPr>
      <w:r w:rsidRPr="00BF6334">
        <w:rPr>
          <w:b w:val="0"/>
          <w:bCs w:val="0"/>
          <w:rtl/>
        </w:rPr>
        <w:t xml:space="preserve">مجموع حقوق الأقلية التي تحقق </w:t>
      </w:r>
      <w:r w:rsidR="002B1A65" w:rsidRPr="00BF6334">
        <w:rPr>
          <w:rFonts w:hint="cs"/>
          <w:b w:val="0"/>
          <w:bCs w:val="0"/>
          <w:rtl/>
        </w:rPr>
        <w:t>الشرطين</w:t>
      </w:r>
      <w:r w:rsidR="002B1A65" w:rsidRPr="00BF6334">
        <w:rPr>
          <w:b w:val="0"/>
          <w:bCs w:val="0"/>
          <w:rtl/>
        </w:rPr>
        <w:t xml:space="preserve"> </w:t>
      </w:r>
      <w:r w:rsidRPr="00BF6334">
        <w:rPr>
          <w:b w:val="0"/>
          <w:bCs w:val="0"/>
          <w:rtl/>
        </w:rPr>
        <w:t xml:space="preserve">أعلاه مطروحاً منه الفائض في </w:t>
      </w:r>
      <w:r w:rsidR="00F765A0" w:rsidRPr="00BF6334">
        <w:rPr>
          <w:rFonts w:hint="cs"/>
          <w:b w:val="0"/>
          <w:bCs w:val="0"/>
          <w:rtl/>
        </w:rPr>
        <w:t>حقوق حملة الأسهم العادية</w:t>
      </w:r>
      <w:r w:rsidR="00190660" w:rsidRPr="00BF6334">
        <w:rPr>
          <w:rFonts w:hint="cs"/>
          <w:b w:val="0"/>
          <w:bCs w:val="0"/>
          <w:rtl/>
        </w:rPr>
        <w:t xml:space="preserve"> </w:t>
      </w:r>
      <w:r w:rsidRPr="00BF6334">
        <w:rPr>
          <w:rFonts w:hint="cs"/>
          <w:b w:val="0"/>
          <w:bCs w:val="0"/>
          <w:rtl/>
        </w:rPr>
        <w:t>(</w:t>
      </w:r>
      <w:r w:rsidRPr="00BF6334">
        <w:rPr>
          <w:b w:val="0"/>
          <w:bCs w:val="0"/>
        </w:rPr>
        <w:t>(CET1</w:t>
      </w:r>
      <w:r w:rsidR="009D1555" w:rsidRPr="00BF6334">
        <w:rPr>
          <w:rFonts w:hint="cs"/>
          <w:b w:val="0"/>
          <w:bCs w:val="0"/>
          <w:rtl/>
        </w:rPr>
        <w:t xml:space="preserve"> </w:t>
      </w:r>
      <w:r w:rsidRPr="00BF6334">
        <w:rPr>
          <w:b w:val="0"/>
          <w:bCs w:val="0"/>
          <w:rtl/>
        </w:rPr>
        <w:t>للشركة التابعة الذي يخص المساهمين من أصحاب حقوق الأقلية.</w:t>
      </w:r>
    </w:p>
    <w:p w:rsidR="00B3109B" w:rsidRPr="00BF6334" w:rsidRDefault="00B3109B" w:rsidP="007E6550">
      <w:pPr>
        <w:pStyle w:val="ListParagraph"/>
        <w:numPr>
          <w:ilvl w:val="0"/>
          <w:numId w:val="29"/>
        </w:numPr>
        <w:ind w:left="2409" w:hanging="283"/>
        <w:rPr>
          <w:b w:val="0"/>
          <w:bCs w:val="0"/>
        </w:rPr>
      </w:pPr>
      <w:r w:rsidRPr="00BF6334">
        <w:rPr>
          <w:b w:val="0"/>
          <w:bCs w:val="0"/>
          <w:rtl/>
        </w:rPr>
        <w:lastRenderedPageBreak/>
        <w:t xml:space="preserve">الفائض في </w:t>
      </w:r>
      <w:r w:rsidR="00F765A0" w:rsidRPr="00BF6334">
        <w:rPr>
          <w:rFonts w:hint="cs"/>
          <w:b w:val="0"/>
          <w:bCs w:val="0"/>
          <w:rtl/>
        </w:rPr>
        <w:t xml:space="preserve">حقوق حملة الأسهم العادية </w:t>
      </w:r>
      <w:r w:rsidRPr="00BF6334">
        <w:rPr>
          <w:rFonts w:hint="cs"/>
          <w:b w:val="0"/>
          <w:bCs w:val="0"/>
          <w:rtl/>
        </w:rPr>
        <w:t>(</w:t>
      </w:r>
      <w:r w:rsidRPr="00BF6334">
        <w:rPr>
          <w:b w:val="0"/>
          <w:bCs w:val="0"/>
        </w:rPr>
        <w:t>(CET1</w:t>
      </w:r>
      <w:r w:rsidRPr="00BF6334">
        <w:rPr>
          <w:rFonts w:hint="cs"/>
          <w:b w:val="0"/>
          <w:bCs w:val="0"/>
          <w:rtl/>
        </w:rPr>
        <w:t xml:space="preserve"> </w:t>
      </w:r>
      <w:r w:rsidRPr="00BF6334">
        <w:rPr>
          <w:b w:val="0"/>
          <w:bCs w:val="0"/>
          <w:rtl/>
        </w:rPr>
        <w:t xml:space="preserve">من </w:t>
      </w:r>
      <w:r w:rsidRPr="00BF6334">
        <w:rPr>
          <w:rFonts w:hint="cs"/>
          <w:b w:val="0"/>
          <w:bCs w:val="0"/>
          <w:rtl/>
        </w:rPr>
        <w:t>رأس</w:t>
      </w:r>
      <w:r w:rsidRPr="00BF6334">
        <w:rPr>
          <w:b w:val="0"/>
          <w:bCs w:val="0"/>
          <w:rtl/>
        </w:rPr>
        <w:t xml:space="preserve">مال الشركة التابعة يساوي </w:t>
      </w:r>
      <w:r w:rsidR="00F765A0" w:rsidRPr="00BF6334">
        <w:rPr>
          <w:rFonts w:hint="cs"/>
          <w:b w:val="0"/>
          <w:bCs w:val="0"/>
          <w:rtl/>
        </w:rPr>
        <w:t xml:space="preserve">حقوق حملة الأسهم العادية </w:t>
      </w:r>
      <w:r w:rsidRPr="00BF6334">
        <w:rPr>
          <w:rFonts w:hint="cs"/>
          <w:b w:val="0"/>
          <w:bCs w:val="0"/>
          <w:rtl/>
        </w:rPr>
        <w:t>(</w:t>
      </w:r>
      <w:r w:rsidRPr="00BF6334">
        <w:rPr>
          <w:b w:val="0"/>
          <w:bCs w:val="0"/>
        </w:rPr>
        <w:t>(CET1</w:t>
      </w:r>
      <w:r w:rsidR="00164670" w:rsidRPr="00BF6334">
        <w:rPr>
          <w:rFonts w:hint="cs"/>
          <w:b w:val="0"/>
          <w:bCs w:val="0"/>
          <w:rtl/>
        </w:rPr>
        <w:t xml:space="preserve"> </w:t>
      </w:r>
      <w:r w:rsidRPr="00BF6334">
        <w:rPr>
          <w:b w:val="0"/>
          <w:bCs w:val="0"/>
          <w:rtl/>
        </w:rPr>
        <w:t xml:space="preserve">للشركة التابعة مطروحاً منه </w:t>
      </w:r>
      <w:r w:rsidRPr="00BF6334">
        <w:rPr>
          <w:rFonts w:hint="cs"/>
          <w:b w:val="0"/>
          <w:bCs w:val="0"/>
          <w:rtl/>
        </w:rPr>
        <w:t xml:space="preserve">القيمة </w:t>
      </w:r>
      <w:r w:rsidRPr="00BF6334">
        <w:rPr>
          <w:b w:val="0"/>
          <w:bCs w:val="0"/>
          <w:rtl/>
        </w:rPr>
        <w:t xml:space="preserve">الأقل من </w:t>
      </w:r>
      <w:r w:rsidR="001242D4" w:rsidRPr="00BF6334">
        <w:rPr>
          <w:rFonts w:hint="cs"/>
          <w:b w:val="0"/>
          <w:bCs w:val="0"/>
          <w:rtl/>
        </w:rPr>
        <w:t>أي</w:t>
      </w:r>
      <w:r w:rsidRPr="00BF6334">
        <w:rPr>
          <w:rFonts w:hint="cs"/>
          <w:b w:val="0"/>
          <w:bCs w:val="0"/>
          <w:rtl/>
        </w:rPr>
        <w:t xml:space="preserve"> من </w:t>
      </w:r>
      <w:r w:rsidR="001242D4" w:rsidRPr="00BF6334">
        <w:rPr>
          <w:rFonts w:hint="cs"/>
          <w:b w:val="0"/>
          <w:bCs w:val="0"/>
          <w:rtl/>
        </w:rPr>
        <w:t>الآتي</w:t>
      </w:r>
      <w:r w:rsidRPr="00BF6334">
        <w:rPr>
          <w:b w:val="0"/>
          <w:bCs w:val="0"/>
          <w:rtl/>
        </w:rPr>
        <w:t>:</w:t>
      </w:r>
    </w:p>
    <w:p w:rsidR="00B3109B" w:rsidRDefault="00AF1543" w:rsidP="007E6550">
      <w:pPr>
        <w:pStyle w:val="ListParagraph"/>
        <w:ind w:left="2693" w:hanging="284"/>
        <w:rPr>
          <w:rtl/>
          <w:lang w:bidi="ar-JO"/>
        </w:rPr>
      </w:pPr>
      <w:r w:rsidRPr="00AE291C">
        <w:rPr>
          <w:rFonts w:hint="cs"/>
          <w:rtl/>
        </w:rPr>
        <w:t>أ.</w:t>
      </w:r>
      <w:r w:rsidR="00B3109B" w:rsidRPr="00AE291C">
        <w:rPr>
          <w:rtl/>
        </w:rPr>
        <w:tab/>
      </w:r>
      <w:r w:rsidR="00B3109B" w:rsidRPr="00AE291C">
        <w:rPr>
          <w:b w:val="0"/>
          <w:bCs w:val="0"/>
          <w:rtl/>
        </w:rPr>
        <w:t xml:space="preserve">الحد الأدنى لرأس المال المطلوب من الشركة التابعة على شكل </w:t>
      </w:r>
      <w:r w:rsidR="00F765A0" w:rsidRPr="00AE291C">
        <w:rPr>
          <w:rFonts w:hint="cs"/>
          <w:b w:val="0"/>
          <w:bCs w:val="0"/>
          <w:rtl/>
        </w:rPr>
        <w:t>حقوق حملة الأسهم العادية</w:t>
      </w:r>
      <w:r w:rsidR="009D1555" w:rsidRPr="00AE291C">
        <w:rPr>
          <w:rFonts w:hint="cs"/>
          <w:b w:val="0"/>
          <w:bCs w:val="0"/>
          <w:rtl/>
        </w:rPr>
        <w:t xml:space="preserve"> (</w:t>
      </w:r>
      <w:r w:rsidR="009D1555" w:rsidRPr="00AE291C">
        <w:rPr>
          <w:b w:val="0"/>
          <w:bCs w:val="0"/>
        </w:rPr>
        <w:t>CET1</w:t>
      </w:r>
      <w:r w:rsidR="009D1555" w:rsidRPr="00AE291C">
        <w:rPr>
          <w:rFonts w:hint="cs"/>
          <w:b w:val="0"/>
          <w:bCs w:val="0"/>
          <w:rtl/>
          <w:lang w:bidi="ar-JO"/>
        </w:rPr>
        <w:t>) مض</w:t>
      </w:r>
      <w:r w:rsidR="00B3109B" w:rsidRPr="00AE291C">
        <w:rPr>
          <w:b w:val="0"/>
          <w:bCs w:val="0"/>
          <w:rtl/>
        </w:rPr>
        <w:t xml:space="preserve">افاً إليه رأس المال </w:t>
      </w:r>
      <w:r w:rsidR="00940CD5" w:rsidRPr="00AE291C">
        <w:rPr>
          <w:rFonts w:hint="cs"/>
          <w:b w:val="0"/>
          <w:bCs w:val="0"/>
          <w:rtl/>
        </w:rPr>
        <w:t>التحفظي (</w:t>
      </w:r>
      <w:r w:rsidR="00A33955" w:rsidRPr="00AE291C">
        <w:rPr>
          <w:b w:val="0"/>
          <w:bCs w:val="0"/>
        </w:rPr>
        <w:t>Conservation Buffer</w:t>
      </w:r>
      <w:r w:rsidR="00A33955" w:rsidRPr="00AE291C">
        <w:rPr>
          <w:rFonts w:hint="cs"/>
          <w:b w:val="0"/>
          <w:bCs w:val="0"/>
          <w:rtl/>
          <w:lang w:bidi="ar-JO"/>
        </w:rPr>
        <w:t>) [</w:t>
      </w:r>
      <w:r w:rsidR="00865DDA" w:rsidRPr="00AE291C">
        <w:rPr>
          <w:rFonts w:hint="cs"/>
          <w:b w:val="0"/>
          <w:bCs w:val="0"/>
          <w:rtl/>
          <w:lang w:bidi="ar-JO"/>
        </w:rPr>
        <w:t>8.5</w:t>
      </w:r>
      <w:r w:rsidR="00A33955" w:rsidRPr="00AE291C">
        <w:rPr>
          <w:rFonts w:hint="cs"/>
          <w:b w:val="0"/>
          <w:bCs w:val="0"/>
          <w:rtl/>
          <w:lang w:bidi="ar-JO"/>
        </w:rPr>
        <w:t>% من الموجودات المرجحة بالمخاطر للشركة التابعة].</w:t>
      </w:r>
      <w:r w:rsidR="00A33955" w:rsidRPr="00AE291C">
        <w:rPr>
          <w:rFonts w:hint="cs"/>
          <w:rtl/>
          <w:lang w:bidi="ar-JO"/>
        </w:rPr>
        <w:t xml:space="preserve"> </w:t>
      </w:r>
    </w:p>
    <w:p w:rsidR="00B3109B" w:rsidRPr="00BF6334" w:rsidRDefault="00AF1543" w:rsidP="007E6550">
      <w:pPr>
        <w:pStyle w:val="ListParagraph"/>
        <w:ind w:left="2693" w:hanging="284"/>
        <w:rPr>
          <w:b w:val="0"/>
          <w:bCs w:val="0"/>
          <w:rtl/>
        </w:rPr>
      </w:pPr>
      <w:r w:rsidRPr="00BF6334">
        <w:rPr>
          <w:rFonts w:hint="cs"/>
          <w:b w:val="0"/>
          <w:bCs w:val="0"/>
          <w:rtl/>
        </w:rPr>
        <w:t>ب.</w:t>
      </w:r>
      <w:r w:rsidR="00B3109B" w:rsidRPr="00BF6334">
        <w:rPr>
          <w:b w:val="0"/>
          <w:bCs w:val="0"/>
          <w:rtl/>
        </w:rPr>
        <w:tab/>
      </w:r>
      <w:r w:rsidR="00486906" w:rsidRPr="00BF6334">
        <w:rPr>
          <w:rFonts w:hint="cs"/>
          <w:b w:val="0"/>
          <w:bCs w:val="0"/>
          <w:rtl/>
        </w:rPr>
        <w:t xml:space="preserve">حصة الشركة التابعة من </w:t>
      </w:r>
      <w:r w:rsidR="00F765A0" w:rsidRPr="00BF6334">
        <w:rPr>
          <w:rFonts w:hint="cs"/>
          <w:b w:val="0"/>
          <w:bCs w:val="0"/>
          <w:rtl/>
        </w:rPr>
        <w:t>حقوق حملة الأسهم</w:t>
      </w:r>
      <w:r w:rsidR="009D1555" w:rsidRPr="00BF6334">
        <w:rPr>
          <w:rFonts w:hint="cs"/>
          <w:b w:val="0"/>
          <w:bCs w:val="0"/>
          <w:rtl/>
        </w:rPr>
        <w:t xml:space="preserve"> (</w:t>
      </w:r>
      <w:r w:rsidR="009D1555" w:rsidRPr="00BF6334">
        <w:rPr>
          <w:b w:val="0"/>
          <w:bCs w:val="0"/>
        </w:rPr>
        <w:t>CET1</w:t>
      </w:r>
      <w:r w:rsidR="009D1555" w:rsidRPr="00BF6334">
        <w:rPr>
          <w:rFonts w:hint="cs"/>
          <w:b w:val="0"/>
          <w:bCs w:val="0"/>
          <w:rtl/>
          <w:lang w:bidi="ar-JO"/>
        </w:rPr>
        <w:t xml:space="preserve">) </w:t>
      </w:r>
      <w:r w:rsidR="00B3109B" w:rsidRPr="00BF6334">
        <w:rPr>
          <w:b w:val="0"/>
          <w:bCs w:val="0"/>
          <w:rtl/>
        </w:rPr>
        <w:t xml:space="preserve">المجمعة مضافاً إليه </w:t>
      </w:r>
      <w:r w:rsidR="00A33955" w:rsidRPr="00BF6334">
        <w:rPr>
          <w:b w:val="0"/>
          <w:bCs w:val="0"/>
          <w:rtl/>
        </w:rPr>
        <w:t xml:space="preserve">رأس المال </w:t>
      </w:r>
      <w:r w:rsidR="00A33955" w:rsidRPr="00BF6334">
        <w:rPr>
          <w:rFonts w:hint="cs"/>
          <w:b w:val="0"/>
          <w:bCs w:val="0"/>
          <w:rtl/>
        </w:rPr>
        <w:t>التحفظي (</w:t>
      </w:r>
      <w:r w:rsidR="00A33955" w:rsidRPr="00BF6334">
        <w:rPr>
          <w:b w:val="0"/>
          <w:bCs w:val="0"/>
        </w:rPr>
        <w:t>Conservation Buffer</w:t>
      </w:r>
      <w:r w:rsidR="00A33955" w:rsidRPr="00BF6334">
        <w:rPr>
          <w:rFonts w:hint="cs"/>
          <w:b w:val="0"/>
          <w:bCs w:val="0"/>
          <w:rtl/>
          <w:lang w:bidi="ar-JO"/>
        </w:rPr>
        <w:t>) [</w:t>
      </w:r>
      <w:r w:rsidR="00865DDA" w:rsidRPr="00BF6334">
        <w:rPr>
          <w:rFonts w:hint="cs"/>
          <w:b w:val="0"/>
          <w:bCs w:val="0"/>
          <w:rtl/>
          <w:lang w:bidi="ar-JO"/>
        </w:rPr>
        <w:t>8.5</w:t>
      </w:r>
      <w:r w:rsidR="00A33955" w:rsidRPr="00BF6334">
        <w:rPr>
          <w:rFonts w:hint="cs"/>
          <w:b w:val="0"/>
          <w:bCs w:val="0"/>
          <w:rtl/>
          <w:lang w:bidi="ar-JO"/>
        </w:rPr>
        <w:t xml:space="preserve">% </w:t>
      </w:r>
      <w:r w:rsidR="00431976" w:rsidRPr="00BF6334">
        <w:rPr>
          <w:rStyle w:val="FootnoteReference"/>
          <w:b w:val="0"/>
          <w:bCs w:val="0"/>
          <w:rtl/>
          <w:lang w:bidi="ar-JO"/>
        </w:rPr>
        <w:footnoteReference w:id="12"/>
      </w:r>
      <w:r w:rsidR="00A33955" w:rsidRPr="00BF6334">
        <w:rPr>
          <w:rFonts w:hint="cs"/>
          <w:b w:val="0"/>
          <w:bCs w:val="0"/>
          <w:rtl/>
          <w:lang w:bidi="ar-JO"/>
        </w:rPr>
        <w:t>من الموجودات ا</w:t>
      </w:r>
      <w:r w:rsidR="00486906" w:rsidRPr="00BF6334">
        <w:rPr>
          <w:rFonts w:hint="cs"/>
          <w:b w:val="0"/>
          <w:bCs w:val="0"/>
          <w:rtl/>
          <w:lang w:bidi="ar-JO"/>
        </w:rPr>
        <w:t>لمرجحة بالمخاطر للبيانات مجمعة</w:t>
      </w:r>
      <w:r w:rsidR="00362F64" w:rsidRPr="00BF6334">
        <w:rPr>
          <w:rFonts w:hint="cs"/>
          <w:b w:val="0"/>
          <w:bCs w:val="0"/>
          <w:rtl/>
          <w:lang w:bidi="ar-JO"/>
        </w:rPr>
        <w:t xml:space="preserve"> التي تخص الشركة التابعة</w:t>
      </w:r>
      <w:r w:rsidR="00486906" w:rsidRPr="00BF6334">
        <w:rPr>
          <w:rFonts w:hint="cs"/>
          <w:b w:val="0"/>
          <w:bCs w:val="0"/>
          <w:rtl/>
          <w:lang w:bidi="ar-JO"/>
        </w:rPr>
        <w:t>].</w:t>
      </w:r>
    </w:p>
    <w:p w:rsidR="00B3109B" w:rsidRPr="00BF6334" w:rsidRDefault="00B3109B" w:rsidP="007E6550">
      <w:pPr>
        <w:pStyle w:val="ListParagraph"/>
        <w:numPr>
          <w:ilvl w:val="0"/>
          <w:numId w:val="29"/>
        </w:numPr>
        <w:ind w:left="2409" w:hanging="283"/>
        <w:rPr>
          <w:b w:val="0"/>
          <w:bCs w:val="0"/>
          <w:rtl/>
        </w:rPr>
      </w:pPr>
      <w:r w:rsidRPr="00BF6334">
        <w:rPr>
          <w:rFonts w:hint="cs"/>
          <w:b w:val="0"/>
          <w:bCs w:val="0"/>
          <w:rtl/>
        </w:rPr>
        <w:t xml:space="preserve">يحتسب مبلغ الفائض في </w:t>
      </w:r>
      <w:r w:rsidR="00F765A0" w:rsidRPr="00BF6334">
        <w:rPr>
          <w:rFonts w:hint="cs"/>
          <w:b w:val="0"/>
          <w:bCs w:val="0"/>
          <w:rtl/>
        </w:rPr>
        <w:t>حقوق حملة الأسهم العادية</w:t>
      </w:r>
      <w:r w:rsidR="00AE291C">
        <w:rPr>
          <w:rFonts w:hint="cs"/>
          <w:b w:val="0"/>
          <w:bCs w:val="0"/>
          <w:rtl/>
        </w:rPr>
        <w:t xml:space="preserve"> </w:t>
      </w:r>
      <w:r w:rsidRPr="00BF6334">
        <w:rPr>
          <w:rFonts w:hint="cs"/>
          <w:b w:val="0"/>
          <w:bCs w:val="0"/>
          <w:rtl/>
        </w:rPr>
        <w:t>(</w:t>
      </w:r>
      <w:r w:rsidRPr="00BF6334">
        <w:rPr>
          <w:b w:val="0"/>
          <w:bCs w:val="0"/>
        </w:rPr>
        <w:t xml:space="preserve"> (CET1</w:t>
      </w:r>
      <w:r w:rsidRPr="00BF6334">
        <w:rPr>
          <w:rFonts w:hint="cs"/>
          <w:b w:val="0"/>
          <w:bCs w:val="0"/>
          <w:rtl/>
        </w:rPr>
        <w:t xml:space="preserve">الذي يخص حقوق الأقلية بضرب الفائض في </w:t>
      </w:r>
      <w:r w:rsidR="00F765A0" w:rsidRPr="00BF6334">
        <w:rPr>
          <w:rFonts w:hint="cs"/>
          <w:b w:val="0"/>
          <w:bCs w:val="0"/>
          <w:rtl/>
        </w:rPr>
        <w:t xml:space="preserve">حقوق حملة الأسهم العادية </w:t>
      </w:r>
      <w:r w:rsidRPr="00BF6334">
        <w:rPr>
          <w:rFonts w:hint="cs"/>
          <w:b w:val="0"/>
          <w:bCs w:val="0"/>
          <w:rtl/>
        </w:rPr>
        <w:t>(</w:t>
      </w:r>
      <w:r w:rsidRPr="00BF6334">
        <w:rPr>
          <w:b w:val="0"/>
          <w:bCs w:val="0"/>
        </w:rPr>
        <w:t xml:space="preserve"> (CET1</w:t>
      </w:r>
      <w:r w:rsidRPr="00BF6334">
        <w:rPr>
          <w:rFonts w:hint="cs"/>
          <w:b w:val="0"/>
          <w:bCs w:val="0"/>
          <w:rtl/>
        </w:rPr>
        <w:t xml:space="preserve">بنسبة ملكية أصحاب حقوق الأقلية في </w:t>
      </w:r>
      <w:r w:rsidR="00F765A0" w:rsidRPr="00BF6334">
        <w:rPr>
          <w:rFonts w:hint="cs"/>
          <w:b w:val="0"/>
          <w:bCs w:val="0"/>
          <w:rtl/>
        </w:rPr>
        <w:t xml:space="preserve">حقوق حملة الأسهم العادية </w:t>
      </w:r>
      <w:r w:rsidRPr="00BF6334">
        <w:rPr>
          <w:rFonts w:hint="cs"/>
          <w:b w:val="0"/>
          <w:bCs w:val="0"/>
          <w:rtl/>
        </w:rPr>
        <w:t>(</w:t>
      </w:r>
      <w:r w:rsidRPr="00BF6334">
        <w:rPr>
          <w:b w:val="0"/>
          <w:bCs w:val="0"/>
        </w:rPr>
        <w:t>(CET1</w:t>
      </w:r>
      <w:r w:rsidRPr="00BF6334">
        <w:rPr>
          <w:rFonts w:hint="cs"/>
          <w:b w:val="0"/>
          <w:bCs w:val="0"/>
          <w:rtl/>
        </w:rPr>
        <w:t>.</w:t>
      </w:r>
    </w:p>
    <w:p w:rsidR="006F5848" w:rsidRPr="00415D2E" w:rsidRDefault="007E6550" w:rsidP="007E6550">
      <w:pPr>
        <w:pStyle w:val="ListParagraph"/>
        <w:spacing w:line="276" w:lineRule="auto"/>
        <w:ind w:left="2285" w:hanging="301"/>
        <w:rPr>
          <w:b w:val="0"/>
          <w:bCs w:val="0"/>
        </w:rPr>
      </w:pPr>
      <w:r>
        <w:rPr>
          <w:rFonts w:hint="cs"/>
          <w:b w:val="0"/>
          <w:bCs w:val="0"/>
          <w:rtl/>
        </w:rPr>
        <w:t xml:space="preserve"> </w:t>
      </w:r>
      <w:r w:rsidR="00AA4144" w:rsidRPr="00BF6334">
        <w:rPr>
          <w:rFonts w:hint="cs"/>
          <w:b w:val="0"/>
          <w:bCs w:val="0"/>
          <w:rtl/>
        </w:rPr>
        <w:t xml:space="preserve">ويوضح </w:t>
      </w:r>
      <w:r w:rsidR="00CA6D85" w:rsidRPr="00BF6334">
        <w:rPr>
          <w:rFonts w:hint="cs"/>
          <w:b w:val="0"/>
          <w:bCs w:val="0"/>
          <w:rtl/>
        </w:rPr>
        <w:t>الملحق</w:t>
      </w:r>
      <w:r w:rsidR="00AA4144" w:rsidRPr="00BF6334">
        <w:rPr>
          <w:rFonts w:hint="cs"/>
          <w:b w:val="0"/>
          <w:bCs w:val="0"/>
          <w:rtl/>
        </w:rPr>
        <w:t xml:space="preserve"> رقم </w:t>
      </w:r>
      <w:r w:rsidR="002F2C40" w:rsidRPr="00BF6334">
        <w:rPr>
          <w:rFonts w:hint="cs"/>
          <w:b w:val="0"/>
          <w:bCs w:val="0"/>
          <w:rtl/>
        </w:rPr>
        <w:t>(</w:t>
      </w:r>
      <w:r w:rsidR="00337A86" w:rsidRPr="00BF6334">
        <w:rPr>
          <w:rFonts w:hint="cs"/>
          <w:b w:val="0"/>
          <w:bCs w:val="0"/>
          <w:rtl/>
        </w:rPr>
        <w:t>2</w:t>
      </w:r>
      <w:r w:rsidR="002F2C40" w:rsidRPr="00BF6334">
        <w:rPr>
          <w:rFonts w:hint="cs"/>
          <w:b w:val="0"/>
          <w:bCs w:val="0"/>
          <w:rtl/>
        </w:rPr>
        <w:t>)</w:t>
      </w:r>
      <w:r w:rsidR="00016A24" w:rsidRPr="00BF6334">
        <w:rPr>
          <w:rFonts w:hint="cs"/>
          <w:b w:val="0"/>
          <w:bCs w:val="0"/>
          <w:rtl/>
        </w:rPr>
        <w:t xml:space="preserve"> </w:t>
      </w:r>
      <w:r w:rsidR="00486906" w:rsidRPr="00BF6334">
        <w:rPr>
          <w:rFonts w:hint="cs"/>
          <w:b w:val="0"/>
          <w:bCs w:val="0"/>
          <w:rtl/>
        </w:rPr>
        <w:t xml:space="preserve">مثال على </w:t>
      </w:r>
      <w:r w:rsidR="00AA4144" w:rsidRPr="00BF6334">
        <w:rPr>
          <w:rFonts w:hint="cs"/>
          <w:b w:val="0"/>
          <w:bCs w:val="0"/>
          <w:rtl/>
        </w:rPr>
        <w:t>طريقة الاحتساب.</w:t>
      </w:r>
    </w:p>
    <w:p w:rsidR="00B3109B" w:rsidRPr="00AE291C" w:rsidRDefault="00190660" w:rsidP="00E52119">
      <w:pPr>
        <w:ind w:left="1275" w:hanging="567"/>
        <w:rPr>
          <w:b w:val="0"/>
          <w:bCs w:val="0"/>
          <w:rtl/>
        </w:rPr>
      </w:pPr>
      <w:r w:rsidRPr="00415D2E">
        <w:rPr>
          <w:rFonts w:hint="cs"/>
          <w:b w:val="0"/>
          <w:bCs w:val="0"/>
          <w:rtl/>
        </w:rPr>
        <w:t>2.4</w:t>
      </w:r>
      <w:r w:rsidR="00AE291C">
        <w:rPr>
          <w:rFonts w:hint="cs"/>
          <w:b w:val="0"/>
          <w:bCs w:val="0"/>
          <w:rtl/>
        </w:rPr>
        <w:t>.</w:t>
      </w:r>
      <w:r w:rsidR="00AA4144" w:rsidRPr="00415D2E">
        <w:rPr>
          <w:rFonts w:hint="cs"/>
          <w:b w:val="0"/>
          <w:bCs w:val="0"/>
          <w:rtl/>
        </w:rPr>
        <w:tab/>
      </w:r>
      <w:r w:rsidR="00B3109B" w:rsidRPr="00415D2E">
        <w:rPr>
          <w:rFonts w:hint="cs"/>
          <w:b w:val="0"/>
          <w:bCs w:val="0"/>
          <w:rtl/>
        </w:rPr>
        <w:t>رأس المال المؤهل كشريحة أولى والصادر عن شركات تابعة موحدة حساباتها مع حسابات البنك</w:t>
      </w:r>
      <w:r w:rsidR="00164670" w:rsidRPr="00AE291C">
        <w:rPr>
          <w:rFonts w:hint="cs"/>
          <w:b w:val="0"/>
          <w:bCs w:val="0"/>
          <w:rtl/>
        </w:rPr>
        <w:t>:</w:t>
      </w:r>
      <w:r w:rsidR="00B3109B" w:rsidRPr="00AE291C">
        <w:rPr>
          <w:rFonts w:hint="cs"/>
          <w:b w:val="0"/>
          <w:bCs w:val="0"/>
          <w:rtl/>
        </w:rPr>
        <w:t xml:space="preserve"> </w:t>
      </w:r>
    </w:p>
    <w:p w:rsidR="00B3109B" w:rsidRPr="00AE291C" w:rsidRDefault="00190660" w:rsidP="007E6550">
      <w:pPr>
        <w:ind w:left="2126" w:hanging="851"/>
        <w:rPr>
          <w:b w:val="0"/>
          <w:bCs w:val="0"/>
          <w:rtl/>
        </w:rPr>
      </w:pPr>
      <w:r w:rsidRPr="00AE291C">
        <w:rPr>
          <w:rFonts w:hint="cs"/>
          <w:b w:val="0"/>
          <w:bCs w:val="0"/>
          <w:rtl/>
        </w:rPr>
        <w:t>1.2.4</w:t>
      </w:r>
      <w:r w:rsidR="00AE291C">
        <w:rPr>
          <w:rFonts w:hint="cs"/>
          <w:b w:val="0"/>
          <w:bCs w:val="0"/>
          <w:rtl/>
        </w:rPr>
        <w:t>.</w:t>
      </w:r>
      <w:r w:rsidR="00B3109B" w:rsidRPr="00AE291C">
        <w:rPr>
          <w:rFonts w:hint="cs"/>
          <w:b w:val="0"/>
          <w:bCs w:val="0"/>
          <w:rtl/>
        </w:rPr>
        <w:tab/>
        <w:t xml:space="preserve">يمكن الاعتراف بأدوات رأسمال الشريحة الأولى الصادرة </w:t>
      </w:r>
      <w:r w:rsidR="00486906" w:rsidRPr="00AE291C">
        <w:rPr>
          <w:rFonts w:hint="cs"/>
          <w:b w:val="0"/>
          <w:bCs w:val="0"/>
          <w:rtl/>
        </w:rPr>
        <w:t xml:space="preserve">لطرف ثالث من المستثمرين </w:t>
      </w:r>
      <w:r w:rsidR="00B3109B" w:rsidRPr="00AE291C">
        <w:rPr>
          <w:rFonts w:hint="cs"/>
          <w:b w:val="0"/>
          <w:bCs w:val="0"/>
          <w:rtl/>
        </w:rPr>
        <w:t xml:space="preserve">عن شركات تابعة للبنك </w:t>
      </w:r>
      <w:r w:rsidR="00C708D0" w:rsidRPr="00AE291C">
        <w:rPr>
          <w:rFonts w:hint="cs"/>
          <w:b w:val="0"/>
          <w:bCs w:val="0"/>
          <w:rtl/>
        </w:rPr>
        <w:t>وال</w:t>
      </w:r>
      <w:r w:rsidR="00B3109B" w:rsidRPr="00AE291C">
        <w:rPr>
          <w:rFonts w:hint="cs"/>
          <w:b w:val="0"/>
          <w:bCs w:val="0"/>
          <w:rtl/>
        </w:rPr>
        <w:t>مجمعة حساباتها بالكامل مع البنك في الشريحة الأولى م</w:t>
      </w:r>
      <w:r w:rsidR="00DC73EE" w:rsidRPr="00AE291C">
        <w:rPr>
          <w:rFonts w:hint="cs"/>
          <w:b w:val="0"/>
          <w:bCs w:val="0"/>
          <w:rtl/>
        </w:rPr>
        <w:t>ن رأس المال فقط إذا كانت الأداة</w:t>
      </w:r>
      <w:r w:rsidR="00B3109B" w:rsidRPr="00AE291C">
        <w:rPr>
          <w:rFonts w:hint="cs"/>
          <w:b w:val="0"/>
          <w:bCs w:val="0"/>
          <w:rtl/>
        </w:rPr>
        <w:t xml:space="preserve">، </w:t>
      </w:r>
      <w:r w:rsidR="002B1A65" w:rsidRPr="00AE291C">
        <w:rPr>
          <w:rFonts w:hint="cs"/>
          <w:b w:val="0"/>
          <w:bCs w:val="0"/>
          <w:rtl/>
        </w:rPr>
        <w:t>كما أنها لو</w:t>
      </w:r>
      <w:r w:rsidR="00B3109B" w:rsidRPr="00AE291C">
        <w:rPr>
          <w:rFonts w:hint="cs"/>
          <w:b w:val="0"/>
          <w:bCs w:val="0"/>
          <w:rtl/>
        </w:rPr>
        <w:t xml:space="preserve"> صدرت عن البنك المرخص، تحقق جميع معايير الادراج في الشريحة الأولى من رأس المال وسي</w:t>
      </w:r>
      <w:r w:rsidR="00A33955" w:rsidRPr="00AE291C">
        <w:rPr>
          <w:rFonts w:hint="cs"/>
          <w:b w:val="0"/>
          <w:bCs w:val="0"/>
          <w:rtl/>
        </w:rPr>
        <w:t>تم احتساب ا</w:t>
      </w:r>
      <w:r w:rsidR="00B3109B" w:rsidRPr="00AE291C">
        <w:rPr>
          <w:rFonts w:hint="cs"/>
          <w:b w:val="0"/>
          <w:bCs w:val="0"/>
          <w:rtl/>
        </w:rPr>
        <w:t xml:space="preserve">لمبلغ المعترف به في </w:t>
      </w:r>
      <w:r w:rsidR="00164670" w:rsidRPr="00AE291C">
        <w:rPr>
          <w:rFonts w:hint="cs"/>
          <w:b w:val="0"/>
          <w:bCs w:val="0"/>
          <w:rtl/>
        </w:rPr>
        <w:t>الشريحة الأولى على النحو التالي</w:t>
      </w:r>
      <w:r w:rsidR="00B3109B" w:rsidRPr="00AE291C">
        <w:rPr>
          <w:rFonts w:hint="cs"/>
          <w:b w:val="0"/>
          <w:bCs w:val="0"/>
          <w:rtl/>
        </w:rPr>
        <w:t>:</w:t>
      </w:r>
    </w:p>
    <w:p w:rsidR="00AE291C" w:rsidRPr="00AE291C" w:rsidRDefault="00B3109B" w:rsidP="007E6550">
      <w:pPr>
        <w:pStyle w:val="ListParagraph"/>
        <w:numPr>
          <w:ilvl w:val="0"/>
          <w:numId w:val="29"/>
        </w:numPr>
        <w:ind w:left="2409" w:hanging="283"/>
        <w:rPr>
          <w:b w:val="0"/>
          <w:bCs w:val="0"/>
        </w:rPr>
      </w:pPr>
      <w:r w:rsidRPr="00AE291C">
        <w:rPr>
          <w:rFonts w:hint="cs"/>
          <w:b w:val="0"/>
          <w:bCs w:val="0"/>
          <w:rtl/>
        </w:rPr>
        <w:t>مجموع الشريحة الأولى للشركة التابعة المصدرة لطرف ثالث ناقصاً مبلغ الفائض في الشريحة الأولى الخاص بالمستثمرين من الطرف الثالث.</w:t>
      </w:r>
    </w:p>
    <w:p w:rsidR="00B3109B" w:rsidRPr="00AE291C" w:rsidRDefault="002B1A65" w:rsidP="007E6550">
      <w:pPr>
        <w:pStyle w:val="ListParagraph"/>
        <w:numPr>
          <w:ilvl w:val="0"/>
          <w:numId w:val="29"/>
        </w:numPr>
        <w:ind w:left="2409" w:hanging="283"/>
        <w:rPr>
          <w:sz w:val="27"/>
          <w:szCs w:val="27"/>
        </w:rPr>
      </w:pPr>
      <w:r w:rsidRPr="00AE291C">
        <w:rPr>
          <w:rFonts w:hint="cs"/>
          <w:b w:val="0"/>
          <w:bCs w:val="0"/>
          <w:rtl/>
        </w:rPr>
        <w:t xml:space="preserve">يحسب </w:t>
      </w:r>
      <w:r w:rsidR="00B3109B" w:rsidRPr="00AE291C">
        <w:rPr>
          <w:rFonts w:hint="cs"/>
          <w:b w:val="0"/>
          <w:bCs w:val="0"/>
          <w:rtl/>
        </w:rPr>
        <w:t>الفائض في الشريحة الأولى للشركة التابعة وذلك بطرح الاقل مما يلي من قيمة الشريحة الأولى للشركة التابعة</w:t>
      </w:r>
      <w:r w:rsidR="00B3109B" w:rsidRPr="00AE291C">
        <w:rPr>
          <w:rFonts w:hint="cs"/>
          <w:sz w:val="27"/>
          <w:szCs w:val="27"/>
          <w:rtl/>
        </w:rPr>
        <w:t xml:space="preserve"> :</w:t>
      </w:r>
    </w:p>
    <w:p w:rsidR="002D5DBC" w:rsidRPr="00AE291C" w:rsidRDefault="00C708D0" w:rsidP="002174AE">
      <w:pPr>
        <w:pStyle w:val="ListParagraph"/>
        <w:spacing w:line="276" w:lineRule="auto"/>
        <w:ind w:left="2834" w:hanging="425"/>
        <w:rPr>
          <w:b w:val="0"/>
          <w:bCs w:val="0"/>
          <w:rtl/>
        </w:rPr>
      </w:pPr>
      <w:r w:rsidRPr="00AE291C">
        <w:rPr>
          <w:rFonts w:hint="cs"/>
          <w:b w:val="0"/>
          <w:bCs w:val="0"/>
          <w:rtl/>
        </w:rPr>
        <w:t>أ.</w:t>
      </w:r>
      <w:r w:rsidR="00467401">
        <w:rPr>
          <w:b w:val="0"/>
          <w:bCs w:val="0"/>
        </w:rPr>
        <w:tab/>
      </w:r>
      <w:r w:rsidR="00B3109B" w:rsidRPr="00AE291C">
        <w:rPr>
          <w:rFonts w:hint="cs"/>
          <w:b w:val="0"/>
          <w:bCs w:val="0"/>
          <w:rtl/>
        </w:rPr>
        <w:t xml:space="preserve">الحد الأدنى للشريحة الأولى المطلوب من الشركة التابعة مضافا إليه </w:t>
      </w:r>
      <w:r w:rsidR="002D5DBC" w:rsidRPr="00AE291C">
        <w:rPr>
          <w:b w:val="0"/>
          <w:bCs w:val="0"/>
          <w:rtl/>
        </w:rPr>
        <w:t xml:space="preserve">رأس المال </w:t>
      </w:r>
      <w:r w:rsidR="002D5DBC" w:rsidRPr="00AE291C">
        <w:rPr>
          <w:rFonts w:hint="cs"/>
          <w:b w:val="0"/>
          <w:bCs w:val="0"/>
          <w:rtl/>
        </w:rPr>
        <w:t>التحفظي (</w:t>
      </w:r>
      <w:r w:rsidR="002D5DBC" w:rsidRPr="00AE291C">
        <w:rPr>
          <w:b w:val="0"/>
          <w:bCs w:val="0"/>
        </w:rPr>
        <w:t>Conservation Buffer</w:t>
      </w:r>
      <w:r w:rsidR="002D5DBC" w:rsidRPr="00AE291C">
        <w:rPr>
          <w:rFonts w:hint="cs"/>
          <w:b w:val="0"/>
          <w:bCs w:val="0"/>
          <w:rtl/>
        </w:rPr>
        <w:t>) [</w:t>
      </w:r>
      <w:r w:rsidR="00865DDA" w:rsidRPr="00AE291C">
        <w:rPr>
          <w:rFonts w:hint="cs"/>
          <w:b w:val="0"/>
          <w:bCs w:val="0"/>
          <w:rtl/>
        </w:rPr>
        <w:t>10</w:t>
      </w:r>
      <w:r w:rsidR="002D5DBC" w:rsidRPr="00AE291C">
        <w:rPr>
          <w:rFonts w:hint="cs"/>
          <w:b w:val="0"/>
          <w:bCs w:val="0"/>
          <w:rtl/>
        </w:rPr>
        <w:t>%</w:t>
      </w:r>
      <w:r w:rsidR="002174AE" w:rsidRPr="002174AE">
        <w:rPr>
          <w:rFonts w:hint="cs"/>
          <w:b w:val="0"/>
          <w:bCs w:val="0"/>
          <w:vertAlign w:val="superscript"/>
          <w:rtl/>
        </w:rPr>
        <w:t>13</w:t>
      </w:r>
      <w:r w:rsidR="002174AE">
        <w:rPr>
          <w:rFonts w:hint="cs"/>
          <w:b w:val="0"/>
          <w:bCs w:val="0"/>
          <w:rtl/>
        </w:rPr>
        <w:t xml:space="preserve"> </w:t>
      </w:r>
      <w:r w:rsidR="002D5DBC" w:rsidRPr="00AE291C">
        <w:rPr>
          <w:rFonts w:hint="cs"/>
          <w:b w:val="0"/>
          <w:bCs w:val="0"/>
          <w:rtl/>
        </w:rPr>
        <w:t>من الموجودات المرجحة بالمخاطر للشركة التابعة].</w:t>
      </w:r>
    </w:p>
    <w:p w:rsidR="00B3109B" w:rsidRPr="00AE291C" w:rsidRDefault="00C708D0" w:rsidP="00467401">
      <w:pPr>
        <w:pStyle w:val="ListParagraph"/>
        <w:spacing w:after="0" w:line="276" w:lineRule="auto"/>
        <w:ind w:left="2834" w:hanging="425"/>
        <w:contextualSpacing w:val="0"/>
        <w:rPr>
          <w:b w:val="0"/>
          <w:bCs w:val="0"/>
        </w:rPr>
      </w:pPr>
      <w:r w:rsidRPr="00AE291C">
        <w:rPr>
          <w:rFonts w:hint="cs"/>
          <w:b w:val="0"/>
          <w:bCs w:val="0"/>
          <w:rtl/>
        </w:rPr>
        <w:lastRenderedPageBreak/>
        <w:t>ب.</w:t>
      </w:r>
      <w:r w:rsidR="00467401">
        <w:rPr>
          <w:rFonts w:hint="cs"/>
          <w:b w:val="0"/>
          <w:bCs w:val="0"/>
          <w:rtl/>
        </w:rPr>
        <w:tab/>
      </w:r>
      <w:r w:rsidR="00486906" w:rsidRPr="00AE291C">
        <w:rPr>
          <w:rFonts w:hint="cs"/>
          <w:b w:val="0"/>
          <w:bCs w:val="0"/>
          <w:rtl/>
        </w:rPr>
        <w:t xml:space="preserve">حصة الشركة التابعة من </w:t>
      </w:r>
      <w:r w:rsidR="00B3109B" w:rsidRPr="00AE291C">
        <w:rPr>
          <w:rFonts w:hint="cs"/>
          <w:b w:val="0"/>
          <w:bCs w:val="0"/>
          <w:rtl/>
        </w:rPr>
        <w:t xml:space="preserve">الحد الأدنى من متطلبات الشريحة الأولى للبنك مجمع مضافا إليه </w:t>
      </w:r>
      <w:r w:rsidR="002D5DBC" w:rsidRPr="00AE291C">
        <w:rPr>
          <w:b w:val="0"/>
          <w:bCs w:val="0"/>
          <w:rtl/>
        </w:rPr>
        <w:t xml:space="preserve">رأس المال </w:t>
      </w:r>
      <w:r w:rsidR="002D5DBC" w:rsidRPr="00AE291C">
        <w:rPr>
          <w:rFonts w:hint="cs"/>
          <w:b w:val="0"/>
          <w:bCs w:val="0"/>
          <w:rtl/>
        </w:rPr>
        <w:t>التحفظي (</w:t>
      </w:r>
      <w:r w:rsidR="002D5DBC" w:rsidRPr="00AE291C">
        <w:rPr>
          <w:b w:val="0"/>
          <w:bCs w:val="0"/>
        </w:rPr>
        <w:t>Conservation Buffer</w:t>
      </w:r>
      <w:r w:rsidR="002D5DBC" w:rsidRPr="00AE291C">
        <w:rPr>
          <w:rFonts w:hint="cs"/>
          <w:b w:val="0"/>
          <w:bCs w:val="0"/>
          <w:rtl/>
        </w:rPr>
        <w:t>) [</w:t>
      </w:r>
      <w:r w:rsidR="00865DDA" w:rsidRPr="00AE291C">
        <w:rPr>
          <w:rFonts w:hint="cs"/>
          <w:b w:val="0"/>
          <w:bCs w:val="0"/>
          <w:rtl/>
        </w:rPr>
        <w:t>10</w:t>
      </w:r>
      <w:r w:rsidR="002D5DBC" w:rsidRPr="00AE291C">
        <w:rPr>
          <w:rFonts w:hint="cs"/>
          <w:b w:val="0"/>
          <w:bCs w:val="0"/>
          <w:rtl/>
        </w:rPr>
        <w:t>% من الموجودات المرجحة بالمخاطر للبيانات مجمعة</w:t>
      </w:r>
      <w:r w:rsidR="00362F64" w:rsidRPr="00AE291C">
        <w:rPr>
          <w:rFonts w:hint="cs"/>
          <w:b w:val="0"/>
          <w:bCs w:val="0"/>
          <w:rtl/>
        </w:rPr>
        <w:t xml:space="preserve"> التي تخص الشركة التابعة</w:t>
      </w:r>
      <w:r w:rsidR="002D5DBC" w:rsidRPr="00AE291C">
        <w:rPr>
          <w:rFonts w:hint="cs"/>
          <w:b w:val="0"/>
          <w:bCs w:val="0"/>
          <w:rtl/>
        </w:rPr>
        <w:t>]</w:t>
      </w:r>
      <w:r w:rsidR="00B3109B" w:rsidRPr="00AE291C">
        <w:rPr>
          <w:rFonts w:hint="cs"/>
          <w:b w:val="0"/>
          <w:bCs w:val="0"/>
          <w:rtl/>
        </w:rPr>
        <w:t>.</w:t>
      </w:r>
    </w:p>
    <w:p w:rsidR="00CA6D85" w:rsidRPr="00AE291C" w:rsidRDefault="00B3109B" w:rsidP="00467401">
      <w:pPr>
        <w:pStyle w:val="ListParagraph"/>
        <w:numPr>
          <w:ilvl w:val="0"/>
          <w:numId w:val="29"/>
        </w:numPr>
        <w:ind w:left="2409" w:hanging="283"/>
        <w:rPr>
          <w:b w:val="0"/>
          <w:bCs w:val="0"/>
          <w:rtl/>
        </w:rPr>
      </w:pPr>
      <w:r w:rsidRPr="00AE291C">
        <w:rPr>
          <w:rFonts w:hint="cs"/>
          <w:b w:val="0"/>
          <w:bCs w:val="0"/>
          <w:rtl/>
        </w:rPr>
        <w:t>تحتسب قيمة الفائض في الشريحة الأولى الذي يخص مستثمري الطرف الثالث عن طريق حاصل ضرب الفائض في الشريحة الأولى بنسبة الشريحة الأولى المحتفظ  بها من مستثمري الطرف الثالث.</w:t>
      </w:r>
    </w:p>
    <w:p w:rsidR="002F2C40" w:rsidRDefault="00CA6D85" w:rsidP="00467401">
      <w:pPr>
        <w:ind w:firstLine="2126"/>
        <w:rPr>
          <w:b w:val="0"/>
          <w:bCs w:val="0"/>
          <w:rtl/>
        </w:rPr>
      </w:pPr>
      <w:r w:rsidRPr="00467401">
        <w:rPr>
          <w:rFonts w:hint="cs"/>
          <w:b w:val="0"/>
          <w:bCs w:val="0"/>
          <w:rtl/>
        </w:rPr>
        <w:t xml:space="preserve">ويوضح </w:t>
      </w:r>
      <w:r w:rsidR="00337A86" w:rsidRPr="00467401">
        <w:rPr>
          <w:rFonts w:hint="cs"/>
          <w:b w:val="0"/>
          <w:bCs w:val="0"/>
          <w:rtl/>
        </w:rPr>
        <w:t>الملحق رقم (2</w:t>
      </w:r>
      <w:r w:rsidR="00DC7961" w:rsidRPr="00467401">
        <w:rPr>
          <w:rFonts w:hint="cs"/>
          <w:b w:val="0"/>
          <w:bCs w:val="0"/>
          <w:rtl/>
        </w:rPr>
        <w:t xml:space="preserve">) </w:t>
      </w:r>
      <w:r w:rsidR="00486906" w:rsidRPr="00467401">
        <w:rPr>
          <w:rFonts w:hint="cs"/>
          <w:b w:val="0"/>
          <w:bCs w:val="0"/>
          <w:rtl/>
        </w:rPr>
        <w:t xml:space="preserve">مثال على </w:t>
      </w:r>
      <w:r w:rsidRPr="00467401">
        <w:rPr>
          <w:rFonts w:hint="cs"/>
          <w:b w:val="0"/>
          <w:bCs w:val="0"/>
          <w:rtl/>
        </w:rPr>
        <w:t>طريقة الاحتساب.</w:t>
      </w:r>
    </w:p>
    <w:p w:rsidR="000A13C3" w:rsidRPr="00F96D49" w:rsidRDefault="000A13C3" w:rsidP="00467401">
      <w:pPr>
        <w:ind w:firstLine="2126"/>
        <w:rPr>
          <w:b w:val="0"/>
          <w:bCs w:val="0"/>
          <w:sz w:val="16"/>
          <w:szCs w:val="16"/>
          <w:rtl/>
        </w:rPr>
      </w:pPr>
    </w:p>
    <w:p w:rsidR="00B3109B" w:rsidRPr="00AE291C" w:rsidRDefault="00190660" w:rsidP="00E52119">
      <w:pPr>
        <w:ind w:left="1275" w:hanging="567"/>
        <w:rPr>
          <w:b w:val="0"/>
          <w:bCs w:val="0"/>
          <w:rtl/>
        </w:rPr>
      </w:pPr>
      <w:r w:rsidRPr="00AE291C">
        <w:rPr>
          <w:rFonts w:hint="cs"/>
          <w:b w:val="0"/>
          <w:bCs w:val="0"/>
          <w:rtl/>
        </w:rPr>
        <w:t>3.4</w:t>
      </w:r>
      <w:r w:rsidR="00AE291C">
        <w:rPr>
          <w:rFonts w:hint="cs"/>
          <w:b w:val="0"/>
          <w:bCs w:val="0"/>
          <w:rtl/>
        </w:rPr>
        <w:t>.</w:t>
      </w:r>
      <w:r w:rsidRPr="00AE291C">
        <w:rPr>
          <w:rFonts w:hint="cs"/>
          <w:b w:val="0"/>
          <w:bCs w:val="0"/>
          <w:rtl/>
        </w:rPr>
        <w:tab/>
        <w:t>رأ</w:t>
      </w:r>
      <w:r w:rsidR="00150D4B" w:rsidRPr="00AE291C">
        <w:rPr>
          <w:rFonts w:hint="cs"/>
          <w:b w:val="0"/>
          <w:bCs w:val="0"/>
          <w:rtl/>
        </w:rPr>
        <w:t>س</w:t>
      </w:r>
      <w:r w:rsidR="00B3109B" w:rsidRPr="00AE291C">
        <w:rPr>
          <w:rFonts w:hint="cs"/>
          <w:b w:val="0"/>
          <w:bCs w:val="0"/>
          <w:rtl/>
        </w:rPr>
        <w:t xml:space="preserve"> المال المؤهل كشريحة </w:t>
      </w:r>
      <w:r w:rsidR="00164670" w:rsidRPr="00AE291C">
        <w:rPr>
          <w:rFonts w:hint="cs"/>
          <w:b w:val="0"/>
          <w:bCs w:val="0"/>
          <w:rtl/>
        </w:rPr>
        <w:t>أولى</w:t>
      </w:r>
      <w:r w:rsidR="00B3109B" w:rsidRPr="00AE291C">
        <w:rPr>
          <w:rFonts w:hint="cs"/>
          <w:b w:val="0"/>
          <w:bCs w:val="0"/>
          <w:rtl/>
        </w:rPr>
        <w:t xml:space="preserve"> وشريحة ثانية الصادر عن الشركات التابعة الموحدة حساباتها مع حسابات البنك</w:t>
      </w:r>
      <w:r w:rsidR="002F2C40" w:rsidRPr="00AE291C">
        <w:rPr>
          <w:rFonts w:hint="cs"/>
          <w:b w:val="0"/>
          <w:bCs w:val="0"/>
          <w:rtl/>
        </w:rPr>
        <w:t>:</w:t>
      </w:r>
    </w:p>
    <w:p w:rsidR="002F2C40" w:rsidRPr="00AE291C" w:rsidRDefault="00190660" w:rsidP="00467401">
      <w:pPr>
        <w:ind w:left="2126" w:hanging="851"/>
        <w:rPr>
          <w:b w:val="0"/>
          <w:bCs w:val="0"/>
          <w:rtl/>
        </w:rPr>
      </w:pPr>
      <w:r w:rsidRPr="00AE291C">
        <w:rPr>
          <w:rFonts w:hint="cs"/>
          <w:b w:val="0"/>
          <w:bCs w:val="0"/>
          <w:rtl/>
        </w:rPr>
        <w:t>1.3.4</w:t>
      </w:r>
      <w:r w:rsidR="00AE291C">
        <w:rPr>
          <w:rFonts w:hint="cs"/>
          <w:b w:val="0"/>
          <w:bCs w:val="0"/>
          <w:rtl/>
        </w:rPr>
        <w:t>.</w:t>
      </w:r>
      <w:r w:rsidR="00B3109B" w:rsidRPr="00AE291C">
        <w:rPr>
          <w:rFonts w:hint="cs"/>
          <w:b w:val="0"/>
          <w:bCs w:val="0"/>
          <w:rtl/>
        </w:rPr>
        <w:tab/>
        <w:t xml:space="preserve">مجموع أدوات رأس المال (أي الأدوات الداخلة في الشريحة الأولى والشريحة الثانية) الصادرة عن شركات تابعة للبنك موحدة حساباتها مع حسابات البنك بالكامل لطرف ثالث من </w:t>
      </w:r>
      <w:r w:rsidR="00DC7961" w:rsidRPr="00AE291C">
        <w:rPr>
          <w:rFonts w:hint="cs"/>
          <w:b w:val="0"/>
          <w:bCs w:val="0"/>
          <w:rtl/>
        </w:rPr>
        <w:t xml:space="preserve">المستثمرين </w:t>
      </w:r>
      <w:r w:rsidR="00B3109B" w:rsidRPr="00AE291C">
        <w:rPr>
          <w:rFonts w:hint="cs"/>
          <w:b w:val="0"/>
          <w:bCs w:val="0"/>
          <w:rtl/>
        </w:rPr>
        <w:t xml:space="preserve">يمكن الاعتراف بها في مجموع رأس المال فقط إذا كان الأداة، </w:t>
      </w:r>
      <w:r w:rsidR="002B1A65" w:rsidRPr="00AE291C">
        <w:rPr>
          <w:rFonts w:hint="cs"/>
          <w:b w:val="0"/>
          <w:bCs w:val="0"/>
          <w:rtl/>
        </w:rPr>
        <w:t>كم</w:t>
      </w:r>
      <w:r w:rsidR="002923D3" w:rsidRPr="00AE291C">
        <w:rPr>
          <w:rFonts w:hint="cs"/>
          <w:b w:val="0"/>
          <w:bCs w:val="0"/>
          <w:rtl/>
        </w:rPr>
        <w:t>ا</w:t>
      </w:r>
      <w:r w:rsidR="002B1A65" w:rsidRPr="00AE291C">
        <w:rPr>
          <w:rFonts w:hint="cs"/>
          <w:b w:val="0"/>
          <w:bCs w:val="0"/>
          <w:rtl/>
        </w:rPr>
        <w:t xml:space="preserve"> لو أنها </w:t>
      </w:r>
      <w:r w:rsidR="00100B17" w:rsidRPr="00AE291C">
        <w:rPr>
          <w:rFonts w:hint="cs"/>
          <w:b w:val="0"/>
          <w:bCs w:val="0"/>
          <w:rtl/>
        </w:rPr>
        <w:t>صدرت عن البنك المرخص</w:t>
      </w:r>
      <w:r w:rsidR="00B3109B" w:rsidRPr="00AE291C">
        <w:rPr>
          <w:rFonts w:hint="cs"/>
          <w:b w:val="0"/>
          <w:bCs w:val="0"/>
          <w:rtl/>
        </w:rPr>
        <w:t>، تحقق جميع معايير الإدراج ضمن الشريحة الأولى والشريحة الثانية من رأس المال</w:t>
      </w:r>
      <w:r w:rsidR="002F2C40" w:rsidRPr="00AE291C">
        <w:rPr>
          <w:rFonts w:hint="cs"/>
          <w:b w:val="0"/>
          <w:bCs w:val="0"/>
          <w:rtl/>
        </w:rPr>
        <w:t>.</w:t>
      </w:r>
    </w:p>
    <w:p w:rsidR="00B3109B" w:rsidRPr="00AE291C" w:rsidRDefault="00B3109B" w:rsidP="00467401">
      <w:pPr>
        <w:ind w:left="2126"/>
        <w:rPr>
          <w:b w:val="0"/>
          <w:bCs w:val="0"/>
          <w:rtl/>
        </w:rPr>
      </w:pPr>
      <w:r w:rsidRPr="00AE291C">
        <w:rPr>
          <w:rFonts w:hint="cs"/>
          <w:b w:val="0"/>
          <w:bCs w:val="0"/>
          <w:rtl/>
        </w:rPr>
        <w:t>إن قيمة رأس المال التي سيعترف بها في رأس المال المجمع الإجمالي ستحتسب على الشكل التالي :</w:t>
      </w:r>
    </w:p>
    <w:p w:rsidR="00B3109B" w:rsidRPr="00AE291C" w:rsidRDefault="002F2C40" w:rsidP="00467401">
      <w:pPr>
        <w:pStyle w:val="ListParagraph"/>
        <w:numPr>
          <w:ilvl w:val="0"/>
          <w:numId w:val="29"/>
        </w:numPr>
        <w:ind w:left="2409" w:hanging="283"/>
        <w:rPr>
          <w:b w:val="0"/>
          <w:bCs w:val="0"/>
          <w:rtl/>
        </w:rPr>
      </w:pPr>
      <w:r w:rsidRPr="00AE291C">
        <w:rPr>
          <w:rFonts w:hint="cs"/>
          <w:b w:val="0"/>
          <w:bCs w:val="0"/>
          <w:rtl/>
        </w:rPr>
        <w:t>مجموع أدوات رأس المال الصادرة ع</w:t>
      </w:r>
      <w:r w:rsidR="00B3109B" w:rsidRPr="00AE291C">
        <w:rPr>
          <w:rFonts w:hint="cs"/>
          <w:b w:val="0"/>
          <w:bCs w:val="0"/>
          <w:rtl/>
        </w:rPr>
        <w:t>ن الشركة التابعة لأطراف ثالثة ناقصا قيمة الفائض في إجمالي رأسمال الشركة التابعة الذي يخص الطرف الثالث.</w:t>
      </w:r>
    </w:p>
    <w:p w:rsidR="00B3109B" w:rsidRPr="00AE291C" w:rsidRDefault="002F2C40" w:rsidP="00467401">
      <w:pPr>
        <w:pStyle w:val="ListParagraph"/>
        <w:numPr>
          <w:ilvl w:val="0"/>
          <w:numId w:val="29"/>
        </w:numPr>
        <w:ind w:left="2409" w:hanging="283"/>
        <w:rPr>
          <w:b w:val="0"/>
          <w:bCs w:val="0"/>
          <w:rtl/>
        </w:rPr>
      </w:pPr>
      <w:r w:rsidRPr="00AE291C">
        <w:rPr>
          <w:rFonts w:hint="cs"/>
          <w:b w:val="0"/>
          <w:bCs w:val="0"/>
          <w:rtl/>
        </w:rPr>
        <w:t>يحتسب الفائض في رأس</w:t>
      </w:r>
      <w:r w:rsidR="00B3109B" w:rsidRPr="00AE291C">
        <w:rPr>
          <w:rFonts w:hint="cs"/>
          <w:b w:val="0"/>
          <w:bCs w:val="0"/>
          <w:rtl/>
        </w:rPr>
        <w:t>مال الشركة التابعة الإجمالي بمجموع رأس المال للشركة التابعة مطر</w:t>
      </w:r>
      <w:r w:rsidR="00D02721" w:rsidRPr="00AE291C">
        <w:rPr>
          <w:rFonts w:hint="cs"/>
          <w:b w:val="0"/>
          <w:bCs w:val="0"/>
          <w:rtl/>
        </w:rPr>
        <w:t>وحاً منه القيمة الاقل مما يلي</w:t>
      </w:r>
      <w:r w:rsidR="00B3109B" w:rsidRPr="00AE291C">
        <w:rPr>
          <w:rFonts w:hint="cs"/>
          <w:b w:val="0"/>
          <w:bCs w:val="0"/>
          <w:rtl/>
        </w:rPr>
        <w:t>:</w:t>
      </w:r>
    </w:p>
    <w:p w:rsidR="002D5DBC" w:rsidRPr="00AE291C" w:rsidRDefault="00C708D0" w:rsidP="00467401">
      <w:pPr>
        <w:pStyle w:val="ListParagraph"/>
        <w:ind w:left="2834" w:hanging="425"/>
        <w:rPr>
          <w:b w:val="0"/>
          <w:bCs w:val="0"/>
          <w:rtl/>
          <w:lang w:bidi="ar-JO"/>
        </w:rPr>
      </w:pPr>
      <w:r w:rsidRPr="00AE291C">
        <w:rPr>
          <w:rFonts w:hint="cs"/>
          <w:b w:val="0"/>
          <w:bCs w:val="0"/>
          <w:rtl/>
        </w:rPr>
        <w:t>أ.</w:t>
      </w:r>
      <w:r w:rsidR="004F6BEC" w:rsidRPr="00AE291C">
        <w:rPr>
          <w:rFonts w:hint="cs"/>
          <w:b w:val="0"/>
          <w:bCs w:val="0"/>
          <w:rtl/>
        </w:rPr>
        <w:tab/>
      </w:r>
      <w:r w:rsidR="00B3109B" w:rsidRPr="00AE291C">
        <w:rPr>
          <w:rFonts w:hint="cs"/>
          <w:b w:val="0"/>
          <w:bCs w:val="0"/>
          <w:rtl/>
        </w:rPr>
        <w:t xml:space="preserve">الحد الأدنى </w:t>
      </w:r>
      <w:r w:rsidR="00F8311A" w:rsidRPr="00AE291C">
        <w:rPr>
          <w:rFonts w:hint="cs"/>
          <w:b w:val="0"/>
          <w:bCs w:val="0"/>
          <w:rtl/>
        </w:rPr>
        <w:t>لرأسمال الشركة التابعة (</w:t>
      </w:r>
      <w:r w:rsidR="00F8311A" w:rsidRPr="00AE291C">
        <w:rPr>
          <w:b w:val="0"/>
          <w:bCs w:val="0"/>
        </w:rPr>
        <w:t>T1 + T2</w:t>
      </w:r>
      <w:r w:rsidR="00F8311A" w:rsidRPr="00AE291C">
        <w:rPr>
          <w:rFonts w:hint="cs"/>
          <w:b w:val="0"/>
          <w:bCs w:val="0"/>
          <w:rtl/>
        </w:rPr>
        <w:t>)</w:t>
      </w:r>
      <w:r w:rsidR="00B3109B" w:rsidRPr="00AE291C">
        <w:rPr>
          <w:rFonts w:hint="cs"/>
          <w:b w:val="0"/>
          <w:bCs w:val="0"/>
          <w:rtl/>
        </w:rPr>
        <w:t xml:space="preserve"> مضافا إليه </w:t>
      </w:r>
      <w:r w:rsidR="002923D3" w:rsidRPr="00AE291C">
        <w:rPr>
          <w:b w:val="0"/>
          <w:bCs w:val="0"/>
          <w:rtl/>
        </w:rPr>
        <w:t>رأس المال</w:t>
      </w:r>
      <w:r w:rsidR="002923D3" w:rsidRPr="00AE291C">
        <w:rPr>
          <w:rFonts w:hint="cs"/>
          <w:b w:val="0"/>
          <w:bCs w:val="0"/>
          <w:rtl/>
        </w:rPr>
        <w:t xml:space="preserve"> </w:t>
      </w:r>
      <w:r w:rsidR="002D5DBC" w:rsidRPr="00AE291C">
        <w:rPr>
          <w:rFonts w:hint="cs"/>
          <w:b w:val="0"/>
          <w:bCs w:val="0"/>
          <w:rtl/>
        </w:rPr>
        <w:t>التحفظي (</w:t>
      </w:r>
      <w:r w:rsidR="002D5DBC" w:rsidRPr="00AE291C">
        <w:rPr>
          <w:b w:val="0"/>
          <w:bCs w:val="0"/>
        </w:rPr>
        <w:t>Conservation Buffer</w:t>
      </w:r>
      <w:r w:rsidR="002D5DBC" w:rsidRPr="00AE291C">
        <w:rPr>
          <w:rFonts w:hint="cs"/>
          <w:b w:val="0"/>
          <w:bCs w:val="0"/>
          <w:rtl/>
          <w:lang w:bidi="ar-JO"/>
        </w:rPr>
        <w:t>) [</w:t>
      </w:r>
      <w:r w:rsidR="00865DDA" w:rsidRPr="00AE291C">
        <w:rPr>
          <w:rFonts w:hint="cs"/>
          <w:b w:val="0"/>
          <w:bCs w:val="0"/>
          <w:rtl/>
          <w:lang w:bidi="ar-JO"/>
        </w:rPr>
        <w:t>12</w:t>
      </w:r>
      <w:r w:rsidR="00AE291C">
        <w:rPr>
          <w:rFonts w:hint="cs"/>
          <w:b w:val="0"/>
          <w:bCs w:val="0"/>
          <w:rtl/>
          <w:lang w:bidi="ar-JO"/>
        </w:rPr>
        <w:t>%</w:t>
      </w:r>
      <w:r w:rsidR="00431976" w:rsidRPr="00AE291C">
        <w:rPr>
          <w:rStyle w:val="FootnoteReference"/>
          <w:b w:val="0"/>
          <w:bCs w:val="0"/>
          <w:rtl/>
          <w:lang w:bidi="ar-JO"/>
        </w:rPr>
        <w:footnoteReference w:id="13"/>
      </w:r>
      <w:r w:rsidR="00AE291C">
        <w:rPr>
          <w:rFonts w:hint="cs"/>
          <w:b w:val="0"/>
          <w:bCs w:val="0"/>
          <w:rtl/>
          <w:lang w:bidi="ar-JO"/>
        </w:rPr>
        <w:t xml:space="preserve"> </w:t>
      </w:r>
      <w:r w:rsidR="002D5DBC" w:rsidRPr="00AE291C">
        <w:rPr>
          <w:rFonts w:hint="cs"/>
          <w:b w:val="0"/>
          <w:bCs w:val="0"/>
          <w:rtl/>
          <w:lang w:bidi="ar-JO"/>
        </w:rPr>
        <w:t>من الموجودات المرجحة بالمخاطر للشركة التابعة].</w:t>
      </w:r>
    </w:p>
    <w:p w:rsidR="00B3109B" w:rsidRPr="00AE291C" w:rsidRDefault="002D5DBC" w:rsidP="00467401">
      <w:pPr>
        <w:pStyle w:val="ListParagraph"/>
        <w:ind w:left="2834" w:hanging="425"/>
        <w:rPr>
          <w:b w:val="0"/>
          <w:bCs w:val="0"/>
          <w:rtl/>
        </w:rPr>
      </w:pPr>
      <w:r w:rsidRPr="00AE291C">
        <w:rPr>
          <w:rFonts w:hint="cs"/>
          <w:b w:val="0"/>
          <w:bCs w:val="0"/>
          <w:rtl/>
          <w:lang w:bidi="ar-JO"/>
        </w:rPr>
        <w:t xml:space="preserve"> </w:t>
      </w:r>
      <w:r w:rsidR="00C708D0" w:rsidRPr="00AE291C">
        <w:rPr>
          <w:rFonts w:hint="cs"/>
          <w:b w:val="0"/>
          <w:bCs w:val="0"/>
          <w:rtl/>
        </w:rPr>
        <w:t>ب.</w:t>
      </w:r>
      <w:r w:rsidR="00467401">
        <w:rPr>
          <w:rFonts w:hint="cs"/>
          <w:b w:val="0"/>
          <w:bCs w:val="0"/>
          <w:rtl/>
        </w:rPr>
        <w:tab/>
      </w:r>
      <w:r w:rsidR="00100B17" w:rsidRPr="00AE291C">
        <w:rPr>
          <w:rFonts w:hint="cs"/>
          <w:b w:val="0"/>
          <w:bCs w:val="0"/>
          <w:rtl/>
        </w:rPr>
        <w:t xml:space="preserve">حصة الشركة التابعة </w:t>
      </w:r>
      <w:r w:rsidR="00B3109B" w:rsidRPr="00AE291C">
        <w:rPr>
          <w:rFonts w:hint="cs"/>
          <w:b w:val="0"/>
          <w:bCs w:val="0"/>
          <w:rtl/>
        </w:rPr>
        <w:t xml:space="preserve">من الحد الأدنى من متطلبات </w:t>
      </w:r>
      <w:r w:rsidR="00F8311A" w:rsidRPr="00AE291C">
        <w:rPr>
          <w:rFonts w:hint="cs"/>
          <w:b w:val="0"/>
          <w:bCs w:val="0"/>
          <w:rtl/>
        </w:rPr>
        <w:t>رأس المال (</w:t>
      </w:r>
      <w:r w:rsidR="00F8311A" w:rsidRPr="00AE291C">
        <w:rPr>
          <w:b w:val="0"/>
          <w:bCs w:val="0"/>
        </w:rPr>
        <w:t>T1 + T2</w:t>
      </w:r>
      <w:r w:rsidR="00F8311A" w:rsidRPr="00AE291C">
        <w:rPr>
          <w:rFonts w:hint="cs"/>
          <w:b w:val="0"/>
          <w:bCs w:val="0"/>
          <w:rtl/>
        </w:rPr>
        <w:t xml:space="preserve">) </w:t>
      </w:r>
      <w:r w:rsidR="00B3109B" w:rsidRPr="00AE291C">
        <w:rPr>
          <w:rFonts w:hint="cs"/>
          <w:b w:val="0"/>
          <w:bCs w:val="0"/>
          <w:rtl/>
        </w:rPr>
        <w:t xml:space="preserve"> للبنك مجمع مضافا إليه </w:t>
      </w:r>
      <w:r w:rsidRPr="00AE291C">
        <w:rPr>
          <w:b w:val="0"/>
          <w:bCs w:val="0"/>
          <w:rtl/>
        </w:rPr>
        <w:t xml:space="preserve">رأس المال </w:t>
      </w:r>
      <w:r w:rsidRPr="00AE291C">
        <w:rPr>
          <w:rFonts w:hint="cs"/>
          <w:b w:val="0"/>
          <w:bCs w:val="0"/>
          <w:rtl/>
        </w:rPr>
        <w:t>التحفظي (</w:t>
      </w:r>
      <w:r w:rsidRPr="00AE291C">
        <w:rPr>
          <w:b w:val="0"/>
          <w:bCs w:val="0"/>
        </w:rPr>
        <w:t>Conservation Buffer</w:t>
      </w:r>
      <w:r w:rsidRPr="00AE291C">
        <w:rPr>
          <w:rFonts w:hint="cs"/>
          <w:b w:val="0"/>
          <w:bCs w:val="0"/>
          <w:rtl/>
          <w:lang w:bidi="ar-JO"/>
        </w:rPr>
        <w:t>) [</w:t>
      </w:r>
      <w:r w:rsidR="00362F64" w:rsidRPr="00AE291C">
        <w:rPr>
          <w:rFonts w:hint="cs"/>
          <w:b w:val="0"/>
          <w:bCs w:val="0"/>
          <w:rtl/>
          <w:lang w:bidi="ar-JO"/>
        </w:rPr>
        <w:t>12</w:t>
      </w:r>
      <w:r w:rsidRPr="00AE291C">
        <w:rPr>
          <w:rFonts w:hint="cs"/>
          <w:b w:val="0"/>
          <w:bCs w:val="0"/>
          <w:rtl/>
          <w:lang w:bidi="ar-JO"/>
        </w:rPr>
        <w:t>% من الموجودات المرجحة بالمخاطر</w:t>
      </w:r>
      <w:r w:rsidR="00362F64" w:rsidRPr="00AE291C">
        <w:rPr>
          <w:rFonts w:hint="cs"/>
          <w:b w:val="0"/>
          <w:bCs w:val="0"/>
          <w:rtl/>
          <w:lang w:bidi="ar-JO"/>
        </w:rPr>
        <w:t xml:space="preserve"> التي تخص الشركة التابعة</w:t>
      </w:r>
      <w:r w:rsidRPr="00AE291C">
        <w:rPr>
          <w:rFonts w:hint="cs"/>
          <w:b w:val="0"/>
          <w:bCs w:val="0"/>
          <w:rtl/>
          <w:lang w:bidi="ar-JO"/>
        </w:rPr>
        <w:t>]</w:t>
      </w:r>
      <w:r w:rsidR="00B3109B" w:rsidRPr="00AE291C">
        <w:rPr>
          <w:rFonts w:hint="cs"/>
          <w:b w:val="0"/>
          <w:bCs w:val="0"/>
          <w:rtl/>
        </w:rPr>
        <w:t>.</w:t>
      </w:r>
    </w:p>
    <w:p w:rsidR="00B3109B" w:rsidRPr="00AE291C" w:rsidRDefault="00B3109B" w:rsidP="00467401">
      <w:pPr>
        <w:pStyle w:val="ListParagraph"/>
        <w:numPr>
          <w:ilvl w:val="0"/>
          <w:numId w:val="29"/>
        </w:numPr>
        <w:ind w:left="2409" w:hanging="283"/>
        <w:rPr>
          <w:b w:val="0"/>
          <w:bCs w:val="0"/>
          <w:rtl/>
        </w:rPr>
      </w:pPr>
      <w:r w:rsidRPr="00AE291C">
        <w:rPr>
          <w:rFonts w:hint="cs"/>
          <w:b w:val="0"/>
          <w:bCs w:val="0"/>
          <w:rtl/>
        </w:rPr>
        <w:lastRenderedPageBreak/>
        <w:t xml:space="preserve">قيمة الفائض في رأس المال الإجمالي الذي يخص الطرف الثالث يحتسب بضرب الفائض في رأس المال </w:t>
      </w:r>
      <w:r w:rsidR="00BE0CBE" w:rsidRPr="00AE291C">
        <w:rPr>
          <w:rFonts w:hint="cs"/>
          <w:b w:val="0"/>
          <w:bCs w:val="0"/>
          <w:rtl/>
        </w:rPr>
        <w:t>الاجمالي</w:t>
      </w:r>
      <w:r w:rsidRPr="00AE291C">
        <w:rPr>
          <w:rFonts w:hint="cs"/>
          <w:b w:val="0"/>
          <w:bCs w:val="0"/>
          <w:rtl/>
        </w:rPr>
        <w:t xml:space="preserve"> بنسبة ملكية الطرف الثالث في رأس المال الإجمالي.</w:t>
      </w:r>
    </w:p>
    <w:p w:rsidR="00126CEA" w:rsidRDefault="00CA6D85" w:rsidP="00467401">
      <w:pPr>
        <w:pStyle w:val="ListParagraph"/>
        <w:ind w:left="2015"/>
        <w:rPr>
          <w:b w:val="0"/>
          <w:bCs w:val="0"/>
          <w:rtl/>
        </w:rPr>
      </w:pPr>
      <w:r w:rsidRPr="00AE291C">
        <w:rPr>
          <w:rFonts w:hint="cs"/>
          <w:b w:val="0"/>
          <w:bCs w:val="0"/>
          <w:rtl/>
        </w:rPr>
        <w:t xml:space="preserve">ويوضح </w:t>
      </w:r>
      <w:r w:rsidR="00DC7961" w:rsidRPr="00AE291C">
        <w:rPr>
          <w:rFonts w:hint="cs"/>
          <w:b w:val="0"/>
          <w:bCs w:val="0"/>
          <w:rtl/>
        </w:rPr>
        <w:t>الملحق</w:t>
      </w:r>
      <w:r w:rsidR="00337A86" w:rsidRPr="00AE291C">
        <w:rPr>
          <w:rFonts w:hint="cs"/>
          <w:b w:val="0"/>
          <w:bCs w:val="0"/>
          <w:rtl/>
        </w:rPr>
        <w:t xml:space="preserve"> رقم (2</w:t>
      </w:r>
      <w:r w:rsidR="00DC7961" w:rsidRPr="00AE291C">
        <w:rPr>
          <w:rFonts w:hint="cs"/>
          <w:b w:val="0"/>
          <w:bCs w:val="0"/>
          <w:rtl/>
        </w:rPr>
        <w:t xml:space="preserve">) </w:t>
      </w:r>
      <w:r w:rsidR="00100B17" w:rsidRPr="00AE291C">
        <w:rPr>
          <w:rFonts w:hint="cs"/>
          <w:b w:val="0"/>
          <w:bCs w:val="0"/>
          <w:rtl/>
        </w:rPr>
        <w:t xml:space="preserve">مثال على </w:t>
      </w:r>
      <w:r w:rsidRPr="00AE291C">
        <w:rPr>
          <w:rFonts w:hint="cs"/>
          <w:b w:val="0"/>
          <w:bCs w:val="0"/>
          <w:rtl/>
        </w:rPr>
        <w:t>طريقة الاحتساب</w:t>
      </w:r>
      <w:r w:rsidR="00DD1993" w:rsidRPr="00AE291C">
        <w:rPr>
          <w:rFonts w:hint="cs"/>
          <w:b w:val="0"/>
          <w:bCs w:val="0"/>
          <w:rtl/>
        </w:rPr>
        <w:t>.</w:t>
      </w:r>
      <w:bookmarkStart w:id="28" w:name="_Toc372557479"/>
    </w:p>
    <w:p w:rsidR="00467401" w:rsidRPr="004F425C" w:rsidRDefault="00467401" w:rsidP="00467401">
      <w:pPr>
        <w:pStyle w:val="ListParagraph"/>
        <w:ind w:left="2015"/>
        <w:rPr>
          <w:b w:val="0"/>
          <w:bCs w:val="0"/>
          <w:rtl/>
        </w:rPr>
      </w:pPr>
    </w:p>
    <w:p w:rsidR="00B3109B" w:rsidRPr="00D026CE" w:rsidRDefault="004D7ECC" w:rsidP="00136C4D">
      <w:pPr>
        <w:pStyle w:val="Heading2"/>
        <w:rPr>
          <w:rtl/>
        </w:rPr>
      </w:pPr>
      <w:bookmarkStart w:id="29" w:name="_Toc451176015"/>
      <w:bookmarkStart w:id="30" w:name="_Toc451179996"/>
      <w:bookmarkStart w:id="31" w:name="_Toc451260326"/>
      <w:r w:rsidRPr="00D026CE">
        <w:rPr>
          <w:rFonts w:hint="cs"/>
          <w:rtl/>
        </w:rPr>
        <w:t>رابعاً:</w:t>
      </w:r>
      <w:r w:rsidR="004F425C">
        <w:t xml:space="preserve"> </w:t>
      </w:r>
      <w:r w:rsidR="00B3109B" w:rsidRPr="00D026CE">
        <w:rPr>
          <w:rFonts w:hint="cs"/>
          <w:rtl/>
        </w:rPr>
        <w:t>التعديلات الرقابية</w:t>
      </w:r>
      <w:bookmarkEnd w:id="28"/>
      <w:r w:rsidR="002F2C40" w:rsidRPr="00D026CE">
        <w:rPr>
          <w:rFonts w:hint="cs"/>
          <w:rtl/>
        </w:rPr>
        <w:t xml:space="preserve"> (الطروحات من رأس المال)</w:t>
      </w:r>
      <w:bookmarkEnd w:id="29"/>
      <w:bookmarkEnd w:id="30"/>
      <w:bookmarkEnd w:id="31"/>
    </w:p>
    <w:p w:rsidR="00B3109B" w:rsidRDefault="00B3109B" w:rsidP="00467401">
      <w:pPr>
        <w:pStyle w:val="ListParagraph"/>
        <w:spacing w:line="276" w:lineRule="auto"/>
        <w:ind w:left="425"/>
        <w:rPr>
          <w:b w:val="0"/>
          <w:bCs w:val="0"/>
          <w:rtl/>
          <w:lang w:bidi="ar-JO"/>
        </w:rPr>
      </w:pPr>
      <w:r w:rsidRPr="00AE291C">
        <w:rPr>
          <w:rFonts w:hint="cs"/>
          <w:b w:val="0"/>
          <w:bCs w:val="0"/>
          <w:rtl/>
        </w:rPr>
        <w:t xml:space="preserve">يحدد هذا </w:t>
      </w:r>
      <w:r w:rsidR="00122B71" w:rsidRPr="00AE291C">
        <w:rPr>
          <w:rFonts w:hint="cs"/>
          <w:b w:val="0"/>
          <w:bCs w:val="0"/>
          <w:rtl/>
        </w:rPr>
        <w:t>الجزء</w:t>
      </w:r>
      <w:r w:rsidRPr="00AE291C">
        <w:rPr>
          <w:rFonts w:hint="cs"/>
          <w:b w:val="0"/>
          <w:bCs w:val="0"/>
          <w:rtl/>
        </w:rPr>
        <w:t xml:space="preserve"> التعديلات الرقابية</w:t>
      </w:r>
      <w:r w:rsidR="00122B71" w:rsidRPr="00AE291C">
        <w:rPr>
          <w:rFonts w:hint="cs"/>
          <w:b w:val="0"/>
          <w:bCs w:val="0"/>
          <w:rtl/>
        </w:rPr>
        <w:t xml:space="preserve"> </w:t>
      </w:r>
      <w:r w:rsidRPr="00AE291C">
        <w:rPr>
          <w:rFonts w:hint="cs"/>
          <w:b w:val="0"/>
          <w:bCs w:val="0"/>
          <w:rtl/>
        </w:rPr>
        <w:t>التي ستطبق على رأس المال ال</w:t>
      </w:r>
      <w:r w:rsidR="00122B71" w:rsidRPr="00AE291C">
        <w:rPr>
          <w:rFonts w:hint="cs"/>
          <w:b w:val="0"/>
          <w:bCs w:val="0"/>
          <w:rtl/>
        </w:rPr>
        <w:t xml:space="preserve">تنظيمي </w:t>
      </w:r>
      <w:r w:rsidRPr="00AE291C">
        <w:rPr>
          <w:rFonts w:hint="cs"/>
          <w:b w:val="0"/>
          <w:bCs w:val="0"/>
          <w:rtl/>
        </w:rPr>
        <w:t>وفي معظم الحالات يتم تطبيق هذه التعديلات</w:t>
      </w:r>
      <w:r w:rsidR="00122B71" w:rsidRPr="00AE291C">
        <w:rPr>
          <w:rFonts w:hint="cs"/>
          <w:b w:val="0"/>
          <w:bCs w:val="0"/>
          <w:rtl/>
        </w:rPr>
        <w:t xml:space="preserve"> (الطروحات)</w:t>
      </w:r>
      <w:r w:rsidRPr="00AE291C">
        <w:rPr>
          <w:rFonts w:hint="cs"/>
          <w:b w:val="0"/>
          <w:bCs w:val="0"/>
          <w:rtl/>
        </w:rPr>
        <w:t xml:space="preserve"> على احتساب </w:t>
      </w:r>
      <w:r w:rsidR="00F765A0" w:rsidRPr="00AE291C">
        <w:rPr>
          <w:rFonts w:hint="cs"/>
          <w:b w:val="0"/>
          <w:bCs w:val="0"/>
          <w:rtl/>
        </w:rPr>
        <w:t xml:space="preserve">حقوق حملة الأسهم العادية </w:t>
      </w:r>
      <w:r w:rsidRPr="00AE291C">
        <w:rPr>
          <w:rFonts w:hint="cs"/>
          <w:b w:val="0"/>
          <w:bCs w:val="0"/>
          <w:rtl/>
        </w:rPr>
        <w:t>(</w:t>
      </w:r>
      <w:r w:rsidRPr="00AE291C">
        <w:rPr>
          <w:b w:val="0"/>
          <w:bCs w:val="0"/>
        </w:rPr>
        <w:t>(CET1</w:t>
      </w:r>
      <w:r w:rsidRPr="00AE291C">
        <w:rPr>
          <w:rFonts w:hint="cs"/>
          <w:b w:val="0"/>
          <w:bCs w:val="0"/>
          <w:rtl/>
        </w:rPr>
        <w:t>.</w:t>
      </w:r>
    </w:p>
    <w:p w:rsidR="00B3109B" w:rsidRPr="00D026CE" w:rsidRDefault="00C708D0" w:rsidP="00277449">
      <w:pPr>
        <w:spacing w:line="276" w:lineRule="auto"/>
        <w:ind w:left="708" w:hanging="425"/>
        <w:rPr>
          <w:rtl/>
        </w:rPr>
      </w:pPr>
      <w:r w:rsidRPr="00D026CE">
        <w:rPr>
          <w:rFonts w:hint="cs"/>
          <w:rtl/>
        </w:rPr>
        <w:t>1</w:t>
      </w:r>
      <w:r w:rsidR="004D7ECC" w:rsidRPr="00D026CE">
        <w:rPr>
          <w:rFonts w:hint="cs"/>
          <w:rtl/>
        </w:rPr>
        <w:t>.</w:t>
      </w:r>
      <w:r w:rsidR="00277449">
        <w:rPr>
          <w:rFonts w:hint="cs"/>
          <w:rtl/>
        </w:rPr>
        <w:tab/>
      </w:r>
      <w:r w:rsidR="00B3109B" w:rsidRPr="00D026CE">
        <w:rPr>
          <w:rFonts w:hint="cs"/>
          <w:rtl/>
        </w:rPr>
        <w:t xml:space="preserve">الشهرة </w:t>
      </w:r>
      <w:r w:rsidR="0040419F">
        <w:rPr>
          <w:rFonts w:hint="cs"/>
          <w:rtl/>
        </w:rPr>
        <w:t xml:space="preserve"> والموجودات </w:t>
      </w:r>
      <w:r w:rsidR="00B3109B" w:rsidRPr="00D026CE">
        <w:rPr>
          <w:rFonts w:hint="cs"/>
          <w:rtl/>
        </w:rPr>
        <w:t>غير الملموسة الأخرى</w:t>
      </w:r>
      <w:r w:rsidR="00DD1993" w:rsidRPr="00D026CE">
        <w:rPr>
          <w:rFonts w:hint="cs"/>
          <w:rtl/>
        </w:rPr>
        <w:t>:</w:t>
      </w:r>
    </w:p>
    <w:p w:rsidR="00B3109B" w:rsidRPr="00AE291C" w:rsidRDefault="00C708D0" w:rsidP="00E52119">
      <w:pPr>
        <w:ind w:left="1275" w:hanging="567"/>
        <w:rPr>
          <w:b w:val="0"/>
          <w:bCs w:val="0"/>
          <w:rtl/>
        </w:rPr>
      </w:pPr>
      <w:r w:rsidRPr="00AE291C">
        <w:rPr>
          <w:rFonts w:hint="cs"/>
          <w:b w:val="0"/>
          <w:bCs w:val="0"/>
          <w:rtl/>
        </w:rPr>
        <w:t>1.1</w:t>
      </w:r>
      <w:r w:rsidR="00E4033C">
        <w:rPr>
          <w:rFonts w:hint="cs"/>
          <w:b w:val="0"/>
          <w:bCs w:val="0"/>
          <w:rtl/>
        </w:rPr>
        <w:t>.</w:t>
      </w:r>
      <w:r w:rsidR="00B3109B" w:rsidRPr="00AE291C">
        <w:rPr>
          <w:rFonts w:hint="cs"/>
          <w:b w:val="0"/>
          <w:bCs w:val="0"/>
          <w:rtl/>
        </w:rPr>
        <w:tab/>
        <w:t xml:space="preserve">يجب طرح الشهرة </w:t>
      </w:r>
      <w:r w:rsidR="0040419F" w:rsidRPr="00AE291C">
        <w:rPr>
          <w:rFonts w:hint="cs"/>
          <w:b w:val="0"/>
          <w:bCs w:val="0"/>
          <w:rtl/>
        </w:rPr>
        <w:t xml:space="preserve"> والموجودات </w:t>
      </w:r>
      <w:r w:rsidR="00B3109B" w:rsidRPr="00AE291C">
        <w:rPr>
          <w:rFonts w:hint="cs"/>
          <w:b w:val="0"/>
          <w:bCs w:val="0"/>
          <w:rtl/>
        </w:rPr>
        <w:t xml:space="preserve">غير الملموسة الأخرى </w:t>
      </w:r>
      <w:r w:rsidR="00122B71" w:rsidRPr="00AE291C">
        <w:rPr>
          <w:rFonts w:hint="cs"/>
          <w:b w:val="0"/>
          <w:bCs w:val="0"/>
          <w:rtl/>
        </w:rPr>
        <w:t>من</w:t>
      </w:r>
      <w:r w:rsidR="00B3109B" w:rsidRPr="00AE291C">
        <w:rPr>
          <w:rFonts w:hint="cs"/>
          <w:b w:val="0"/>
          <w:bCs w:val="0"/>
          <w:rtl/>
        </w:rPr>
        <w:t xml:space="preserve"> </w:t>
      </w:r>
      <w:r w:rsidR="00F765A0" w:rsidRPr="00AE291C">
        <w:rPr>
          <w:rFonts w:hint="cs"/>
          <w:b w:val="0"/>
          <w:bCs w:val="0"/>
          <w:rtl/>
        </w:rPr>
        <w:t>حقوق حملة الأسهم العادية</w:t>
      </w:r>
      <w:r w:rsidR="00B3109B" w:rsidRPr="00AE291C">
        <w:rPr>
          <w:rFonts w:hint="cs"/>
          <w:b w:val="0"/>
          <w:bCs w:val="0"/>
          <w:rtl/>
        </w:rPr>
        <w:t xml:space="preserve"> (</w:t>
      </w:r>
      <w:r w:rsidR="00B3109B" w:rsidRPr="00AE291C">
        <w:rPr>
          <w:b w:val="0"/>
          <w:bCs w:val="0"/>
        </w:rPr>
        <w:t>(CET1</w:t>
      </w:r>
      <w:r w:rsidR="00E4033C">
        <w:rPr>
          <w:rFonts w:hint="cs"/>
          <w:b w:val="0"/>
          <w:bCs w:val="0"/>
          <w:rtl/>
        </w:rPr>
        <w:t xml:space="preserve"> </w:t>
      </w:r>
      <w:r w:rsidR="00B3109B" w:rsidRPr="00AE291C">
        <w:rPr>
          <w:rFonts w:hint="cs"/>
          <w:b w:val="0"/>
          <w:bCs w:val="0"/>
          <w:rtl/>
        </w:rPr>
        <w:t xml:space="preserve">بما في ذلك الشهرة المتضمنة في تقييم الاستثمارات المؤثرة في رؤوس أموال </w:t>
      </w:r>
      <w:r w:rsidR="00FA7888" w:rsidRPr="00AE291C">
        <w:rPr>
          <w:rFonts w:hint="cs"/>
          <w:b w:val="0"/>
          <w:bCs w:val="0"/>
          <w:rtl/>
        </w:rPr>
        <w:t>البنوك</w:t>
      </w:r>
      <w:r w:rsidR="00B3109B" w:rsidRPr="00AE291C">
        <w:rPr>
          <w:rFonts w:hint="cs"/>
          <w:b w:val="0"/>
          <w:bCs w:val="0"/>
          <w:rtl/>
        </w:rPr>
        <w:t xml:space="preserve"> و</w:t>
      </w:r>
      <w:r w:rsidR="00FA7888" w:rsidRPr="00AE291C">
        <w:rPr>
          <w:rFonts w:hint="cs"/>
          <w:b w:val="0"/>
          <w:bCs w:val="0"/>
          <w:rtl/>
        </w:rPr>
        <w:t xml:space="preserve">الشركات </w:t>
      </w:r>
      <w:r w:rsidR="00B3109B" w:rsidRPr="00AE291C">
        <w:rPr>
          <w:rFonts w:hint="cs"/>
          <w:b w:val="0"/>
          <w:bCs w:val="0"/>
          <w:rtl/>
        </w:rPr>
        <w:t xml:space="preserve">المالية وشركات التأمين التي تكون خارج نطاق التجميع لأغراض رقابية. </w:t>
      </w:r>
    </w:p>
    <w:p w:rsidR="00884ABA" w:rsidRPr="00E4033C" w:rsidRDefault="00C708D0" w:rsidP="00E52119">
      <w:pPr>
        <w:ind w:left="1275" w:hanging="567"/>
        <w:rPr>
          <w:b w:val="0"/>
          <w:bCs w:val="0"/>
          <w:rtl/>
        </w:rPr>
      </w:pPr>
      <w:r w:rsidRPr="00AE291C">
        <w:rPr>
          <w:rFonts w:hint="cs"/>
          <w:b w:val="0"/>
          <w:bCs w:val="0"/>
          <w:rtl/>
        </w:rPr>
        <w:t>2.1</w:t>
      </w:r>
      <w:r w:rsidR="00E4033C">
        <w:rPr>
          <w:rFonts w:hint="cs"/>
          <w:b w:val="0"/>
          <w:bCs w:val="0"/>
          <w:rtl/>
        </w:rPr>
        <w:t>.</w:t>
      </w:r>
      <w:r w:rsidR="00B3109B" w:rsidRPr="00AE291C">
        <w:rPr>
          <w:rFonts w:hint="cs"/>
          <w:b w:val="0"/>
          <w:bCs w:val="0"/>
          <w:rtl/>
        </w:rPr>
        <w:tab/>
      </w:r>
      <w:r w:rsidR="00DD1993" w:rsidRPr="00AE291C">
        <w:rPr>
          <w:rFonts w:hint="cs"/>
          <w:b w:val="0"/>
          <w:bCs w:val="0"/>
          <w:rtl/>
        </w:rPr>
        <w:t>تُعتمد</w:t>
      </w:r>
      <w:r w:rsidR="00B3109B" w:rsidRPr="00AE291C">
        <w:rPr>
          <w:rFonts w:hint="cs"/>
          <w:b w:val="0"/>
          <w:bCs w:val="0"/>
          <w:rtl/>
        </w:rPr>
        <w:t xml:space="preserve"> تعريفات معايير الابلاغ المالي الدولية (</w:t>
      </w:r>
      <w:r w:rsidR="00B3109B" w:rsidRPr="00AE291C">
        <w:rPr>
          <w:b w:val="0"/>
          <w:bCs w:val="0"/>
        </w:rPr>
        <w:t>IFRS</w:t>
      </w:r>
      <w:r w:rsidR="00B3109B" w:rsidRPr="00AE291C">
        <w:rPr>
          <w:rFonts w:hint="cs"/>
          <w:b w:val="0"/>
          <w:bCs w:val="0"/>
          <w:rtl/>
        </w:rPr>
        <w:t xml:space="preserve">) لتحديد </w:t>
      </w:r>
      <w:r w:rsidR="0040419F" w:rsidRPr="00AE291C">
        <w:rPr>
          <w:rFonts w:hint="cs"/>
          <w:b w:val="0"/>
          <w:bCs w:val="0"/>
          <w:rtl/>
        </w:rPr>
        <w:t xml:space="preserve">الموجودات </w:t>
      </w:r>
      <w:r w:rsidR="00B3109B" w:rsidRPr="00AE291C">
        <w:rPr>
          <w:rFonts w:hint="cs"/>
          <w:b w:val="0"/>
          <w:bCs w:val="0"/>
          <w:rtl/>
        </w:rPr>
        <w:t xml:space="preserve">غير الملموسة </w:t>
      </w:r>
      <w:r w:rsidR="006420FD" w:rsidRPr="00AE291C">
        <w:rPr>
          <w:rFonts w:hint="cs"/>
          <w:b w:val="0"/>
          <w:bCs w:val="0"/>
          <w:rtl/>
        </w:rPr>
        <w:t>لغايات الطرح</w:t>
      </w:r>
      <w:r w:rsidR="00B3109B" w:rsidRPr="00AE291C">
        <w:rPr>
          <w:rFonts w:hint="cs"/>
          <w:b w:val="0"/>
          <w:bCs w:val="0"/>
          <w:rtl/>
        </w:rPr>
        <w:t>.</w:t>
      </w:r>
    </w:p>
    <w:p w:rsidR="00B3109B" w:rsidRPr="00E4033C" w:rsidRDefault="002474D8" w:rsidP="00277449">
      <w:pPr>
        <w:spacing w:line="276" w:lineRule="auto"/>
        <w:ind w:left="708" w:hanging="425"/>
        <w:rPr>
          <w:rtl/>
        </w:rPr>
      </w:pPr>
      <w:r w:rsidRPr="00E4033C">
        <w:rPr>
          <w:rFonts w:hint="cs"/>
          <w:rtl/>
        </w:rPr>
        <w:t>2</w:t>
      </w:r>
      <w:r w:rsidR="004D7ECC" w:rsidRPr="00E4033C">
        <w:rPr>
          <w:rFonts w:hint="cs"/>
          <w:rtl/>
        </w:rPr>
        <w:t>.</w:t>
      </w:r>
      <w:r w:rsidR="00277449">
        <w:rPr>
          <w:rFonts w:hint="cs"/>
          <w:rtl/>
        </w:rPr>
        <w:tab/>
      </w:r>
      <w:r w:rsidR="0040419F" w:rsidRPr="00E4033C">
        <w:rPr>
          <w:rFonts w:hint="cs"/>
          <w:rtl/>
        </w:rPr>
        <w:t xml:space="preserve">الموجودات </w:t>
      </w:r>
      <w:r w:rsidR="00B3109B" w:rsidRPr="00E4033C">
        <w:rPr>
          <w:rFonts w:hint="cs"/>
          <w:rtl/>
        </w:rPr>
        <w:t>الضريبية المؤجلة</w:t>
      </w:r>
      <w:r w:rsidR="00DD1993" w:rsidRPr="00E4033C">
        <w:rPr>
          <w:rFonts w:hint="cs"/>
          <w:rtl/>
        </w:rPr>
        <w:t>:</w:t>
      </w:r>
    </w:p>
    <w:p w:rsidR="00B3109B" w:rsidRPr="00AE291C" w:rsidRDefault="002474D8" w:rsidP="000A13C3">
      <w:pPr>
        <w:ind w:left="1275" w:hanging="567"/>
        <w:rPr>
          <w:b w:val="0"/>
          <w:bCs w:val="0"/>
          <w:rtl/>
        </w:rPr>
      </w:pPr>
      <w:r w:rsidRPr="00AE291C">
        <w:rPr>
          <w:rFonts w:hint="cs"/>
          <w:b w:val="0"/>
          <w:bCs w:val="0"/>
          <w:rtl/>
        </w:rPr>
        <w:t>1.2</w:t>
      </w:r>
      <w:r w:rsidR="00E4033C">
        <w:rPr>
          <w:rFonts w:hint="cs"/>
          <w:b w:val="0"/>
          <w:bCs w:val="0"/>
          <w:rtl/>
        </w:rPr>
        <w:t>.</w:t>
      </w:r>
      <w:r w:rsidR="00B3109B" w:rsidRPr="00AE291C">
        <w:rPr>
          <w:rFonts w:hint="cs"/>
          <w:b w:val="0"/>
          <w:bCs w:val="0"/>
          <w:rtl/>
        </w:rPr>
        <w:tab/>
      </w:r>
      <w:r w:rsidR="0040419F" w:rsidRPr="00AE291C">
        <w:rPr>
          <w:rFonts w:hint="cs"/>
          <w:b w:val="0"/>
          <w:bCs w:val="0"/>
          <w:rtl/>
        </w:rPr>
        <w:t xml:space="preserve">الموجودات </w:t>
      </w:r>
      <w:r w:rsidR="00B3109B" w:rsidRPr="00AE291C">
        <w:rPr>
          <w:rFonts w:hint="cs"/>
          <w:b w:val="0"/>
          <w:bCs w:val="0"/>
          <w:rtl/>
        </w:rPr>
        <w:t>الضريبية المؤجلة التي</w:t>
      </w:r>
      <w:r w:rsidR="002174AE">
        <w:rPr>
          <w:rFonts w:hint="cs"/>
          <w:b w:val="0"/>
          <w:bCs w:val="0"/>
          <w:rtl/>
        </w:rPr>
        <w:t xml:space="preserve"> يعتمد تحققها </w:t>
      </w:r>
      <w:r w:rsidR="00B3109B" w:rsidRPr="00AE291C">
        <w:rPr>
          <w:rFonts w:hint="cs"/>
          <w:b w:val="0"/>
          <w:bCs w:val="0"/>
          <w:rtl/>
        </w:rPr>
        <w:t xml:space="preserve">على الربحية المستقبلية للبنك يجب طرحها عند احتساب </w:t>
      </w:r>
      <w:r w:rsidR="00F765A0" w:rsidRPr="00AE291C">
        <w:rPr>
          <w:rFonts w:hint="cs"/>
          <w:b w:val="0"/>
          <w:bCs w:val="0"/>
          <w:rtl/>
        </w:rPr>
        <w:t>حقوق حملة الأسهم العادية</w:t>
      </w:r>
      <w:r w:rsidR="00CA6D85" w:rsidRPr="00AE291C">
        <w:rPr>
          <w:rFonts w:hint="cs"/>
          <w:b w:val="0"/>
          <w:bCs w:val="0"/>
          <w:rtl/>
        </w:rPr>
        <w:t xml:space="preserve"> (</w:t>
      </w:r>
      <w:r w:rsidR="00CA6D85" w:rsidRPr="00AE291C">
        <w:rPr>
          <w:b w:val="0"/>
          <w:bCs w:val="0"/>
        </w:rPr>
        <w:t>CET1</w:t>
      </w:r>
      <w:r w:rsidR="00777B31" w:rsidRPr="00AE291C">
        <w:rPr>
          <w:rFonts w:hint="cs"/>
          <w:b w:val="0"/>
          <w:bCs w:val="0"/>
          <w:rtl/>
        </w:rPr>
        <w:t>)</w:t>
      </w:r>
      <w:r w:rsidR="00CF55C4" w:rsidRPr="00AE291C">
        <w:rPr>
          <w:rFonts w:hint="cs"/>
          <w:b w:val="0"/>
          <w:bCs w:val="0"/>
          <w:rtl/>
        </w:rPr>
        <w:t xml:space="preserve">. ويمكن عمل تقاص ما بين الموجودات الضريبية المؤجلة والمطلوبات الضريبية المؤجلة إذا كانتا تعودان لنفس السلطة الضريبية، وأن هذا الأمر لا يتعارض مع تعليمات السلطة الضريبية. </w:t>
      </w:r>
    </w:p>
    <w:p w:rsidR="00B3109B" w:rsidRPr="00E4033C" w:rsidRDefault="002474D8" w:rsidP="00E52119">
      <w:pPr>
        <w:ind w:left="1275" w:hanging="567"/>
        <w:rPr>
          <w:b w:val="0"/>
          <w:bCs w:val="0"/>
          <w:rtl/>
        </w:rPr>
      </w:pPr>
      <w:r w:rsidRPr="00AE291C">
        <w:rPr>
          <w:rFonts w:hint="cs"/>
          <w:b w:val="0"/>
          <w:bCs w:val="0"/>
          <w:rtl/>
        </w:rPr>
        <w:t>2.2</w:t>
      </w:r>
      <w:r w:rsidR="00E4033C">
        <w:rPr>
          <w:rFonts w:hint="cs"/>
          <w:b w:val="0"/>
          <w:bCs w:val="0"/>
          <w:rtl/>
        </w:rPr>
        <w:t>.</w:t>
      </w:r>
      <w:r w:rsidR="00B3109B" w:rsidRPr="00AE291C">
        <w:rPr>
          <w:rFonts w:hint="cs"/>
          <w:b w:val="0"/>
          <w:bCs w:val="0"/>
          <w:rtl/>
        </w:rPr>
        <w:tab/>
        <w:t xml:space="preserve">إذا تم دفع ضريبة أكثر من المستحق </w:t>
      </w:r>
      <w:r w:rsidR="00251BC7" w:rsidRPr="00AE291C">
        <w:rPr>
          <w:rFonts w:hint="cs"/>
          <w:b w:val="0"/>
          <w:bCs w:val="0"/>
          <w:rtl/>
        </w:rPr>
        <w:t>وأدى ذلك</w:t>
      </w:r>
      <w:r w:rsidR="00B3109B" w:rsidRPr="00AE291C">
        <w:rPr>
          <w:rFonts w:hint="cs"/>
          <w:b w:val="0"/>
          <w:bCs w:val="0"/>
          <w:rtl/>
        </w:rPr>
        <w:t xml:space="preserve"> إلى ظهور مطالبة أو ذمم مدينة على دائرة ضريبة الدخل في </w:t>
      </w:r>
      <w:r w:rsidR="008C2EBC" w:rsidRPr="00AE291C">
        <w:rPr>
          <w:rFonts w:hint="cs"/>
          <w:b w:val="0"/>
          <w:bCs w:val="0"/>
          <w:rtl/>
        </w:rPr>
        <w:t>الأردن</w:t>
      </w:r>
      <w:r w:rsidR="00CF55C4" w:rsidRPr="00AE291C">
        <w:rPr>
          <w:rFonts w:hint="cs"/>
          <w:b w:val="0"/>
          <w:bCs w:val="0"/>
          <w:rtl/>
        </w:rPr>
        <w:t xml:space="preserve"> أو على أية سلطة ضريبية في الدول التي يعمل فيها البنك</w:t>
      </w:r>
      <w:r w:rsidR="00B3109B" w:rsidRPr="00AE291C">
        <w:rPr>
          <w:rFonts w:hint="cs"/>
          <w:b w:val="0"/>
          <w:bCs w:val="0"/>
          <w:rtl/>
        </w:rPr>
        <w:t xml:space="preserve">، </w:t>
      </w:r>
      <w:r w:rsidR="00251BC7" w:rsidRPr="00AE291C">
        <w:rPr>
          <w:rFonts w:hint="cs"/>
          <w:b w:val="0"/>
          <w:bCs w:val="0"/>
          <w:rtl/>
        </w:rPr>
        <w:t>فإن هذه</w:t>
      </w:r>
      <w:r w:rsidR="00B3109B" w:rsidRPr="00AE291C">
        <w:rPr>
          <w:rFonts w:hint="cs"/>
          <w:b w:val="0"/>
          <w:bCs w:val="0"/>
          <w:rtl/>
        </w:rPr>
        <w:t xml:space="preserve"> المبالغ تصنف محاسبياً أصول ضريبة متداولة واسترداد</w:t>
      </w:r>
      <w:r w:rsidR="00251BC7" w:rsidRPr="00AE291C">
        <w:rPr>
          <w:rFonts w:hint="cs"/>
          <w:b w:val="0"/>
          <w:bCs w:val="0"/>
          <w:rtl/>
        </w:rPr>
        <w:t>ها</w:t>
      </w:r>
      <w:r w:rsidR="00B3109B" w:rsidRPr="00AE291C">
        <w:rPr>
          <w:rFonts w:hint="cs"/>
          <w:b w:val="0"/>
          <w:bCs w:val="0"/>
          <w:rtl/>
        </w:rPr>
        <w:t xml:space="preserve"> لا يعتمد على الربحية المستقبلية للبنك وبالتالي تخضع هذه المبالغ (الذمم) لوزن مخاطر الحكومة.</w:t>
      </w:r>
    </w:p>
    <w:p w:rsidR="00B3109B" w:rsidRPr="00E4033C" w:rsidRDefault="002474D8" w:rsidP="00277449">
      <w:pPr>
        <w:spacing w:line="276" w:lineRule="auto"/>
        <w:ind w:left="708" w:hanging="425"/>
        <w:rPr>
          <w:rtl/>
        </w:rPr>
      </w:pPr>
      <w:r w:rsidRPr="00E4033C">
        <w:rPr>
          <w:rFonts w:hint="cs"/>
          <w:rtl/>
        </w:rPr>
        <w:t>3</w:t>
      </w:r>
      <w:r w:rsidR="004D7ECC" w:rsidRPr="00E4033C">
        <w:rPr>
          <w:rFonts w:hint="cs"/>
          <w:rtl/>
        </w:rPr>
        <w:t>.</w:t>
      </w:r>
      <w:r w:rsidR="00277449">
        <w:rPr>
          <w:rFonts w:hint="cs"/>
          <w:rtl/>
        </w:rPr>
        <w:tab/>
      </w:r>
      <w:r w:rsidR="00B3109B" w:rsidRPr="00E4033C">
        <w:rPr>
          <w:rFonts w:hint="cs"/>
          <w:rtl/>
        </w:rPr>
        <w:t>احتياطي التحوط للتدفقات النقدية</w:t>
      </w:r>
      <w:r w:rsidR="003529BA" w:rsidRPr="00E4033C">
        <w:rPr>
          <w:rFonts w:hint="cs"/>
          <w:rtl/>
        </w:rPr>
        <w:t xml:space="preserve"> </w:t>
      </w:r>
      <w:r w:rsidR="003529BA" w:rsidRPr="00E4033C">
        <w:rPr>
          <w:rtl/>
        </w:rPr>
        <w:t>(</w:t>
      </w:r>
      <w:r w:rsidR="003529BA" w:rsidRPr="00E4033C">
        <w:t>Cash flow hedge reserve</w:t>
      </w:r>
      <w:r w:rsidR="003529BA" w:rsidRPr="00E4033C">
        <w:rPr>
          <w:rtl/>
        </w:rPr>
        <w:t>)</w:t>
      </w:r>
      <w:r w:rsidR="00E4033C">
        <w:rPr>
          <w:rFonts w:hint="cs"/>
          <w:rtl/>
        </w:rPr>
        <w:t>:</w:t>
      </w:r>
    </w:p>
    <w:p w:rsidR="004F425C" w:rsidRPr="00DC20B9" w:rsidRDefault="00B3109B" w:rsidP="0062074F">
      <w:pPr>
        <w:pStyle w:val="ListParagraph"/>
        <w:spacing w:line="276" w:lineRule="auto"/>
        <w:ind w:left="708"/>
        <w:rPr>
          <w:b w:val="0"/>
          <w:bCs w:val="0"/>
          <w:rtl/>
        </w:rPr>
      </w:pPr>
      <w:r w:rsidRPr="00AE291C">
        <w:rPr>
          <w:rFonts w:hint="cs"/>
          <w:b w:val="0"/>
          <w:bCs w:val="0"/>
          <w:rtl/>
        </w:rPr>
        <w:t xml:space="preserve">لا </w:t>
      </w:r>
      <w:r w:rsidR="002174AE">
        <w:rPr>
          <w:rFonts w:hint="cs"/>
          <w:b w:val="0"/>
          <w:bCs w:val="0"/>
          <w:rtl/>
        </w:rPr>
        <w:t xml:space="preserve"> يتم </w:t>
      </w:r>
      <w:r w:rsidRPr="00AE291C">
        <w:rPr>
          <w:rFonts w:hint="cs"/>
          <w:b w:val="0"/>
          <w:bCs w:val="0"/>
          <w:rtl/>
        </w:rPr>
        <w:t xml:space="preserve">الاعتراف بمبلغ احتياطي التحوط للتدفقات النقدية والذي يخص التحوط لبنود </w:t>
      </w:r>
      <w:r w:rsidR="002174AE">
        <w:rPr>
          <w:rFonts w:hint="cs"/>
          <w:b w:val="0"/>
          <w:bCs w:val="0"/>
          <w:rtl/>
        </w:rPr>
        <w:t xml:space="preserve">لا </w:t>
      </w:r>
      <w:r w:rsidRPr="00AE291C">
        <w:rPr>
          <w:rFonts w:hint="cs"/>
          <w:b w:val="0"/>
          <w:bCs w:val="0"/>
          <w:rtl/>
        </w:rPr>
        <w:t xml:space="preserve">يتم تقييمها بالقيمة العادلة في الميزانية العمومية (بما في ذلك التدفقات النقدية المتوقعة) عند احتساب </w:t>
      </w:r>
      <w:r w:rsidR="00F765A0" w:rsidRPr="00AE291C">
        <w:rPr>
          <w:rFonts w:hint="cs"/>
          <w:b w:val="0"/>
          <w:bCs w:val="0"/>
          <w:rtl/>
        </w:rPr>
        <w:t>حقوق حملة الأسهم العادية</w:t>
      </w:r>
      <w:r w:rsidR="006420FD" w:rsidRPr="00AE291C">
        <w:rPr>
          <w:rFonts w:hint="cs"/>
          <w:b w:val="0"/>
          <w:bCs w:val="0"/>
          <w:rtl/>
        </w:rPr>
        <w:t xml:space="preserve"> </w:t>
      </w:r>
      <w:r w:rsidRPr="00AE291C">
        <w:rPr>
          <w:rFonts w:hint="cs"/>
          <w:b w:val="0"/>
          <w:bCs w:val="0"/>
          <w:rtl/>
        </w:rPr>
        <w:t>(</w:t>
      </w:r>
      <w:r w:rsidRPr="00AE291C">
        <w:rPr>
          <w:b w:val="0"/>
          <w:bCs w:val="0"/>
        </w:rPr>
        <w:t xml:space="preserve"> (CET1</w:t>
      </w:r>
      <w:r w:rsidR="006420FD" w:rsidRPr="00AE291C">
        <w:rPr>
          <w:rFonts w:hint="cs"/>
          <w:b w:val="0"/>
          <w:bCs w:val="0"/>
          <w:rtl/>
        </w:rPr>
        <w:t xml:space="preserve">، </w:t>
      </w:r>
      <w:r w:rsidRPr="00AE291C">
        <w:rPr>
          <w:rFonts w:hint="cs"/>
          <w:b w:val="0"/>
          <w:bCs w:val="0"/>
          <w:rtl/>
        </w:rPr>
        <w:t>وهذا يعني أن المبالغ الموجبة تستقطع والسالبة تضاف.</w:t>
      </w:r>
    </w:p>
    <w:p w:rsidR="00B3109B" w:rsidRPr="00E4033C" w:rsidRDefault="002474D8" w:rsidP="00277449">
      <w:pPr>
        <w:spacing w:line="276" w:lineRule="auto"/>
        <w:ind w:left="708" w:hanging="425"/>
        <w:rPr>
          <w:rtl/>
        </w:rPr>
      </w:pPr>
      <w:r w:rsidRPr="00E4033C">
        <w:rPr>
          <w:rFonts w:hint="cs"/>
          <w:rtl/>
        </w:rPr>
        <w:lastRenderedPageBreak/>
        <w:t>4</w:t>
      </w:r>
      <w:r w:rsidR="004D7ECC" w:rsidRPr="00E4033C">
        <w:rPr>
          <w:rFonts w:hint="cs"/>
          <w:rtl/>
        </w:rPr>
        <w:t>.</w:t>
      </w:r>
      <w:r w:rsidR="00277449">
        <w:rPr>
          <w:rFonts w:hint="cs"/>
          <w:rtl/>
        </w:rPr>
        <w:tab/>
      </w:r>
      <w:r w:rsidR="00B3109B" w:rsidRPr="00E4033C">
        <w:rPr>
          <w:rFonts w:hint="cs"/>
          <w:rtl/>
        </w:rPr>
        <w:t>الربح من المبيعات الخاصة بعمليات التوريق</w:t>
      </w:r>
      <w:r w:rsidR="00E4033C">
        <w:rPr>
          <w:rFonts w:hint="cs"/>
          <w:rtl/>
        </w:rPr>
        <w:t>:</w:t>
      </w:r>
    </w:p>
    <w:p w:rsidR="00F5651F" w:rsidRDefault="00F5651F" w:rsidP="00BD3AF0">
      <w:pPr>
        <w:pStyle w:val="ListParagraph"/>
        <w:spacing w:line="276" w:lineRule="auto"/>
        <w:ind w:left="708"/>
        <w:rPr>
          <w:sz w:val="27"/>
          <w:szCs w:val="27"/>
          <w:rtl/>
        </w:rPr>
      </w:pPr>
      <w:r w:rsidRPr="00AE291C">
        <w:rPr>
          <w:rFonts w:hint="cs"/>
          <w:b w:val="0"/>
          <w:bCs w:val="0"/>
          <w:rtl/>
        </w:rPr>
        <w:t xml:space="preserve">لا </w:t>
      </w:r>
      <w:r w:rsidR="00B3109B" w:rsidRPr="00AE291C">
        <w:rPr>
          <w:rFonts w:hint="cs"/>
          <w:b w:val="0"/>
          <w:bCs w:val="0"/>
          <w:rtl/>
        </w:rPr>
        <w:t xml:space="preserve">يعترف عند احتساب </w:t>
      </w:r>
      <w:r w:rsidR="00F765A0" w:rsidRPr="00AE291C">
        <w:rPr>
          <w:rFonts w:hint="cs"/>
          <w:b w:val="0"/>
          <w:bCs w:val="0"/>
          <w:rtl/>
        </w:rPr>
        <w:t xml:space="preserve">حقوق حملة الأسهم العادية </w:t>
      </w:r>
      <w:r w:rsidR="00B3109B" w:rsidRPr="00AE291C">
        <w:rPr>
          <w:rFonts w:hint="cs"/>
          <w:b w:val="0"/>
          <w:bCs w:val="0"/>
          <w:rtl/>
        </w:rPr>
        <w:t>(</w:t>
      </w:r>
      <w:r w:rsidR="00B3109B" w:rsidRPr="00AE291C">
        <w:rPr>
          <w:b w:val="0"/>
          <w:bCs w:val="0"/>
        </w:rPr>
        <w:t xml:space="preserve"> (CET1</w:t>
      </w:r>
      <w:r w:rsidR="00B3109B" w:rsidRPr="00AE291C">
        <w:rPr>
          <w:rFonts w:hint="cs"/>
          <w:b w:val="0"/>
          <w:bCs w:val="0"/>
          <w:rtl/>
        </w:rPr>
        <w:t xml:space="preserve"> بأي زيادة في حقوق الملكية تنتج عن عمليات التوريق</w:t>
      </w:r>
      <w:r w:rsidR="00A41D37" w:rsidRPr="00AE291C">
        <w:rPr>
          <w:rFonts w:hint="cs"/>
          <w:b w:val="0"/>
          <w:bCs w:val="0"/>
          <w:rtl/>
        </w:rPr>
        <w:t xml:space="preserve"> (</w:t>
      </w:r>
      <w:r w:rsidR="00A41D37" w:rsidRPr="00AE291C">
        <w:rPr>
          <w:b w:val="0"/>
          <w:bCs w:val="0"/>
        </w:rPr>
        <w:t>Securtization</w:t>
      </w:r>
      <w:r w:rsidR="00E145CC">
        <w:rPr>
          <w:rFonts w:hint="cs"/>
          <w:b w:val="0"/>
          <w:bCs w:val="0"/>
          <w:rtl/>
        </w:rPr>
        <w:t>)</w:t>
      </w:r>
      <w:r w:rsidR="00B3109B" w:rsidRPr="00AE291C">
        <w:rPr>
          <w:rFonts w:hint="cs"/>
          <w:b w:val="0"/>
          <w:bCs w:val="0"/>
          <w:rtl/>
        </w:rPr>
        <w:t>، مثل تلك المتعلقة بالدخل المستقبلي المتوقع والناتج عن الربح من عمليات البيع</w:t>
      </w:r>
      <w:r w:rsidR="00B3109B" w:rsidRPr="00D026CE">
        <w:rPr>
          <w:rFonts w:hint="cs"/>
          <w:sz w:val="27"/>
          <w:szCs w:val="27"/>
          <w:rtl/>
        </w:rPr>
        <w:t>.</w:t>
      </w:r>
    </w:p>
    <w:p w:rsidR="00B3109B" w:rsidRPr="00E4033C" w:rsidRDefault="002474D8" w:rsidP="00277449">
      <w:pPr>
        <w:spacing w:line="276" w:lineRule="auto"/>
        <w:ind w:left="708" w:hanging="425"/>
        <w:rPr>
          <w:rtl/>
        </w:rPr>
      </w:pPr>
      <w:r w:rsidRPr="00E4033C">
        <w:rPr>
          <w:rFonts w:hint="cs"/>
          <w:rtl/>
        </w:rPr>
        <w:t>5</w:t>
      </w:r>
      <w:r w:rsidR="004D7ECC" w:rsidRPr="00E4033C">
        <w:rPr>
          <w:rFonts w:hint="cs"/>
          <w:rtl/>
        </w:rPr>
        <w:t>.</w:t>
      </w:r>
      <w:r w:rsidR="00277449">
        <w:rPr>
          <w:rFonts w:hint="cs"/>
          <w:rtl/>
        </w:rPr>
        <w:tab/>
      </w:r>
      <w:r w:rsidR="00B3109B" w:rsidRPr="00E4033C">
        <w:rPr>
          <w:rFonts w:hint="cs"/>
          <w:rtl/>
        </w:rPr>
        <w:t>الأرباح والخسائر المتراكمة الناتجة عن التغير في مخاطر ائتمان</w:t>
      </w:r>
      <w:r w:rsidR="002A6C36" w:rsidRPr="00E4033C">
        <w:rPr>
          <w:rFonts w:hint="cs"/>
          <w:rtl/>
        </w:rPr>
        <w:t xml:space="preserve"> البنك</w:t>
      </w:r>
      <w:r w:rsidR="00B3109B" w:rsidRPr="00E4033C">
        <w:rPr>
          <w:rFonts w:hint="cs"/>
          <w:rtl/>
        </w:rPr>
        <w:t xml:space="preserve"> لالتزامات مالية مقيمة بالقيمة العادلة</w:t>
      </w:r>
      <w:r w:rsidR="00E4033C">
        <w:rPr>
          <w:rFonts w:hint="cs"/>
          <w:rtl/>
        </w:rPr>
        <w:t>:</w:t>
      </w:r>
    </w:p>
    <w:p w:rsidR="002E087E" w:rsidRPr="008E5122" w:rsidRDefault="00B3109B" w:rsidP="00BB1574">
      <w:pPr>
        <w:pStyle w:val="ListParagraph"/>
        <w:spacing w:after="0"/>
        <w:ind w:left="708"/>
        <w:rPr>
          <w:sz w:val="27"/>
          <w:szCs w:val="27"/>
          <w:rtl/>
        </w:rPr>
      </w:pPr>
      <w:r w:rsidRPr="00AE291C">
        <w:rPr>
          <w:rFonts w:hint="cs"/>
          <w:b w:val="0"/>
          <w:bCs w:val="0"/>
          <w:rtl/>
        </w:rPr>
        <w:t xml:space="preserve">لا يعترف عند احتساب </w:t>
      </w:r>
      <w:r w:rsidR="00F765A0" w:rsidRPr="00AE291C">
        <w:rPr>
          <w:rFonts w:hint="cs"/>
          <w:b w:val="0"/>
          <w:bCs w:val="0"/>
          <w:rtl/>
        </w:rPr>
        <w:t xml:space="preserve">حقوق حملة الأسهم العادية </w:t>
      </w:r>
      <w:r w:rsidRPr="00AE291C">
        <w:rPr>
          <w:rFonts w:hint="cs"/>
          <w:b w:val="0"/>
          <w:bCs w:val="0"/>
          <w:rtl/>
        </w:rPr>
        <w:t>(</w:t>
      </w:r>
      <w:r w:rsidRPr="00AE291C">
        <w:rPr>
          <w:b w:val="0"/>
          <w:bCs w:val="0"/>
        </w:rPr>
        <w:t>(CET1</w:t>
      </w:r>
      <w:r w:rsidRPr="00AE291C">
        <w:rPr>
          <w:rFonts w:hint="cs"/>
          <w:b w:val="0"/>
          <w:bCs w:val="0"/>
          <w:rtl/>
        </w:rPr>
        <w:t xml:space="preserve"> بأية أرباح  أو خسائر غير متحققة نتجت عن التغير في القيمة العادلة للالتزامات بسبب تغير المخاطر الائتمانية للبنك نفسه</w:t>
      </w:r>
      <w:r w:rsidRPr="00D026CE">
        <w:rPr>
          <w:rFonts w:hint="cs"/>
          <w:sz w:val="27"/>
          <w:szCs w:val="27"/>
          <w:rtl/>
        </w:rPr>
        <w:t>.</w:t>
      </w:r>
    </w:p>
    <w:p w:rsidR="006420FD" w:rsidRPr="008E5122" w:rsidRDefault="00277449" w:rsidP="00DF0E34">
      <w:pPr>
        <w:spacing w:before="240" w:line="276" w:lineRule="auto"/>
        <w:ind w:left="708" w:hanging="425"/>
        <w:rPr>
          <w:rtl/>
        </w:rPr>
      </w:pPr>
      <w:r>
        <w:rPr>
          <w:rFonts w:hint="cs"/>
          <w:rtl/>
        </w:rPr>
        <w:t>6.</w:t>
      </w:r>
      <w:r>
        <w:rPr>
          <w:rFonts w:hint="cs"/>
          <w:rtl/>
        </w:rPr>
        <w:tab/>
      </w:r>
      <w:r w:rsidR="002E087E" w:rsidRPr="00E4033C">
        <w:rPr>
          <w:rFonts w:hint="cs"/>
          <w:rtl/>
        </w:rPr>
        <w:t xml:space="preserve">المخصصات المؤجلة وبموافقة البنك المركزي (إن وجدت) حيث يتم طرحها من </w:t>
      </w:r>
      <w:r w:rsidR="002E087E" w:rsidRPr="00E4033C">
        <w:t>CET1</w:t>
      </w:r>
      <w:r w:rsidR="002E087E" w:rsidRPr="00E4033C">
        <w:rPr>
          <w:rFonts w:hint="cs"/>
          <w:rtl/>
        </w:rPr>
        <w:t xml:space="preserve">. </w:t>
      </w:r>
    </w:p>
    <w:p w:rsidR="00B3109B" w:rsidRPr="00E4033C" w:rsidRDefault="002E087E" w:rsidP="00277449">
      <w:pPr>
        <w:spacing w:line="276" w:lineRule="auto"/>
        <w:ind w:left="708" w:hanging="425"/>
        <w:rPr>
          <w:rtl/>
        </w:rPr>
      </w:pPr>
      <w:r w:rsidRPr="00E4033C">
        <w:rPr>
          <w:rFonts w:hint="cs"/>
          <w:rtl/>
        </w:rPr>
        <w:t>7</w:t>
      </w:r>
      <w:r w:rsidR="004D7ECC" w:rsidRPr="00E4033C">
        <w:rPr>
          <w:rFonts w:hint="cs"/>
          <w:rtl/>
        </w:rPr>
        <w:t>.</w:t>
      </w:r>
      <w:r w:rsidR="00277449">
        <w:rPr>
          <w:rFonts w:hint="cs"/>
          <w:rtl/>
        </w:rPr>
        <w:tab/>
      </w:r>
      <w:r w:rsidR="00B3109B" w:rsidRPr="00E4033C">
        <w:rPr>
          <w:rFonts w:hint="cs"/>
          <w:rtl/>
        </w:rPr>
        <w:t>استثمارات في أسهم البنك نفسه (أسهم الخزينة)</w:t>
      </w:r>
      <w:r w:rsidR="008E5122">
        <w:rPr>
          <w:rFonts w:hint="cs"/>
          <w:rtl/>
        </w:rPr>
        <w:t>:</w:t>
      </w:r>
    </w:p>
    <w:p w:rsidR="00B3109B" w:rsidRPr="009A796C" w:rsidRDefault="00B3109B" w:rsidP="00BD3AF0">
      <w:pPr>
        <w:pStyle w:val="ListParagraph"/>
        <w:ind w:left="708"/>
        <w:rPr>
          <w:b w:val="0"/>
          <w:bCs w:val="0"/>
        </w:rPr>
      </w:pPr>
      <w:r w:rsidRPr="009A796C">
        <w:rPr>
          <w:rFonts w:hint="cs"/>
          <w:b w:val="0"/>
          <w:bCs w:val="0"/>
          <w:rtl/>
        </w:rPr>
        <w:t xml:space="preserve">جميع استثمارات البنك في أسهمه سواء محتفظ بها بطريقة مباشرة أو غير مباشرة يجب أن </w:t>
      </w:r>
      <w:r w:rsidR="00122B71" w:rsidRPr="009A796C">
        <w:rPr>
          <w:rFonts w:hint="cs"/>
          <w:b w:val="0"/>
          <w:bCs w:val="0"/>
          <w:rtl/>
        </w:rPr>
        <w:t>تطرح من</w:t>
      </w:r>
      <w:r w:rsidRPr="009A796C">
        <w:rPr>
          <w:rFonts w:hint="cs"/>
          <w:b w:val="0"/>
          <w:bCs w:val="0"/>
          <w:rtl/>
        </w:rPr>
        <w:t xml:space="preserve"> </w:t>
      </w:r>
      <w:r w:rsidR="00F765A0" w:rsidRPr="009A796C">
        <w:rPr>
          <w:rFonts w:hint="cs"/>
          <w:b w:val="0"/>
          <w:bCs w:val="0"/>
          <w:rtl/>
        </w:rPr>
        <w:t>حقوق حملة الأسهم العادية</w:t>
      </w:r>
      <w:r w:rsidR="00122B71" w:rsidRPr="009A796C">
        <w:rPr>
          <w:rFonts w:hint="cs"/>
          <w:b w:val="0"/>
          <w:bCs w:val="0"/>
          <w:rtl/>
        </w:rPr>
        <w:t xml:space="preserve"> </w:t>
      </w:r>
      <w:r w:rsidR="00251BC7" w:rsidRPr="009A796C">
        <w:rPr>
          <w:rFonts w:hint="cs"/>
          <w:b w:val="0"/>
          <w:bCs w:val="0"/>
          <w:rtl/>
        </w:rPr>
        <w:t>(</w:t>
      </w:r>
      <w:r w:rsidR="00251BC7" w:rsidRPr="009A796C">
        <w:rPr>
          <w:b w:val="0"/>
          <w:bCs w:val="0"/>
        </w:rPr>
        <w:t>CET1</w:t>
      </w:r>
      <w:r w:rsidR="00251BC7" w:rsidRPr="009A796C">
        <w:rPr>
          <w:rFonts w:hint="cs"/>
          <w:b w:val="0"/>
          <w:bCs w:val="0"/>
          <w:rtl/>
          <w:lang w:bidi="ar-JO"/>
        </w:rPr>
        <w:t>)</w:t>
      </w:r>
      <w:r w:rsidRPr="009A796C">
        <w:rPr>
          <w:rFonts w:hint="cs"/>
          <w:b w:val="0"/>
          <w:bCs w:val="0"/>
          <w:rtl/>
        </w:rPr>
        <w:t xml:space="preserve"> إضافة إلى ذلك </w:t>
      </w:r>
      <w:r w:rsidR="00122B71" w:rsidRPr="009A796C">
        <w:rPr>
          <w:rFonts w:hint="cs"/>
          <w:b w:val="0"/>
          <w:bCs w:val="0"/>
          <w:rtl/>
        </w:rPr>
        <w:t xml:space="preserve">وفي حال وجود عقد خيار لقيام البنك بشراء أسهمه </w:t>
      </w:r>
      <w:r w:rsidR="00251BC7" w:rsidRPr="009A796C">
        <w:rPr>
          <w:rFonts w:hint="cs"/>
          <w:b w:val="0"/>
          <w:bCs w:val="0"/>
          <w:rtl/>
        </w:rPr>
        <w:t>فإن قيمة هذا العقد</w:t>
      </w:r>
      <w:r w:rsidR="00122B71" w:rsidRPr="009A796C">
        <w:rPr>
          <w:rFonts w:hint="cs"/>
          <w:b w:val="0"/>
          <w:bCs w:val="0"/>
          <w:rtl/>
        </w:rPr>
        <w:t xml:space="preserve"> </w:t>
      </w:r>
      <w:r w:rsidRPr="009A796C">
        <w:rPr>
          <w:rFonts w:hint="cs"/>
          <w:b w:val="0"/>
          <w:bCs w:val="0"/>
          <w:rtl/>
        </w:rPr>
        <w:t xml:space="preserve">يجب ان تطرح </w:t>
      </w:r>
      <w:r w:rsidR="00122B71" w:rsidRPr="009A796C">
        <w:rPr>
          <w:rFonts w:hint="cs"/>
          <w:b w:val="0"/>
          <w:bCs w:val="0"/>
          <w:rtl/>
        </w:rPr>
        <w:t>من</w:t>
      </w:r>
      <w:r w:rsidRPr="009A796C">
        <w:rPr>
          <w:rFonts w:hint="cs"/>
          <w:b w:val="0"/>
          <w:bCs w:val="0"/>
          <w:rtl/>
        </w:rPr>
        <w:t xml:space="preserve"> </w:t>
      </w:r>
      <w:r w:rsidR="00F765A0" w:rsidRPr="009A796C">
        <w:rPr>
          <w:rFonts w:hint="cs"/>
          <w:b w:val="0"/>
          <w:bCs w:val="0"/>
          <w:rtl/>
        </w:rPr>
        <w:t>حقوق حملة الأسهم العادية</w:t>
      </w:r>
      <w:r w:rsidRPr="009A796C">
        <w:rPr>
          <w:rFonts w:hint="cs"/>
          <w:b w:val="0"/>
          <w:bCs w:val="0"/>
          <w:rtl/>
        </w:rPr>
        <w:t xml:space="preserve"> (</w:t>
      </w:r>
      <w:r w:rsidRPr="009A796C">
        <w:rPr>
          <w:b w:val="0"/>
          <w:bCs w:val="0"/>
        </w:rPr>
        <w:t>(CET1</w:t>
      </w:r>
      <w:r w:rsidR="00122B71" w:rsidRPr="009A796C">
        <w:rPr>
          <w:rFonts w:hint="cs"/>
          <w:b w:val="0"/>
          <w:bCs w:val="0"/>
          <w:rtl/>
        </w:rPr>
        <w:t>.</w:t>
      </w:r>
    </w:p>
    <w:p w:rsidR="002E12E2" w:rsidRDefault="00B3109B" w:rsidP="00BD3AF0">
      <w:pPr>
        <w:pStyle w:val="ListParagraph"/>
        <w:ind w:left="708"/>
        <w:rPr>
          <w:b w:val="0"/>
          <w:bCs w:val="0"/>
          <w:rtl/>
        </w:rPr>
      </w:pPr>
      <w:r w:rsidRPr="009A796C">
        <w:rPr>
          <w:rFonts w:hint="cs"/>
          <w:b w:val="0"/>
          <w:bCs w:val="0"/>
          <w:rtl/>
        </w:rPr>
        <w:t xml:space="preserve">يجب على البنوك ان تأخذ بالاعتبار استثماراتها في مؤشرات الأوراق المالية </w:t>
      </w:r>
      <w:r w:rsidR="00122B71" w:rsidRPr="009A796C">
        <w:rPr>
          <w:rFonts w:hint="cs"/>
          <w:b w:val="0"/>
          <w:bCs w:val="0"/>
          <w:rtl/>
        </w:rPr>
        <w:t>(</w:t>
      </w:r>
      <w:r w:rsidR="00122B71" w:rsidRPr="009A796C">
        <w:rPr>
          <w:b w:val="0"/>
          <w:bCs w:val="0"/>
        </w:rPr>
        <w:t>Indexes</w:t>
      </w:r>
      <w:r w:rsidR="00122B71" w:rsidRPr="009A796C">
        <w:rPr>
          <w:rFonts w:hint="cs"/>
          <w:b w:val="0"/>
          <w:bCs w:val="0"/>
          <w:rtl/>
          <w:lang w:bidi="ar-JO"/>
        </w:rPr>
        <w:t xml:space="preserve">) </w:t>
      </w:r>
      <w:r w:rsidRPr="009A796C">
        <w:rPr>
          <w:rFonts w:hint="cs"/>
          <w:b w:val="0"/>
          <w:bCs w:val="0"/>
          <w:rtl/>
        </w:rPr>
        <w:t>لاستقطاع ا</w:t>
      </w:r>
      <w:r w:rsidR="00122B71" w:rsidRPr="009A796C">
        <w:rPr>
          <w:rFonts w:hint="cs"/>
          <w:b w:val="0"/>
          <w:bCs w:val="0"/>
          <w:rtl/>
        </w:rPr>
        <w:t>ي انكشافات تخص أسهم البنك نفسه (المبلغ الذي سيستقطع يساوي قيمة اسهم البنك نفسه في المؤشر)</w:t>
      </w:r>
      <w:r w:rsidRPr="009A796C">
        <w:rPr>
          <w:rFonts w:hint="cs"/>
          <w:b w:val="0"/>
          <w:bCs w:val="0"/>
          <w:rtl/>
        </w:rPr>
        <w:t>.</w:t>
      </w:r>
    </w:p>
    <w:p w:rsidR="00467401" w:rsidRDefault="00467401" w:rsidP="00467401">
      <w:pPr>
        <w:spacing w:line="276" w:lineRule="auto"/>
        <w:ind w:left="708" w:hanging="425"/>
        <w:rPr>
          <w:rtl/>
        </w:rPr>
      </w:pPr>
      <w:r w:rsidRPr="00467401">
        <w:rPr>
          <w:rFonts w:hint="cs"/>
          <w:rtl/>
        </w:rPr>
        <w:t>8.</w:t>
      </w:r>
      <w:r w:rsidRPr="00467401">
        <w:rPr>
          <w:rFonts w:hint="cs"/>
          <w:rtl/>
        </w:rPr>
        <w:tab/>
        <w:t xml:space="preserve">الاستثمارات في رؤوس أموال الشركات التابعة غير الموحدة حساباتها مع حسابات البنك وحسب ما هو موضح في الملحق رقم (1). </w:t>
      </w:r>
    </w:p>
    <w:p w:rsidR="00B3109B" w:rsidRPr="00E4033C" w:rsidRDefault="00467401" w:rsidP="00277449">
      <w:pPr>
        <w:spacing w:line="276" w:lineRule="auto"/>
        <w:ind w:left="708" w:hanging="425"/>
        <w:rPr>
          <w:rtl/>
        </w:rPr>
      </w:pPr>
      <w:r>
        <w:rPr>
          <w:rFonts w:hint="cs"/>
          <w:rtl/>
        </w:rPr>
        <w:t>9</w:t>
      </w:r>
      <w:r w:rsidR="004D7ECC" w:rsidRPr="00E4033C">
        <w:rPr>
          <w:rFonts w:hint="cs"/>
          <w:rtl/>
        </w:rPr>
        <w:t>.</w:t>
      </w:r>
      <w:r w:rsidR="00277449">
        <w:rPr>
          <w:rFonts w:hint="cs"/>
          <w:rtl/>
        </w:rPr>
        <w:tab/>
      </w:r>
      <w:r w:rsidR="00A033F5" w:rsidRPr="00E4033C">
        <w:rPr>
          <w:rFonts w:hint="cs"/>
          <w:rtl/>
        </w:rPr>
        <w:t>الاستثمارات المتبادلة في رؤوس أ</w:t>
      </w:r>
      <w:r w:rsidR="00B3109B" w:rsidRPr="00E4033C">
        <w:rPr>
          <w:rFonts w:hint="cs"/>
          <w:rtl/>
        </w:rPr>
        <w:t xml:space="preserve">موال </w:t>
      </w:r>
      <w:r w:rsidR="00FA7888" w:rsidRPr="00E4033C">
        <w:rPr>
          <w:rFonts w:hint="cs"/>
          <w:rtl/>
        </w:rPr>
        <w:t xml:space="preserve">البنوك </w:t>
      </w:r>
      <w:r w:rsidR="00B3109B" w:rsidRPr="00E4033C">
        <w:rPr>
          <w:rFonts w:hint="cs"/>
          <w:rtl/>
        </w:rPr>
        <w:t>والشركات المالية وشركات التأمين</w:t>
      </w:r>
      <w:r w:rsidR="008E5122">
        <w:rPr>
          <w:rFonts w:hint="cs"/>
          <w:rtl/>
        </w:rPr>
        <w:t>:</w:t>
      </w:r>
    </w:p>
    <w:p w:rsidR="00B3109B" w:rsidRDefault="00B3109B" w:rsidP="00467401">
      <w:pPr>
        <w:pStyle w:val="ListParagraph"/>
        <w:ind w:left="708"/>
        <w:rPr>
          <w:b w:val="0"/>
          <w:bCs w:val="0"/>
          <w:rtl/>
        </w:rPr>
      </w:pPr>
      <w:r w:rsidRPr="009A796C">
        <w:rPr>
          <w:rFonts w:hint="cs"/>
          <w:b w:val="0"/>
          <w:bCs w:val="0"/>
          <w:rtl/>
        </w:rPr>
        <w:t>الاستثما</w:t>
      </w:r>
      <w:r w:rsidR="00122B71" w:rsidRPr="009A796C">
        <w:rPr>
          <w:rFonts w:hint="cs"/>
          <w:b w:val="0"/>
          <w:bCs w:val="0"/>
          <w:rtl/>
        </w:rPr>
        <w:t xml:space="preserve">رات المتبادلة في رؤوس الأموال والتي تعمل على </w:t>
      </w:r>
      <w:r w:rsidRPr="009A796C">
        <w:rPr>
          <w:rFonts w:hint="cs"/>
          <w:b w:val="0"/>
          <w:bCs w:val="0"/>
          <w:rtl/>
        </w:rPr>
        <w:t>تضخيم رؤوس أموال البنوك بشكل مصطنع سوف تستقطع بالكامل</w:t>
      </w:r>
      <w:r w:rsidR="00251BC7" w:rsidRPr="009A796C">
        <w:rPr>
          <w:rFonts w:hint="cs"/>
          <w:b w:val="0"/>
          <w:bCs w:val="0"/>
          <w:rtl/>
        </w:rPr>
        <w:t>،</w:t>
      </w:r>
      <w:r w:rsidRPr="009A796C">
        <w:rPr>
          <w:rFonts w:hint="cs"/>
          <w:b w:val="0"/>
          <w:bCs w:val="0"/>
          <w:rtl/>
        </w:rPr>
        <w:t xml:space="preserve"> </w:t>
      </w:r>
      <w:r w:rsidR="00251BC7" w:rsidRPr="009A796C">
        <w:rPr>
          <w:rFonts w:hint="cs"/>
          <w:b w:val="0"/>
          <w:bCs w:val="0"/>
          <w:rtl/>
        </w:rPr>
        <w:t>و</w:t>
      </w:r>
      <w:r w:rsidRPr="009A796C">
        <w:rPr>
          <w:rFonts w:hint="cs"/>
          <w:b w:val="0"/>
          <w:bCs w:val="0"/>
          <w:rtl/>
        </w:rPr>
        <w:t xml:space="preserve">يجب على البنوك استخدام "منهجية الاستقطاع المتقابل" لهذه الاستثمارات في رؤوس أموال البنوك الأخرى </w:t>
      </w:r>
      <w:r w:rsidR="00FA7888" w:rsidRPr="009A796C">
        <w:rPr>
          <w:rFonts w:hint="cs"/>
          <w:b w:val="0"/>
          <w:bCs w:val="0"/>
          <w:rtl/>
        </w:rPr>
        <w:t xml:space="preserve">والشركات </w:t>
      </w:r>
      <w:r w:rsidRPr="009A796C">
        <w:rPr>
          <w:rFonts w:hint="cs"/>
          <w:b w:val="0"/>
          <w:bCs w:val="0"/>
          <w:rtl/>
        </w:rPr>
        <w:t>المالية الأخرى وشركات التأمين</w:t>
      </w:r>
      <w:r w:rsidR="00777B31" w:rsidRPr="009A796C">
        <w:rPr>
          <w:rFonts w:hint="cs"/>
          <w:b w:val="0"/>
          <w:bCs w:val="0"/>
          <w:rtl/>
        </w:rPr>
        <w:t>،</w:t>
      </w:r>
      <w:r w:rsidRPr="009A796C">
        <w:rPr>
          <w:rFonts w:hint="cs"/>
          <w:b w:val="0"/>
          <w:bCs w:val="0"/>
          <w:rtl/>
        </w:rPr>
        <w:t xml:space="preserve"> أي أن الطرح يجب أن يتم لنفس البند من رأس المال الذي يتأهل له رأس المال </w:t>
      </w:r>
      <w:r w:rsidR="00122B71" w:rsidRPr="009A796C">
        <w:rPr>
          <w:rFonts w:hint="cs"/>
          <w:b w:val="0"/>
          <w:bCs w:val="0"/>
          <w:rtl/>
        </w:rPr>
        <w:t>المؤهل ضمن رأس المال التنظيمي.</w:t>
      </w:r>
    </w:p>
    <w:p w:rsidR="00F96D49" w:rsidRPr="00E145CC" w:rsidRDefault="00F96D49" w:rsidP="00467401">
      <w:pPr>
        <w:pStyle w:val="ListParagraph"/>
        <w:ind w:left="708"/>
        <w:rPr>
          <w:b w:val="0"/>
          <w:bCs w:val="0"/>
          <w:rtl/>
        </w:rPr>
      </w:pPr>
    </w:p>
    <w:p w:rsidR="00B3109B" w:rsidRPr="00E4033C" w:rsidRDefault="00467401" w:rsidP="00277449">
      <w:pPr>
        <w:spacing w:line="276" w:lineRule="auto"/>
        <w:ind w:left="708" w:hanging="425"/>
        <w:rPr>
          <w:rtl/>
        </w:rPr>
      </w:pPr>
      <w:r>
        <w:rPr>
          <w:rFonts w:hint="cs"/>
          <w:rtl/>
        </w:rPr>
        <w:lastRenderedPageBreak/>
        <w:t>10</w:t>
      </w:r>
      <w:r w:rsidR="004D7ECC" w:rsidRPr="00E4033C">
        <w:rPr>
          <w:rFonts w:hint="cs"/>
          <w:rtl/>
        </w:rPr>
        <w:t>.</w:t>
      </w:r>
      <w:r w:rsidR="00277449">
        <w:rPr>
          <w:rFonts w:hint="cs"/>
          <w:rtl/>
        </w:rPr>
        <w:tab/>
      </w:r>
      <w:r w:rsidR="00B3109B" w:rsidRPr="00E4033C">
        <w:rPr>
          <w:rFonts w:hint="cs"/>
          <w:rtl/>
        </w:rPr>
        <w:t>الاستثمارات في رؤوس أموال الب</w:t>
      </w:r>
      <w:r w:rsidR="00777B31" w:rsidRPr="00E4033C">
        <w:rPr>
          <w:rFonts w:hint="cs"/>
          <w:rtl/>
        </w:rPr>
        <w:t>نوك والشركات المالية وشركات التأ</w:t>
      </w:r>
      <w:r w:rsidR="00B3109B" w:rsidRPr="00E4033C">
        <w:rPr>
          <w:rFonts w:hint="cs"/>
          <w:rtl/>
        </w:rPr>
        <w:t xml:space="preserve">مين التي تكون خارج اطار توحيد الحسابات لأغراض رقابية ولا يملك فيها البنك أكثر من 10% من رأس المال المصدر على شكل أسهم عادية لتلك </w:t>
      </w:r>
      <w:r w:rsidR="00FA7888" w:rsidRPr="00E4033C">
        <w:rPr>
          <w:rFonts w:hint="cs"/>
          <w:rtl/>
        </w:rPr>
        <w:t xml:space="preserve"> الشركة</w:t>
      </w:r>
      <w:r w:rsidR="008E5122">
        <w:rPr>
          <w:rFonts w:hint="cs"/>
          <w:rtl/>
        </w:rPr>
        <w:t>.</w:t>
      </w:r>
    </w:p>
    <w:p w:rsidR="00B3109B" w:rsidRDefault="002474D8" w:rsidP="00467401">
      <w:pPr>
        <w:ind w:left="1275" w:hanging="567"/>
        <w:rPr>
          <w:b w:val="0"/>
          <w:bCs w:val="0"/>
          <w:rtl/>
        </w:rPr>
      </w:pPr>
      <w:r w:rsidRPr="00E4033C">
        <w:rPr>
          <w:rFonts w:hint="cs"/>
          <w:b w:val="0"/>
          <w:bCs w:val="0"/>
          <w:rtl/>
        </w:rPr>
        <w:t>1.</w:t>
      </w:r>
      <w:r w:rsidR="00467401">
        <w:rPr>
          <w:rFonts w:hint="cs"/>
          <w:b w:val="0"/>
          <w:bCs w:val="0"/>
          <w:rtl/>
        </w:rPr>
        <w:t>10</w:t>
      </w:r>
      <w:r w:rsidR="00E4033C">
        <w:rPr>
          <w:rFonts w:hint="cs"/>
          <w:b w:val="0"/>
          <w:bCs w:val="0"/>
          <w:rtl/>
        </w:rPr>
        <w:t>.</w:t>
      </w:r>
      <w:r w:rsidR="00B3109B" w:rsidRPr="00E4033C">
        <w:rPr>
          <w:rFonts w:hint="cs"/>
          <w:b w:val="0"/>
          <w:bCs w:val="0"/>
          <w:rtl/>
        </w:rPr>
        <w:tab/>
        <w:t xml:space="preserve">التعديلات الرقابية المبينة ضمن هذا </w:t>
      </w:r>
      <w:r w:rsidR="00122B71" w:rsidRPr="00E4033C">
        <w:rPr>
          <w:rFonts w:hint="cs"/>
          <w:b w:val="0"/>
          <w:bCs w:val="0"/>
          <w:rtl/>
        </w:rPr>
        <w:t>الجزء</w:t>
      </w:r>
      <w:r w:rsidR="00B3109B" w:rsidRPr="00E4033C">
        <w:rPr>
          <w:rFonts w:hint="cs"/>
          <w:b w:val="0"/>
          <w:bCs w:val="0"/>
          <w:rtl/>
        </w:rPr>
        <w:t xml:space="preserve"> تخص الاستثمارات في رؤوس أموال البنوك والشركات المالية وشركات </w:t>
      </w:r>
      <w:r w:rsidR="00251BC7" w:rsidRPr="00E4033C">
        <w:rPr>
          <w:rFonts w:hint="cs"/>
          <w:b w:val="0"/>
          <w:bCs w:val="0"/>
          <w:rtl/>
        </w:rPr>
        <w:t>ال</w:t>
      </w:r>
      <w:r w:rsidR="00B3109B" w:rsidRPr="00E4033C">
        <w:rPr>
          <w:rFonts w:hint="cs"/>
          <w:b w:val="0"/>
          <w:bCs w:val="0"/>
          <w:rtl/>
        </w:rPr>
        <w:t xml:space="preserve">تأمين التي تكون خارج اطار توحيد الحسابات لأغراض رقابية </w:t>
      </w:r>
      <w:r w:rsidR="00122B71" w:rsidRPr="00E4033C">
        <w:rPr>
          <w:rFonts w:hint="cs"/>
          <w:b w:val="0"/>
          <w:bCs w:val="0"/>
          <w:rtl/>
        </w:rPr>
        <w:t>و</w:t>
      </w:r>
      <w:r w:rsidR="00B3109B" w:rsidRPr="00E4033C">
        <w:rPr>
          <w:rFonts w:hint="cs"/>
          <w:b w:val="0"/>
          <w:bCs w:val="0"/>
          <w:rtl/>
        </w:rPr>
        <w:t xml:space="preserve">لا يملك فيها البنك أكثر من 10% من رأس المال المصدر على شكل أسهم عادية لتلك </w:t>
      </w:r>
      <w:r w:rsidR="00FA7888" w:rsidRPr="00E4033C">
        <w:rPr>
          <w:rFonts w:hint="cs"/>
          <w:b w:val="0"/>
          <w:bCs w:val="0"/>
          <w:rtl/>
        </w:rPr>
        <w:t>الشركة</w:t>
      </w:r>
      <w:r w:rsidR="008B0ACA" w:rsidRPr="00E4033C">
        <w:rPr>
          <w:rFonts w:hint="cs"/>
          <w:b w:val="0"/>
          <w:bCs w:val="0"/>
          <w:rtl/>
        </w:rPr>
        <w:t>،</w:t>
      </w:r>
      <w:r w:rsidR="00B3109B" w:rsidRPr="00E4033C">
        <w:rPr>
          <w:rFonts w:hint="cs"/>
          <w:b w:val="0"/>
          <w:bCs w:val="0"/>
          <w:rtl/>
        </w:rPr>
        <w:t xml:space="preserve"> </w:t>
      </w:r>
      <w:r w:rsidR="00122B71" w:rsidRPr="00E4033C">
        <w:rPr>
          <w:rFonts w:hint="cs"/>
          <w:b w:val="0"/>
          <w:bCs w:val="0"/>
          <w:rtl/>
        </w:rPr>
        <w:t xml:space="preserve">وتتضمن هذه الاستثمارات ما يلي: </w:t>
      </w:r>
    </w:p>
    <w:p w:rsidR="0070751E" w:rsidRPr="00E4033C" w:rsidRDefault="0070751E" w:rsidP="0070751E">
      <w:pPr>
        <w:ind w:left="2126" w:hanging="851"/>
        <w:rPr>
          <w:b w:val="0"/>
          <w:bCs w:val="0"/>
        </w:rPr>
      </w:pPr>
      <w:r>
        <w:rPr>
          <w:rFonts w:hint="cs"/>
          <w:b w:val="0"/>
          <w:bCs w:val="0"/>
          <w:rtl/>
        </w:rPr>
        <w:t>1</w:t>
      </w:r>
      <w:r w:rsidRPr="00E4033C">
        <w:rPr>
          <w:rFonts w:hint="cs"/>
          <w:b w:val="0"/>
          <w:bCs w:val="0"/>
          <w:rtl/>
        </w:rPr>
        <w:t>.1.</w:t>
      </w:r>
      <w:r>
        <w:rPr>
          <w:rFonts w:hint="cs"/>
          <w:b w:val="0"/>
          <w:bCs w:val="0"/>
          <w:rtl/>
        </w:rPr>
        <w:t>10.</w:t>
      </w:r>
      <w:r w:rsidRPr="00E4033C">
        <w:rPr>
          <w:rFonts w:hint="cs"/>
          <w:b w:val="0"/>
          <w:bCs w:val="0"/>
          <w:rtl/>
        </w:rPr>
        <w:tab/>
        <w:t>الاستثمارات المصنفة في المحفظة البنكية وفي محفظة المتاجرة</w:t>
      </w:r>
      <w:r>
        <w:rPr>
          <w:rFonts w:hint="cs"/>
          <w:b w:val="0"/>
          <w:bCs w:val="0"/>
          <w:rtl/>
        </w:rPr>
        <w:t xml:space="preserve"> بما في ذلك أ</w:t>
      </w:r>
      <w:r w:rsidR="000C6933">
        <w:rPr>
          <w:rFonts w:hint="cs"/>
          <w:b w:val="0"/>
          <w:bCs w:val="0"/>
          <w:rtl/>
        </w:rPr>
        <w:t>ي</w:t>
      </w:r>
      <w:r>
        <w:rPr>
          <w:rFonts w:hint="cs"/>
          <w:b w:val="0"/>
          <w:bCs w:val="0"/>
          <w:rtl/>
        </w:rPr>
        <w:t>ة استثمارات في قروض مساندة لبنوك أخرى</w:t>
      </w:r>
      <w:r w:rsidRPr="00E4033C">
        <w:rPr>
          <w:rFonts w:hint="cs"/>
          <w:b w:val="0"/>
          <w:bCs w:val="0"/>
          <w:rtl/>
        </w:rPr>
        <w:t xml:space="preserve">. </w:t>
      </w:r>
    </w:p>
    <w:p w:rsidR="00B3109B" w:rsidRPr="00E4033C" w:rsidRDefault="0070751E" w:rsidP="0062074F">
      <w:pPr>
        <w:ind w:left="2126" w:hanging="851"/>
        <w:rPr>
          <w:b w:val="0"/>
          <w:bCs w:val="0"/>
        </w:rPr>
      </w:pPr>
      <w:r>
        <w:rPr>
          <w:rFonts w:hint="cs"/>
          <w:b w:val="0"/>
          <w:bCs w:val="0"/>
          <w:rtl/>
        </w:rPr>
        <w:t>2</w:t>
      </w:r>
      <w:r w:rsidR="00190660" w:rsidRPr="00E4033C">
        <w:rPr>
          <w:rFonts w:hint="cs"/>
          <w:b w:val="0"/>
          <w:bCs w:val="0"/>
          <w:rtl/>
        </w:rPr>
        <w:t>.1.</w:t>
      </w:r>
      <w:r w:rsidR="00467401">
        <w:rPr>
          <w:rFonts w:hint="cs"/>
          <w:b w:val="0"/>
          <w:bCs w:val="0"/>
          <w:rtl/>
        </w:rPr>
        <w:t>10</w:t>
      </w:r>
      <w:r w:rsidR="00E4033C">
        <w:rPr>
          <w:rFonts w:hint="cs"/>
          <w:b w:val="0"/>
          <w:bCs w:val="0"/>
          <w:rtl/>
        </w:rPr>
        <w:t>.</w:t>
      </w:r>
      <w:r w:rsidR="008B0ACA" w:rsidRPr="00E4033C">
        <w:rPr>
          <w:rFonts w:hint="cs"/>
          <w:b w:val="0"/>
          <w:bCs w:val="0"/>
          <w:rtl/>
        </w:rPr>
        <w:tab/>
      </w:r>
      <w:r w:rsidR="00B3109B" w:rsidRPr="00E4033C">
        <w:rPr>
          <w:rFonts w:hint="cs"/>
          <w:b w:val="0"/>
          <w:bCs w:val="0"/>
          <w:rtl/>
        </w:rPr>
        <w:t>الاستثمارات المباشرة وغير المباشرة</w:t>
      </w:r>
      <w:r w:rsidR="00B3109B" w:rsidRPr="00E145CC">
        <w:rPr>
          <w:b w:val="0"/>
          <w:bCs w:val="0"/>
          <w:vertAlign w:val="superscript"/>
          <w:rtl/>
        </w:rPr>
        <w:footnoteReference w:id="14"/>
      </w:r>
      <w:r w:rsidR="00B3109B" w:rsidRPr="00E145CC">
        <w:rPr>
          <w:rFonts w:hint="cs"/>
          <w:b w:val="0"/>
          <w:bCs w:val="0"/>
          <w:vertAlign w:val="superscript"/>
          <w:rtl/>
        </w:rPr>
        <w:t xml:space="preserve"> </w:t>
      </w:r>
      <w:r w:rsidR="000C6933">
        <w:rPr>
          <w:rFonts w:hint="cs"/>
          <w:b w:val="0"/>
          <w:bCs w:val="0"/>
          <w:rtl/>
        </w:rPr>
        <w:t xml:space="preserve">في مؤشرات الأوراق المالية، </w:t>
      </w:r>
      <w:r w:rsidR="00251BC7" w:rsidRPr="00E4033C">
        <w:rPr>
          <w:rFonts w:hint="cs"/>
          <w:b w:val="0"/>
          <w:bCs w:val="0"/>
          <w:rtl/>
        </w:rPr>
        <w:t xml:space="preserve">حيث </w:t>
      </w:r>
      <w:r w:rsidR="007B5477" w:rsidRPr="00E4033C">
        <w:rPr>
          <w:rFonts w:hint="cs"/>
          <w:b w:val="0"/>
          <w:bCs w:val="0"/>
          <w:rtl/>
        </w:rPr>
        <w:t xml:space="preserve">يتوجب </w:t>
      </w:r>
      <w:r w:rsidR="00B3109B" w:rsidRPr="00E4033C">
        <w:rPr>
          <w:rFonts w:hint="cs"/>
          <w:b w:val="0"/>
          <w:bCs w:val="0"/>
          <w:rtl/>
        </w:rPr>
        <w:t>على البنك فحص استثماراته في مؤشرات الأوراق المالية لتحديد فيما إذا كان أي منها يخص استثما</w:t>
      </w:r>
      <w:r w:rsidR="000114FE" w:rsidRPr="00E4033C">
        <w:rPr>
          <w:rFonts w:hint="cs"/>
          <w:b w:val="0"/>
          <w:bCs w:val="0"/>
          <w:rtl/>
        </w:rPr>
        <w:t>رات في رؤوس أموال</w:t>
      </w:r>
      <w:r w:rsidR="007B5477" w:rsidRPr="00E4033C">
        <w:rPr>
          <w:rFonts w:hint="cs"/>
          <w:b w:val="0"/>
          <w:bCs w:val="0"/>
          <w:rtl/>
        </w:rPr>
        <w:t xml:space="preserve"> بنوك</w:t>
      </w:r>
      <w:r w:rsidR="00251BC7" w:rsidRPr="00E4033C">
        <w:rPr>
          <w:rFonts w:hint="cs"/>
          <w:b w:val="0"/>
          <w:bCs w:val="0"/>
          <w:rtl/>
        </w:rPr>
        <w:t xml:space="preserve"> وشركات </w:t>
      </w:r>
      <w:r w:rsidR="000114FE" w:rsidRPr="00E4033C">
        <w:rPr>
          <w:rFonts w:hint="cs"/>
          <w:b w:val="0"/>
          <w:bCs w:val="0"/>
          <w:rtl/>
        </w:rPr>
        <w:t xml:space="preserve">مالية وشركات </w:t>
      </w:r>
      <w:r w:rsidR="00251BC7" w:rsidRPr="00E4033C">
        <w:rPr>
          <w:rFonts w:hint="cs"/>
          <w:b w:val="0"/>
          <w:bCs w:val="0"/>
          <w:rtl/>
        </w:rPr>
        <w:t>تأمين</w:t>
      </w:r>
      <w:r w:rsidR="000A13C3">
        <w:rPr>
          <w:rFonts w:hint="cs"/>
          <w:b w:val="0"/>
          <w:bCs w:val="0"/>
          <w:rtl/>
        </w:rPr>
        <w:t>.</w:t>
      </w:r>
      <w:r w:rsidR="00564AE8">
        <w:rPr>
          <w:rFonts w:hint="cs"/>
          <w:b w:val="0"/>
          <w:bCs w:val="0"/>
          <w:rtl/>
        </w:rPr>
        <w:t xml:space="preserve"> </w:t>
      </w:r>
      <w:r w:rsidR="007B5477" w:rsidRPr="00E4033C">
        <w:rPr>
          <w:rFonts w:hint="cs"/>
          <w:b w:val="0"/>
          <w:bCs w:val="0"/>
          <w:rtl/>
        </w:rPr>
        <w:t xml:space="preserve"> </w:t>
      </w:r>
    </w:p>
    <w:p w:rsidR="00B3109B" w:rsidRPr="00E4033C" w:rsidRDefault="00190660" w:rsidP="00467401">
      <w:pPr>
        <w:ind w:left="2126" w:hanging="851"/>
        <w:rPr>
          <w:b w:val="0"/>
          <w:bCs w:val="0"/>
          <w:rtl/>
        </w:rPr>
      </w:pPr>
      <w:r w:rsidRPr="00E4033C">
        <w:rPr>
          <w:rFonts w:hint="cs"/>
          <w:b w:val="0"/>
          <w:bCs w:val="0"/>
          <w:rtl/>
        </w:rPr>
        <w:t>3.1.</w:t>
      </w:r>
      <w:r w:rsidR="00467401">
        <w:rPr>
          <w:rFonts w:hint="cs"/>
          <w:b w:val="0"/>
          <w:bCs w:val="0"/>
          <w:rtl/>
        </w:rPr>
        <w:t>10</w:t>
      </w:r>
      <w:r w:rsidR="00E4033C">
        <w:rPr>
          <w:rFonts w:hint="cs"/>
          <w:b w:val="0"/>
          <w:bCs w:val="0"/>
          <w:rtl/>
        </w:rPr>
        <w:t>.</w:t>
      </w:r>
      <w:r w:rsidR="00B3109B" w:rsidRPr="00E4033C">
        <w:rPr>
          <w:rFonts w:hint="cs"/>
          <w:b w:val="0"/>
          <w:bCs w:val="0"/>
          <w:rtl/>
        </w:rPr>
        <w:tab/>
        <w:t xml:space="preserve">تستثنى المراكز </w:t>
      </w:r>
      <w:r w:rsidR="008B0ACA" w:rsidRPr="00E4033C">
        <w:rPr>
          <w:rFonts w:hint="cs"/>
          <w:b w:val="0"/>
          <w:bCs w:val="0"/>
          <w:rtl/>
        </w:rPr>
        <w:t>الن</w:t>
      </w:r>
      <w:r w:rsidR="00B3109B" w:rsidRPr="00E4033C">
        <w:rPr>
          <w:rFonts w:hint="cs"/>
          <w:b w:val="0"/>
          <w:bCs w:val="0"/>
          <w:rtl/>
        </w:rPr>
        <w:t>اشئة عن تعهدات التغطية المحتفظ بها لمدة خمسة أيام عمل أو اقل وتضاف تلك التي يحتفظ بها أكثر من خمسة أيام عمل.</w:t>
      </w:r>
    </w:p>
    <w:p w:rsidR="00B3109B" w:rsidRPr="00D026CE" w:rsidRDefault="00190660" w:rsidP="00467401">
      <w:pPr>
        <w:ind w:left="2126" w:hanging="851"/>
        <w:rPr>
          <w:sz w:val="27"/>
          <w:szCs w:val="27"/>
        </w:rPr>
      </w:pPr>
      <w:r w:rsidRPr="00E4033C">
        <w:rPr>
          <w:rFonts w:hint="cs"/>
          <w:b w:val="0"/>
          <w:bCs w:val="0"/>
          <w:rtl/>
        </w:rPr>
        <w:t>4.1.</w:t>
      </w:r>
      <w:r w:rsidR="00467401">
        <w:rPr>
          <w:rFonts w:hint="cs"/>
          <w:b w:val="0"/>
          <w:bCs w:val="0"/>
          <w:rtl/>
        </w:rPr>
        <w:t>10</w:t>
      </w:r>
      <w:r w:rsidR="00E4033C">
        <w:rPr>
          <w:rFonts w:hint="cs"/>
          <w:b w:val="0"/>
          <w:bCs w:val="0"/>
          <w:rtl/>
        </w:rPr>
        <w:t>.</w:t>
      </w:r>
      <w:r w:rsidR="008B0ACA" w:rsidRPr="00E4033C">
        <w:rPr>
          <w:rFonts w:hint="cs"/>
          <w:b w:val="0"/>
          <w:bCs w:val="0"/>
          <w:rtl/>
        </w:rPr>
        <w:tab/>
      </w:r>
      <w:r w:rsidR="00B3109B" w:rsidRPr="00E4033C">
        <w:rPr>
          <w:rFonts w:hint="cs"/>
          <w:b w:val="0"/>
          <w:bCs w:val="0"/>
          <w:rtl/>
        </w:rPr>
        <w:t xml:space="preserve">إذا لم تحقق أداة رأس المال للشركة التي يستثمر فيها البنك معايير الإدراج ضمن </w:t>
      </w:r>
      <w:r w:rsidR="00F765A0" w:rsidRPr="00E4033C">
        <w:rPr>
          <w:rFonts w:hint="cs"/>
          <w:b w:val="0"/>
          <w:bCs w:val="0"/>
          <w:rtl/>
        </w:rPr>
        <w:t xml:space="preserve">حقوق حملة الأسهم العادية </w:t>
      </w:r>
      <w:r w:rsidR="00B3109B" w:rsidRPr="00E4033C">
        <w:rPr>
          <w:rFonts w:hint="cs"/>
          <w:b w:val="0"/>
          <w:bCs w:val="0"/>
          <w:rtl/>
        </w:rPr>
        <w:t>(</w:t>
      </w:r>
      <w:r w:rsidR="00B3109B" w:rsidRPr="00E4033C">
        <w:rPr>
          <w:b w:val="0"/>
          <w:bCs w:val="0"/>
        </w:rPr>
        <w:t>(CET1</w:t>
      </w:r>
      <w:r w:rsidR="00B3109B" w:rsidRPr="00E4033C">
        <w:rPr>
          <w:rFonts w:hint="cs"/>
          <w:b w:val="0"/>
          <w:bCs w:val="0"/>
          <w:rtl/>
        </w:rPr>
        <w:t xml:space="preserve"> أو راس المال الاضافي </w:t>
      </w:r>
      <w:r w:rsidR="009D1555" w:rsidRPr="00E4033C">
        <w:rPr>
          <w:rFonts w:hint="cs"/>
          <w:b w:val="0"/>
          <w:bCs w:val="0"/>
          <w:rtl/>
        </w:rPr>
        <w:t>(</w:t>
      </w:r>
      <w:r w:rsidR="009D1555" w:rsidRPr="00E4033C">
        <w:rPr>
          <w:b w:val="0"/>
          <w:bCs w:val="0"/>
        </w:rPr>
        <w:t>AT1</w:t>
      </w:r>
      <w:r w:rsidR="009D1555" w:rsidRPr="00E4033C">
        <w:rPr>
          <w:rFonts w:hint="cs"/>
          <w:b w:val="0"/>
          <w:bCs w:val="0"/>
          <w:rtl/>
        </w:rPr>
        <w:t xml:space="preserve">) </w:t>
      </w:r>
      <w:r w:rsidR="00B3109B" w:rsidRPr="00E4033C">
        <w:rPr>
          <w:rFonts w:hint="cs"/>
          <w:b w:val="0"/>
          <w:bCs w:val="0"/>
          <w:rtl/>
        </w:rPr>
        <w:t>أو الشريحة الثانية للبنك</w:t>
      </w:r>
      <w:r w:rsidR="007B5477" w:rsidRPr="00E4033C">
        <w:rPr>
          <w:rFonts w:hint="cs"/>
          <w:b w:val="0"/>
          <w:bCs w:val="0"/>
          <w:rtl/>
        </w:rPr>
        <w:t xml:space="preserve"> (</w:t>
      </w:r>
      <w:r w:rsidR="007B5477" w:rsidRPr="00E4033C">
        <w:rPr>
          <w:b w:val="0"/>
          <w:bCs w:val="0"/>
        </w:rPr>
        <w:t>T2</w:t>
      </w:r>
      <w:r w:rsidR="007B5477" w:rsidRPr="00E4033C">
        <w:rPr>
          <w:rFonts w:hint="cs"/>
          <w:b w:val="0"/>
          <w:bCs w:val="0"/>
          <w:rtl/>
        </w:rPr>
        <w:t>)</w:t>
      </w:r>
      <w:r w:rsidR="00B3109B" w:rsidRPr="00E4033C">
        <w:rPr>
          <w:rFonts w:hint="cs"/>
          <w:b w:val="0"/>
          <w:bCs w:val="0"/>
          <w:rtl/>
        </w:rPr>
        <w:t xml:space="preserve">، </w:t>
      </w:r>
      <w:r w:rsidR="00251BC7" w:rsidRPr="00E4033C">
        <w:rPr>
          <w:rFonts w:hint="cs"/>
          <w:b w:val="0"/>
          <w:bCs w:val="0"/>
          <w:rtl/>
        </w:rPr>
        <w:t>يتم تصنيف هذه الأداة ضمن (</w:t>
      </w:r>
      <w:r w:rsidR="00251BC7" w:rsidRPr="00E4033C">
        <w:rPr>
          <w:b w:val="0"/>
          <w:bCs w:val="0"/>
        </w:rPr>
        <w:t>CET1</w:t>
      </w:r>
      <w:r w:rsidR="00251BC7" w:rsidRPr="00E4033C">
        <w:rPr>
          <w:rFonts w:hint="cs"/>
          <w:b w:val="0"/>
          <w:bCs w:val="0"/>
          <w:rtl/>
        </w:rPr>
        <w:t>) لأغراض هذه التعديلات الرقابية،</w:t>
      </w:r>
      <w:r w:rsidR="00B3109B" w:rsidRPr="00E4033C">
        <w:rPr>
          <w:rFonts w:hint="cs"/>
          <w:b w:val="0"/>
          <w:bCs w:val="0"/>
          <w:rtl/>
        </w:rPr>
        <w:t xml:space="preserve"> وإذا كان الاستثمار صادر عن مؤسسة مالية تخضع للرقابة ولا يدرج الاستثمار ضمن رأس المال </w:t>
      </w:r>
      <w:r w:rsidR="007B5477" w:rsidRPr="00E4033C">
        <w:rPr>
          <w:rFonts w:hint="cs"/>
          <w:b w:val="0"/>
          <w:bCs w:val="0"/>
          <w:rtl/>
        </w:rPr>
        <w:t>التنظيمي</w:t>
      </w:r>
      <w:r w:rsidR="00B3109B" w:rsidRPr="00E4033C">
        <w:rPr>
          <w:rFonts w:hint="cs"/>
          <w:b w:val="0"/>
          <w:bCs w:val="0"/>
          <w:rtl/>
        </w:rPr>
        <w:t xml:space="preserve"> </w:t>
      </w:r>
      <w:r w:rsidR="00FA7888" w:rsidRPr="00E4033C">
        <w:rPr>
          <w:rFonts w:hint="cs"/>
          <w:b w:val="0"/>
          <w:bCs w:val="0"/>
          <w:rtl/>
        </w:rPr>
        <w:t xml:space="preserve">للشركة </w:t>
      </w:r>
      <w:r w:rsidR="00B3109B" w:rsidRPr="00E4033C">
        <w:rPr>
          <w:rFonts w:hint="cs"/>
          <w:b w:val="0"/>
          <w:bCs w:val="0"/>
          <w:rtl/>
        </w:rPr>
        <w:t xml:space="preserve">المالية فلا يتوجب </w:t>
      </w:r>
      <w:r w:rsidR="000114FE" w:rsidRPr="00E4033C">
        <w:rPr>
          <w:rFonts w:hint="cs"/>
          <w:b w:val="0"/>
          <w:bCs w:val="0"/>
          <w:rtl/>
        </w:rPr>
        <w:t>اخضاع هذا الاستثمار لل</w:t>
      </w:r>
      <w:r w:rsidR="00B3109B" w:rsidRPr="00E4033C">
        <w:rPr>
          <w:rFonts w:hint="cs"/>
          <w:b w:val="0"/>
          <w:bCs w:val="0"/>
          <w:rtl/>
        </w:rPr>
        <w:t>استقطاع.</w:t>
      </w:r>
    </w:p>
    <w:p w:rsidR="00B3109B" w:rsidRPr="00E4033C" w:rsidRDefault="002474D8" w:rsidP="00467401">
      <w:pPr>
        <w:ind w:left="1275" w:hanging="567"/>
        <w:rPr>
          <w:b w:val="0"/>
          <w:bCs w:val="0"/>
          <w:rtl/>
        </w:rPr>
      </w:pPr>
      <w:r w:rsidRPr="00E4033C">
        <w:rPr>
          <w:rFonts w:hint="cs"/>
          <w:b w:val="0"/>
          <w:bCs w:val="0"/>
          <w:rtl/>
        </w:rPr>
        <w:t>2.</w:t>
      </w:r>
      <w:r w:rsidR="00467401">
        <w:rPr>
          <w:rFonts w:hint="cs"/>
          <w:b w:val="0"/>
          <w:bCs w:val="0"/>
          <w:rtl/>
        </w:rPr>
        <w:t>10</w:t>
      </w:r>
      <w:r w:rsidR="00E4033C">
        <w:rPr>
          <w:rFonts w:hint="cs"/>
          <w:b w:val="0"/>
          <w:bCs w:val="0"/>
          <w:rtl/>
        </w:rPr>
        <w:t>.</w:t>
      </w:r>
      <w:r w:rsidR="00B3109B" w:rsidRPr="00E4033C">
        <w:rPr>
          <w:rFonts w:hint="cs"/>
          <w:b w:val="0"/>
          <w:bCs w:val="0"/>
          <w:rtl/>
        </w:rPr>
        <w:tab/>
        <w:t xml:space="preserve">إذا زادت الاستثمارات المذكورة أعلاه بالإجمالي عن 10% من </w:t>
      </w:r>
      <w:r w:rsidR="007B5477" w:rsidRPr="00E4033C">
        <w:rPr>
          <w:rFonts w:hint="cs"/>
          <w:b w:val="0"/>
          <w:bCs w:val="0"/>
          <w:rtl/>
        </w:rPr>
        <w:t>(</w:t>
      </w:r>
      <w:r w:rsidR="007B5477" w:rsidRPr="00E4033C">
        <w:rPr>
          <w:b w:val="0"/>
          <w:bCs w:val="0"/>
        </w:rPr>
        <w:t>CET1</w:t>
      </w:r>
      <w:r w:rsidR="007B5477" w:rsidRPr="00E4033C">
        <w:rPr>
          <w:rFonts w:hint="cs"/>
          <w:b w:val="0"/>
          <w:bCs w:val="0"/>
          <w:rtl/>
        </w:rPr>
        <w:t>)</w:t>
      </w:r>
      <w:r w:rsidR="00B3109B" w:rsidRPr="00E4033C">
        <w:rPr>
          <w:rFonts w:hint="cs"/>
          <w:b w:val="0"/>
          <w:bCs w:val="0"/>
          <w:rtl/>
        </w:rPr>
        <w:t xml:space="preserve"> للبنك (بعد تطبيق كافة التعديلات الرقابية السابقة لهذا الفقرة) فالمبلغ الذي يزيد عن 10% من </w:t>
      </w:r>
      <w:r w:rsidR="007B5477" w:rsidRPr="00E4033C">
        <w:rPr>
          <w:rFonts w:hint="cs"/>
          <w:b w:val="0"/>
          <w:bCs w:val="0"/>
          <w:rtl/>
        </w:rPr>
        <w:t>(</w:t>
      </w:r>
      <w:r w:rsidR="007B5477" w:rsidRPr="00E4033C">
        <w:rPr>
          <w:b w:val="0"/>
          <w:bCs w:val="0"/>
        </w:rPr>
        <w:t>CET1</w:t>
      </w:r>
      <w:r w:rsidR="007B5477" w:rsidRPr="00E4033C">
        <w:rPr>
          <w:rFonts w:hint="cs"/>
          <w:b w:val="0"/>
          <w:bCs w:val="0"/>
          <w:rtl/>
        </w:rPr>
        <w:t xml:space="preserve">) </w:t>
      </w:r>
      <w:r w:rsidR="00B3109B" w:rsidRPr="00E4033C">
        <w:rPr>
          <w:rFonts w:hint="cs"/>
          <w:b w:val="0"/>
          <w:bCs w:val="0"/>
          <w:rtl/>
        </w:rPr>
        <w:t xml:space="preserve">يجب استقطاعه باستخدام </w:t>
      </w:r>
      <w:r w:rsidR="007B5477" w:rsidRPr="00E4033C">
        <w:rPr>
          <w:rFonts w:hint="cs"/>
          <w:b w:val="0"/>
          <w:bCs w:val="0"/>
          <w:rtl/>
        </w:rPr>
        <w:t xml:space="preserve">طريقة </w:t>
      </w:r>
      <w:r w:rsidR="007B5477" w:rsidRPr="00E4033C">
        <w:rPr>
          <w:b w:val="0"/>
          <w:bCs w:val="0"/>
        </w:rPr>
        <w:t>Corresponding Deduction Approach</w:t>
      </w:r>
      <w:r w:rsidR="00B3109B" w:rsidRPr="00E4033C">
        <w:rPr>
          <w:rFonts w:hint="cs"/>
          <w:b w:val="0"/>
          <w:bCs w:val="0"/>
          <w:rtl/>
        </w:rPr>
        <w:t xml:space="preserve"> بمعنى أن الاستقطاع يجب أن يتم لنفس البند من رأس المال الذي يتأهل له رأ</w:t>
      </w:r>
      <w:r w:rsidR="007B5477" w:rsidRPr="00E4033C">
        <w:rPr>
          <w:rFonts w:hint="cs"/>
          <w:b w:val="0"/>
          <w:bCs w:val="0"/>
          <w:rtl/>
        </w:rPr>
        <w:t>س المال</w:t>
      </w:r>
      <w:r w:rsidR="00C75C61" w:rsidRPr="00E4033C">
        <w:rPr>
          <w:rFonts w:hint="cs"/>
          <w:b w:val="0"/>
          <w:bCs w:val="0"/>
          <w:rtl/>
        </w:rPr>
        <w:t xml:space="preserve"> كما</w:t>
      </w:r>
      <w:r w:rsidR="007B5477" w:rsidRPr="00E4033C">
        <w:rPr>
          <w:rFonts w:hint="cs"/>
          <w:b w:val="0"/>
          <w:bCs w:val="0"/>
          <w:rtl/>
        </w:rPr>
        <w:t xml:space="preserve"> لو كان أصدره البنك نفسه وكما هو موضح في</w:t>
      </w:r>
      <w:r w:rsidR="000114FE" w:rsidRPr="00E4033C">
        <w:rPr>
          <w:rFonts w:hint="cs"/>
          <w:b w:val="0"/>
          <w:bCs w:val="0"/>
          <w:rtl/>
        </w:rPr>
        <w:t xml:space="preserve"> المثال المذكور في</w:t>
      </w:r>
      <w:r w:rsidR="007B5477" w:rsidRPr="00E4033C">
        <w:rPr>
          <w:rFonts w:hint="cs"/>
          <w:b w:val="0"/>
          <w:bCs w:val="0"/>
          <w:rtl/>
        </w:rPr>
        <w:t xml:space="preserve"> الملحق رقم (</w:t>
      </w:r>
      <w:r w:rsidR="00DC7961" w:rsidRPr="00E4033C">
        <w:rPr>
          <w:rFonts w:hint="cs"/>
          <w:b w:val="0"/>
          <w:bCs w:val="0"/>
          <w:rtl/>
        </w:rPr>
        <w:t>3</w:t>
      </w:r>
      <w:r w:rsidR="007B5477" w:rsidRPr="00E4033C">
        <w:rPr>
          <w:rFonts w:hint="cs"/>
          <w:b w:val="0"/>
          <w:bCs w:val="0"/>
          <w:rtl/>
        </w:rPr>
        <w:t xml:space="preserve">). </w:t>
      </w:r>
      <w:r w:rsidR="00B3109B" w:rsidRPr="00E4033C">
        <w:rPr>
          <w:rFonts w:hint="cs"/>
          <w:b w:val="0"/>
          <w:bCs w:val="0"/>
          <w:rtl/>
        </w:rPr>
        <w:t xml:space="preserve"> </w:t>
      </w:r>
    </w:p>
    <w:p w:rsidR="00036EC9" w:rsidRDefault="00A4704C" w:rsidP="00036EC9">
      <w:pPr>
        <w:ind w:left="1275" w:hanging="567"/>
        <w:rPr>
          <w:b w:val="0"/>
          <w:bCs w:val="0"/>
          <w:rtl/>
        </w:rPr>
      </w:pPr>
      <w:r w:rsidRPr="00E4033C">
        <w:rPr>
          <w:rFonts w:hint="cs"/>
          <w:b w:val="0"/>
          <w:bCs w:val="0"/>
          <w:rtl/>
        </w:rPr>
        <w:lastRenderedPageBreak/>
        <w:t>3.</w:t>
      </w:r>
      <w:r w:rsidR="00467401">
        <w:rPr>
          <w:rFonts w:hint="cs"/>
          <w:b w:val="0"/>
          <w:bCs w:val="0"/>
          <w:rtl/>
        </w:rPr>
        <w:t>10</w:t>
      </w:r>
      <w:r w:rsidR="00E4033C">
        <w:rPr>
          <w:rFonts w:hint="cs"/>
          <w:b w:val="0"/>
          <w:bCs w:val="0"/>
          <w:rtl/>
        </w:rPr>
        <w:t>.</w:t>
      </w:r>
      <w:r w:rsidR="00B3109B" w:rsidRPr="00E4033C">
        <w:rPr>
          <w:rFonts w:hint="cs"/>
          <w:b w:val="0"/>
          <w:bCs w:val="0"/>
          <w:rtl/>
        </w:rPr>
        <w:tab/>
        <w:t xml:space="preserve">ضمن منهجية الاستقطاع على شكل </w:t>
      </w:r>
      <w:r w:rsidR="007B5477" w:rsidRPr="00E4033C">
        <w:rPr>
          <w:b w:val="0"/>
          <w:bCs w:val="0"/>
        </w:rPr>
        <w:t>Corresponding Deduction Approach</w:t>
      </w:r>
      <w:r w:rsidR="007B5477" w:rsidRPr="00E4033C">
        <w:rPr>
          <w:rFonts w:hint="cs"/>
          <w:b w:val="0"/>
          <w:bCs w:val="0"/>
          <w:rtl/>
        </w:rPr>
        <w:t xml:space="preserve"> </w:t>
      </w:r>
      <w:r w:rsidR="00B3109B" w:rsidRPr="00E4033C">
        <w:rPr>
          <w:rFonts w:hint="cs"/>
          <w:b w:val="0"/>
          <w:bCs w:val="0"/>
          <w:rtl/>
        </w:rPr>
        <w:t>إذا لم تف</w:t>
      </w:r>
      <w:r w:rsidR="0038022F" w:rsidRPr="00E4033C">
        <w:rPr>
          <w:rFonts w:hint="cs"/>
          <w:b w:val="0"/>
          <w:bCs w:val="0"/>
          <w:rtl/>
        </w:rPr>
        <w:t>ِ</w:t>
      </w:r>
      <w:r w:rsidR="00B3109B" w:rsidRPr="00E4033C">
        <w:rPr>
          <w:rFonts w:hint="cs"/>
          <w:b w:val="0"/>
          <w:bCs w:val="0"/>
          <w:rtl/>
        </w:rPr>
        <w:t xml:space="preserve"> القيمة الموجودة في شريحة معينة من رأس المال بالمبلغ المطروح فيجب طرح النقص من الش</w:t>
      </w:r>
      <w:r w:rsidR="00F765A0" w:rsidRPr="00E4033C">
        <w:rPr>
          <w:rFonts w:hint="cs"/>
          <w:b w:val="0"/>
          <w:bCs w:val="0"/>
          <w:rtl/>
        </w:rPr>
        <w:t>ريحة الاعلى من رأس المال (</w:t>
      </w:r>
      <w:r w:rsidR="00B3109B" w:rsidRPr="00E4033C">
        <w:rPr>
          <w:rFonts w:hint="cs"/>
          <w:b w:val="0"/>
          <w:bCs w:val="0"/>
          <w:rtl/>
        </w:rPr>
        <w:t xml:space="preserve">أي إذا لم يكن لدى البنك رأسمال إضافي كاف ضمن الشريحة الأولى من رأس المال لتغطية الاستقطاعات فالنقص يستقطع من </w:t>
      </w:r>
      <w:r w:rsidR="00F765A0" w:rsidRPr="00E4033C">
        <w:rPr>
          <w:rFonts w:hint="cs"/>
          <w:b w:val="0"/>
          <w:bCs w:val="0"/>
          <w:rtl/>
        </w:rPr>
        <w:t>حقوق حملة الأسهم العادية</w:t>
      </w:r>
      <w:r w:rsidR="005C20BD">
        <w:rPr>
          <w:rFonts w:hint="cs"/>
          <w:b w:val="0"/>
          <w:bCs w:val="0"/>
          <w:rtl/>
        </w:rPr>
        <w:t xml:space="preserve"> (</w:t>
      </w:r>
      <w:r w:rsidR="005C20BD">
        <w:rPr>
          <w:b w:val="0"/>
          <w:bCs w:val="0"/>
        </w:rPr>
        <w:t>CET1</w:t>
      </w:r>
      <w:r w:rsidR="005C20BD">
        <w:rPr>
          <w:rFonts w:hint="cs"/>
          <w:b w:val="0"/>
          <w:bCs w:val="0"/>
          <w:rtl/>
        </w:rPr>
        <w:t>)).</w:t>
      </w:r>
    </w:p>
    <w:p w:rsidR="00B3109B" w:rsidRPr="00E4033C" w:rsidRDefault="00A4704C" w:rsidP="00036EC9">
      <w:pPr>
        <w:ind w:left="1275" w:hanging="567"/>
        <w:rPr>
          <w:b w:val="0"/>
          <w:bCs w:val="0"/>
          <w:rtl/>
        </w:rPr>
      </w:pPr>
      <w:r w:rsidRPr="00E4033C">
        <w:rPr>
          <w:rFonts w:hint="cs"/>
          <w:b w:val="0"/>
          <w:bCs w:val="0"/>
          <w:rtl/>
        </w:rPr>
        <w:t>4.</w:t>
      </w:r>
      <w:r w:rsidR="00467401">
        <w:rPr>
          <w:rFonts w:hint="cs"/>
          <w:b w:val="0"/>
          <w:bCs w:val="0"/>
          <w:rtl/>
        </w:rPr>
        <w:t>10</w:t>
      </w:r>
      <w:r w:rsidR="00E4033C">
        <w:rPr>
          <w:rFonts w:hint="cs"/>
          <w:b w:val="0"/>
          <w:bCs w:val="0"/>
          <w:rtl/>
        </w:rPr>
        <w:t>.</w:t>
      </w:r>
      <w:r w:rsidR="00B3109B" w:rsidRPr="00E4033C">
        <w:rPr>
          <w:rFonts w:hint="cs"/>
          <w:b w:val="0"/>
          <w:bCs w:val="0"/>
          <w:rtl/>
        </w:rPr>
        <w:tab/>
        <w:t xml:space="preserve">المبالغ التي تقل عن الحد المقرر(10%) </w:t>
      </w:r>
      <w:r w:rsidR="007B5477" w:rsidRPr="00E4033C">
        <w:rPr>
          <w:rFonts w:hint="cs"/>
          <w:b w:val="0"/>
          <w:bCs w:val="0"/>
          <w:rtl/>
        </w:rPr>
        <w:t xml:space="preserve">من راس المال الأساسي لحقوق حملة الأسهم العادية </w:t>
      </w:r>
      <w:r w:rsidR="007B5477" w:rsidRPr="00E4033C">
        <w:rPr>
          <w:b w:val="0"/>
          <w:bCs w:val="0"/>
        </w:rPr>
        <w:t>CET1</w:t>
      </w:r>
      <w:r w:rsidR="007B5477" w:rsidRPr="00E4033C">
        <w:rPr>
          <w:rFonts w:hint="cs"/>
          <w:b w:val="0"/>
          <w:bCs w:val="0"/>
          <w:rtl/>
        </w:rPr>
        <w:t xml:space="preserve"> توزن حسب وزن المخاطر الخاص بها (محفظة المتاجرة أو المحفظة البنكية)، أي </w:t>
      </w:r>
      <w:r w:rsidR="00564AE8">
        <w:rPr>
          <w:rFonts w:hint="cs"/>
          <w:b w:val="0"/>
          <w:bCs w:val="0"/>
          <w:rtl/>
        </w:rPr>
        <w:t xml:space="preserve"> أن </w:t>
      </w:r>
      <w:r w:rsidR="007B5477" w:rsidRPr="00E4033C">
        <w:rPr>
          <w:rFonts w:hint="cs"/>
          <w:b w:val="0"/>
          <w:bCs w:val="0"/>
          <w:rtl/>
        </w:rPr>
        <w:t xml:space="preserve">المبلغ </w:t>
      </w:r>
      <w:r w:rsidR="00564AE8">
        <w:rPr>
          <w:rFonts w:hint="cs"/>
          <w:b w:val="0"/>
          <w:bCs w:val="0"/>
          <w:rtl/>
        </w:rPr>
        <w:t>الوارد</w:t>
      </w:r>
      <w:r w:rsidR="00564AE8" w:rsidRPr="00E4033C">
        <w:rPr>
          <w:rFonts w:hint="cs"/>
          <w:b w:val="0"/>
          <w:bCs w:val="0"/>
          <w:rtl/>
        </w:rPr>
        <w:t xml:space="preserve"> </w:t>
      </w:r>
      <w:r w:rsidR="007B5477" w:rsidRPr="00E4033C">
        <w:rPr>
          <w:rFonts w:hint="cs"/>
          <w:b w:val="0"/>
          <w:bCs w:val="0"/>
          <w:rtl/>
        </w:rPr>
        <w:t xml:space="preserve">ضمن محفظة المتاجرة يخضع للأوزان الترجيحية الخاصة بمخاطر السوق، </w:t>
      </w:r>
      <w:r w:rsidR="00564AE8">
        <w:rPr>
          <w:rFonts w:hint="cs"/>
          <w:b w:val="0"/>
          <w:bCs w:val="0"/>
          <w:rtl/>
        </w:rPr>
        <w:t xml:space="preserve"> والوارد </w:t>
      </w:r>
      <w:r w:rsidR="007B5477" w:rsidRPr="00E4033C">
        <w:rPr>
          <w:rFonts w:hint="cs"/>
          <w:b w:val="0"/>
          <w:bCs w:val="0"/>
          <w:rtl/>
        </w:rPr>
        <w:t>ضمن المحفظة البنكية يخضع للأوزان الترجيحية الخاصة بمخاطر الائتمان</w:t>
      </w:r>
      <w:r w:rsidR="00B3109B" w:rsidRPr="00E4033C">
        <w:rPr>
          <w:rFonts w:hint="cs"/>
          <w:b w:val="0"/>
          <w:bCs w:val="0"/>
          <w:rtl/>
        </w:rPr>
        <w:t>.</w:t>
      </w:r>
    </w:p>
    <w:p w:rsidR="00B3109B" w:rsidRPr="00E4033C" w:rsidRDefault="007F030E" w:rsidP="007F030E">
      <w:pPr>
        <w:spacing w:line="276" w:lineRule="auto"/>
        <w:ind w:left="708" w:hanging="425"/>
        <w:rPr>
          <w:rtl/>
        </w:rPr>
      </w:pPr>
      <w:bookmarkStart w:id="32" w:name="_Toc451179997"/>
      <w:r>
        <w:rPr>
          <w:rFonts w:hint="cs"/>
          <w:rtl/>
        </w:rPr>
        <w:t>11</w:t>
      </w:r>
      <w:r w:rsidR="004D7ECC" w:rsidRPr="00E4033C">
        <w:rPr>
          <w:rtl/>
        </w:rPr>
        <w:t>.</w:t>
      </w:r>
      <w:r w:rsidR="00277449">
        <w:rPr>
          <w:rFonts w:hint="cs"/>
          <w:rtl/>
        </w:rPr>
        <w:tab/>
      </w:r>
      <w:r w:rsidR="00B3109B" w:rsidRPr="00E4033C">
        <w:rPr>
          <w:rtl/>
        </w:rPr>
        <w:t>الاستثمارات المؤثرة في رؤوس أموال البنوك والشركات المالية وشركات التامين خارج نطاق التوحيد الرقابي</w:t>
      </w:r>
      <w:r w:rsidR="000114FE" w:rsidRPr="00E4033C">
        <w:rPr>
          <w:rtl/>
        </w:rPr>
        <w:t xml:space="preserve"> والتي يملك فيها البنك أكثر من (10%)</w:t>
      </w:r>
      <w:r>
        <w:rPr>
          <w:rStyle w:val="FootnoteReference"/>
          <w:rtl/>
        </w:rPr>
        <w:footnoteReference w:id="15"/>
      </w:r>
      <w:r w:rsidR="00B3109B" w:rsidRPr="00E4033C">
        <w:rPr>
          <w:rtl/>
        </w:rPr>
        <w:t xml:space="preserve"> </w:t>
      </w:r>
      <w:r w:rsidR="000114FE" w:rsidRPr="00E4033C">
        <w:rPr>
          <w:rtl/>
        </w:rPr>
        <w:t>[آخذاً بالاعتبار عدم الإخلال بأحكام تعليمات</w:t>
      </w:r>
      <w:r w:rsidR="004E243E" w:rsidRPr="00E4033C">
        <w:rPr>
          <w:rtl/>
        </w:rPr>
        <w:t xml:space="preserve"> تملك البنوك للأس</w:t>
      </w:r>
      <w:r w:rsidR="00E4033C">
        <w:rPr>
          <w:rtl/>
        </w:rPr>
        <w:t>هم والحصص في رؤوس أموال الشركات</w:t>
      </w:r>
      <w:r w:rsidR="00E4033C">
        <w:rPr>
          <w:rFonts w:hint="cs"/>
          <w:rtl/>
        </w:rPr>
        <w:t xml:space="preserve"> </w:t>
      </w:r>
      <w:r w:rsidR="004E243E" w:rsidRPr="00E4033C">
        <w:rPr>
          <w:rtl/>
        </w:rPr>
        <w:t>رقم (12/2002) تاريخ 27/3/2002].</w:t>
      </w:r>
      <w:bookmarkEnd w:id="32"/>
      <w:r w:rsidR="004E243E" w:rsidRPr="00E4033C">
        <w:rPr>
          <w:rtl/>
        </w:rPr>
        <w:t xml:space="preserve"> </w:t>
      </w:r>
    </w:p>
    <w:p w:rsidR="00B3109B" w:rsidRDefault="00A4704C" w:rsidP="008400F3">
      <w:pPr>
        <w:ind w:left="1275" w:hanging="567"/>
        <w:rPr>
          <w:b w:val="0"/>
          <w:bCs w:val="0"/>
          <w:rtl/>
        </w:rPr>
      </w:pPr>
      <w:r w:rsidRPr="00E4033C">
        <w:rPr>
          <w:rFonts w:hint="cs"/>
          <w:b w:val="0"/>
          <w:bCs w:val="0"/>
          <w:rtl/>
        </w:rPr>
        <w:t>1.</w:t>
      </w:r>
      <w:r w:rsidR="007F030E">
        <w:rPr>
          <w:rFonts w:hint="cs"/>
          <w:b w:val="0"/>
          <w:bCs w:val="0"/>
          <w:rtl/>
        </w:rPr>
        <w:t>11</w:t>
      </w:r>
      <w:r w:rsidR="009A796C">
        <w:rPr>
          <w:rFonts w:hint="cs"/>
          <w:b w:val="0"/>
          <w:bCs w:val="0"/>
          <w:rtl/>
        </w:rPr>
        <w:t>.</w:t>
      </w:r>
      <w:r w:rsidR="00B3109B" w:rsidRPr="00E4033C">
        <w:rPr>
          <w:rFonts w:hint="cs"/>
          <w:b w:val="0"/>
          <w:bCs w:val="0"/>
          <w:rtl/>
        </w:rPr>
        <w:tab/>
        <w:t xml:space="preserve">التعديلات الرقابية </w:t>
      </w:r>
      <w:r w:rsidR="00251BC7" w:rsidRPr="00E4033C">
        <w:rPr>
          <w:rFonts w:hint="cs"/>
          <w:b w:val="0"/>
          <w:bCs w:val="0"/>
          <w:rtl/>
        </w:rPr>
        <w:t>المذكورة</w:t>
      </w:r>
      <w:r w:rsidR="00B3109B" w:rsidRPr="00E4033C">
        <w:rPr>
          <w:rFonts w:hint="cs"/>
          <w:b w:val="0"/>
          <w:bCs w:val="0"/>
          <w:rtl/>
        </w:rPr>
        <w:t xml:space="preserve"> ضمن هذا الجزء تطبق على الاستثمارات في رؤوس أموال </w:t>
      </w:r>
      <w:r w:rsidR="00251BC7" w:rsidRPr="00E4033C">
        <w:rPr>
          <w:rFonts w:hint="cs"/>
          <w:b w:val="0"/>
          <w:bCs w:val="0"/>
          <w:rtl/>
        </w:rPr>
        <w:t>ال</w:t>
      </w:r>
      <w:r w:rsidR="00B3109B" w:rsidRPr="00E4033C">
        <w:rPr>
          <w:rFonts w:hint="cs"/>
          <w:b w:val="0"/>
          <w:bCs w:val="0"/>
          <w:rtl/>
        </w:rPr>
        <w:t>بنوك و</w:t>
      </w:r>
      <w:r w:rsidR="00251BC7" w:rsidRPr="00E4033C">
        <w:rPr>
          <w:rFonts w:hint="cs"/>
          <w:b w:val="0"/>
          <w:bCs w:val="0"/>
          <w:rtl/>
        </w:rPr>
        <w:t>ال</w:t>
      </w:r>
      <w:r w:rsidR="00B3109B" w:rsidRPr="00E4033C">
        <w:rPr>
          <w:rFonts w:hint="cs"/>
          <w:b w:val="0"/>
          <w:bCs w:val="0"/>
          <w:rtl/>
        </w:rPr>
        <w:t xml:space="preserve">شركات </w:t>
      </w:r>
      <w:r w:rsidR="00251BC7" w:rsidRPr="00E4033C">
        <w:rPr>
          <w:rFonts w:hint="cs"/>
          <w:b w:val="0"/>
          <w:bCs w:val="0"/>
          <w:rtl/>
        </w:rPr>
        <w:t>ال</w:t>
      </w:r>
      <w:r w:rsidR="00B3109B" w:rsidRPr="00E4033C">
        <w:rPr>
          <w:rFonts w:hint="cs"/>
          <w:b w:val="0"/>
          <w:bCs w:val="0"/>
          <w:rtl/>
        </w:rPr>
        <w:t xml:space="preserve">مالية وشركات </w:t>
      </w:r>
      <w:r w:rsidR="004E243E" w:rsidRPr="00E4033C">
        <w:rPr>
          <w:rFonts w:hint="cs"/>
          <w:b w:val="0"/>
          <w:bCs w:val="0"/>
          <w:rtl/>
        </w:rPr>
        <w:t>ال</w:t>
      </w:r>
      <w:r w:rsidR="00B3109B" w:rsidRPr="00E4033C">
        <w:rPr>
          <w:rFonts w:hint="cs"/>
          <w:b w:val="0"/>
          <w:bCs w:val="0"/>
          <w:rtl/>
        </w:rPr>
        <w:t xml:space="preserve">تأمين خارج نطاق التوحيد الرقابي والتي يملك فيها البنك أكثر من 10% من أسهمها العادية الصادرة عن الشركة أو التي تعتبر فيها الشركة حليف </w:t>
      </w:r>
      <w:r w:rsidR="00BA445D" w:rsidRPr="00E4033C">
        <w:rPr>
          <w:rFonts w:hint="cs"/>
          <w:b w:val="0"/>
          <w:bCs w:val="0"/>
          <w:rtl/>
        </w:rPr>
        <w:t>وتتضمن هذه الاستثمارات</w:t>
      </w:r>
      <w:r w:rsidR="00B3109B" w:rsidRPr="00E4033C">
        <w:rPr>
          <w:rFonts w:hint="cs"/>
          <w:b w:val="0"/>
          <w:bCs w:val="0"/>
          <w:rtl/>
        </w:rPr>
        <w:t>:</w:t>
      </w:r>
    </w:p>
    <w:p w:rsidR="000A13C3" w:rsidRPr="00E4033C" w:rsidRDefault="000A13C3" w:rsidP="000A13C3">
      <w:pPr>
        <w:ind w:left="2126" w:hanging="851"/>
        <w:rPr>
          <w:b w:val="0"/>
          <w:bCs w:val="0"/>
        </w:rPr>
      </w:pPr>
      <w:r>
        <w:rPr>
          <w:rFonts w:hint="cs"/>
          <w:b w:val="0"/>
          <w:bCs w:val="0"/>
          <w:rtl/>
        </w:rPr>
        <w:t>1</w:t>
      </w:r>
      <w:r w:rsidRPr="00E4033C">
        <w:rPr>
          <w:rFonts w:hint="cs"/>
          <w:b w:val="0"/>
          <w:bCs w:val="0"/>
          <w:rtl/>
        </w:rPr>
        <w:t>.1.</w:t>
      </w:r>
      <w:r>
        <w:rPr>
          <w:rFonts w:hint="cs"/>
          <w:b w:val="0"/>
          <w:bCs w:val="0"/>
          <w:rtl/>
        </w:rPr>
        <w:t>11.</w:t>
      </w:r>
      <w:r w:rsidRPr="00E4033C">
        <w:rPr>
          <w:rFonts w:hint="cs"/>
          <w:b w:val="0"/>
          <w:bCs w:val="0"/>
          <w:rtl/>
        </w:rPr>
        <w:tab/>
        <w:t>الاستثمارات المصنفة في المحفظة البنكية وفي محفظة المتاجرة</w:t>
      </w:r>
      <w:r>
        <w:rPr>
          <w:rFonts w:hint="cs"/>
          <w:b w:val="0"/>
          <w:bCs w:val="0"/>
          <w:rtl/>
        </w:rPr>
        <w:t xml:space="preserve"> بما في ذلك أية استثمارات في قروض مساندة لبنوك أخرى</w:t>
      </w:r>
      <w:r w:rsidRPr="00E4033C">
        <w:rPr>
          <w:rFonts w:hint="cs"/>
          <w:b w:val="0"/>
          <w:bCs w:val="0"/>
          <w:rtl/>
        </w:rPr>
        <w:t>.</w:t>
      </w:r>
    </w:p>
    <w:p w:rsidR="00B3109B" w:rsidRPr="00E4033C" w:rsidRDefault="000A13C3" w:rsidP="0062074F">
      <w:pPr>
        <w:ind w:left="2126" w:hanging="851"/>
        <w:rPr>
          <w:b w:val="0"/>
          <w:bCs w:val="0"/>
        </w:rPr>
      </w:pPr>
      <w:r>
        <w:rPr>
          <w:rFonts w:hint="cs"/>
          <w:b w:val="0"/>
          <w:bCs w:val="0"/>
          <w:rtl/>
        </w:rPr>
        <w:t>2</w:t>
      </w:r>
      <w:r w:rsidR="00190660" w:rsidRPr="00E4033C">
        <w:rPr>
          <w:rFonts w:hint="cs"/>
          <w:b w:val="0"/>
          <w:bCs w:val="0"/>
          <w:rtl/>
        </w:rPr>
        <w:t>.1.</w:t>
      </w:r>
      <w:r w:rsidR="007F030E">
        <w:rPr>
          <w:rFonts w:hint="cs"/>
          <w:b w:val="0"/>
          <w:bCs w:val="0"/>
          <w:rtl/>
        </w:rPr>
        <w:t>11</w:t>
      </w:r>
      <w:r w:rsidR="009A796C">
        <w:rPr>
          <w:rFonts w:hint="cs"/>
          <w:b w:val="0"/>
          <w:bCs w:val="0"/>
          <w:rtl/>
        </w:rPr>
        <w:t>.</w:t>
      </w:r>
      <w:r w:rsidR="008B0ACA" w:rsidRPr="00E4033C">
        <w:rPr>
          <w:rFonts w:hint="cs"/>
          <w:b w:val="0"/>
          <w:bCs w:val="0"/>
          <w:rtl/>
        </w:rPr>
        <w:tab/>
      </w:r>
      <w:r w:rsidR="00B3109B" w:rsidRPr="00E4033C">
        <w:rPr>
          <w:rFonts w:hint="cs"/>
          <w:b w:val="0"/>
          <w:bCs w:val="0"/>
          <w:rtl/>
        </w:rPr>
        <w:t>الاستثمار</w:t>
      </w:r>
      <w:r w:rsidR="00BA445D" w:rsidRPr="00E4033C">
        <w:rPr>
          <w:rFonts w:hint="cs"/>
          <w:b w:val="0"/>
          <w:bCs w:val="0"/>
          <w:rtl/>
        </w:rPr>
        <w:t>ات</w:t>
      </w:r>
      <w:r>
        <w:rPr>
          <w:rFonts w:hint="cs"/>
          <w:b w:val="0"/>
          <w:bCs w:val="0"/>
          <w:rtl/>
        </w:rPr>
        <w:t xml:space="preserve"> </w:t>
      </w:r>
      <w:r w:rsidRPr="00E4033C">
        <w:rPr>
          <w:rFonts w:hint="cs"/>
          <w:b w:val="0"/>
          <w:bCs w:val="0"/>
          <w:rtl/>
        </w:rPr>
        <w:t>المباشرة وغير المباشرة</w:t>
      </w:r>
      <w:r w:rsidRPr="00E145CC">
        <w:rPr>
          <w:rFonts w:hint="cs"/>
          <w:b w:val="0"/>
          <w:bCs w:val="0"/>
          <w:vertAlign w:val="superscript"/>
          <w:rtl/>
        </w:rPr>
        <w:t xml:space="preserve"> </w:t>
      </w:r>
      <w:r>
        <w:rPr>
          <w:rFonts w:hint="cs"/>
          <w:b w:val="0"/>
          <w:bCs w:val="0"/>
          <w:rtl/>
        </w:rPr>
        <w:t xml:space="preserve">في مؤشرات الأوراق المالية، </w:t>
      </w:r>
      <w:r w:rsidRPr="00E4033C">
        <w:rPr>
          <w:rFonts w:hint="cs"/>
          <w:b w:val="0"/>
          <w:bCs w:val="0"/>
          <w:rtl/>
        </w:rPr>
        <w:t>حيث يتوجب على البنك فحص استثماراته في مؤشرات الأوراق المالية لتحديد فيما إذا كان أي منها يخص استثمارات في رؤوس أموال بنوك وشركات مالية وشركات تأمين</w:t>
      </w:r>
      <w:r w:rsidR="004E243E" w:rsidRPr="00E4033C">
        <w:rPr>
          <w:rFonts w:hint="cs"/>
          <w:b w:val="0"/>
          <w:bCs w:val="0"/>
          <w:rtl/>
        </w:rPr>
        <w:t>.</w:t>
      </w:r>
    </w:p>
    <w:p w:rsidR="00B3109B" w:rsidRPr="00E4033C" w:rsidRDefault="00190660" w:rsidP="00036EC9">
      <w:pPr>
        <w:ind w:left="2126" w:hanging="851"/>
        <w:rPr>
          <w:b w:val="0"/>
          <w:bCs w:val="0"/>
          <w:rtl/>
        </w:rPr>
      </w:pPr>
      <w:r w:rsidRPr="00E4033C">
        <w:rPr>
          <w:rFonts w:hint="cs"/>
          <w:b w:val="0"/>
          <w:bCs w:val="0"/>
          <w:rtl/>
        </w:rPr>
        <w:t>3.1.</w:t>
      </w:r>
      <w:r w:rsidR="007F030E">
        <w:rPr>
          <w:rFonts w:hint="cs"/>
          <w:b w:val="0"/>
          <w:bCs w:val="0"/>
          <w:rtl/>
        </w:rPr>
        <w:t>11</w:t>
      </w:r>
      <w:r w:rsidR="009A796C">
        <w:rPr>
          <w:rFonts w:hint="cs"/>
          <w:b w:val="0"/>
          <w:bCs w:val="0"/>
          <w:rtl/>
        </w:rPr>
        <w:t>.</w:t>
      </w:r>
      <w:r w:rsidR="00B3109B" w:rsidRPr="00E4033C">
        <w:rPr>
          <w:rFonts w:hint="cs"/>
          <w:b w:val="0"/>
          <w:bCs w:val="0"/>
          <w:rtl/>
        </w:rPr>
        <w:tab/>
        <w:t>تستثنى المراكز في تعهدات التغطية المحتفظ بها لمدة خمسة أيام عمل فأقل، وتضاف تلك التي تزيد عن مدة خمسة أيام عمل.</w:t>
      </w:r>
    </w:p>
    <w:p w:rsidR="00B3109B" w:rsidRDefault="00190660" w:rsidP="007F030E">
      <w:pPr>
        <w:ind w:left="2126" w:hanging="851"/>
        <w:rPr>
          <w:b w:val="0"/>
          <w:bCs w:val="0"/>
          <w:rtl/>
        </w:rPr>
      </w:pPr>
      <w:r w:rsidRPr="00E4033C">
        <w:rPr>
          <w:rFonts w:hint="cs"/>
          <w:b w:val="0"/>
          <w:bCs w:val="0"/>
          <w:rtl/>
        </w:rPr>
        <w:t>4.1.</w:t>
      </w:r>
      <w:r w:rsidR="007F030E">
        <w:rPr>
          <w:rFonts w:hint="cs"/>
          <w:b w:val="0"/>
          <w:bCs w:val="0"/>
          <w:rtl/>
        </w:rPr>
        <w:t>11</w:t>
      </w:r>
      <w:r w:rsidR="009A796C">
        <w:rPr>
          <w:rFonts w:hint="cs"/>
          <w:b w:val="0"/>
          <w:bCs w:val="0"/>
          <w:rtl/>
        </w:rPr>
        <w:t>.</w:t>
      </w:r>
      <w:r w:rsidR="008E5122">
        <w:rPr>
          <w:rFonts w:hint="cs"/>
          <w:b w:val="0"/>
          <w:bCs w:val="0"/>
          <w:rtl/>
        </w:rPr>
        <w:t xml:space="preserve"> </w:t>
      </w:r>
      <w:r w:rsidR="00B3109B" w:rsidRPr="00E4033C">
        <w:rPr>
          <w:rFonts w:hint="cs"/>
          <w:b w:val="0"/>
          <w:bCs w:val="0"/>
          <w:rtl/>
        </w:rPr>
        <w:t xml:space="preserve">إذا كانت أداة رأس المال التي استثمر فيها البنك لا تحقق معايير </w:t>
      </w:r>
      <w:r w:rsidR="00F765A0" w:rsidRPr="00E4033C">
        <w:rPr>
          <w:rFonts w:hint="cs"/>
          <w:b w:val="0"/>
          <w:bCs w:val="0"/>
          <w:rtl/>
        </w:rPr>
        <w:t xml:space="preserve">حقوق حملة الأسهم العادية </w:t>
      </w:r>
      <w:r w:rsidR="00B3109B" w:rsidRPr="00E4033C">
        <w:rPr>
          <w:rFonts w:hint="cs"/>
          <w:b w:val="0"/>
          <w:bCs w:val="0"/>
          <w:rtl/>
        </w:rPr>
        <w:t>(</w:t>
      </w:r>
      <w:r w:rsidR="00B3109B" w:rsidRPr="00E4033C">
        <w:rPr>
          <w:b w:val="0"/>
          <w:bCs w:val="0"/>
        </w:rPr>
        <w:t xml:space="preserve"> (CET1</w:t>
      </w:r>
      <w:r w:rsidR="00B3109B" w:rsidRPr="00E4033C">
        <w:rPr>
          <w:rFonts w:hint="cs"/>
          <w:b w:val="0"/>
          <w:bCs w:val="0"/>
          <w:rtl/>
        </w:rPr>
        <w:t xml:space="preserve"> أو رأس المال الإضافي </w:t>
      </w:r>
      <w:r w:rsidR="009D1555" w:rsidRPr="00E4033C">
        <w:rPr>
          <w:rFonts w:hint="cs"/>
          <w:b w:val="0"/>
          <w:bCs w:val="0"/>
          <w:rtl/>
        </w:rPr>
        <w:t>(</w:t>
      </w:r>
      <w:r w:rsidR="009D1555" w:rsidRPr="00E4033C">
        <w:rPr>
          <w:b w:val="0"/>
          <w:bCs w:val="0"/>
        </w:rPr>
        <w:t>AT1</w:t>
      </w:r>
      <w:r w:rsidR="009D1555" w:rsidRPr="00E4033C">
        <w:rPr>
          <w:rFonts w:hint="cs"/>
          <w:b w:val="0"/>
          <w:bCs w:val="0"/>
          <w:rtl/>
        </w:rPr>
        <w:t>)</w:t>
      </w:r>
      <w:r w:rsidR="00B3109B" w:rsidRPr="00E4033C">
        <w:rPr>
          <w:rFonts w:hint="cs"/>
          <w:b w:val="0"/>
          <w:bCs w:val="0"/>
          <w:rtl/>
        </w:rPr>
        <w:t xml:space="preserve"> أو الشريحة الثانية</w:t>
      </w:r>
      <w:r w:rsidR="00BA445D" w:rsidRPr="00E4033C">
        <w:rPr>
          <w:rFonts w:hint="cs"/>
          <w:b w:val="0"/>
          <w:bCs w:val="0"/>
          <w:rtl/>
        </w:rPr>
        <w:t xml:space="preserve"> (</w:t>
      </w:r>
      <w:r w:rsidR="00BA445D" w:rsidRPr="00E4033C">
        <w:rPr>
          <w:b w:val="0"/>
          <w:bCs w:val="0"/>
        </w:rPr>
        <w:t>T2</w:t>
      </w:r>
      <w:r w:rsidR="00BA445D" w:rsidRPr="00E4033C">
        <w:rPr>
          <w:rFonts w:hint="cs"/>
          <w:b w:val="0"/>
          <w:bCs w:val="0"/>
          <w:rtl/>
        </w:rPr>
        <w:t>)</w:t>
      </w:r>
      <w:r w:rsidR="00B3109B" w:rsidRPr="00E4033C">
        <w:rPr>
          <w:rFonts w:hint="cs"/>
          <w:b w:val="0"/>
          <w:bCs w:val="0"/>
          <w:rtl/>
        </w:rPr>
        <w:t xml:space="preserve"> فيعتبر رأس المال كأسهم عادية لغايات التعديلات الرقابية وإذا كان الاستثمار صادر عن </w:t>
      </w:r>
      <w:r w:rsidR="00B3109B" w:rsidRPr="00E4033C">
        <w:rPr>
          <w:rFonts w:hint="cs"/>
          <w:b w:val="0"/>
          <w:bCs w:val="0"/>
          <w:rtl/>
        </w:rPr>
        <w:lastRenderedPageBreak/>
        <w:t xml:space="preserve">شركة مالية تخضع للرقابة ولا يدخل ضمن رأس المال </w:t>
      </w:r>
      <w:r w:rsidR="00BA445D" w:rsidRPr="00E4033C">
        <w:rPr>
          <w:rFonts w:hint="cs"/>
          <w:b w:val="0"/>
          <w:bCs w:val="0"/>
          <w:rtl/>
        </w:rPr>
        <w:t>التنظيمي</w:t>
      </w:r>
      <w:r w:rsidR="00B3109B" w:rsidRPr="00E4033C">
        <w:rPr>
          <w:rFonts w:hint="cs"/>
          <w:b w:val="0"/>
          <w:bCs w:val="0"/>
          <w:rtl/>
        </w:rPr>
        <w:t xml:space="preserve"> لتلك الشركة فلا </w:t>
      </w:r>
      <w:r w:rsidR="004E243E" w:rsidRPr="00E4033C">
        <w:rPr>
          <w:rFonts w:hint="cs"/>
          <w:b w:val="0"/>
          <w:bCs w:val="0"/>
          <w:rtl/>
        </w:rPr>
        <w:t>يخضع للحد المذكور</w:t>
      </w:r>
      <w:r w:rsidR="00B3109B" w:rsidRPr="00E4033C">
        <w:rPr>
          <w:rFonts w:hint="cs"/>
          <w:b w:val="0"/>
          <w:bCs w:val="0"/>
          <w:rtl/>
        </w:rPr>
        <w:t>.</w:t>
      </w:r>
    </w:p>
    <w:p w:rsidR="00B3109B" w:rsidRPr="00E4033C" w:rsidRDefault="00A4704C" w:rsidP="00564AE8">
      <w:pPr>
        <w:ind w:left="1275" w:hanging="567"/>
        <w:rPr>
          <w:b w:val="0"/>
          <w:bCs w:val="0"/>
          <w:rtl/>
        </w:rPr>
      </w:pPr>
      <w:r w:rsidRPr="00E4033C">
        <w:rPr>
          <w:rFonts w:hint="cs"/>
          <w:b w:val="0"/>
          <w:bCs w:val="0"/>
          <w:rtl/>
        </w:rPr>
        <w:t>2.</w:t>
      </w:r>
      <w:r w:rsidR="007F030E">
        <w:rPr>
          <w:rFonts w:hint="cs"/>
          <w:b w:val="0"/>
          <w:bCs w:val="0"/>
          <w:rtl/>
        </w:rPr>
        <w:t>11</w:t>
      </w:r>
      <w:r w:rsidR="009A796C">
        <w:rPr>
          <w:rFonts w:hint="cs"/>
          <w:b w:val="0"/>
          <w:bCs w:val="0"/>
          <w:rtl/>
        </w:rPr>
        <w:t>.</w:t>
      </w:r>
      <w:r w:rsidR="00B3109B" w:rsidRPr="00E4033C">
        <w:rPr>
          <w:rFonts w:hint="cs"/>
          <w:b w:val="0"/>
          <w:bCs w:val="0"/>
          <w:rtl/>
        </w:rPr>
        <w:tab/>
        <w:t xml:space="preserve">جميع الاستثمارات المذكورة في الفقرة </w:t>
      </w:r>
      <w:r w:rsidR="00BA445D" w:rsidRPr="00E4033C">
        <w:rPr>
          <w:rFonts w:hint="cs"/>
          <w:b w:val="0"/>
          <w:bCs w:val="0"/>
          <w:rtl/>
        </w:rPr>
        <w:t>أعلاه</w:t>
      </w:r>
      <w:r w:rsidR="00B3109B" w:rsidRPr="00E4033C">
        <w:rPr>
          <w:rFonts w:hint="cs"/>
          <w:b w:val="0"/>
          <w:bCs w:val="0"/>
          <w:rtl/>
        </w:rPr>
        <w:t xml:space="preserve"> والتي لا تخص </w:t>
      </w:r>
      <w:r w:rsidR="00251BC7" w:rsidRPr="00E4033C">
        <w:rPr>
          <w:rFonts w:hint="cs"/>
          <w:b w:val="0"/>
          <w:bCs w:val="0"/>
          <w:rtl/>
        </w:rPr>
        <w:t>(</w:t>
      </w:r>
      <w:r w:rsidR="00251BC7" w:rsidRPr="00E4033C">
        <w:rPr>
          <w:b w:val="0"/>
          <w:bCs w:val="0"/>
        </w:rPr>
        <w:t>CET1</w:t>
      </w:r>
      <w:r w:rsidR="00251BC7" w:rsidRPr="00E4033C">
        <w:rPr>
          <w:rFonts w:hint="cs"/>
          <w:b w:val="0"/>
          <w:bCs w:val="0"/>
          <w:rtl/>
        </w:rPr>
        <w:t xml:space="preserve">) يجب </w:t>
      </w:r>
      <w:r w:rsidR="00B3109B" w:rsidRPr="00E4033C">
        <w:rPr>
          <w:rFonts w:hint="cs"/>
          <w:b w:val="0"/>
          <w:bCs w:val="0"/>
          <w:rtl/>
        </w:rPr>
        <w:t xml:space="preserve">أن تستقطع </w:t>
      </w:r>
      <w:r w:rsidR="00BA445D" w:rsidRPr="00E4033C">
        <w:rPr>
          <w:rFonts w:hint="cs"/>
          <w:b w:val="0"/>
          <w:bCs w:val="0"/>
          <w:rtl/>
        </w:rPr>
        <w:t xml:space="preserve">بالكامل </w:t>
      </w:r>
      <w:r w:rsidR="00564AE8">
        <w:rPr>
          <w:rFonts w:hint="cs"/>
          <w:b w:val="0"/>
          <w:bCs w:val="0"/>
          <w:rtl/>
        </w:rPr>
        <w:t xml:space="preserve"> من </w:t>
      </w:r>
      <w:r w:rsidR="00B3109B" w:rsidRPr="00E4033C">
        <w:rPr>
          <w:rFonts w:hint="cs"/>
          <w:b w:val="0"/>
          <w:bCs w:val="0"/>
          <w:rtl/>
        </w:rPr>
        <w:t xml:space="preserve">نفس الشريحة من رأس المال التي يتأهل لها رأس المال </w:t>
      </w:r>
      <w:r w:rsidR="00C75C61" w:rsidRPr="00E4033C">
        <w:rPr>
          <w:rFonts w:hint="cs"/>
          <w:b w:val="0"/>
          <w:bCs w:val="0"/>
          <w:rtl/>
        </w:rPr>
        <w:t xml:space="preserve">كما </w:t>
      </w:r>
      <w:r w:rsidR="00B3109B" w:rsidRPr="00E4033C">
        <w:rPr>
          <w:rFonts w:hint="cs"/>
          <w:b w:val="0"/>
          <w:bCs w:val="0"/>
          <w:rtl/>
        </w:rPr>
        <w:t xml:space="preserve">لو </w:t>
      </w:r>
      <w:r w:rsidR="00C75C61" w:rsidRPr="00E4033C">
        <w:rPr>
          <w:rFonts w:hint="cs"/>
          <w:b w:val="0"/>
          <w:bCs w:val="0"/>
          <w:rtl/>
        </w:rPr>
        <w:t xml:space="preserve">أنه </w:t>
      </w:r>
      <w:r w:rsidR="00B3109B" w:rsidRPr="00E4033C">
        <w:rPr>
          <w:rFonts w:hint="cs"/>
          <w:b w:val="0"/>
          <w:bCs w:val="0"/>
          <w:rtl/>
        </w:rPr>
        <w:t>صدر عن البنك نفسه</w:t>
      </w:r>
      <w:r w:rsidR="00564AE8">
        <w:rPr>
          <w:rFonts w:hint="cs"/>
          <w:b w:val="0"/>
          <w:bCs w:val="0"/>
          <w:rtl/>
        </w:rPr>
        <w:t>،</w:t>
      </w:r>
      <w:r w:rsidR="00B3109B" w:rsidRPr="00E4033C">
        <w:rPr>
          <w:rFonts w:hint="cs"/>
          <w:b w:val="0"/>
          <w:bCs w:val="0"/>
          <w:rtl/>
        </w:rPr>
        <w:t xml:space="preserve"> وإذا طلب من البنك إجراء طرح من شريحة معينة من رأس المال ولم يكن فيها ما يكفي لتغطية المبلغ المطروح فيجب طرح الفرق من الشريحة الأعلى من رأس المال (أي إذا لم يكن لدى البنك ما يكفي في رأس المال الإضافي </w:t>
      </w:r>
      <w:r w:rsidR="009D1555" w:rsidRPr="00E4033C">
        <w:rPr>
          <w:rFonts w:hint="cs"/>
          <w:b w:val="0"/>
          <w:bCs w:val="0"/>
          <w:rtl/>
        </w:rPr>
        <w:t>(</w:t>
      </w:r>
      <w:r w:rsidR="009D1555" w:rsidRPr="00E4033C">
        <w:rPr>
          <w:b w:val="0"/>
          <w:bCs w:val="0"/>
        </w:rPr>
        <w:t>AT1</w:t>
      </w:r>
      <w:r w:rsidR="009D1555" w:rsidRPr="00E4033C">
        <w:rPr>
          <w:rFonts w:hint="cs"/>
          <w:b w:val="0"/>
          <w:bCs w:val="0"/>
          <w:rtl/>
        </w:rPr>
        <w:t xml:space="preserve">) </w:t>
      </w:r>
      <w:r w:rsidR="00B3109B" w:rsidRPr="00E4033C">
        <w:rPr>
          <w:rFonts w:hint="cs"/>
          <w:b w:val="0"/>
          <w:bCs w:val="0"/>
          <w:rtl/>
        </w:rPr>
        <w:t xml:space="preserve">لتغطية الاستقطاع فان الفرق يطرح من </w:t>
      </w:r>
      <w:r w:rsidR="00F765A0" w:rsidRPr="00E4033C">
        <w:rPr>
          <w:rFonts w:hint="cs"/>
          <w:b w:val="0"/>
          <w:bCs w:val="0"/>
          <w:rtl/>
        </w:rPr>
        <w:t xml:space="preserve">حقوق حملة الأسهم العادية </w:t>
      </w:r>
      <w:r w:rsidR="00B3109B" w:rsidRPr="00E4033C">
        <w:rPr>
          <w:rFonts w:hint="cs"/>
          <w:b w:val="0"/>
          <w:bCs w:val="0"/>
          <w:rtl/>
        </w:rPr>
        <w:t>(</w:t>
      </w:r>
      <w:r w:rsidR="00B3109B" w:rsidRPr="00E4033C">
        <w:rPr>
          <w:b w:val="0"/>
          <w:bCs w:val="0"/>
        </w:rPr>
        <w:t xml:space="preserve"> (CET1</w:t>
      </w:r>
      <w:r w:rsidR="008E5122">
        <w:rPr>
          <w:rFonts w:hint="cs"/>
          <w:b w:val="0"/>
          <w:bCs w:val="0"/>
          <w:rtl/>
        </w:rPr>
        <w:t>.</w:t>
      </w:r>
    </w:p>
    <w:p w:rsidR="00B3109B" w:rsidRPr="00E4033C" w:rsidRDefault="00A4704C" w:rsidP="007F030E">
      <w:pPr>
        <w:ind w:left="1275" w:hanging="567"/>
        <w:rPr>
          <w:b w:val="0"/>
          <w:bCs w:val="0"/>
          <w:rtl/>
        </w:rPr>
      </w:pPr>
      <w:r w:rsidRPr="00E4033C">
        <w:rPr>
          <w:rFonts w:hint="cs"/>
          <w:b w:val="0"/>
          <w:bCs w:val="0"/>
          <w:rtl/>
        </w:rPr>
        <w:t>3.</w:t>
      </w:r>
      <w:r w:rsidR="007F030E">
        <w:rPr>
          <w:rFonts w:hint="cs"/>
          <w:b w:val="0"/>
          <w:bCs w:val="0"/>
          <w:rtl/>
        </w:rPr>
        <w:t>11</w:t>
      </w:r>
      <w:r w:rsidR="009A796C">
        <w:rPr>
          <w:rFonts w:hint="cs"/>
          <w:b w:val="0"/>
          <w:bCs w:val="0"/>
          <w:rtl/>
        </w:rPr>
        <w:t>.</w:t>
      </w:r>
      <w:r w:rsidRPr="00E4033C">
        <w:rPr>
          <w:rFonts w:hint="cs"/>
          <w:b w:val="0"/>
          <w:bCs w:val="0"/>
          <w:rtl/>
        </w:rPr>
        <w:tab/>
      </w:r>
      <w:r w:rsidR="00BA445D" w:rsidRPr="00E4033C">
        <w:rPr>
          <w:rFonts w:hint="cs"/>
          <w:b w:val="0"/>
          <w:bCs w:val="0"/>
          <w:rtl/>
        </w:rPr>
        <w:t>الاستثمارات المدرج</w:t>
      </w:r>
      <w:r w:rsidR="00B3109B" w:rsidRPr="00E4033C">
        <w:rPr>
          <w:rFonts w:hint="cs"/>
          <w:b w:val="0"/>
          <w:bCs w:val="0"/>
          <w:rtl/>
        </w:rPr>
        <w:t xml:space="preserve">ة في الفقرة </w:t>
      </w:r>
      <w:r w:rsidR="00BA445D" w:rsidRPr="00E4033C">
        <w:rPr>
          <w:rFonts w:hint="cs"/>
          <w:b w:val="0"/>
          <w:bCs w:val="0"/>
          <w:rtl/>
        </w:rPr>
        <w:t>أعلاه</w:t>
      </w:r>
      <w:r w:rsidR="00B3109B" w:rsidRPr="00E4033C">
        <w:rPr>
          <w:rFonts w:hint="cs"/>
          <w:b w:val="0"/>
          <w:bCs w:val="0"/>
          <w:rtl/>
        </w:rPr>
        <w:t xml:space="preserve"> التي هي عبارة عن </w:t>
      </w:r>
      <w:r w:rsidR="00251BC7" w:rsidRPr="00E4033C">
        <w:rPr>
          <w:rFonts w:hint="cs"/>
          <w:b w:val="0"/>
          <w:bCs w:val="0"/>
          <w:rtl/>
        </w:rPr>
        <w:t>(</w:t>
      </w:r>
      <w:r w:rsidR="00251BC7" w:rsidRPr="00E4033C">
        <w:rPr>
          <w:b w:val="0"/>
          <w:bCs w:val="0"/>
        </w:rPr>
        <w:t>CET1</w:t>
      </w:r>
      <w:r w:rsidR="00251BC7" w:rsidRPr="00E4033C">
        <w:rPr>
          <w:rFonts w:hint="cs"/>
          <w:b w:val="0"/>
          <w:bCs w:val="0"/>
          <w:rtl/>
        </w:rPr>
        <w:t>)</w:t>
      </w:r>
      <w:r w:rsidR="00B3109B" w:rsidRPr="00E4033C">
        <w:rPr>
          <w:rFonts w:hint="cs"/>
          <w:b w:val="0"/>
          <w:bCs w:val="0"/>
          <w:rtl/>
        </w:rPr>
        <w:t xml:space="preserve"> ستخضع للحد</w:t>
      </w:r>
      <w:r w:rsidR="00251BC7" w:rsidRPr="00E4033C">
        <w:rPr>
          <w:rFonts w:hint="cs"/>
          <w:b w:val="0"/>
          <w:bCs w:val="0"/>
          <w:rtl/>
        </w:rPr>
        <w:t>ود</w:t>
      </w:r>
      <w:r w:rsidR="00B3109B" w:rsidRPr="00E4033C">
        <w:rPr>
          <w:rFonts w:hint="cs"/>
          <w:b w:val="0"/>
          <w:bCs w:val="0"/>
          <w:rtl/>
        </w:rPr>
        <w:t xml:space="preserve"> </w:t>
      </w:r>
      <w:r w:rsidR="00251BC7" w:rsidRPr="00E4033C">
        <w:rPr>
          <w:rFonts w:hint="cs"/>
          <w:b w:val="0"/>
          <w:bCs w:val="0"/>
          <w:rtl/>
        </w:rPr>
        <w:t xml:space="preserve">التالية: </w:t>
      </w:r>
      <w:r w:rsidR="00BA445D" w:rsidRPr="00E4033C">
        <w:rPr>
          <w:rFonts w:hint="cs"/>
          <w:b w:val="0"/>
          <w:bCs w:val="0"/>
          <w:rtl/>
        </w:rPr>
        <w:t xml:space="preserve"> </w:t>
      </w:r>
    </w:p>
    <w:p w:rsidR="00B3109B" w:rsidRPr="00E4033C" w:rsidRDefault="00190660" w:rsidP="007F030E">
      <w:pPr>
        <w:ind w:left="2126" w:hanging="851"/>
        <w:rPr>
          <w:b w:val="0"/>
          <w:bCs w:val="0"/>
          <w:rtl/>
        </w:rPr>
      </w:pPr>
      <w:r w:rsidRPr="00E4033C">
        <w:rPr>
          <w:rFonts w:hint="cs"/>
          <w:b w:val="0"/>
          <w:bCs w:val="0"/>
          <w:rtl/>
        </w:rPr>
        <w:t>1.3.</w:t>
      </w:r>
      <w:r w:rsidR="007F030E">
        <w:rPr>
          <w:rFonts w:hint="cs"/>
          <w:b w:val="0"/>
          <w:bCs w:val="0"/>
          <w:rtl/>
        </w:rPr>
        <w:t>11</w:t>
      </w:r>
      <w:r w:rsidR="009A796C">
        <w:rPr>
          <w:rFonts w:hint="cs"/>
          <w:b w:val="0"/>
          <w:bCs w:val="0"/>
          <w:rtl/>
        </w:rPr>
        <w:t>.</w:t>
      </w:r>
      <w:r w:rsidR="00EA4E47" w:rsidRPr="00E4033C">
        <w:rPr>
          <w:rFonts w:hint="cs"/>
          <w:b w:val="0"/>
          <w:bCs w:val="0"/>
          <w:rtl/>
        </w:rPr>
        <w:tab/>
      </w:r>
      <w:r w:rsidR="00B3109B" w:rsidRPr="00E4033C">
        <w:rPr>
          <w:rFonts w:hint="cs"/>
          <w:b w:val="0"/>
          <w:bCs w:val="0"/>
          <w:rtl/>
        </w:rPr>
        <w:t>حدود الاستقطاع</w:t>
      </w:r>
      <w:r w:rsidR="008B0ACA" w:rsidRPr="00E4033C">
        <w:rPr>
          <w:rFonts w:hint="cs"/>
          <w:b w:val="0"/>
          <w:bCs w:val="0"/>
          <w:rtl/>
        </w:rPr>
        <w:t>:</w:t>
      </w:r>
    </w:p>
    <w:p w:rsidR="00B3109B" w:rsidRPr="008E5122" w:rsidRDefault="007F030E" w:rsidP="007F030E">
      <w:pPr>
        <w:pStyle w:val="ListParagraph"/>
        <w:ind w:left="2551" w:hanging="425"/>
        <w:contextualSpacing w:val="0"/>
        <w:rPr>
          <w:b w:val="0"/>
          <w:bCs w:val="0"/>
          <w:rtl/>
        </w:rPr>
      </w:pPr>
      <w:r>
        <w:rPr>
          <w:rFonts w:hint="cs"/>
          <w:b w:val="0"/>
          <w:bCs w:val="0"/>
          <w:rtl/>
        </w:rPr>
        <w:t>-</w:t>
      </w:r>
      <w:r>
        <w:rPr>
          <w:rFonts w:hint="cs"/>
          <w:b w:val="0"/>
          <w:bCs w:val="0"/>
          <w:rtl/>
        </w:rPr>
        <w:tab/>
      </w:r>
      <w:r w:rsidR="00B3109B" w:rsidRPr="008E5122">
        <w:rPr>
          <w:rFonts w:hint="cs"/>
          <w:b w:val="0"/>
          <w:bCs w:val="0"/>
          <w:rtl/>
        </w:rPr>
        <w:t>عوضاً عن الاستقطاع الكامل فيمكن أن يتم الاعتراف جزئيا باي من البنود</w:t>
      </w:r>
      <w:r>
        <w:rPr>
          <w:b w:val="0"/>
          <w:bCs w:val="0"/>
          <w:rtl/>
        </w:rPr>
        <w:br/>
      </w:r>
      <w:r w:rsidR="00A248B3" w:rsidRPr="008E5122">
        <w:rPr>
          <w:rFonts w:hint="cs"/>
          <w:b w:val="0"/>
          <w:bCs w:val="0"/>
          <w:rtl/>
        </w:rPr>
        <w:t xml:space="preserve">(أ، ب، ج) </w:t>
      </w:r>
      <w:r w:rsidR="00251BC7" w:rsidRPr="008E5122">
        <w:rPr>
          <w:rFonts w:hint="cs"/>
          <w:b w:val="0"/>
          <w:bCs w:val="0"/>
          <w:rtl/>
        </w:rPr>
        <w:t>المدرجة أدناه وذلك</w:t>
      </w:r>
      <w:r w:rsidR="00B3109B" w:rsidRPr="008E5122">
        <w:rPr>
          <w:rFonts w:hint="cs"/>
          <w:b w:val="0"/>
          <w:bCs w:val="0"/>
          <w:rtl/>
        </w:rPr>
        <w:t xml:space="preserve"> عند احتساب </w:t>
      </w:r>
      <w:r w:rsidR="00F765A0" w:rsidRPr="008E5122">
        <w:rPr>
          <w:rFonts w:hint="cs"/>
          <w:b w:val="0"/>
          <w:bCs w:val="0"/>
          <w:rtl/>
        </w:rPr>
        <w:t>حقوق حملة الأسهم العادية</w:t>
      </w:r>
      <w:r w:rsidR="00BA445D" w:rsidRPr="008E5122">
        <w:rPr>
          <w:rFonts w:hint="cs"/>
          <w:b w:val="0"/>
          <w:bCs w:val="0"/>
          <w:rtl/>
        </w:rPr>
        <w:t xml:space="preserve"> (</w:t>
      </w:r>
      <w:r w:rsidR="00BA445D" w:rsidRPr="008E5122">
        <w:rPr>
          <w:b w:val="0"/>
          <w:bCs w:val="0"/>
        </w:rPr>
        <w:t>CET1</w:t>
      </w:r>
      <w:r w:rsidR="00BA445D" w:rsidRPr="008E5122">
        <w:rPr>
          <w:rFonts w:hint="cs"/>
          <w:b w:val="0"/>
          <w:bCs w:val="0"/>
          <w:rtl/>
          <w:lang w:bidi="ar-JO"/>
        </w:rPr>
        <w:t>)</w:t>
      </w:r>
      <w:r w:rsidR="00BA445D" w:rsidRPr="008E5122">
        <w:rPr>
          <w:rFonts w:hint="cs"/>
          <w:b w:val="0"/>
          <w:bCs w:val="0"/>
          <w:rtl/>
        </w:rPr>
        <w:t xml:space="preserve"> و</w:t>
      </w:r>
      <w:r w:rsidR="00B3109B" w:rsidRPr="008E5122">
        <w:rPr>
          <w:rFonts w:hint="cs"/>
          <w:b w:val="0"/>
          <w:bCs w:val="0"/>
          <w:rtl/>
        </w:rPr>
        <w:t xml:space="preserve">يكون الاعتراف بسقف 10% من حقوق </w:t>
      </w:r>
      <w:r w:rsidR="00BE74EA" w:rsidRPr="008E5122">
        <w:rPr>
          <w:rFonts w:hint="cs"/>
          <w:b w:val="0"/>
          <w:bCs w:val="0"/>
          <w:rtl/>
        </w:rPr>
        <w:t xml:space="preserve"> حملة الأسهم العادية (</w:t>
      </w:r>
      <w:r w:rsidR="00BE74EA" w:rsidRPr="008E5122">
        <w:rPr>
          <w:b w:val="0"/>
          <w:bCs w:val="0"/>
        </w:rPr>
        <w:t>CET1</w:t>
      </w:r>
      <w:r w:rsidR="00BE74EA" w:rsidRPr="008E5122">
        <w:rPr>
          <w:rFonts w:hint="cs"/>
          <w:b w:val="0"/>
          <w:bCs w:val="0"/>
          <w:rtl/>
        </w:rPr>
        <w:t xml:space="preserve">) </w:t>
      </w:r>
      <w:r w:rsidR="00B3109B" w:rsidRPr="008E5122">
        <w:rPr>
          <w:rFonts w:hint="cs"/>
          <w:b w:val="0"/>
          <w:bCs w:val="0"/>
          <w:rtl/>
        </w:rPr>
        <w:t>(بعد إجراء جميع التعديلات الرقابية</w:t>
      </w:r>
      <w:r w:rsidR="00A248B3" w:rsidRPr="008E5122">
        <w:rPr>
          <w:rFonts w:hint="cs"/>
          <w:b w:val="0"/>
          <w:bCs w:val="0"/>
          <w:rtl/>
        </w:rPr>
        <w:t xml:space="preserve"> (الطروحات)</w:t>
      </w:r>
      <w:r w:rsidR="00B3109B" w:rsidRPr="008E5122">
        <w:rPr>
          <w:rFonts w:hint="cs"/>
          <w:b w:val="0"/>
          <w:bCs w:val="0"/>
          <w:rtl/>
        </w:rPr>
        <w:t xml:space="preserve"> المنصوص عليها في </w:t>
      </w:r>
      <w:r w:rsidR="00A248B3" w:rsidRPr="008E5122">
        <w:rPr>
          <w:rFonts w:hint="cs"/>
          <w:b w:val="0"/>
          <w:bCs w:val="0"/>
          <w:rtl/>
        </w:rPr>
        <w:t>البند رابعاً</w:t>
      </w:r>
      <w:r w:rsidR="00990B74" w:rsidRPr="008E5122">
        <w:rPr>
          <w:rFonts w:hint="cs"/>
          <w:b w:val="0"/>
          <w:bCs w:val="0"/>
          <w:rtl/>
        </w:rPr>
        <w:t>)</w:t>
      </w:r>
      <w:r w:rsidR="00B3109B" w:rsidRPr="008E5122">
        <w:rPr>
          <w:rFonts w:hint="cs"/>
          <w:b w:val="0"/>
          <w:bCs w:val="0"/>
          <w:rtl/>
        </w:rPr>
        <w:t>:</w:t>
      </w:r>
    </w:p>
    <w:p w:rsidR="00B3109B" w:rsidRPr="006D6E07" w:rsidRDefault="008B0ACA" w:rsidP="007F030E">
      <w:pPr>
        <w:pStyle w:val="ListParagraph"/>
        <w:ind w:left="2976" w:hanging="425"/>
        <w:rPr>
          <w:b w:val="0"/>
          <w:bCs w:val="0"/>
        </w:rPr>
      </w:pPr>
      <w:r w:rsidRPr="006D6E07">
        <w:rPr>
          <w:rFonts w:hint="cs"/>
          <w:b w:val="0"/>
          <w:bCs w:val="0"/>
          <w:rtl/>
        </w:rPr>
        <w:t>أ</w:t>
      </w:r>
      <w:r w:rsidR="00EA4E47" w:rsidRPr="006D6E07">
        <w:rPr>
          <w:rFonts w:hint="cs"/>
          <w:b w:val="0"/>
          <w:bCs w:val="0"/>
          <w:rtl/>
        </w:rPr>
        <w:t>.</w:t>
      </w:r>
      <w:r w:rsidRPr="006D6E07">
        <w:rPr>
          <w:rFonts w:hint="cs"/>
          <w:b w:val="0"/>
          <w:bCs w:val="0"/>
          <w:rtl/>
        </w:rPr>
        <w:tab/>
      </w:r>
      <w:r w:rsidR="00B3109B" w:rsidRPr="006D6E07">
        <w:rPr>
          <w:rFonts w:hint="cs"/>
          <w:b w:val="0"/>
          <w:bCs w:val="0"/>
          <w:rtl/>
        </w:rPr>
        <w:t xml:space="preserve">الاستثمارات المؤثرة في أسهم عادية لمؤسسات مالية غير موحدة حساباتها مع حسابات البنك (بنوك وشركات تأمين وشركات مالية أخرى) كما هو منصوص عليها في </w:t>
      </w:r>
      <w:r w:rsidR="00DC7961" w:rsidRPr="006D6E07">
        <w:rPr>
          <w:rFonts w:hint="cs"/>
          <w:b w:val="0"/>
          <w:bCs w:val="0"/>
          <w:rtl/>
        </w:rPr>
        <w:t>البند (رابعاً/9) من الفصل الثاني</w:t>
      </w:r>
      <w:r w:rsidR="00B3109B" w:rsidRPr="006D6E07">
        <w:rPr>
          <w:rFonts w:hint="cs"/>
          <w:b w:val="0"/>
          <w:bCs w:val="0"/>
          <w:rtl/>
        </w:rPr>
        <w:t>؛</w:t>
      </w:r>
    </w:p>
    <w:p w:rsidR="00B3109B" w:rsidRPr="006D6E07" w:rsidRDefault="008B0ACA" w:rsidP="007F030E">
      <w:pPr>
        <w:pStyle w:val="ListParagraph"/>
        <w:ind w:left="2976" w:hanging="425"/>
        <w:rPr>
          <w:b w:val="0"/>
          <w:bCs w:val="0"/>
        </w:rPr>
      </w:pPr>
      <w:r w:rsidRPr="006D6E07">
        <w:rPr>
          <w:rFonts w:hint="cs"/>
          <w:b w:val="0"/>
          <w:bCs w:val="0"/>
          <w:rtl/>
        </w:rPr>
        <w:t>ب</w:t>
      </w:r>
      <w:r w:rsidR="00EA4E47" w:rsidRPr="006D6E07">
        <w:rPr>
          <w:rFonts w:hint="cs"/>
          <w:b w:val="0"/>
          <w:bCs w:val="0"/>
          <w:rtl/>
        </w:rPr>
        <w:t>.</w:t>
      </w:r>
      <w:r w:rsidRPr="006D6E07">
        <w:rPr>
          <w:rFonts w:hint="cs"/>
          <w:b w:val="0"/>
          <w:bCs w:val="0"/>
          <w:rtl/>
        </w:rPr>
        <w:tab/>
      </w:r>
      <w:r w:rsidR="00B3109B" w:rsidRPr="006D6E07">
        <w:rPr>
          <w:rFonts w:hint="cs"/>
          <w:b w:val="0"/>
          <w:bCs w:val="0"/>
          <w:rtl/>
        </w:rPr>
        <w:t>حقوق خدمة الرهونات العقارية؛ و</w:t>
      </w:r>
    </w:p>
    <w:p w:rsidR="00B3109B" w:rsidRPr="006D6E07" w:rsidRDefault="00B3109B" w:rsidP="007F030E">
      <w:pPr>
        <w:pStyle w:val="ListParagraph"/>
        <w:ind w:left="2976" w:hanging="425"/>
        <w:contextualSpacing w:val="0"/>
        <w:rPr>
          <w:b w:val="0"/>
          <w:bCs w:val="0"/>
          <w:rtl/>
        </w:rPr>
      </w:pPr>
      <w:r w:rsidRPr="006D6E07">
        <w:rPr>
          <w:rFonts w:hint="cs"/>
          <w:b w:val="0"/>
          <w:bCs w:val="0"/>
          <w:rtl/>
        </w:rPr>
        <w:t>ج</w:t>
      </w:r>
      <w:r w:rsidR="007F030E">
        <w:rPr>
          <w:rFonts w:hint="cs"/>
          <w:b w:val="0"/>
          <w:bCs w:val="0"/>
          <w:rtl/>
        </w:rPr>
        <w:t>.</w:t>
      </w:r>
      <w:r w:rsidR="007F030E">
        <w:rPr>
          <w:rFonts w:hint="cs"/>
          <w:b w:val="0"/>
          <w:bCs w:val="0"/>
          <w:rtl/>
        </w:rPr>
        <w:tab/>
      </w:r>
      <w:r w:rsidR="00D57532" w:rsidRPr="006D6E07">
        <w:rPr>
          <w:rFonts w:hint="cs"/>
          <w:b w:val="0"/>
          <w:bCs w:val="0"/>
          <w:rtl/>
        </w:rPr>
        <w:t xml:space="preserve">الموجودات </w:t>
      </w:r>
      <w:r w:rsidRPr="006D6E07">
        <w:rPr>
          <w:rFonts w:hint="cs"/>
          <w:b w:val="0"/>
          <w:bCs w:val="0"/>
          <w:rtl/>
        </w:rPr>
        <w:t>الضريبة المؤجلة التي تنتج عن فروقات مؤقتة.</w:t>
      </w:r>
    </w:p>
    <w:p w:rsidR="000E5464" w:rsidRPr="00EA455B" w:rsidRDefault="00B3109B" w:rsidP="00E553AA">
      <w:pPr>
        <w:pStyle w:val="ListParagraph"/>
        <w:numPr>
          <w:ilvl w:val="0"/>
          <w:numId w:val="29"/>
        </w:numPr>
        <w:ind w:left="2551" w:hanging="425"/>
        <w:contextualSpacing w:val="0"/>
        <w:rPr>
          <w:b w:val="0"/>
          <w:bCs w:val="0"/>
        </w:rPr>
      </w:pPr>
      <w:r w:rsidRPr="00EA455B">
        <w:rPr>
          <w:b w:val="0"/>
          <w:bCs w:val="0"/>
          <w:rtl/>
        </w:rPr>
        <w:t xml:space="preserve">ابتداءً من </w:t>
      </w:r>
      <w:r w:rsidR="00C234D3" w:rsidRPr="00EA455B">
        <w:rPr>
          <w:b w:val="0"/>
          <w:bCs w:val="0"/>
          <w:rtl/>
        </w:rPr>
        <w:t>30/</w:t>
      </w:r>
      <w:r w:rsidR="00E553AA">
        <w:rPr>
          <w:rFonts w:hint="cs"/>
          <w:b w:val="0"/>
          <w:bCs w:val="0"/>
          <w:rtl/>
        </w:rPr>
        <w:t>9</w:t>
      </w:r>
      <w:r w:rsidR="00BA445D" w:rsidRPr="00EA455B">
        <w:rPr>
          <w:b w:val="0"/>
          <w:bCs w:val="0"/>
          <w:rtl/>
        </w:rPr>
        <w:t>/</w:t>
      </w:r>
      <w:r w:rsidR="004E243E" w:rsidRPr="00EA455B">
        <w:rPr>
          <w:b w:val="0"/>
          <w:bCs w:val="0"/>
          <w:rtl/>
        </w:rPr>
        <w:t>2016</w:t>
      </w:r>
      <w:r w:rsidR="00990B74" w:rsidRPr="00EA455B">
        <w:rPr>
          <w:b w:val="0"/>
          <w:bCs w:val="0"/>
          <w:rtl/>
        </w:rPr>
        <w:t xml:space="preserve"> ولغاية 31/12/2018 </w:t>
      </w:r>
      <w:r w:rsidRPr="00EA455B">
        <w:rPr>
          <w:b w:val="0"/>
          <w:bCs w:val="0"/>
          <w:rtl/>
        </w:rPr>
        <w:t xml:space="preserve">على كل بنك مرخص استقطاع القيمة الإجمالية للبنود الثلاثة أعلاه التي تزيد عن 15% من مجموع </w:t>
      </w:r>
      <w:r w:rsidR="00F765A0" w:rsidRPr="00EA455B">
        <w:rPr>
          <w:b w:val="0"/>
          <w:bCs w:val="0"/>
          <w:rtl/>
        </w:rPr>
        <w:t>حقوق حملة الأسهم العادية</w:t>
      </w:r>
      <w:r w:rsidRPr="00EA455B">
        <w:rPr>
          <w:b w:val="0"/>
          <w:bCs w:val="0"/>
          <w:rtl/>
        </w:rPr>
        <w:t xml:space="preserve"> (</w:t>
      </w:r>
      <w:r w:rsidRPr="00EA455B">
        <w:rPr>
          <w:b w:val="0"/>
          <w:bCs w:val="0"/>
        </w:rPr>
        <w:t xml:space="preserve"> (CET1</w:t>
      </w:r>
      <w:r w:rsidRPr="00EA455B">
        <w:rPr>
          <w:b w:val="0"/>
          <w:bCs w:val="0"/>
          <w:rtl/>
        </w:rPr>
        <w:t xml:space="preserve"> (محتسبة قبل طرح هذه البنود ولكن بعد إجراء التعديلات الرقابية الخاصة </w:t>
      </w:r>
      <w:r w:rsidR="00251BC7" w:rsidRPr="00EA455B">
        <w:rPr>
          <w:b w:val="0"/>
          <w:bCs w:val="0"/>
          <w:rtl/>
        </w:rPr>
        <w:t>ب</w:t>
      </w:r>
      <w:r w:rsidR="00F765A0" w:rsidRPr="00EA455B">
        <w:rPr>
          <w:b w:val="0"/>
          <w:bCs w:val="0"/>
          <w:rtl/>
        </w:rPr>
        <w:t>حقوق حملة الأسهم العادية</w:t>
      </w:r>
      <w:r w:rsidR="00251BC7" w:rsidRPr="00EA455B">
        <w:rPr>
          <w:b w:val="0"/>
          <w:bCs w:val="0"/>
          <w:rtl/>
        </w:rPr>
        <w:t xml:space="preserve"> (</w:t>
      </w:r>
      <w:r w:rsidR="00251BC7" w:rsidRPr="00EA455B">
        <w:rPr>
          <w:b w:val="0"/>
          <w:bCs w:val="0"/>
        </w:rPr>
        <w:t>CET1</w:t>
      </w:r>
      <w:r w:rsidR="00251BC7" w:rsidRPr="00EA455B">
        <w:rPr>
          <w:b w:val="0"/>
          <w:bCs w:val="0"/>
          <w:rtl/>
          <w:lang w:bidi="ar-JO"/>
        </w:rPr>
        <w:t>))</w:t>
      </w:r>
      <w:r w:rsidRPr="00EA455B">
        <w:rPr>
          <w:b w:val="0"/>
          <w:bCs w:val="0"/>
          <w:rtl/>
        </w:rPr>
        <w:t xml:space="preserve">، </w:t>
      </w:r>
      <w:r w:rsidR="00251BC7" w:rsidRPr="00EA455B">
        <w:rPr>
          <w:b w:val="0"/>
          <w:bCs w:val="0"/>
          <w:rtl/>
        </w:rPr>
        <w:t>و</w:t>
      </w:r>
      <w:r w:rsidRPr="00EA455B">
        <w:rPr>
          <w:b w:val="0"/>
          <w:bCs w:val="0"/>
          <w:rtl/>
        </w:rPr>
        <w:t xml:space="preserve">تخضع البنود المدرجة في النسبة الاجمالية البالغة 15% للإفصاح عنها بشكل كامل. واعتبارا من </w:t>
      </w:r>
      <w:r w:rsidR="00990B74" w:rsidRPr="00EA455B">
        <w:rPr>
          <w:b w:val="0"/>
          <w:bCs w:val="0"/>
          <w:rtl/>
        </w:rPr>
        <w:t>1/1</w:t>
      </w:r>
      <w:r w:rsidR="00BA445D" w:rsidRPr="00EA455B">
        <w:rPr>
          <w:b w:val="0"/>
          <w:bCs w:val="0"/>
          <w:rtl/>
        </w:rPr>
        <w:t>/</w:t>
      </w:r>
      <w:r w:rsidR="00990B74" w:rsidRPr="00EA455B">
        <w:rPr>
          <w:b w:val="0"/>
          <w:bCs w:val="0"/>
          <w:rtl/>
        </w:rPr>
        <w:t>2019</w:t>
      </w:r>
      <w:r w:rsidRPr="00EA455B">
        <w:rPr>
          <w:b w:val="0"/>
          <w:bCs w:val="0"/>
          <w:rtl/>
        </w:rPr>
        <w:t xml:space="preserve"> فان احتساب حد </w:t>
      </w:r>
      <w:r w:rsidR="00251BC7" w:rsidRPr="00EA455B">
        <w:rPr>
          <w:b w:val="0"/>
          <w:bCs w:val="0"/>
          <w:rtl/>
        </w:rPr>
        <w:t>الــ</w:t>
      </w:r>
      <w:r w:rsidR="008B0ACA" w:rsidRPr="00EA455B">
        <w:rPr>
          <w:b w:val="0"/>
          <w:bCs w:val="0"/>
          <w:rtl/>
        </w:rPr>
        <w:t xml:space="preserve"> 15% سيكون وفق المعالجة التالية</w:t>
      </w:r>
      <w:r w:rsidRPr="00EA455B">
        <w:rPr>
          <w:b w:val="0"/>
          <w:bCs w:val="0"/>
          <w:rtl/>
        </w:rPr>
        <w:t xml:space="preserve">: مبلغ البنود الثلاثة التي يعترف بها بعد إجراء التعديلات الرقابية يجب أن لا تزيد عن 15%من </w:t>
      </w:r>
      <w:r w:rsidR="00F765A0" w:rsidRPr="00EA455B">
        <w:rPr>
          <w:b w:val="0"/>
          <w:bCs w:val="0"/>
          <w:rtl/>
        </w:rPr>
        <w:t xml:space="preserve">حقوق حملة الأسهم العادية </w:t>
      </w:r>
      <w:r w:rsidRPr="00EA455B">
        <w:rPr>
          <w:b w:val="0"/>
          <w:bCs w:val="0"/>
          <w:rtl/>
        </w:rPr>
        <w:t>(</w:t>
      </w:r>
      <w:r w:rsidRPr="00EA455B">
        <w:rPr>
          <w:b w:val="0"/>
          <w:bCs w:val="0"/>
        </w:rPr>
        <w:t>(CET1</w:t>
      </w:r>
      <w:r w:rsidRPr="00EA455B">
        <w:rPr>
          <w:b w:val="0"/>
          <w:bCs w:val="0"/>
          <w:rtl/>
          <w:lang w:bidi="ar-JO"/>
        </w:rPr>
        <w:t xml:space="preserve"> </w:t>
      </w:r>
      <w:r w:rsidRPr="00EA455B">
        <w:rPr>
          <w:b w:val="0"/>
          <w:bCs w:val="0"/>
          <w:rtl/>
        </w:rPr>
        <w:t>بع</w:t>
      </w:r>
      <w:r w:rsidR="007F030E">
        <w:rPr>
          <w:b w:val="0"/>
          <w:bCs w:val="0"/>
          <w:rtl/>
        </w:rPr>
        <w:t>د إجراء جميع التعديلات الرقابية</w:t>
      </w:r>
      <w:r w:rsidR="007F030E">
        <w:rPr>
          <w:rFonts w:hint="cs"/>
          <w:b w:val="0"/>
          <w:bCs w:val="0"/>
          <w:rtl/>
        </w:rPr>
        <w:t>،</w:t>
      </w:r>
      <w:r w:rsidR="00BA445D" w:rsidRPr="00EA455B">
        <w:rPr>
          <w:b w:val="0"/>
          <w:bCs w:val="0"/>
          <w:rtl/>
        </w:rPr>
        <w:t xml:space="preserve"> </w:t>
      </w:r>
      <w:r w:rsidR="007F030E">
        <w:rPr>
          <w:rFonts w:hint="cs"/>
          <w:b w:val="0"/>
          <w:bCs w:val="0"/>
          <w:rtl/>
        </w:rPr>
        <w:t xml:space="preserve">ويوضح </w:t>
      </w:r>
      <w:r w:rsidR="00BA445D" w:rsidRPr="00EA455B">
        <w:rPr>
          <w:b w:val="0"/>
          <w:bCs w:val="0"/>
          <w:rtl/>
        </w:rPr>
        <w:t>الملحق رقم (</w:t>
      </w:r>
      <w:r w:rsidR="00DC7961" w:rsidRPr="00EA455B">
        <w:rPr>
          <w:b w:val="0"/>
          <w:bCs w:val="0"/>
          <w:rtl/>
        </w:rPr>
        <w:t>4</w:t>
      </w:r>
      <w:r w:rsidR="00BA445D" w:rsidRPr="00EA455B">
        <w:rPr>
          <w:b w:val="0"/>
          <w:bCs w:val="0"/>
          <w:rtl/>
        </w:rPr>
        <w:t xml:space="preserve">) </w:t>
      </w:r>
      <w:r w:rsidR="004E243E" w:rsidRPr="00EA455B">
        <w:rPr>
          <w:b w:val="0"/>
          <w:bCs w:val="0"/>
          <w:rtl/>
        </w:rPr>
        <w:t xml:space="preserve">مثال على </w:t>
      </w:r>
      <w:r w:rsidR="00BA445D" w:rsidRPr="00EA455B">
        <w:rPr>
          <w:b w:val="0"/>
          <w:bCs w:val="0"/>
          <w:rtl/>
        </w:rPr>
        <w:t xml:space="preserve">حدود الاستقطاع فيما </w:t>
      </w:r>
      <w:r w:rsidR="00BA445D" w:rsidRPr="00EA455B">
        <w:rPr>
          <w:b w:val="0"/>
          <w:bCs w:val="0"/>
          <w:rtl/>
        </w:rPr>
        <w:lastRenderedPageBreak/>
        <w:t xml:space="preserve">يخص الاستثمارات المؤثرة في رؤوس أموال البنوك والشركات المالية وشركات التأمين التي تزيد عن (10%) من اسهمها العادية. </w:t>
      </w:r>
    </w:p>
    <w:p w:rsidR="00B3109B" w:rsidRPr="00EA455B" w:rsidRDefault="00B3109B" w:rsidP="007F030E">
      <w:pPr>
        <w:pStyle w:val="ListParagraph"/>
        <w:numPr>
          <w:ilvl w:val="0"/>
          <w:numId w:val="29"/>
        </w:numPr>
        <w:ind w:left="2551" w:hanging="425"/>
        <w:contextualSpacing w:val="0"/>
        <w:rPr>
          <w:b w:val="0"/>
          <w:bCs w:val="0"/>
          <w:rtl/>
        </w:rPr>
      </w:pPr>
      <w:r w:rsidRPr="00EA455B">
        <w:rPr>
          <w:b w:val="0"/>
          <w:bCs w:val="0"/>
          <w:rtl/>
        </w:rPr>
        <w:t xml:space="preserve">سيتم </w:t>
      </w:r>
      <w:r w:rsidR="00EA455B" w:rsidRPr="00EA455B">
        <w:rPr>
          <w:rFonts w:hint="cs"/>
          <w:b w:val="0"/>
          <w:bCs w:val="0"/>
          <w:rtl/>
        </w:rPr>
        <w:t>إخضاع</w:t>
      </w:r>
      <w:r w:rsidRPr="00EA455B">
        <w:rPr>
          <w:b w:val="0"/>
          <w:bCs w:val="0"/>
          <w:rtl/>
        </w:rPr>
        <w:t xml:space="preserve"> المبلغ الذي لم يتم استقطاعه من البنود الثلاثة عند احتساب </w:t>
      </w:r>
      <w:r w:rsidR="00F765A0" w:rsidRPr="00EA455B">
        <w:rPr>
          <w:b w:val="0"/>
          <w:bCs w:val="0"/>
          <w:rtl/>
        </w:rPr>
        <w:t xml:space="preserve">حقوق حملة الأسهم العادية </w:t>
      </w:r>
      <w:r w:rsidRPr="00EA455B">
        <w:rPr>
          <w:b w:val="0"/>
          <w:bCs w:val="0"/>
          <w:rtl/>
        </w:rPr>
        <w:t>(</w:t>
      </w:r>
      <w:r w:rsidRPr="00EA455B">
        <w:rPr>
          <w:b w:val="0"/>
          <w:bCs w:val="0"/>
        </w:rPr>
        <w:t xml:space="preserve"> (CET1</w:t>
      </w:r>
      <w:r w:rsidRPr="00EA455B">
        <w:rPr>
          <w:b w:val="0"/>
          <w:bCs w:val="0"/>
          <w:rtl/>
        </w:rPr>
        <w:t xml:space="preserve"> لوزن مخاطر 250%.</w:t>
      </w:r>
    </w:p>
    <w:p w:rsidR="00431976" w:rsidRPr="004F425C" w:rsidRDefault="00431976" w:rsidP="007F030E">
      <w:pPr>
        <w:pStyle w:val="ListParagraph"/>
        <w:numPr>
          <w:ilvl w:val="0"/>
          <w:numId w:val="29"/>
        </w:numPr>
        <w:spacing w:after="240"/>
        <w:ind w:left="2551" w:hanging="425"/>
        <w:contextualSpacing w:val="0"/>
        <w:rPr>
          <w:b w:val="0"/>
          <w:bCs w:val="0"/>
          <w:rtl/>
        </w:rPr>
      </w:pPr>
      <w:r w:rsidRPr="00D01BF0">
        <w:rPr>
          <w:b w:val="0"/>
          <w:bCs w:val="0"/>
          <w:rtl/>
        </w:rPr>
        <w:t xml:space="preserve">ويبين الملحق رقم (5) عناصر رأس المال التنظيمي والتعديلات الرقابية (الطروحات). </w:t>
      </w:r>
    </w:p>
    <w:p w:rsidR="00B3109B" w:rsidRPr="006D6E07" w:rsidRDefault="00AE0B98" w:rsidP="007F030E">
      <w:pPr>
        <w:spacing w:after="0"/>
        <w:ind w:left="2126" w:hanging="851"/>
        <w:rPr>
          <w:b w:val="0"/>
          <w:bCs w:val="0"/>
          <w:rtl/>
        </w:rPr>
      </w:pPr>
      <w:r w:rsidRPr="006D6E07">
        <w:rPr>
          <w:b w:val="0"/>
          <w:bCs w:val="0"/>
          <w:rtl/>
        </w:rPr>
        <w:t>2.3.</w:t>
      </w:r>
      <w:r w:rsidR="007F030E">
        <w:rPr>
          <w:rFonts w:hint="cs"/>
          <w:b w:val="0"/>
          <w:bCs w:val="0"/>
          <w:rtl/>
        </w:rPr>
        <w:t>11</w:t>
      </w:r>
      <w:r w:rsidR="00EA455B">
        <w:rPr>
          <w:rFonts w:hint="cs"/>
          <w:b w:val="0"/>
          <w:bCs w:val="0"/>
          <w:rtl/>
        </w:rPr>
        <w:t>.</w:t>
      </w:r>
      <w:r w:rsidR="00EA4E47" w:rsidRPr="006D6E07">
        <w:rPr>
          <w:b w:val="0"/>
          <w:bCs w:val="0"/>
          <w:rtl/>
        </w:rPr>
        <w:tab/>
      </w:r>
      <w:r w:rsidR="00B3109B" w:rsidRPr="006D6E07">
        <w:rPr>
          <w:b w:val="0"/>
          <w:bCs w:val="0"/>
          <w:rtl/>
        </w:rPr>
        <w:t>الاستقطاعات السابقة من رأس المال</w:t>
      </w:r>
      <w:r w:rsidR="00251BC7" w:rsidRPr="006D6E07">
        <w:rPr>
          <w:b w:val="0"/>
          <w:bCs w:val="0"/>
          <w:rtl/>
        </w:rPr>
        <w:t xml:space="preserve"> (بازل </w:t>
      </w:r>
      <w:r w:rsidR="00251BC7" w:rsidRPr="006D6E07">
        <w:rPr>
          <w:b w:val="0"/>
          <w:bCs w:val="0"/>
        </w:rPr>
        <w:t>II</w:t>
      </w:r>
      <w:r w:rsidR="00251BC7" w:rsidRPr="006D6E07">
        <w:rPr>
          <w:b w:val="0"/>
          <w:bCs w:val="0"/>
          <w:rtl/>
        </w:rPr>
        <w:t>)</w:t>
      </w:r>
    </w:p>
    <w:p w:rsidR="00B3109B" w:rsidRPr="00EA455B" w:rsidRDefault="00B3109B" w:rsidP="00DC1722">
      <w:pPr>
        <w:pStyle w:val="ListParagraph"/>
        <w:ind w:left="2126"/>
        <w:contextualSpacing w:val="0"/>
        <w:rPr>
          <w:b w:val="0"/>
          <w:bCs w:val="0"/>
          <w:rtl/>
        </w:rPr>
      </w:pPr>
      <w:r w:rsidRPr="00EA455B">
        <w:rPr>
          <w:b w:val="0"/>
          <w:bCs w:val="0"/>
          <w:rtl/>
        </w:rPr>
        <w:t xml:space="preserve">البنود التالية والتي كانت تخضع لاستقطاع بنسبة 50% من الشريحة الأولى و50% من الشريحة الثانية ضن إطار بازل </w:t>
      </w:r>
      <w:r w:rsidR="0038022F" w:rsidRPr="00EA455B">
        <w:rPr>
          <w:b w:val="0"/>
          <w:bCs w:val="0"/>
        </w:rPr>
        <w:t>II</w:t>
      </w:r>
      <w:r w:rsidR="0038022F" w:rsidRPr="00EA455B">
        <w:rPr>
          <w:b w:val="0"/>
          <w:bCs w:val="0"/>
          <w:rtl/>
        </w:rPr>
        <w:t xml:space="preserve"> </w:t>
      </w:r>
      <w:r w:rsidRPr="00EA455B">
        <w:rPr>
          <w:b w:val="0"/>
          <w:bCs w:val="0"/>
          <w:rtl/>
        </w:rPr>
        <w:t>(أو كان للبنك الخ</w:t>
      </w:r>
      <w:r w:rsidR="00F765A0" w:rsidRPr="00EA455B">
        <w:rPr>
          <w:b w:val="0"/>
          <w:bCs w:val="0"/>
          <w:rtl/>
        </w:rPr>
        <w:t>يار أما بطرحها أو بوزنها بمخاطر</w:t>
      </w:r>
      <w:r w:rsidRPr="00EA455B">
        <w:rPr>
          <w:b w:val="0"/>
          <w:bCs w:val="0"/>
          <w:rtl/>
        </w:rPr>
        <w:t xml:space="preserve">) سيتم </w:t>
      </w:r>
      <w:r w:rsidR="00A248B3" w:rsidRPr="00EA455B">
        <w:rPr>
          <w:b w:val="0"/>
          <w:bCs w:val="0"/>
          <w:rtl/>
        </w:rPr>
        <w:t>طرحها بالكامل</w:t>
      </w:r>
      <w:r w:rsidR="00FA4A48" w:rsidRPr="00EA455B">
        <w:rPr>
          <w:b w:val="0"/>
          <w:bCs w:val="0"/>
          <w:rtl/>
        </w:rPr>
        <w:t xml:space="preserve"> من </w:t>
      </w:r>
      <w:r w:rsidR="00FA4A48" w:rsidRPr="00EA455B">
        <w:rPr>
          <w:b w:val="0"/>
          <w:bCs w:val="0"/>
        </w:rPr>
        <w:t>CET1</w:t>
      </w:r>
      <w:r w:rsidR="00990B74" w:rsidRPr="00EA455B">
        <w:rPr>
          <w:b w:val="0"/>
          <w:bCs w:val="0"/>
          <w:rtl/>
        </w:rPr>
        <w:t xml:space="preserve"> وذلك حسب الترتيبات الزمنية الموضحة في الملحق رقم (1)</w:t>
      </w:r>
      <w:r w:rsidR="00A248B3" w:rsidRPr="00EA455B">
        <w:rPr>
          <w:b w:val="0"/>
          <w:bCs w:val="0"/>
          <w:rtl/>
        </w:rPr>
        <w:t>:</w:t>
      </w:r>
    </w:p>
    <w:p w:rsidR="00B3109B" w:rsidRPr="00EA455B" w:rsidRDefault="00B3109B" w:rsidP="007F030E">
      <w:pPr>
        <w:pStyle w:val="ListParagraph"/>
        <w:numPr>
          <w:ilvl w:val="0"/>
          <w:numId w:val="29"/>
        </w:numPr>
        <w:ind w:left="2551" w:hanging="425"/>
        <w:rPr>
          <w:b w:val="0"/>
          <w:bCs w:val="0"/>
        </w:rPr>
      </w:pPr>
      <w:r w:rsidRPr="00EA455B">
        <w:rPr>
          <w:b w:val="0"/>
          <w:bCs w:val="0"/>
          <w:rtl/>
        </w:rPr>
        <w:t>بعض عمليات التوريق وانكشافات المشتقات الائتمانية؛</w:t>
      </w:r>
    </w:p>
    <w:p w:rsidR="004F425C" w:rsidRDefault="00B3109B" w:rsidP="007F030E">
      <w:pPr>
        <w:pStyle w:val="ListParagraph"/>
        <w:numPr>
          <w:ilvl w:val="0"/>
          <w:numId w:val="29"/>
        </w:numPr>
        <w:ind w:left="2551" w:hanging="425"/>
        <w:rPr>
          <w:b w:val="0"/>
          <w:bCs w:val="0"/>
        </w:rPr>
      </w:pPr>
      <w:r w:rsidRPr="00EA455B">
        <w:rPr>
          <w:b w:val="0"/>
          <w:bCs w:val="0"/>
          <w:rtl/>
        </w:rPr>
        <w:t>الاستثمارات المؤثرة</w:t>
      </w:r>
      <w:r w:rsidR="00140405" w:rsidRPr="00EA455B">
        <w:rPr>
          <w:b w:val="0"/>
          <w:bCs w:val="0"/>
          <w:rtl/>
        </w:rPr>
        <w:t xml:space="preserve"> التي تزيد عن (10%)</w:t>
      </w:r>
      <w:r w:rsidRPr="00EA455B">
        <w:rPr>
          <w:b w:val="0"/>
          <w:bCs w:val="0"/>
          <w:rtl/>
        </w:rPr>
        <w:t xml:space="preserve"> في المنشآت التجارية.</w:t>
      </w:r>
    </w:p>
    <w:p w:rsidR="007F030E" w:rsidRPr="00DC20B9" w:rsidRDefault="007F030E" w:rsidP="007F030E">
      <w:pPr>
        <w:pStyle w:val="ListParagraph"/>
        <w:ind w:left="2551"/>
        <w:rPr>
          <w:b w:val="0"/>
          <w:bCs w:val="0"/>
          <w:rtl/>
        </w:rPr>
      </w:pPr>
    </w:p>
    <w:p w:rsidR="009962F4" w:rsidRPr="006D6E07" w:rsidRDefault="00990B74" w:rsidP="00136C4D">
      <w:pPr>
        <w:pStyle w:val="Heading2"/>
        <w:rPr>
          <w:rtl/>
        </w:rPr>
      </w:pPr>
      <w:bookmarkStart w:id="33" w:name="_Toc451176016"/>
      <w:bookmarkStart w:id="34" w:name="_Toc451179998"/>
      <w:bookmarkStart w:id="35" w:name="_Toc451260327"/>
      <w:r w:rsidRPr="006D6E07">
        <w:rPr>
          <w:rtl/>
        </w:rPr>
        <w:t>خامساً</w:t>
      </w:r>
      <w:r w:rsidR="004D7ECC" w:rsidRPr="006D6E07">
        <w:rPr>
          <w:rtl/>
        </w:rPr>
        <w:t>:</w:t>
      </w:r>
      <w:r w:rsidR="004F425C">
        <w:t xml:space="preserve"> </w:t>
      </w:r>
      <w:r w:rsidR="00431976" w:rsidRPr="006D6E07">
        <w:rPr>
          <w:rtl/>
        </w:rPr>
        <w:t>تطبيق التعليمات</w:t>
      </w:r>
      <w:bookmarkEnd w:id="33"/>
      <w:bookmarkEnd w:id="34"/>
      <w:bookmarkEnd w:id="35"/>
    </w:p>
    <w:p w:rsidR="009962F4" w:rsidRPr="006D6E07" w:rsidRDefault="00481D8C" w:rsidP="00DC1722">
      <w:pPr>
        <w:pStyle w:val="ListParagraph"/>
        <w:ind w:left="708" w:hanging="425"/>
        <w:contextualSpacing w:val="0"/>
        <w:rPr>
          <w:rtl/>
          <w:lang w:bidi="ar-JO"/>
        </w:rPr>
      </w:pPr>
      <w:r w:rsidRPr="006D6E07">
        <w:rPr>
          <w:rtl/>
        </w:rPr>
        <w:t>1</w:t>
      </w:r>
      <w:r w:rsidR="004D7ECC" w:rsidRPr="006D6E07">
        <w:rPr>
          <w:rtl/>
        </w:rPr>
        <w:t>.</w:t>
      </w:r>
      <w:r w:rsidR="00277449">
        <w:rPr>
          <w:rFonts w:hint="cs"/>
          <w:rtl/>
        </w:rPr>
        <w:tab/>
      </w:r>
      <w:r w:rsidRPr="006D6E07">
        <w:rPr>
          <w:rtl/>
        </w:rPr>
        <w:t xml:space="preserve">سيتم تطبيق هذه التعليمات على </w:t>
      </w:r>
      <w:r w:rsidR="00DC1722">
        <w:rPr>
          <w:rFonts w:hint="cs"/>
          <w:rtl/>
        </w:rPr>
        <w:t>بيانات</w:t>
      </w:r>
      <w:r w:rsidRPr="006D6E07">
        <w:rPr>
          <w:rtl/>
        </w:rPr>
        <w:t xml:space="preserve"> </w:t>
      </w:r>
      <w:r w:rsidR="00C234D3" w:rsidRPr="006D6E07">
        <w:rPr>
          <w:rtl/>
          <w:lang w:bidi="ar-JO"/>
        </w:rPr>
        <w:t>30/</w:t>
      </w:r>
      <w:r w:rsidR="008B011C">
        <w:rPr>
          <w:rFonts w:hint="cs"/>
          <w:rtl/>
          <w:lang w:bidi="ar-JO"/>
        </w:rPr>
        <w:t>9</w:t>
      </w:r>
      <w:r w:rsidR="001453E6" w:rsidRPr="006D6E07">
        <w:rPr>
          <w:rtl/>
          <w:lang w:bidi="ar-JO"/>
        </w:rPr>
        <w:t>/201</w:t>
      </w:r>
      <w:r w:rsidR="004E243E" w:rsidRPr="006D6E07">
        <w:rPr>
          <w:rtl/>
          <w:lang w:bidi="ar-JO"/>
        </w:rPr>
        <w:t>6</w:t>
      </w:r>
      <w:r w:rsidR="001453E6" w:rsidRPr="006D6E07">
        <w:rPr>
          <w:rtl/>
          <w:lang w:bidi="ar-JO"/>
        </w:rPr>
        <w:t xml:space="preserve">، </w:t>
      </w:r>
      <w:r w:rsidR="00583F72" w:rsidRPr="006D6E07">
        <w:rPr>
          <w:rtl/>
          <w:lang w:bidi="ar-JO"/>
        </w:rPr>
        <w:t xml:space="preserve">حيث يتوجب على البنوك أن تلبي الحد الأدنى من المتطلبات الرأسمالية نسبة إلى الموجودات المرجحة بالمخاطر، ويجب أن تكون كما يلي: </w:t>
      </w:r>
      <w:r w:rsidR="001453E6" w:rsidRPr="006D6E07">
        <w:rPr>
          <w:rtl/>
          <w:lang w:bidi="ar-JO"/>
        </w:rPr>
        <w:t xml:space="preserve"> </w:t>
      </w:r>
    </w:p>
    <w:p w:rsidR="001453E6" w:rsidRPr="00EA455B" w:rsidRDefault="004E243E" w:rsidP="00DC1722">
      <w:pPr>
        <w:pStyle w:val="ListParagraph"/>
        <w:numPr>
          <w:ilvl w:val="0"/>
          <w:numId w:val="29"/>
        </w:numPr>
        <w:ind w:left="1133" w:hanging="425"/>
        <w:rPr>
          <w:b w:val="0"/>
          <w:bCs w:val="0"/>
          <w:lang w:bidi="ar-JO"/>
        </w:rPr>
      </w:pPr>
      <w:r w:rsidRPr="00EA455B">
        <w:rPr>
          <w:b w:val="0"/>
          <w:bCs w:val="0"/>
          <w:rtl/>
          <w:lang w:bidi="ar-JO"/>
        </w:rPr>
        <w:t xml:space="preserve">أن لا يقل </w:t>
      </w:r>
      <w:r w:rsidR="001453E6" w:rsidRPr="00EA455B">
        <w:rPr>
          <w:b w:val="0"/>
          <w:bCs w:val="0"/>
          <w:rtl/>
          <w:lang w:bidi="ar-JO"/>
        </w:rPr>
        <w:t xml:space="preserve">الحد </w:t>
      </w:r>
      <w:r w:rsidR="001453E6" w:rsidRPr="00EA455B">
        <w:rPr>
          <w:b w:val="0"/>
          <w:bCs w:val="0"/>
          <w:rtl/>
        </w:rPr>
        <w:t>الأدنى</w:t>
      </w:r>
      <w:r w:rsidR="001453E6" w:rsidRPr="00EA455B">
        <w:rPr>
          <w:b w:val="0"/>
          <w:bCs w:val="0"/>
          <w:rtl/>
          <w:lang w:bidi="ar-JO"/>
        </w:rPr>
        <w:t xml:space="preserve"> لـ (</w:t>
      </w:r>
      <w:r w:rsidR="001453E6" w:rsidRPr="00EA455B">
        <w:rPr>
          <w:b w:val="0"/>
          <w:bCs w:val="0"/>
          <w:lang w:bidi="ar-JO"/>
        </w:rPr>
        <w:t>CET1</w:t>
      </w:r>
      <w:r w:rsidR="00583F72" w:rsidRPr="00EA455B">
        <w:rPr>
          <w:b w:val="0"/>
          <w:bCs w:val="0"/>
          <w:rtl/>
          <w:lang w:bidi="ar-JO"/>
        </w:rPr>
        <w:t>)</w:t>
      </w:r>
      <w:r w:rsidR="001453E6" w:rsidRPr="00EA455B">
        <w:rPr>
          <w:b w:val="0"/>
          <w:bCs w:val="0"/>
          <w:rtl/>
          <w:lang w:bidi="ar-JO"/>
        </w:rPr>
        <w:t xml:space="preserve"> </w:t>
      </w:r>
      <w:r w:rsidRPr="00EA455B">
        <w:rPr>
          <w:b w:val="0"/>
          <w:bCs w:val="0"/>
          <w:rtl/>
          <w:lang w:bidi="ar-JO"/>
        </w:rPr>
        <w:t xml:space="preserve">عن </w:t>
      </w:r>
      <w:r w:rsidR="001453E6" w:rsidRPr="00EA455B">
        <w:rPr>
          <w:b w:val="0"/>
          <w:bCs w:val="0"/>
          <w:rtl/>
          <w:lang w:bidi="ar-JO"/>
        </w:rPr>
        <w:t>(</w:t>
      </w:r>
      <w:r w:rsidR="00583F72" w:rsidRPr="00EA455B">
        <w:rPr>
          <w:b w:val="0"/>
          <w:bCs w:val="0"/>
          <w:rtl/>
          <w:lang w:bidi="ar-JO"/>
        </w:rPr>
        <w:t>6</w:t>
      </w:r>
      <w:r w:rsidR="001453E6" w:rsidRPr="00EA455B">
        <w:rPr>
          <w:b w:val="0"/>
          <w:bCs w:val="0"/>
          <w:rtl/>
          <w:lang w:bidi="ar-JO"/>
        </w:rPr>
        <w:t>%)</w:t>
      </w:r>
      <w:r w:rsidR="00DC1722">
        <w:rPr>
          <w:rStyle w:val="FootnoteReference"/>
          <w:b w:val="0"/>
          <w:bCs w:val="0"/>
          <w:rtl/>
          <w:lang w:bidi="ar-JO"/>
        </w:rPr>
        <w:footnoteReference w:id="16"/>
      </w:r>
      <w:r w:rsidR="001453E6" w:rsidRPr="00EA455B">
        <w:rPr>
          <w:b w:val="0"/>
          <w:bCs w:val="0"/>
          <w:rtl/>
          <w:lang w:bidi="ar-JO"/>
        </w:rPr>
        <w:t xml:space="preserve">. </w:t>
      </w:r>
    </w:p>
    <w:p w:rsidR="00990B74" w:rsidRPr="00EA455B" w:rsidRDefault="004E243E" w:rsidP="007F030E">
      <w:pPr>
        <w:pStyle w:val="ListParagraph"/>
        <w:numPr>
          <w:ilvl w:val="0"/>
          <w:numId w:val="29"/>
        </w:numPr>
        <w:ind w:left="1133" w:hanging="425"/>
        <w:rPr>
          <w:b w:val="0"/>
          <w:bCs w:val="0"/>
          <w:lang w:bidi="ar-JO"/>
        </w:rPr>
      </w:pPr>
      <w:r w:rsidRPr="00EA455B">
        <w:rPr>
          <w:b w:val="0"/>
          <w:bCs w:val="0"/>
          <w:rtl/>
          <w:lang w:bidi="ar-JO"/>
        </w:rPr>
        <w:t xml:space="preserve">أن لا يقل </w:t>
      </w:r>
      <w:r w:rsidR="001453E6" w:rsidRPr="00EA455B">
        <w:rPr>
          <w:b w:val="0"/>
          <w:bCs w:val="0"/>
          <w:rtl/>
          <w:lang w:bidi="ar-JO"/>
        </w:rPr>
        <w:t xml:space="preserve">الحد </w:t>
      </w:r>
      <w:r w:rsidR="001453E6" w:rsidRPr="00EA455B">
        <w:rPr>
          <w:b w:val="0"/>
          <w:bCs w:val="0"/>
          <w:rtl/>
        </w:rPr>
        <w:t>الأدنى</w:t>
      </w:r>
      <w:r w:rsidR="001453E6" w:rsidRPr="00EA455B">
        <w:rPr>
          <w:b w:val="0"/>
          <w:bCs w:val="0"/>
          <w:rtl/>
          <w:lang w:bidi="ar-JO"/>
        </w:rPr>
        <w:t xml:space="preserve"> لـرأس المال الأساسي (</w:t>
      </w:r>
      <w:r w:rsidR="001453E6" w:rsidRPr="00EA455B">
        <w:rPr>
          <w:b w:val="0"/>
          <w:bCs w:val="0"/>
          <w:lang w:bidi="ar-JO"/>
        </w:rPr>
        <w:t>Tier 1</w:t>
      </w:r>
      <w:r w:rsidR="00583F72" w:rsidRPr="00EA455B">
        <w:rPr>
          <w:b w:val="0"/>
          <w:bCs w:val="0"/>
          <w:rtl/>
          <w:lang w:bidi="ar-JO"/>
        </w:rPr>
        <w:t>)</w:t>
      </w:r>
      <w:r w:rsidR="001453E6" w:rsidRPr="00EA455B">
        <w:rPr>
          <w:b w:val="0"/>
          <w:bCs w:val="0"/>
          <w:rtl/>
          <w:lang w:bidi="ar-JO"/>
        </w:rPr>
        <w:t xml:space="preserve"> </w:t>
      </w:r>
      <w:r w:rsidRPr="00EA455B">
        <w:rPr>
          <w:b w:val="0"/>
          <w:bCs w:val="0"/>
          <w:rtl/>
          <w:lang w:bidi="ar-JO"/>
        </w:rPr>
        <w:t>عن</w:t>
      </w:r>
      <w:r w:rsidR="001453E6" w:rsidRPr="00EA455B">
        <w:rPr>
          <w:b w:val="0"/>
          <w:bCs w:val="0"/>
          <w:rtl/>
          <w:lang w:bidi="ar-JO"/>
        </w:rPr>
        <w:t xml:space="preserve"> </w:t>
      </w:r>
      <w:r w:rsidR="008E0C4C" w:rsidRPr="00EA455B">
        <w:rPr>
          <w:b w:val="0"/>
          <w:bCs w:val="0"/>
          <w:rtl/>
          <w:lang w:bidi="ar-JO"/>
        </w:rPr>
        <w:t xml:space="preserve"> (7.5%)</w:t>
      </w:r>
    </w:p>
    <w:p w:rsidR="001453E6" w:rsidRDefault="004E243E" w:rsidP="007F030E">
      <w:pPr>
        <w:pStyle w:val="ListParagraph"/>
        <w:numPr>
          <w:ilvl w:val="0"/>
          <w:numId w:val="29"/>
        </w:numPr>
        <w:ind w:left="1133" w:hanging="425"/>
        <w:rPr>
          <w:b w:val="0"/>
          <w:bCs w:val="0"/>
          <w:lang w:bidi="ar-JO"/>
        </w:rPr>
      </w:pPr>
      <w:r w:rsidRPr="00EA455B">
        <w:rPr>
          <w:b w:val="0"/>
          <w:bCs w:val="0"/>
          <w:rtl/>
          <w:lang w:bidi="ar-JO"/>
        </w:rPr>
        <w:t xml:space="preserve">أن لا يقل </w:t>
      </w:r>
      <w:r w:rsidR="00583F72" w:rsidRPr="00EA455B">
        <w:rPr>
          <w:b w:val="0"/>
          <w:bCs w:val="0"/>
          <w:rtl/>
          <w:lang w:bidi="ar-JO"/>
        </w:rPr>
        <w:t>الحد الأدنى لرأس المال التنظيمي (</w:t>
      </w:r>
      <w:r w:rsidR="00583F72" w:rsidRPr="00EA455B">
        <w:rPr>
          <w:b w:val="0"/>
          <w:bCs w:val="0"/>
          <w:lang w:bidi="ar-JO"/>
        </w:rPr>
        <w:t>CAR</w:t>
      </w:r>
      <w:r w:rsidR="00583F72" w:rsidRPr="00EA455B">
        <w:rPr>
          <w:b w:val="0"/>
          <w:bCs w:val="0"/>
          <w:rtl/>
          <w:lang w:bidi="ar-JO"/>
        </w:rPr>
        <w:t>)</w:t>
      </w:r>
      <w:r w:rsidR="001453E6" w:rsidRPr="00EA455B">
        <w:rPr>
          <w:b w:val="0"/>
          <w:bCs w:val="0"/>
          <w:rtl/>
          <w:lang w:bidi="ar-JO"/>
        </w:rPr>
        <w:t xml:space="preserve"> </w:t>
      </w:r>
      <w:r w:rsidRPr="00EA455B">
        <w:rPr>
          <w:b w:val="0"/>
          <w:bCs w:val="0"/>
          <w:rtl/>
          <w:lang w:bidi="ar-JO"/>
        </w:rPr>
        <w:t>عن</w:t>
      </w:r>
      <w:r w:rsidR="008E0C4C" w:rsidRPr="00EA455B">
        <w:rPr>
          <w:b w:val="0"/>
          <w:bCs w:val="0"/>
          <w:rtl/>
          <w:lang w:bidi="ar-JO"/>
        </w:rPr>
        <w:t xml:space="preserve"> (12%)</w:t>
      </w:r>
      <w:r w:rsidR="00990B74" w:rsidRPr="00EA455B">
        <w:rPr>
          <w:rStyle w:val="FootnoteReference"/>
          <w:b w:val="0"/>
          <w:bCs w:val="0"/>
          <w:rtl/>
          <w:lang w:bidi="ar-JO"/>
        </w:rPr>
        <w:footnoteReference w:id="17"/>
      </w:r>
      <w:r w:rsidR="001453E6" w:rsidRPr="00EA455B">
        <w:rPr>
          <w:b w:val="0"/>
          <w:bCs w:val="0"/>
          <w:rtl/>
          <w:lang w:bidi="ar-JO"/>
        </w:rPr>
        <w:t xml:space="preserve">. </w:t>
      </w:r>
    </w:p>
    <w:p w:rsidR="004F425C" w:rsidRPr="00EA455B" w:rsidRDefault="004F425C" w:rsidP="004F425C">
      <w:pPr>
        <w:pStyle w:val="ListParagraph"/>
        <w:ind w:left="1745"/>
        <w:rPr>
          <w:b w:val="0"/>
          <w:bCs w:val="0"/>
          <w:lang w:bidi="ar-JO"/>
        </w:rPr>
      </w:pPr>
    </w:p>
    <w:p w:rsidR="004F425C" w:rsidRDefault="00583F72" w:rsidP="008B011C">
      <w:pPr>
        <w:pStyle w:val="ListParagraph"/>
        <w:ind w:left="708" w:hanging="425"/>
        <w:contextualSpacing w:val="0"/>
        <w:rPr>
          <w:rtl/>
          <w:lang w:bidi="ar-JO"/>
        </w:rPr>
      </w:pPr>
      <w:r w:rsidRPr="006D6E07">
        <w:rPr>
          <w:rtl/>
          <w:lang w:bidi="ar-JO"/>
        </w:rPr>
        <w:t>2</w:t>
      </w:r>
      <w:r w:rsidR="004D7ECC" w:rsidRPr="006D6E07">
        <w:rPr>
          <w:rtl/>
          <w:lang w:bidi="ar-JO"/>
        </w:rPr>
        <w:t>.</w:t>
      </w:r>
      <w:r w:rsidRPr="006D6E07">
        <w:rPr>
          <w:rtl/>
          <w:lang w:bidi="ar-JO"/>
        </w:rPr>
        <w:tab/>
        <w:t>فيما يخص الأدوات الرأسمالية والتي لم تعد مؤهلة لتضمينها في (</w:t>
      </w:r>
      <w:r w:rsidRPr="006D6E07">
        <w:rPr>
          <w:lang w:bidi="ar-JO"/>
        </w:rPr>
        <w:t>CET1</w:t>
      </w:r>
      <w:r w:rsidRPr="006D6E07">
        <w:rPr>
          <w:rtl/>
          <w:lang w:bidi="ar-JO"/>
        </w:rPr>
        <w:t>) أو</w:t>
      </w:r>
      <w:r w:rsidR="00533A4B" w:rsidRPr="006D6E07">
        <w:rPr>
          <w:rtl/>
          <w:lang w:bidi="ar-JO"/>
        </w:rPr>
        <w:t xml:space="preserve"> (</w:t>
      </w:r>
      <w:r w:rsidR="00533A4B" w:rsidRPr="006D6E07">
        <w:rPr>
          <w:lang w:bidi="ar-JO"/>
        </w:rPr>
        <w:t>AT1</w:t>
      </w:r>
      <w:r w:rsidR="00533A4B" w:rsidRPr="006D6E07">
        <w:rPr>
          <w:rtl/>
        </w:rPr>
        <w:t>)</w:t>
      </w:r>
      <w:r w:rsidRPr="006D6E07">
        <w:rPr>
          <w:rtl/>
          <w:lang w:bidi="ar-JO"/>
        </w:rPr>
        <w:t xml:space="preserve"> </w:t>
      </w:r>
      <w:r w:rsidR="00533A4B" w:rsidRPr="006D6E07">
        <w:rPr>
          <w:rtl/>
          <w:lang w:bidi="ar-JO"/>
        </w:rPr>
        <w:t>أو</w:t>
      </w:r>
      <w:r w:rsidRPr="006D6E07">
        <w:rPr>
          <w:rtl/>
          <w:lang w:bidi="ar-JO"/>
        </w:rPr>
        <w:t>(</w:t>
      </w:r>
      <w:r w:rsidRPr="006D6E07">
        <w:rPr>
          <w:lang w:bidi="ar-JO"/>
        </w:rPr>
        <w:t>T2</w:t>
      </w:r>
      <w:r w:rsidRPr="006D6E07">
        <w:rPr>
          <w:rtl/>
          <w:lang w:bidi="ar-JO"/>
        </w:rPr>
        <w:t xml:space="preserve">) سوف تخضع لترتيبات انتقالية منذ </w:t>
      </w:r>
      <w:r w:rsidR="00C234D3" w:rsidRPr="006D6E07">
        <w:rPr>
          <w:rtl/>
          <w:lang w:bidi="ar-JO"/>
        </w:rPr>
        <w:t>30/</w:t>
      </w:r>
      <w:r w:rsidR="008B011C">
        <w:rPr>
          <w:rFonts w:hint="cs"/>
          <w:rtl/>
          <w:lang w:bidi="ar-JO"/>
        </w:rPr>
        <w:t>9</w:t>
      </w:r>
      <w:r w:rsidR="004E243E" w:rsidRPr="006D6E07">
        <w:rPr>
          <w:rtl/>
          <w:lang w:bidi="ar-JO"/>
        </w:rPr>
        <w:t>/2016</w:t>
      </w:r>
      <w:r w:rsidRPr="006D6E07">
        <w:rPr>
          <w:rtl/>
          <w:lang w:bidi="ar-JO"/>
        </w:rPr>
        <w:t xml:space="preserve"> ولمدة عشر سنوات وذلك من خلال تخفيضها (10%) سنوياً، وبحيث يكون الاعتراف بهذه الأدوات خلال عام 202</w:t>
      </w:r>
      <w:r w:rsidR="00D50078" w:rsidRPr="006D6E07">
        <w:rPr>
          <w:rtl/>
          <w:lang w:bidi="ar-JO"/>
        </w:rPr>
        <w:t>6</w:t>
      </w:r>
      <w:r w:rsidRPr="006D6E07">
        <w:rPr>
          <w:rtl/>
          <w:lang w:bidi="ar-JO"/>
        </w:rPr>
        <w:t xml:space="preserve"> يساوي صفر. </w:t>
      </w:r>
      <w:bookmarkStart w:id="36" w:name="_Toc451176017"/>
      <w:bookmarkStart w:id="37" w:name="_Toc451179999"/>
    </w:p>
    <w:p w:rsidR="00DC20B9" w:rsidRDefault="00DC20B9" w:rsidP="00DC20B9">
      <w:pPr>
        <w:pStyle w:val="ListParagraph"/>
        <w:ind w:left="1010" w:hanging="301"/>
        <w:contextualSpacing w:val="0"/>
        <w:rPr>
          <w:rtl/>
          <w:lang w:bidi="ar-JO"/>
        </w:rPr>
      </w:pPr>
    </w:p>
    <w:p w:rsidR="008400F3" w:rsidRDefault="008400F3" w:rsidP="00DC20B9">
      <w:pPr>
        <w:pStyle w:val="ListParagraph"/>
        <w:ind w:left="1010" w:hanging="301"/>
        <w:contextualSpacing w:val="0"/>
        <w:rPr>
          <w:rtl/>
          <w:lang w:bidi="ar-JO"/>
        </w:rPr>
      </w:pPr>
    </w:p>
    <w:p w:rsidR="009962F4" w:rsidRPr="00EA455B" w:rsidRDefault="00C24AEC" w:rsidP="00EA455B">
      <w:pPr>
        <w:pStyle w:val="Heading1"/>
        <w:pBdr>
          <w:bottom w:val="single" w:sz="4" w:space="1" w:color="auto"/>
        </w:pBdr>
        <w:jc w:val="center"/>
        <w:rPr>
          <w:b/>
          <w:bCs/>
          <w:rtl/>
        </w:rPr>
      </w:pPr>
      <w:bookmarkStart w:id="38" w:name="_Toc451260328"/>
      <w:r w:rsidRPr="00EA455B">
        <w:rPr>
          <w:rFonts w:hint="cs"/>
          <w:b/>
          <w:bCs/>
          <w:rtl/>
        </w:rPr>
        <w:lastRenderedPageBreak/>
        <w:t>الفصل الثالث</w:t>
      </w:r>
      <w:bookmarkStart w:id="39" w:name="_Toc451176018"/>
      <w:bookmarkStart w:id="40" w:name="_Toc451180000"/>
      <w:bookmarkEnd w:id="36"/>
      <w:bookmarkEnd w:id="37"/>
      <w:r w:rsidR="00EA455B" w:rsidRPr="00EA455B">
        <w:rPr>
          <w:rFonts w:hint="cs"/>
          <w:b/>
          <w:bCs/>
          <w:rtl/>
        </w:rPr>
        <w:t xml:space="preserve">: </w:t>
      </w:r>
      <w:r w:rsidR="006064ED" w:rsidRPr="00EA455B">
        <w:rPr>
          <w:rFonts w:hint="cs"/>
          <w:b/>
          <w:bCs/>
          <w:rtl/>
        </w:rPr>
        <w:t>متطلبات رأس المال الإضافية</w:t>
      </w:r>
      <w:bookmarkEnd w:id="38"/>
      <w:bookmarkEnd w:id="39"/>
      <w:bookmarkEnd w:id="40"/>
    </w:p>
    <w:p w:rsidR="004D7ECC" w:rsidRPr="006D6E07" w:rsidRDefault="004D7ECC" w:rsidP="004D7ECC">
      <w:pPr>
        <w:pStyle w:val="ListParagraph"/>
        <w:ind w:left="41"/>
        <w:jc w:val="center"/>
        <w:rPr>
          <w:b w:val="0"/>
          <w:bCs w:val="0"/>
          <w:rtl/>
        </w:rPr>
      </w:pPr>
    </w:p>
    <w:p w:rsidR="009962F4" w:rsidRPr="00EA455B" w:rsidRDefault="006064ED" w:rsidP="00A248B3">
      <w:pPr>
        <w:pStyle w:val="ListParagraph"/>
        <w:ind w:left="41"/>
        <w:rPr>
          <w:sz w:val="28"/>
          <w:szCs w:val="28"/>
          <w:rtl/>
        </w:rPr>
      </w:pPr>
      <w:r w:rsidRPr="00EA455B">
        <w:rPr>
          <w:sz w:val="28"/>
          <w:szCs w:val="28"/>
          <w:rtl/>
        </w:rPr>
        <w:t xml:space="preserve">بالإضافة إلى متطلبات رأس المال الواردة في </w:t>
      </w:r>
      <w:r w:rsidR="00A248B3" w:rsidRPr="00EA455B">
        <w:rPr>
          <w:sz w:val="28"/>
          <w:szCs w:val="28"/>
          <w:rtl/>
        </w:rPr>
        <w:t>الفصل الثاني</w:t>
      </w:r>
      <w:r w:rsidRPr="00EA455B">
        <w:rPr>
          <w:sz w:val="28"/>
          <w:szCs w:val="28"/>
          <w:rtl/>
        </w:rPr>
        <w:t xml:space="preserve"> فعلى البنوك الاحتفاظ بمتطلبات إضافية لرأس المال، وكما يلي: </w:t>
      </w:r>
    </w:p>
    <w:p w:rsidR="009962F4" w:rsidRPr="00EA455B" w:rsidRDefault="006064ED" w:rsidP="00277449">
      <w:pPr>
        <w:ind w:left="708" w:hanging="425"/>
        <w:rPr>
          <w:sz w:val="28"/>
          <w:szCs w:val="28"/>
          <w:rtl/>
        </w:rPr>
      </w:pPr>
      <w:r w:rsidRPr="00EA455B">
        <w:rPr>
          <w:sz w:val="28"/>
          <w:szCs w:val="28"/>
          <w:rtl/>
        </w:rPr>
        <w:t>1.</w:t>
      </w:r>
      <w:r w:rsidRPr="00EA455B">
        <w:rPr>
          <w:sz w:val="28"/>
          <w:szCs w:val="28"/>
          <w:rtl/>
        </w:rPr>
        <w:tab/>
      </w:r>
      <w:r w:rsidR="008E0C4C" w:rsidRPr="00EA455B">
        <w:rPr>
          <w:sz w:val="28"/>
          <w:szCs w:val="28"/>
          <w:rtl/>
        </w:rPr>
        <w:t xml:space="preserve">هامش </w:t>
      </w:r>
      <w:r w:rsidRPr="00EA455B">
        <w:rPr>
          <w:sz w:val="28"/>
          <w:szCs w:val="28"/>
          <w:rtl/>
        </w:rPr>
        <w:t>رأس المال التحفظي (</w:t>
      </w:r>
      <w:r w:rsidRPr="00EA455B">
        <w:rPr>
          <w:sz w:val="28"/>
          <w:szCs w:val="28"/>
        </w:rPr>
        <w:t>Conservation Buffer</w:t>
      </w:r>
      <w:r w:rsidRPr="00EA455B">
        <w:rPr>
          <w:sz w:val="28"/>
          <w:szCs w:val="28"/>
          <w:rtl/>
        </w:rPr>
        <w:t>):</w:t>
      </w:r>
    </w:p>
    <w:p w:rsidR="006064ED" w:rsidRPr="00EA455B" w:rsidRDefault="009445B6" w:rsidP="009445B6">
      <w:pPr>
        <w:pStyle w:val="ListParagraph"/>
        <w:ind w:left="1417" w:hanging="709"/>
        <w:rPr>
          <w:b w:val="0"/>
          <w:bCs w:val="0"/>
          <w:rtl/>
          <w:lang w:bidi="ar-JO"/>
        </w:rPr>
      </w:pPr>
      <w:r>
        <w:rPr>
          <w:rFonts w:hint="cs"/>
          <w:b w:val="0"/>
          <w:bCs w:val="0"/>
          <w:rtl/>
        </w:rPr>
        <w:t>1.1</w:t>
      </w:r>
      <w:r w:rsidR="00C77DA2" w:rsidRPr="00EA455B">
        <w:rPr>
          <w:b w:val="0"/>
          <w:bCs w:val="0"/>
          <w:rtl/>
        </w:rPr>
        <w:t>.</w:t>
      </w:r>
      <w:r w:rsidR="00C77DA2" w:rsidRPr="00EA455B">
        <w:rPr>
          <w:b w:val="0"/>
          <w:bCs w:val="0"/>
          <w:rtl/>
        </w:rPr>
        <w:tab/>
      </w:r>
      <w:r w:rsidR="006064ED" w:rsidRPr="00EA455B">
        <w:rPr>
          <w:b w:val="0"/>
          <w:bCs w:val="0"/>
          <w:rtl/>
        </w:rPr>
        <w:t xml:space="preserve">على البنوك الاحتفاظ برأسمال لأغراض التحوط </w:t>
      </w:r>
      <w:r w:rsidR="0026227C" w:rsidRPr="00EA455B">
        <w:rPr>
          <w:b w:val="0"/>
          <w:bCs w:val="0"/>
          <w:rtl/>
        </w:rPr>
        <w:t>وبنسبة</w:t>
      </w:r>
      <w:r w:rsidR="006064ED" w:rsidRPr="00EA455B">
        <w:rPr>
          <w:b w:val="0"/>
          <w:bCs w:val="0"/>
          <w:rtl/>
        </w:rPr>
        <w:t xml:space="preserve"> (2.5%) من الم</w:t>
      </w:r>
      <w:r w:rsidR="0026227C" w:rsidRPr="00EA455B">
        <w:rPr>
          <w:b w:val="0"/>
          <w:bCs w:val="0"/>
          <w:rtl/>
        </w:rPr>
        <w:t>وجودات المرجحة بالمخاطر</w:t>
      </w:r>
      <w:r w:rsidR="006064ED" w:rsidRPr="00EA455B">
        <w:rPr>
          <w:b w:val="0"/>
          <w:bCs w:val="0"/>
          <w:rtl/>
        </w:rPr>
        <w:t xml:space="preserve"> وعلى أن يكون من (</w:t>
      </w:r>
      <w:r w:rsidR="006064ED" w:rsidRPr="00EA455B">
        <w:rPr>
          <w:b w:val="0"/>
          <w:bCs w:val="0"/>
        </w:rPr>
        <w:t>CET1</w:t>
      </w:r>
      <w:r w:rsidR="0026227C" w:rsidRPr="00EA455B">
        <w:rPr>
          <w:b w:val="0"/>
          <w:bCs w:val="0"/>
          <w:rtl/>
          <w:lang w:bidi="ar-JO"/>
        </w:rPr>
        <w:t>).</w:t>
      </w:r>
      <w:r w:rsidR="006064ED" w:rsidRPr="00EA455B">
        <w:rPr>
          <w:b w:val="0"/>
          <w:bCs w:val="0"/>
          <w:rtl/>
          <w:lang w:bidi="ar-JO"/>
        </w:rPr>
        <w:t xml:space="preserve"> </w:t>
      </w:r>
    </w:p>
    <w:p w:rsidR="00C77DA2" w:rsidRPr="00EA455B" w:rsidRDefault="009445B6" w:rsidP="009445B6">
      <w:pPr>
        <w:pStyle w:val="ListParagraph"/>
        <w:ind w:left="1417" w:hanging="709"/>
        <w:rPr>
          <w:b w:val="0"/>
          <w:bCs w:val="0"/>
          <w:rtl/>
          <w:lang w:bidi="ar-JO"/>
        </w:rPr>
      </w:pPr>
      <w:r>
        <w:rPr>
          <w:rFonts w:hint="cs"/>
          <w:b w:val="0"/>
          <w:bCs w:val="0"/>
          <w:rtl/>
          <w:lang w:bidi="ar-JO"/>
        </w:rPr>
        <w:t>2.1</w:t>
      </w:r>
      <w:r w:rsidR="00C77DA2" w:rsidRPr="00EA455B">
        <w:rPr>
          <w:b w:val="0"/>
          <w:bCs w:val="0"/>
          <w:rtl/>
          <w:lang w:bidi="ar-JO"/>
        </w:rPr>
        <w:t>.</w:t>
      </w:r>
      <w:r w:rsidR="00C77DA2" w:rsidRPr="00EA455B">
        <w:rPr>
          <w:b w:val="0"/>
          <w:bCs w:val="0"/>
          <w:rtl/>
          <w:lang w:bidi="ar-JO"/>
        </w:rPr>
        <w:tab/>
        <w:t xml:space="preserve">في حال عدم قدرة البنك على </w:t>
      </w:r>
      <w:r w:rsidR="00E70A61" w:rsidRPr="00EA455B">
        <w:rPr>
          <w:b w:val="0"/>
          <w:bCs w:val="0"/>
          <w:rtl/>
          <w:lang w:bidi="ar-JO"/>
        </w:rPr>
        <w:t xml:space="preserve">تلبية الحد الأدنى من حقوق حملة الأسهم العادية (6%) بالإضافة إلى هامش </w:t>
      </w:r>
      <w:r w:rsidR="00C77DA2" w:rsidRPr="00EA455B">
        <w:rPr>
          <w:b w:val="0"/>
          <w:bCs w:val="0"/>
          <w:rtl/>
          <w:lang w:bidi="ar-JO"/>
        </w:rPr>
        <w:t>رأس</w:t>
      </w:r>
      <w:r w:rsidR="00E70A61" w:rsidRPr="00EA455B">
        <w:rPr>
          <w:b w:val="0"/>
          <w:bCs w:val="0"/>
          <w:rtl/>
          <w:lang w:bidi="ar-JO"/>
        </w:rPr>
        <w:t xml:space="preserve"> ال</w:t>
      </w:r>
      <w:r w:rsidR="00C77DA2" w:rsidRPr="00EA455B">
        <w:rPr>
          <w:b w:val="0"/>
          <w:bCs w:val="0"/>
          <w:rtl/>
          <w:lang w:bidi="ar-JO"/>
        </w:rPr>
        <w:t xml:space="preserve">مال </w:t>
      </w:r>
      <w:r w:rsidR="00E70A61" w:rsidRPr="00EA455B">
        <w:rPr>
          <w:b w:val="0"/>
          <w:bCs w:val="0"/>
          <w:rtl/>
          <w:lang w:bidi="ar-JO"/>
        </w:rPr>
        <w:t>ال</w:t>
      </w:r>
      <w:r w:rsidR="00C77DA2" w:rsidRPr="00EA455B">
        <w:rPr>
          <w:b w:val="0"/>
          <w:bCs w:val="0"/>
          <w:rtl/>
          <w:lang w:bidi="ar-JO"/>
        </w:rPr>
        <w:t>تحفظي</w:t>
      </w:r>
      <w:r w:rsidR="00E70A61" w:rsidRPr="00EA455B">
        <w:rPr>
          <w:b w:val="0"/>
          <w:bCs w:val="0"/>
          <w:rtl/>
          <w:lang w:bidi="ar-JO"/>
        </w:rPr>
        <w:t xml:space="preserve"> (2.5%)</w:t>
      </w:r>
      <w:r w:rsidR="00C77DA2" w:rsidRPr="00EA455B">
        <w:rPr>
          <w:b w:val="0"/>
          <w:bCs w:val="0"/>
          <w:rtl/>
          <w:lang w:bidi="ar-JO"/>
        </w:rPr>
        <w:t xml:space="preserve">، فإنه يحق للبنك المركزي فرض قيود على توزيع الأرباح وكما يلي: </w:t>
      </w:r>
    </w:p>
    <w:tbl>
      <w:tblPr>
        <w:tblStyle w:val="TableGrid"/>
        <w:tblpPr w:leftFromText="180" w:rightFromText="180" w:vertAnchor="text" w:tblpXSpec="center" w:tblpY="1"/>
        <w:tblOverlap w:val="never"/>
        <w:bidiVisual/>
        <w:tblW w:w="8222" w:type="dxa"/>
        <w:tblLook w:val="04A0" w:firstRow="1" w:lastRow="0" w:firstColumn="1" w:lastColumn="0" w:noHBand="0" w:noVBand="1"/>
      </w:tblPr>
      <w:tblGrid>
        <w:gridCol w:w="4859"/>
        <w:gridCol w:w="3363"/>
      </w:tblGrid>
      <w:tr w:rsidR="00C77DA2" w:rsidRPr="006D6E07" w:rsidTr="008400F3">
        <w:trPr>
          <w:cantSplit/>
          <w:trHeight w:hRule="exact" w:val="1146"/>
        </w:trPr>
        <w:tc>
          <w:tcPr>
            <w:tcW w:w="4859" w:type="dxa"/>
            <w:shd w:val="clear" w:color="auto" w:fill="F2F2F2" w:themeFill="background1" w:themeFillShade="F2"/>
            <w:vAlign w:val="center"/>
          </w:tcPr>
          <w:p w:rsidR="00C77DA2" w:rsidRPr="006D6E07" w:rsidRDefault="00C77DA2" w:rsidP="004F425C">
            <w:pPr>
              <w:pStyle w:val="ListParagraph"/>
              <w:ind w:left="0"/>
              <w:jc w:val="center"/>
              <w:rPr>
                <w:rtl/>
              </w:rPr>
            </w:pPr>
            <w:r w:rsidRPr="006D6E07">
              <w:rPr>
                <w:rtl/>
                <w:lang w:bidi="ar-JO"/>
              </w:rPr>
              <w:t xml:space="preserve">نسبة حقوق حملة الأسهم العادية </w:t>
            </w:r>
            <w:r w:rsidRPr="006D6E07">
              <w:rPr>
                <w:lang w:bidi="ar-JO"/>
              </w:rPr>
              <w:t>CET1</w:t>
            </w:r>
            <w:r w:rsidRPr="006D6E07">
              <w:rPr>
                <w:rtl/>
              </w:rPr>
              <w:t xml:space="preserve"> </w:t>
            </w:r>
            <w:r w:rsidR="00E70A61" w:rsidRPr="006D6E07">
              <w:rPr>
                <w:rtl/>
              </w:rPr>
              <w:t>(6%) بالإضافة إلى ه</w:t>
            </w:r>
            <w:r w:rsidRPr="006D6E07">
              <w:rPr>
                <w:rtl/>
              </w:rPr>
              <w:t>امش رأس المال التحفظي</w:t>
            </w:r>
            <w:r w:rsidR="00E70A61" w:rsidRPr="006D6E07">
              <w:rPr>
                <w:rtl/>
              </w:rPr>
              <w:t xml:space="preserve"> (2.5%)</w:t>
            </w:r>
          </w:p>
        </w:tc>
        <w:tc>
          <w:tcPr>
            <w:tcW w:w="3363" w:type="dxa"/>
            <w:shd w:val="clear" w:color="auto" w:fill="F2F2F2" w:themeFill="background1" w:themeFillShade="F2"/>
            <w:vAlign w:val="center"/>
          </w:tcPr>
          <w:p w:rsidR="00C77DA2" w:rsidRPr="006D6E07" w:rsidRDefault="00C77DA2" w:rsidP="004F425C">
            <w:pPr>
              <w:pStyle w:val="ListParagraph"/>
              <w:ind w:left="0"/>
              <w:jc w:val="center"/>
              <w:rPr>
                <w:rtl/>
              </w:rPr>
            </w:pPr>
            <w:r w:rsidRPr="006D6E07">
              <w:rPr>
                <w:rtl/>
              </w:rPr>
              <w:t>نسبة الأرباح غير المسموح بتوزيعها</w:t>
            </w:r>
          </w:p>
        </w:tc>
      </w:tr>
      <w:tr w:rsidR="00C77DA2" w:rsidRPr="006D6E07" w:rsidTr="008400F3">
        <w:trPr>
          <w:cantSplit/>
          <w:trHeight w:hRule="exact" w:val="432"/>
        </w:trPr>
        <w:tc>
          <w:tcPr>
            <w:tcW w:w="4859" w:type="dxa"/>
            <w:vAlign w:val="center"/>
          </w:tcPr>
          <w:p w:rsidR="00C77DA2" w:rsidRPr="00EA455B" w:rsidRDefault="00C77DA2" w:rsidP="002C63F3">
            <w:pPr>
              <w:pStyle w:val="ListParagraph"/>
              <w:ind w:left="0"/>
              <w:jc w:val="center"/>
              <w:rPr>
                <w:b w:val="0"/>
                <w:bCs w:val="0"/>
                <w:rtl/>
                <w:lang w:bidi="ar-JO"/>
              </w:rPr>
            </w:pPr>
            <w:r w:rsidRPr="00EA455B">
              <w:rPr>
                <w:b w:val="0"/>
                <w:bCs w:val="0"/>
                <w:rtl/>
                <w:lang w:bidi="ar-JO"/>
              </w:rPr>
              <w:t xml:space="preserve">أقل </w:t>
            </w:r>
            <w:r w:rsidR="002C63F3">
              <w:rPr>
                <w:b w:val="0"/>
                <w:bCs w:val="0"/>
                <w:lang w:bidi="ar-JO"/>
              </w:rPr>
              <w:t xml:space="preserve">   </w:t>
            </w:r>
            <w:r w:rsidRPr="00EA455B">
              <w:rPr>
                <w:b w:val="0"/>
                <w:bCs w:val="0"/>
                <w:rtl/>
                <w:lang w:bidi="ar-JO"/>
              </w:rPr>
              <w:t>من</w:t>
            </w:r>
            <w:r w:rsidR="002C63F3">
              <w:rPr>
                <w:b w:val="0"/>
                <w:bCs w:val="0"/>
                <w:lang w:bidi="ar-JO"/>
              </w:rPr>
              <w:t xml:space="preserve">  </w:t>
            </w:r>
            <w:r w:rsidRPr="00EA455B">
              <w:rPr>
                <w:b w:val="0"/>
                <w:bCs w:val="0"/>
                <w:rtl/>
                <w:lang w:bidi="ar-JO"/>
              </w:rPr>
              <w:t xml:space="preserve"> 6.625%</w:t>
            </w:r>
          </w:p>
        </w:tc>
        <w:tc>
          <w:tcPr>
            <w:tcW w:w="3363" w:type="dxa"/>
            <w:vAlign w:val="center"/>
          </w:tcPr>
          <w:p w:rsidR="00C77DA2" w:rsidRPr="00EA455B" w:rsidRDefault="00C77DA2" w:rsidP="004F425C">
            <w:pPr>
              <w:pStyle w:val="ListParagraph"/>
              <w:ind w:left="0"/>
              <w:jc w:val="center"/>
              <w:rPr>
                <w:b w:val="0"/>
                <w:bCs w:val="0"/>
                <w:rtl/>
                <w:lang w:bidi="ar-JO"/>
              </w:rPr>
            </w:pPr>
            <w:r w:rsidRPr="00EA455B">
              <w:rPr>
                <w:b w:val="0"/>
                <w:bCs w:val="0"/>
                <w:rtl/>
                <w:lang w:bidi="ar-JO"/>
              </w:rPr>
              <w:t>100%</w:t>
            </w:r>
          </w:p>
        </w:tc>
      </w:tr>
      <w:tr w:rsidR="00C77DA2" w:rsidRPr="006D6E07" w:rsidTr="008400F3">
        <w:trPr>
          <w:cantSplit/>
          <w:trHeight w:hRule="exact" w:val="432"/>
        </w:trPr>
        <w:tc>
          <w:tcPr>
            <w:tcW w:w="4859" w:type="dxa"/>
            <w:vAlign w:val="center"/>
          </w:tcPr>
          <w:p w:rsidR="00C77DA2" w:rsidRPr="00EA455B" w:rsidRDefault="00C77DA2" w:rsidP="002C63F3">
            <w:pPr>
              <w:pStyle w:val="ListParagraph"/>
              <w:ind w:left="0"/>
              <w:jc w:val="center"/>
              <w:rPr>
                <w:b w:val="0"/>
                <w:bCs w:val="0"/>
                <w:rtl/>
                <w:lang w:bidi="ar-JO"/>
              </w:rPr>
            </w:pPr>
            <w:r w:rsidRPr="00EA455B">
              <w:rPr>
                <w:b w:val="0"/>
                <w:bCs w:val="0"/>
                <w:rtl/>
                <w:lang w:bidi="ar-JO"/>
              </w:rPr>
              <w:t xml:space="preserve">6.625% - </w:t>
            </w:r>
            <w:r w:rsidR="002C63F3">
              <w:rPr>
                <w:b w:val="0"/>
                <w:bCs w:val="0"/>
                <w:lang w:bidi="ar-JO"/>
              </w:rPr>
              <w:t xml:space="preserve"> </w:t>
            </w:r>
            <w:r w:rsidRPr="00EA455B">
              <w:rPr>
                <w:b w:val="0"/>
                <w:bCs w:val="0"/>
                <w:rtl/>
                <w:lang w:bidi="ar-JO"/>
              </w:rPr>
              <w:t>7.25%</w:t>
            </w:r>
          </w:p>
        </w:tc>
        <w:tc>
          <w:tcPr>
            <w:tcW w:w="3363" w:type="dxa"/>
            <w:vAlign w:val="center"/>
          </w:tcPr>
          <w:p w:rsidR="00C77DA2" w:rsidRPr="00EA455B" w:rsidRDefault="00C77DA2" w:rsidP="004F425C">
            <w:pPr>
              <w:pStyle w:val="ListParagraph"/>
              <w:ind w:left="0"/>
              <w:jc w:val="center"/>
              <w:rPr>
                <w:b w:val="0"/>
                <w:bCs w:val="0"/>
                <w:rtl/>
                <w:lang w:bidi="ar-JO"/>
              </w:rPr>
            </w:pPr>
            <w:r w:rsidRPr="00EA455B">
              <w:rPr>
                <w:b w:val="0"/>
                <w:bCs w:val="0"/>
                <w:rtl/>
                <w:lang w:bidi="ar-JO"/>
              </w:rPr>
              <w:t>80%</w:t>
            </w:r>
          </w:p>
        </w:tc>
      </w:tr>
      <w:tr w:rsidR="00C77DA2" w:rsidRPr="006D6E07" w:rsidTr="008400F3">
        <w:trPr>
          <w:cantSplit/>
          <w:trHeight w:hRule="exact" w:val="432"/>
        </w:trPr>
        <w:tc>
          <w:tcPr>
            <w:tcW w:w="4859" w:type="dxa"/>
            <w:vAlign w:val="center"/>
          </w:tcPr>
          <w:p w:rsidR="00C77DA2" w:rsidRPr="00EA455B" w:rsidRDefault="00C77DA2" w:rsidP="002C63F3">
            <w:pPr>
              <w:pStyle w:val="ListParagraph"/>
              <w:ind w:left="0"/>
              <w:jc w:val="center"/>
              <w:rPr>
                <w:b w:val="0"/>
                <w:bCs w:val="0"/>
                <w:rtl/>
                <w:lang w:bidi="ar-JO"/>
              </w:rPr>
            </w:pPr>
            <w:r w:rsidRPr="00EA455B">
              <w:rPr>
                <w:b w:val="0"/>
                <w:bCs w:val="0"/>
                <w:rtl/>
                <w:lang w:bidi="ar-JO"/>
              </w:rPr>
              <w:t xml:space="preserve">7.25% - </w:t>
            </w:r>
            <w:r w:rsidR="002C63F3">
              <w:rPr>
                <w:b w:val="0"/>
                <w:bCs w:val="0"/>
                <w:lang w:bidi="ar-JO"/>
              </w:rPr>
              <w:t xml:space="preserve"> </w:t>
            </w:r>
            <w:r w:rsidRPr="00EA455B">
              <w:rPr>
                <w:b w:val="0"/>
                <w:bCs w:val="0"/>
                <w:rtl/>
                <w:lang w:bidi="ar-JO"/>
              </w:rPr>
              <w:t>7.875%</w:t>
            </w:r>
          </w:p>
        </w:tc>
        <w:tc>
          <w:tcPr>
            <w:tcW w:w="3363" w:type="dxa"/>
            <w:vAlign w:val="center"/>
          </w:tcPr>
          <w:p w:rsidR="00C77DA2" w:rsidRPr="00EA455B" w:rsidRDefault="00C77DA2" w:rsidP="004F425C">
            <w:pPr>
              <w:pStyle w:val="ListParagraph"/>
              <w:ind w:left="0"/>
              <w:jc w:val="center"/>
              <w:rPr>
                <w:b w:val="0"/>
                <w:bCs w:val="0"/>
                <w:rtl/>
                <w:lang w:bidi="ar-JO"/>
              </w:rPr>
            </w:pPr>
            <w:r w:rsidRPr="00EA455B">
              <w:rPr>
                <w:b w:val="0"/>
                <w:bCs w:val="0"/>
                <w:rtl/>
                <w:lang w:bidi="ar-JO"/>
              </w:rPr>
              <w:t>60%</w:t>
            </w:r>
          </w:p>
        </w:tc>
      </w:tr>
      <w:tr w:rsidR="00C77DA2" w:rsidRPr="006D6E07" w:rsidTr="008400F3">
        <w:trPr>
          <w:cantSplit/>
          <w:trHeight w:hRule="exact" w:val="432"/>
        </w:trPr>
        <w:tc>
          <w:tcPr>
            <w:tcW w:w="4859" w:type="dxa"/>
            <w:vAlign w:val="center"/>
          </w:tcPr>
          <w:p w:rsidR="00C77DA2" w:rsidRPr="00EA455B" w:rsidRDefault="00C77DA2" w:rsidP="002C63F3">
            <w:pPr>
              <w:pStyle w:val="ListParagraph"/>
              <w:ind w:left="0"/>
              <w:jc w:val="center"/>
              <w:rPr>
                <w:b w:val="0"/>
                <w:bCs w:val="0"/>
                <w:rtl/>
                <w:lang w:bidi="ar-JO"/>
              </w:rPr>
            </w:pPr>
            <w:r w:rsidRPr="00EA455B">
              <w:rPr>
                <w:b w:val="0"/>
                <w:bCs w:val="0"/>
                <w:rtl/>
                <w:lang w:bidi="ar-JO"/>
              </w:rPr>
              <w:t xml:space="preserve">7.875% - </w:t>
            </w:r>
            <w:r w:rsidR="002C63F3">
              <w:rPr>
                <w:b w:val="0"/>
                <w:bCs w:val="0"/>
                <w:lang w:bidi="ar-JO"/>
              </w:rPr>
              <w:t xml:space="preserve"> </w:t>
            </w:r>
            <w:r w:rsidRPr="00EA455B">
              <w:rPr>
                <w:b w:val="0"/>
                <w:bCs w:val="0"/>
                <w:rtl/>
                <w:lang w:bidi="ar-JO"/>
              </w:rPr>
              <w:t>8.5%</w:t>
            </w:r>
          </w:p>
        </w:tc>
        <w:tc>
          <w:tcPr>
            <w:tcW w:w="3363" w:type="dxa"/>
            <w:vAlign w:val="center"/>
          </w:tcPr>
          <w:p w:rsidR="00C77DA2" w:rsidRPr="00EA455B" w:rsidRDefault="00C77DA2" w:rsidP="004F425C">
            <w:pPr>
              <w:pStyle w:val="ListParagraph"/>
              <w:ind w:left="0"/>
              <w:jc w:val="center"/>
              <w:rPr>
                <w:b w:val="0"/>
                <w:bCs w:val="0"/>
                <w:rtl/>
                <w:lang w:bidi="ar-JO"/>
              </w:rPr>
            </w:pPr>
            <w:r w:rsidRPr="00EA455B">
              <w:rPr>
                <w:b w:val="0"/>
                <w:bCs w:val="0"/>
                <w:rtl/>
                <w:lang w:bidi="ar-JO"/>
              </w:rPr>
              <w:t>40%</w:t>
            </w:r>
          </w:p>
        </w:tc>
      </w:tr>
      <w:tr w:rsidR="00C77DA2" w:rsidRPr="006D6E07" w:rsidTr="008400F3">
        <w:trPr>
          <w:cantSplit/>
          <w:trHeight w:hRule="exact" w:val="432"/>
        </w:trPr>
        <w:tc>
          <w:tcPr>
            <w:tcW w:w="4859" w:type="dxa"/>
            <w:vAlign w:val="center"/>
          </w:tcPr>
          <w:p w:rsidR="00C77DA2" w:rsidRPr="00EA455B" w:rsidRDefault="00C77DA2" w:rsidP="002C63F3">
            <w:pPr>
              <w:pStyle w:val="ListParagraph"/>
              <w:ind w:left="0"/>
              <w:jc w:val="center"/>
              <w:rPr>
                <w:b w:val="0"/>
                <w:bCs w:val="0"/>
                <w:rtl/>
                <w:lang w:bidi="ar-JO"/>
              </w:rPr>
            </w:pPr>
            <w:r w:rsidRPr="00EA455B">
              <w:rPr>
                <w:b w:val="0"/>
                <w:bCs w:val="0"/>
                <w:rtl/>
                <w:lang w:bidi="ar-JO"/>
              </w:rPr>
              <w:t xml:space="preserve">أكبر </w:t>
            </w:r>
            <w:r w:rsidR="002C63F3">
              <w:rPr>
                <w:b w:val="0"/>
                <w:bCs w:val="0"/>
                <w:lang w:bidi="ar-JO"/>
              </w:rPr>
              <w:t xml:space="preserve">   </w:t>
            </w:r>
            <w:r w:rsidRPr="00EA455B">
              <w:rPr>
                <w:b w:val="0"/>
                <w:bCs w:val="0"/>
                <w:rtl/>
                <w:lang w:bidi="ar-JO"/>
              </w:rPr>
              <w:t>من</w:t>
            </w:r>
            <w:r w:rsidR="002C63F3">
              <w:rPr>
                <w:b w:val="0"/>
                <w:bCs w:val="0"/>
                <w:lang w:bidi="ar-JO"/>
              </w:rPr>
              <w:t xml:space="preserve">   </w:t>
            </w:r>
            <w:r w:rsidRPr="00EA455B">
              <w:rPr>
                <w:b w:val="0"/>
                <w:bCs w:val="0"/>
                <w:rtl/>
                <w:lang w:bidi="ar-JO"/>
              </w:rPr>
              <w:t xml:space="preserve"> 8.5%</w:t>
            </w:r>
          </w:p>
        </w:tc>
        <w:tc>
          <w:tcPr>
            <w:tcW w:w="3363" w:type="dxa"/>
            <w:vAlign w:val="center"/>
          </w:tcPr>
          <w:p w:rsidR="00C77DA2" w:rsidRPr="00EA455B" w:rsidRDefault="00C77DA2" w:rsidP="004F425C">
            <w:pPr>
              <w:pStyle w:val="ListParagraph"/>
              <w:ind w:left="0"/>
              <w:jc w:val="center"/>
              <w:rPr>
                <w:b w:val="0"/>
                <w:bCs w:val="0"/>
                <w:rtl/>
                <w:lang w:bidi="ar-JO"/>
              </w:rPr>
            </w:pPr>
            <w:r w:rsidRPr="00EA455B">
              <w:rPr>
                <w:b w:val="0"/>
                <w:bCs w:val="0"/>
                <w:rtl/>
                <w:lang w:bidi="ar-JO"/>
              </w:rPr>
              <w:t>صفر</w:t>
            </w:r>
          </w:p>
        </w:tc>
      </w:tr>
    </w:tbl>
    <w:p w:rsidR="00C77DA2" w:rsidRPr="006D6E07" w:rsidRDefault="00C77DA2" w:rsidP="00C77DA2">
      <w:pPr>
        <w:pStyle w:val="ListParagraph"/>
        <w:ind w:left="1034" w:hanging="426"/>
        <w:rPr>
          <w:rtl/>
          <w:lang w:bidi="ar-JO"/>
        </w:rPr>
      </w:pPr>
      <w:r w:rsidRPr="006D6E07">
        <w:rPr>
          <w:rtl/>
          <w:lang w:bidi="ar-JO"/>
        </w:rPr>
        <w:t xml:space="preserve"> </w:t>
      </w:r>
    </w:p>
    <w:p w:rsidR="006064ED" w:rsidRPr="00EA455B" w:rsidRDefault="006064ED" w:rsidP="00277449">
      <w:pPr>
        <w:ind w:left="708" w:hanging="425"/>
        <w:rPr>
          <w:sz w:val="28"/>
          <w:szCs w:val="28"/>
          <w:rtl/>
        </w:rPr>
      </w:pPr>
      <w:r w:rsidRPr="00EA455B">
        <w:rPr>
          <w:sz w:val="28"/>
          <w:szCs w:val="28"/>
          <w:rtl/>
        </w:rPr>
        <w:t>2.</w:t>
      </w:r>
      <w:r w:rsidRPr="00EA455B">
        <w:rPr>
          <w:sz w:val="28"/>
          <w:szCs w:val="28"/>
          <w:rtl/>
        </w:rPr>
        <w:tab/>
      </w:r>
      <w:r w:rsidR="008E0C4C" w:rsidRPr="00EA455B">
        <w:rPr>
          <w:sz w:val="28"/>
          <w:szCs w:val="28"/>
          <w:rtl/>
        </w:rPr>
        <w:t xml:space="preserve">هامش </w:t>
      </w:r>
      <w:r w:rsidR="00C234D3" w:rsidRPr="00EA455B">
        <w:rPr>
          <w:sz w:val="28"/>
          <w:szCs w:val="28"/>
          <w:rtl/>
        </w:rPr>
        <w:t>رأس المال لمواجهة</w:t>
      </w:r>
      <w:r w:rsidR="00400469" w:rsidRPr="00EA455B">
        <w:rPr>
          <w:sz w:val="28"/>
          <w:szCs w:val="28"/>
          <w:rtl/>
        </w:rPr>
        <w:t xml:space="preserve"> التقلبات الدورية </w:t>
      </w:r>
      <w:r w:rsidRPr="00EA455B">
        <w:rPr>
          <w:sz w:val="28"/>
          <w:szCs w:val="28"/>
          <w:rtl/>
        </w:rPr>
        <w:t>(</w:t>
      </w:r>
      <w:r w:rsidRPr="00EA455B">
        <w:rPr>
          <w:sz w:val="28"/>
          <w:szCs w:val="28"/>
        </w:rPr>
        <w:t>Countercyclical Buffer</w:t>
      </w:r>
      <w:r w:rsidRPr="00EA455B">
        <w:rPr>
          <w:sz w:val="28"/>
          <w:szCs w:val="28"/>
          <w:rtl/>
        </w:rPr>
        <w:t xml:space="preserve">): </w:t>
      </w:r>
    </w:p>
    <w:p w:rsidR="006064ED" w:rsidRPr="00D01BF0" w:rsidRDefault="009445B6" w:rsidP="00F96D49">
      <w:pPr>
        <w:pStyle w:val="ListParagraph"/>
        <w:ind w:left="1417" w:hanging="709"/>
        <w:rPr>
          <w:b w:val="0"/>
          <w:bCs w:val="0"/>
          <w:rtl/>
          <w:lang w:bidi="ar-JO"/>
        </w:rPr>
      </w:pPr>
      <w:r>
        <w:rPr>
          <w:rFonts w:hint="cs"/>
          <w:b w:val="0"/>
          <w:bCs w:val="0"/>
          <w:rtl/>
        </w:rPr>
        <w:t>1.2</w:t>
      </w:r>
      <w:r w:rsidR="0089506A" w:rsidRPr="00D01BF0">
        <w:rPr>
          <w:b w:val="0"/>
          <w:bCs w:val="0"/>
          <w:rtl/>
        </w:rPr>
        <w:t>.</w:t>
      </w:r>
      <w:r w:rsidR="0089506A" w:rsidRPr="00D01BF0">
        <w:rPr>
          <w:b w:val="0"/>
          <w:bCs w:val="0"/>
          <w:rtl/>
        </w:rPr>
        <w:tab/>
      </w:r>
      <w:r w:rsidR="006064ED" w:rsidRPr="00D01BF0">
        <w:rPr>
          <w:b w:val="0"/>
          <w:bCs w:val="0"/>
          <w:rtl/>
          <w:lang w:bidi="ar-JO"/>
        </w:rPr>
        <w:t xml:space="preserve">سيقوم البنك المركزي الأردني واعتباراً من </w:t>
      </w:r>
      <w:r w:rsidR="00C234D3" w:rsidRPr="00D01BF0">
        <w:rPr>
          <w:b w:val="0"/>
          <w:bCs w:val="0"/>
          <w:rtl/>
          <w:lang w:bidi="ar-JO"/>
        </w:rPr>
        <w:t>30/</w:t>
      </w:r>
      <w:r w:rsidR="008B011C">
        <w:rPr>
          <w:rFonts w:hint="cs"/>
          <w:b w:val="0"/>
          <w:bCs w:val="0"/>
          <w:rtl/>
          <w:lang w:bidi="ar-JO"/>
        </w:rPr>
        <w:t>9</w:t>
      </w:r>
      <w:r w:rsidR="006064ED" w:rsidRPr="00D01BF0">
        <w:rPr>
          <w:b w:val="0"/>
          <w:bCs w:val="0"/>
          <w:rtl/>
          <w:lang w:bidi="ar-JO"/>
        </w:rPr>
        <w:t xml:space="preserve">/2016 باحتساب رأس المال اللازم لمواجهة </w:t>
      </w:r>
      <w:r w:rsidR="00C234D3" w:rsidRPr="00D01BF0">
        <w:rPr>
          <w:b w:val="0"/>
          <w:bCs w:val="0"/>
          <w:rtl/>
        </w:rPr>
        <w:t>التقلبات</w:t>
      </w:r>
      <w:r w:rsidR="00C234D3" w:rsidRPr="00D01BF0">
        <w:rPr>
          <w:b w:val="0"/>
          <w:bCs w:val="0"/>
          <w:rtl/>
          <w:lang w:bidi="ar-JO"/>
        </w:rPr>
        <w:t xml:space="preserve"> الدورية</w:t>
      </w:r>
      <w:r w:rsidR="006064ED" w:rsidRPr="00D01BF0">
        <w:rPr>
          <w:b w:val="0"/>
          <w:bCs w:val="0"/>
          <w:rtl/>
          <w:lang w:bidi="ar-JO"/>
        </w:rPr>
        <w:t xml:space="preserve"> وبحيث يتراوح ما بين (0%-2.5%)</w:t>
      </w:r>
      <w:r w:rsidR="00140405" w:rsidRPr="00D01BF0">
        <w:rPr>
          <w:b w:val="0"/>
          <w:bCs w:val="0"/>
          <w:rtl/>
          <w:lang w:bidi="ar-JO"/>
        </w:rPr>
        <w:t xml:space="preserve"> من الموجودات المرجحة بالمخاطر</w:t>
      </w:r>
      <w:r w:rsidR="006064ED" w:rsidRPr="00D01BF0">
        <w:rPr>
          <w:b w:val="0"/>
          <w:bCs w:val="0"/>
          <w:rtl/>
          <w:lang w:bidi="ar-JO"/>
        </w:rPr>
        <w:t>، وسيقوم البنك المركزي بالطلب من البنوك</w:t>
      </w:r>
      <w:r w:rsidR="00D50078" w:rsidRPr="00D01BF0">
        <w:rPr>
          <w:b w:val="0"/>
          <w:bCs w:val="0"/>
          <w:rtl/>
          <w:lang w:bidi="ar-JO"/>
        </w:rPr>
        <w:t xml:space="preserve"> – في حال الحاجة إلى ذلك - </w:t>
      </w:r>
      <w:r w:rsidR="006064ED" w:rsidRPr="00D01BF0">
        <w:rPr>
          <w:b w:val="0"/>
          <w:bCs w:val="0"/>
          <w:rtl/>
          <w:lang w:bidi="ar-JO"/>
        </w:rPr>
        <w:t xml:space="preserve"> بناء هذا </w:t>
      </w:r>
      <w:r w:rsidR="00F96D49">
        <w:rPr>
          <w:rFonts w:hint="cs"/>
          <w:b w:val="0"/>
          <w:bCs w:val="0"/>
          <w:rtl/>
          <w:lang w:bidi="ar-JO"/>
        </w:rPr>
        <w:t>الهامش</w:t>
      </w:r>
      <w:r w:rsidR="006064ED" w:rsidRPr="00D01BF0">
        <w:rPr>
          <w:b w:val="0"/>
          <w:bCs w:val="0"/>
          <w:rtl/>
          <w:lang w:bidi="ar-JO"/>
        </w:rPr>
        <w:t xml:space="preserve"> خلال سنة من تاريخ تزويدهم بالنسبة، ويجب أن يكون هذا </w:t>
      </w:r>
      <w:r w:rsidR="00140405" w:rsidRPr="00D01BF0">
        <w:rPr>
          <w:b w:val="0"/>
          <w:bCs w:val="0"/>
          <w:rtl/>
          <w:lang w:bidi="ar-JO"/>
        </w:rPr>
        <w:t>الهامش</w:t>
      </w:r>
      <w:r w:rsidR="006064ED" w:rsidRPr="00D01BF0">
        <w:rPr>
          <w:b w:val="0"/>
          <w:bCs w:val="0"/>
          <w:rtl/>
          <w:lang w:bidi="ar-JO"/>
        </w:rPr>
        <w:t xml:space="preserve"> من (</w:t>
      </w:r>
      <w:r w:rsidR="006064ED" w:rsidRPr="00D01BF0">
        <w:rPr>
          <w:b w:val="0"/>
          <w:bCs w:val="0"/>
          <w:lang w:bidi="ar-JO"/>
        </w:rPr>
        <w:t>CET1</w:t>
      </w:r>
      <w:r w:rsidR="006064ED" w:rsidRPr="00D01BF0">
        <w:rPr>
          <w:b w:val="0"/>
          <w:bCs w:val="0"/>
          <w:rtl/>
          <w:lang w:bidi="ar-JO"/>
        </w:rPr>
        <w:t xml:space="preserve">)، ويبين الملحق رقم </w:t>
      </w:r>
      <w:r w:rsidR="00C162A0" w:rsidRPr="00D01BF0">
        <w:rPr>
          <w:b w:val="0"/>
          <w:bCs w:val="0"/>
          <w:rtl/>
          <w:lang w:bidi="ar-JO"/>
        </w:rPr>
        <w:t>(</w:t>
      </w:r>
      <w:r w:rsidR="006A6078" w:rsidRPr="00D01BF0">
        <w:rPr>
          <w:b w:val="0"/>
          <w:bCs w:val="0"/>
          <w:rtl/>
          <w:lang w:bidi="ar-JO"/>
        </w:rPr>
        <w:t>6</w:t>
      </w:r>
      <w:r w:rsidR="00C162A0" w:rsidRPr="00D01BF0">
        <w:rPr>
          <w:b w:val="0"/>
          <w:bCs w:val="0"/>
          <w:rtl/>
          <w:lang w:bidi="ar-JO"/>
        </w:rPr>
        <w:t>)</w:t>
      </w:r>
      <w:r w:rsidR="006064ED" w:rsidRPr="00D01BF0">
        <w:rPr>
          <w:b w:val="0"/>
          <w:bCs w:val="0"/>
          <w:rtl/>
          <w:lang w:bidi="ar-JO"/>
        </w:rPr>
        <w:t xml:space="preserve"> الخطوات التي </w:t>
      </w:r>
      <w:r w:rsidR="00BD1441" w:rsidRPr="00D01BF0">
        <w:rPr>
          <w:b w:val="0"/>
          <w:bCs w:val="0"/>
          <w:rtl/>
          <w:lang w:bidi="ar-JO"/>
        </w:rPr>
        <w:t>س</w:t>
      </w:r>
      <w:r w:rsidR="006064ED" w:rsidRPr="00D01BF0">
        <w:rPr>
          <w:b w:val="0"/>
          <w:bCs w:val="0"/>
          <w:rtl/>
          <w:lang w:bidi="ar-JO"/>
        </w:rPr>
        <w:t>يقوم البنك المركزي باتباعها بخصوص رأس</w:t>
      </w:r>
      <w:r w:rsidR="00C234D3" w:rsidRPr="00D01BF0">
        <w:rPr>
          <w:b w:val="0"/>
          <w:bCs w:val="0"/>
          <w:rtl/>
          <w:lang w:bidi="ar-JO"/>
        </w:rPr>
        <w:t xml:space="preserve"> ال</w:t>
      </w:r>
      <w:r w:rsidR="006064ED" w:rsidRPr="00D01BF0">
        <w:rPr>
          <w:b w:val="0"/>
          <w:bCs w:val="0"/>
          <w:rtl/>
          <w:lang w:bidi="ar-JO"/>
        </w:rPr>
        <w:t xml:space="preserve">مال </w:t>
      </w:r>
      <w:r w:rsidR="00C234D3" w:rsidRPr="00D01BF0">
        <w:rPr>
          <w:b w:val="0"/>
          <w:bCs w:val="0"/>
          <w:rtl/>
          <w:lang w:bidi="ar-JO"/>
        </w:rPr>
        <w:t xml:space="preserve">اللازم لمواجهة التقلبات الدورية. </w:t>
      </w:r>
    </w:p>
    <w:p w:rsidR="0089506A" w:rsidRDefault="009445B6" w:rsidP="009445B6">
      <w:pPr>
        <w:pStyle w:val="ListParagraph"/>
        <w:ind w:left="1417" w:hanging="709"/>
        <w:rPr>
          <w:b w:val="0"/>
          <w:bCs w:val="0"/>
          <w:rtl/>
          <w:lang w:bidi="ar-JO"/>
        </w:rPr>
      </w:pPr>
      <w:r>
        <w:rPr>
          <w:rFonts w:hint="cs"/>
          <w:b w:val="0"/>
          <w:bCs w:val="0"/>
          <w:rtl/>
          <w:lang w:bidi="ar-JO"/>
        </w:rPr>
        <w:lastRenderedPageBreak/>
        <w:t>2.2</w:t>
      </w:r>
      <w:r w:rsidR="0089506A" w:rsidRPr="00D01BF0">
        <w:rPr>
          <w:b w:val="0"/>
          <w:bCs w:val="0"/>
          <w:rtl/>
          <w:lang w:bidi="ar-JO"/>
        </w:rPr>
        <w:t>.</w:t>
      </w:r>
      <w:r w:rsidR="0089506A" w:rsidRPr="00D01BF0">
        <w:rPr>
          <w:b w:val="0"/>
          <w:bCs w:val="0"/>
          <w:rtl/>
          <w:lang w:bidi="ar-JO"/>
        </w:rPr>
        <w:tab/>
      </w:r>
      <w:r w:rsidR="00E70A61" w:rsidRPr="00D01BF0">
        <w:rPr>
          <w:b w:val="0"/>
          <w:bCs w:val="0"/>
          <w:rtl/>
          <w:lang w:bidi="ar-JO"/>
        </w:rPr>
        <w:t>في حال عدم قدرة البنك على تلبية الحد الأدنى من حقوق حملة الأسهم العادية (6%) بالإضافة إلى هامش رأس المال التحفظي (2.5%)</w:t>
      </w:r>
      <w:r w:rsidR="0089506A" w:rsidRPr="00D01BF0">
        <w:rPr>
          <w:b w:val="0"/>
          <w:bCs w:val="0"/>
          <w:rtl/>
          <w:lang w:bidi="ar-JO"/>
        </w:rPr>
        <w:t xml:space="preserve"> </w:t>
      </w:r>
      <w:r w:rsidR="00E70A61" w:rsidRPr="00D01BF0">
        <w:rPr>
          <w:b w:val="0"/>
          <w:bCs w:val="0"/>
          <w:rtl/>
          <w:lang w:bidi="ar-JO"/>
        </w:rPr>
        <w:t xml:space="preserve">وهامش </w:t>
      </w:r>
      <w:r w:rsidR="0089506A" w:rsidRPr="00D01BF0">
        <w:rPr>
          <w:b w:val="0"/>
          <w:bCs w:val="0"/>
          <w:rtl/>
          <w:lang w:bidi="ar-JO"/>
        </w:rPr>
        <w:t>رأس</w:t>
      </w:r>
      <w:r w:rsidR="00E70A61" w:rsidRPr="00D01BF0">
        <w:rPr>
          <w:b w:val="0"/>
          <w:bCs w:val="0"/>
          <w:rtl/>
          <w:lang w:bidi="ar-JO"/>
        </w:rPr>
        <w:t xml:space="preserve"> ال</w:t>
      </w:r>
      <w:r w:rsidR="0089506A" w:rsidRPr="00D01BF0">
        <w:rPr>
          <w:b w:val="0"/>
          <w:bCs w:val="0"/>
          <w:rtl/>
          <w:lang w:bidi="ar-JO"/>
        </w:rPr>
        <w:t>مال لمواجهة التقلبات الدورية</w:t>
      </w:r>
      <w:r w:rsidR="00E70A61" w:rsidRPr="00D01BF0">
        <w:rPr>
          <w:b w:val="0"/>
          <w:bCs w:val="0"/>
          <w:rtl/>
          <w:lang w:bidi="ar-JO"/>
        </w:rPr>
        <w:t xml:space="preserve"> (2.5%)</w:t>
      </w:r>
      <w:r w:rsidR="008F720A">
        <w:rPr>
          <w:rStyle w:val="FootnoteReference"/>
          <w:b w:val="0"/>
          <w:bCs w:val="0"/>
          <w:rtl/>
          <w:lang w:bidi="ar-JO"/>
        </w:rPr>
        <w:footnoteReference w:id="18"/>
      </w:r>
      <w:r w:rsidR="0089506A" w:rsidRPr="00D01BF0">
        <w:rPr>
          <w:b w:val="0"/>
          <w:bCs w:val="0"/>
          <w:rtl/>
          <w:lang w:bidi="ar-JO"/>
        </w:rPr>
        <w:t>، فإنه يحق للبنك المركزي فرض ق</w:t>
      </w:r>
      <w:r w:rsidR="00DC20B9">
        <w:rPr>
          <w:b w:val="0"/>
          <w:bCs w:val="0"/>
          <w:rtl/>
          <w:lang w:bidi="ar-JO"/>
        </w:rPr>
        <w:t>يود على توزيع الأرباح وكما يلي:</w:t>
      </w:r>
    </w:p>
    <w:p w:rsidR="00DC20B9" w:rsidRPr="00DC20B9" w:rsidRDefault="00DC20B9" w:rsidP="00DC20B9">
      <w:pPr>
        <w:pStyle w:val="ListParagraph"/>
        <w:ind w:left="1175" w:hanging="567"/>
        <w:rPr>
          <w:b w:val="0"/>
          <w:bCs w:val="0"/>
          <w:rtl/>
          <w:lang w:bidi="ar-JO"/>
        </w:rPr>
      </w:pPr>
    </w:p>
    <w:tbl>
      <w:tblPr>
        <w:tblStyle w:val="TableGrid"/>
        <w:bidiVisual/>
        <w:tblW w:w="0" w:type="auto"/>
        <w:jc w:val="center"/>
        <w:tblLook w:val="04A0" w:firstRow="1" w:lastRow="0" w:firstColumn="1" w:lastColumn="0" w:noHBand="0" w:noVBand="1"/>
      </w:tblPr>
      <w:tblGrid>
        <w:gridCol w:w="5266"/>
        <w:gridCol w:w="2440"/>
      </w:tblGrid>
      <w:tr w:rsidR="0089506A" w:rsidRPr="00D01BF0" w:rsidTr="008400F3">
        <w:trPr>
          <w:cantSplit/>
          <w:trHeight w:hRule="exact" w:val="995"/>
          <w:jc w:val="center"/>
        </w:trPr>
        <w:tc>
          <w:tcPr>
            <w:tcW w:w="5266" w:type="dxa"/>
            <w:shd w:val="clear" w:color="auto" w:fill="F2F2F2" w:themeFill="background1" w:themeFillShade="F2"/>
          </w:tcPr>
          <w:p w:rsidR="0089506A" w:rsidRPr="00D01BF0" w:rsidRDefault="0089506A" w:rsidP="0089506A">
            <w:pPr>
              <w:pStyle w:val="ListParagraph"/>
              <w:ind w:left="0"/>
              <w:jc w:val="center"/>
              <w:rPr>
                <w:rtl/>
              </w:rPr>
            </w:pPr>
            <w:r w:rsidRPr="00D01BF0">
              <w:rPr>
                <w:rtl/>
                <w:lang w:bidi="ar-JO"/>
              </w:rPr>
              <w:t xml:space="preserve">نسبة حقوق حملة الأسهم العادية </w:t>
            </w:r>
            <w:r w:rsidRPr="00D01BF0">
              <w:rPr>
                <w:lang w:bidi="ar-JO"/>
              </w:rPr>
              <w:t>CET1</w:t>
            </w:r>
            <w:r w:rsidRPr="00D01BF0">
              <w:rPr>
                <w:rtl/>
              </w:rPr>
              <w:t xml:space="preserve"> + </w:t>
            </w:r>
            <w:r w:rsidR="00E70A61" w:rsidRPr="00D01BF0">
              <w:rPr>
                <w:rtl/>
              </w:rPr>
              <w:t>هامش رأس المال التحفظي+</w:t>
            </w:r>
            <w:r w:rsidR="00D01BF0">
              <w:rPr>
                <w:rFonts w:hint="cs"/>
                <w:rtl/>
              </w:rPr>
              <w:t xml:space="preserve"> </w:t>
            </w:r>
            <w:r w:rsidRPr="00D01BF0">
              <w:rPr>
                <w:rtl/>
              </w:rPr>
              <w:t>هامش رأس المال لمواجهة التقلبات الدورية</w:t>
            </w:r>
          </w:p>
        </w:tc>
        <w:tc>
          <w:tcPr>
            <w:tcW w:w="2440" w:type="dxa"/>
            <w:shd w:val="clear" w:color="auto" w:fill="F2F2F2" w:themeFill="background1" w:themeFillShade="F2"/>
          </w:tcPr>
          <w:p w:rsidR="0089506A" w:rsidRPr="00D01BF0" w:rsidRDefault="0089506A" w:rsidP="006A6078">
            <w:pPr>
              <w:pStyle w:val="ListParagraph"/>
              <w:ind w:left="0"/>
              <w:jc w:val="center"/>
              <w:rPr>
                <w:rtl/>
              </w:rPr>
            </w:pPr>
            <w:r w:rsidRPr="00D01BF0">
              <w:rPr>
                <w:rtl/>
              </w:rPr>
              <w:t>نسبة الأرباح غير المسموح بتوزيعها</w:t>
            </w:r>
          </w:p>
        </w:tc>
      </w:tr>
      <w:tr w:rsidR="0089506A" w:rsidRPr="00D01BF0" w:rsidTr="00D01BF0">
        <w:trPr>
          <w:cantSplit/>
          <w:trHeight w:hRule="exact" w:val="432"/>
          <w:jc w:val="center"/>
        </w:trPr>
        <w:tc>
          <w:tcPr>
            <w:tcW w:w="5266" w:type="dxa"/>
          </w:tcPr>
          <w:p w:rsidR="0089506A" w:rsidRPr="00D01BF0" w:rsidRDefault="002C63F3" w:rsidP="002C63F3">
            <w:pPr>
              <w:pStyle w:val="ListParagraph"/>
              <w:ind w:left="1558"/>
              <w:jc w:val="left"/>
              <w:rPr>
                <w:b w:val="0"/>
                <w:bCs w:val="0"/>
                <w:rtl/>
                <w:lang w:bidi="ar-JO"/>
              </w:rPr>
            </w:pPr>
            <w:r>
              <w:rPr>
                <w:b w:val="0"/>
                <w:bCs w:val="0"/>
                <w:lang w:bidi="ar-JO"/>
              </w:rPr>
              <w:t xml:space="preserve"> </w:t>
            </w:r>
            <w:r w:rsidR="0089506A" w:rsidRPr="00D01BF0">
              <w:rPr>
                <w:b w:val="0"/>
                <w:bCs w:val="0"/>
                <w:rtl/>
                <w:lang w:bidi="ar-JO"/>
              </w:rPr>
              <w:t xml:space="preserve">أقل </w:t>
            </w:r>
            <w:r>
              <w:rPr>
                <w:b w:val="0"/>
                <w:bCs w:val="0"/>
                <w:lang w:bidi="ar-JO"/>
              </w:rPr>
              <w:t xml:space="preserve">   </w:t>
            </w:r>
            <w:r w:rsidR="0089506A" w:rsidRPr="00D01BF0">
              <w:rPr>
                <w:b w:val="0"/>
                <w:bCs w:val="0"/>
                <w:rtl/>
                <w:lang w:bidi="ar-JO"/>
              </w:rPr>
              <w:t>من</w:t>
            </w:r>
            <w:r>
              <w:rPr>
                <w:b w:val="0"/>
                <w:bCs w:val="0"/>
                <w:lang w:bidi="ar-JO"/>
              </w:rPr>
              <w:t xml:space="preserve">   </w:t>
            </w:r>
            <w:r w:rsidR="0089506A" w:rsidRPr="00D01BF0">
              <w:rPr>
                <w:b w:val="0"/>
                <w:bCs w:val="0"/>
                <w:rtl/>
                <w:lang w:bidi="ar-JO"/>
              </w:rPr>
              <w:t xml:space="preserve"> 6%</w:t>
            </w:r>
          </w:p>
        </w:tc>
        <w:tc>
          <w:tcPr>
            <w:tcW w:w="2440" w:type="dxa"/>
          </w:tcPr>
          <w:p w:rsidR="0089506A" w:rsidRPr="00D01BF0" w:rsidRDefault="0089506A" w:rsidP="006A6078">
            <w:pPr>
              <w:pStyle w:val="ListParagraph"/>
              <w:ind w:left="0"/>
              <w:jc w:val="center"/>
              <w:rPr>
                <w:b w:val="0"/>
                <w:bCs w:val="0"/>
                <w:rtl/>
                <w:lang w:bidi="ar-JO"/>
              </w:rPr>
            </w:pPr>
            <w:r w:rsidRPr="00D01BF0">
              <w:rPr>
                <w:b w:val="0"/>
                <w:bCs w:val="0"/>
                <w:rtl/>
                <w:lang w:bidi="ar-JO"/>
              </w:rPr>
              <w:t>100%</w:t>
            </w:r>
          </w:p>
        </w:tc>
      </w:tr>
      <w:tr w:rsidR="0089506A" w:rsidRPr="00D01BF0" w:rsidTr="00D01BF0">
        <w:trPr>
          <w:cantSplit/>
          <w:trHeight w:hRule="exact" w:val="432"/>
          <w:jc w:val="center"/>
        </w:trPr>
        <w:tc>
          <w:tcPr>
            <w:tcW w:w="5266" w:type="dxa"/>
          </w:tcPr>
          <w:p w:rsidR="0089506A" w:rsidRPr="00D01BF0" w:rsidRDefault="0089506A" w:rsidP="002C63F3">
            <w:pPr>
              <w:pStyle w:val="ListParagraph"/>
              <w:ind w:left="1558"/>
              <w:jc w:val="left"/>
              <w:rPr>
                <w:b w:val="0"/>
                <w:bCs w:val="0"/>
                <w:rtl/>
                <w:lang w:bidi="ar-JO"/>
              </w:rPr>
            </w:pPr>
            <w:r w:rsidRPr="00D01BF0">
              <w:rPr>
                <w:b w:val="0"/>
                <w:bCs w:val="0"/>
                <w:rtl/>
                <w:lang w:bidi="ar-JO"/>
              </w:rPr>
              <w:t>7.25%</w:t>
            </w:r>
            <w:r w:rsidR="002C63F3">
              <w:rPr>
                <w:b w:val="0"/>
                <w:bCs w:val="0"/>
                <w:lang w:bidi="ar-JO"/>
              </w:rPr>
              <w:t xml:space="preserve"> </w:t>
            </w:r>
            <w:r w:rsidRPr="00D01BF0">
              <w:rPr>
                <w:b w:val="0"/>
                <w:bCs w:val="0"/>
                <w:rtl/>
                <w:lang w:bidi="ar-JO"/>
              </w:rPr>
              <w:t>-</w:t>
            </w:r>
            <w:r w:rsidR="002C63F3">
              <w:rPr>
                <w:b w:val="0"/>
                <w:bCs w:val="0"/>
                <w:lang w:bidi="ar-JO"/>
              </w:rPr>
              <w:t xml:space="preserve"> </w:t>
            </w:r>
            <w:r w:rsidRPr="00D01BF0">
              <w:rPr>
                <w:b w:val="0"/>
                <w:bCs w:val="0"/>
                <w:rtl/>
                <w:lang w:bidi="ar-JO"/>
              </w:rPr>
              <w:t xml:space="preserve"> 8.5%</w:t>
            </w:r>
          </w:p>
        </w:tc>
        <w:tc>
          <w:tcPr>
            <w:tcW w:w="2440" w:type="dxa"/>
          </w:tcPr>
          <w:p w:rsidR="0089506A" w:rsidRPr="00D01BF0" w:rsidRDefault="0089506A" w:rsidP="006A6078">
            <w:pPr>
              <w:pStyle w:val="ListParagraph"/>
              <w:ind w:left="0"/>
              <w:jc w:val="center"/>
              <w:rPr>
                <w:b w:val="0"/>
                <w:bCs w:val="0"/>
                <w:rtl/>
                <w:lang w:bidi="ar-JO"/>
              </w:rPr>
            </w:pPr>
            <w:r w:rsidRPr="00D01BF0">
              <w:rPr>
                <w:b w:val="0"/>
                <w:bCs w:val="0"/>
                <w:rtl/>
                <w:lang w:bidi="ar-JO"/>
              </w:rPr>
              <w:t>80%</w:t>
            </w:r>
          </w:p>
        </w:tc>
      </w:tr>
      <w:tr w:rsidR="0089506A" w:rsidRPr="00D01BF0" w:rsidTr="00D01BF0">
        <w:trPr>
          <w:cantSplit/>
          <w:trHeight w:hRule="exact" w:val="432"/>
          <w:jc w:val="center"/>
        </w:trPr>
        <w:tc>
          <w:tcPr>
            <w:tcW w:w="5266" w:type="dxa"/>
          </w:tcPr>
          <w:p w:rsidR="0089506A" w:rsidRPr="00D01BF0" w:rsidRDefault="0089506A" w:rsidP="002C63F3">
            <w:pPr>
              <w:pStyle w:val="ListParagraph"/>
              <w:ind w:left="1648"/>
              <w:jc w:val="left"/>
              <w:rPr>
                <w:b w:val="0"/>
                <w:bCs w:val="0"/>
                <w:rtl/>
                <w:lang w:bidi="ar-JO"/>
              </w:rPr>
            </w:pPr>
            <w:r w:rsidRPr="00D01BF0">
              <w:rPr>
                <w:b w:val="0"/>
                <w:bCs w:val="0"/>
                <w:rtl/>
                <w:lang w:bidi="ar-JO"/>
              </w:rPr>
              <w:t>8.5%</w:t>
            </w:r>
            <w:r w:rsidR="002C63F3">
              <w:rPr>
                <w:b w:val="0"/>
                <w:bCs w:val="0"/>
                <w:lang w:bidi="ar-JO"/>
              </w:rPr>
              <w:t xml:space="preserve"> </w:t>
            </w:r>
            <w:r w:rsidRPr="00D01BF0">
              <w:rPr>
                <w:b w:val="0"/>
                <w:bCs w:val="0"/>
                <w:rtl/>
                <w:lang w:bidi="ar-JO"/>
              </w:rPr>
              <w:t>- 9.75%</w:t>
            </w:r>
          </w:p>
        </w:tc>
        <w:tc>
          <w:tcPr>
            <w:tcW w:w="2440" w:type="dxa"/>
          </w:tcPr>
          <w:p w:rsidR="0089506A" w:rsidRPr="00D01BF0" w:rsidRDefault="0089506A" w:rsidP="006A6078">
            <w:pPr>
              <w:pStyle w:val="ListParagraph"/>
              <w:ind w:left="0"/>
              <w:jc w:val="center"/>
              <w:rPr>
                <w:b w:val="0"/>
                <w:bCs w:val="0"/>
                <w:rtl/>
                <w:lang w:bidi="ar-JO"/>
              </w:rPr>
            </w:pPr>
            <w:r w:rsidRPr="00D01BF0">
              <w:rPr>
                <w:b w:val="0"/>
                <w:bCs w:val="0"/>
                <w:rtl/>
                <w:lang w:bidi="ar-JO"/>
              </w:rPr>
              <w:t>60%</w:t>
            </w:r>
          </w:p>
        </w:tc>
      </w:tr>
      <w:tr w:rsidR="0089506A" w:rsidRPr="00D01BF0" w:rsidTr="00D01BF0">
        <w:trPr>
          <w:cantSplit/>
          <w:trHeight w:hRule="exact" w:val="432"/>
          <w:jc w:val="center"/>
        </w:trPr>
        <w:tc>
          <w:tcPr>
            <w:tcW w:w="5266" w:type="dxa"/>
          </w:tcPr>
          <w:p w:rsidR="0089506A" w:rsidRPr="00D01BF0" w:rsidRDefault="0089506A" w:rsidP="002C63F3">
            <w:pPr>
              <w:pStyle w:val="ListParagraph"/>
              <w:ind w:left="1558"/>
              <w:jc w:val="left"/>
              <w:rPr>
                <w:b w:val="0"/>
                <w:bCs w:val="0"/>
                <w:rtl/>
                <w:lang w:bidi="ar-JO"/>
              </w:rPr>
            </w:pPr>
            <w:r w:rsidRPr="00D01BF0">
              <w:rPr>
                <w:b w:val="0"/>
                <w:bCs w:val="0"/>
                <w:rtl/>
                <w:lang w:bidi="ar-JO"/>
              </w:rPr>
              <w:t>9.75% -</w:t>
            </w:r>
            <w:r w:rsidR="002C63F3">
              <w:rPr>
                <w:b w:val="0"/>
                <w:bCs w:val="0"/>
                <w:lang w:bidi="ar-JO"/>
              </w:rPr>
              <w:t xml:space="preserve">   </w:t>
            </w:r>
            <w:r w:rsidRPr="00D01BF0">
              <w:rPr>
                <w:b w:val="0"/>
                <w:bCs w:val="0"/>
                <w:rtl/>
                <w:lang w:bidi="ar-JO"/>
              </w:rPr>
              <w:t xml:space="preserve"> 11%</w:t>
            </w:r>
          </w:p>
        </w:tc>
        <w:tc>
          <w:tcPr>
            <w:tcW w:w="2440" w:type="dxa"/>
          </w:tcPr>
          <w:p w:rsidR="0089506A" w:rsidRPr="00D01BF0" w:rsidRDefault="0089506A" w:rsidP="006A6078">
            <w:pPr>
              <w:pStyle w:val="ListParagraph"/>
              <w:ind w:left="0"/>
              <w:jc w:val="center"/>
              <w:rPr>
                <w:b w:val="0"/>
                <w:bCs w:val="0"/>
                <w:rtl/>
                <w:lang w:bidi="ar-JO"/>
              </w:rPr>
            </w:pPr>
            <w:r w:rsidRPr="00D01BF0">
              <w:rPr>
                <w:b w:val="0"/>
                <w:bCs w:val="0"/>
                <w:rtl/>
                <w:lang w:bidi="ar-JO"/>
              </w:rPr>
              <w:t>40%</w:t>
            </w:r>
          </w:p>
        </w:tc>
      </w:tr>
      <w:tr w:rsidR="0089506A" w:rsidRPr="00D01BF0" w:rsidTr="00D01BF0">
        <w:trPr>
          <w:cantSplit/>
          <w:trHeight w:hRule="exact" w:val="432"/>
          <w:jc w:val="center"/>
        </w:trPr>
        <w:tc>
          <w:tcPr>
            <w:tcW w:w="5266" w:type="dxa"/>
          </w:tcPr>
          <w:p w:rsidR="0089506A" w:rsidRPr="00D01BF0" w:rsidRDefault="002C63F3" w:rsidP="002C63F3">
            <w:pPr>
              <w:pStyle w:val="ListParagraph"/>
              <w:ind w:left="1558"/>
              <w:jc w:val="left"/>
              <w:rPr>
                <w:b w:val="0"/>
                <w:bCs w:val="0"/>
                <w:rtl/>
                <w:lang w:bidi="ar-JO"/>
              </w:rPr>
            </w:pPr>
            <w:r>
              <w:rPr>
                <w:b w:val="0"/>
                <w:bCs w:val="0"/>
                <w:lang w:bidi="ar-JO"/>
              </w:rPr>
              <w:t xml:space="preserve"> </w:t>
            </w:r>
            <w:r w:rsidR="0089506A" w:rsidRPr="00D01BF0">
              <w:rPr>
                <w:b w:val="0"/>
                <w:bCs w:val="0"/>
                <w:rtl/>
                <w:lang w:bidi="ar-JO"/>
              </w:rPr>
              <w:t>أكبر</w:t>
            </w:r>
            <w:r>
              <w:rPr>
                <w:b w:val="0"/>
                <w:bCs w:val="0"/>
                <w:lang w:bidi="ar-JO"/>
              </w:rPr>
              <w:t xml:space="preserve">    </w:t>
            </w:r>
            <w:r w:rsidR="0089506A" w:rsidRPr="00D01BF0">
              <w:rPr>
                <w:b w:val="0"/>
                <w:bCs w:val="0"/>
                <w:rtl/>
                <w:lang w:bidi="ar-JO"/>
              </w:rPr>
              <w:t>من</w:t>
            </w:r>
            <w:r>
              <w:rPr>
                <w:b w:val="0"/>
                <w:bCs w:val="0"/>
                <w:lang w:bidi="ar-JO"/>
              </w:rPr>
              <w:t xml:space="preserve">  </w:t>
            </w:r>
            <w:r w:rsidR="0089506A" w:rsidRPr="00D01BF0">
              <w:rPr>
                <w:b w:val="0"/>
                <w:bCs w:val="0"/>
                <w:rtl/>
                <w:lang w:bidi="ar-JO"/>
              </w:rPr>
              <w:t xml:space="preserve"> 11%</w:t>
            </w:r>
          </w:p>
        </w:tc>
        <w:tc>
          <w:tcPr>
            <w:tcW w:w="2440" w:type="dxa"/>
          </w:tcPr>
          <w:p w:rsidR="0089506A" w:rsidRPr="00D01BF0" w:rsidRDefault="0089506A" w:rsidP="006A6078">
            <w:pPr>
              <w:pStyle w:val="ListParagraph"/>
              <w:ind w:left="0"/>
              <w:jc w:val="center"/>
              <w:rPr>
                <w:b w:val="0"/>
                <w:bCs w:val="0"/>
                <w:rtl/>
                <w:lang w:bidi="ar-JO"/>
              </w:rPr>
            </w:pPr>
            <w:r w:rsidRPr="00D01BF0">
              <w:rPr>
                <w:b w:val="0"/>
                <w:bCs w:val="0"/>
                <w:rtl/>
                <w:lang w:bidi="ar-JO"/>
              </w:rPr>
              <w:t>صفر</w:t>
            </w:r>
          </w:p>
        </w:tc>
      </w:tr>
    </w:tbl>
    <w:p w:rsidR="00481D8C" w:rsidRPr="006D6E07" w:rsidRDefault="00481D8C" w:rsidP="001453E6">
      <w:pPr>
        <w:rPr>
          <w:rtl/>
          <w:lang w:bidi="ar-JO"/>
        </w:rPr>
      </w:pPr>
    </w:p>
    <w:p w:rsidR="00481D8C" w:rsidRPr="00D01BF0" w:rsidRDefault="00D95417" w:rsidP="00277449">
      <w:pPr>
        <w:ind w:left="708" w:hanging="425"/>
        <w:rPr>
          <w:sz w:val="28"/>
          <w:szCs w:val="28"/>
          <w:rtl/>
        </w:rPr>
      </w:pPr>
      <w:r w:rsidRPr="00D01BF0">
        <w:rPr>
          <w:sz w:val="28"/>
          <w:szCs w:val="28"/>
          <w:rtl/>
        </w:rPr>
        <w:t>3.</w:t>
      </w:r>
      <w:r w:rsidRPr="00D01BF0">
        <w:rPr>
          <w:sz w:val="28"/>
          <w:szCs w:val="28"/>
          <w:rtl/>
        </w:rPr>
        <w:tab/>
        <w:t>رأس المال</w:t>
      </w:r>
      <w:r w:rsidR="00BE74EA" w:rsidRPr="00D01BF0">
        <w:rPr>
          <w:sz w:val="28"/>
          <w:szCs w:val="28"/>
          <w:rtl/>
        </w:rPr>
        <w:t xml:space="preserve"> المطلوب من </w:t>
      </w:r>
      <w:r w:rsidR="00481D8C" w:rsidRPr="00D01BF0">
        <w:rPr>
          <w:sz w:val="28"/>
          <w:szCs w:val="28"/>
          <w:rtl/>
        </w:rPr>
        <w:t xml:space="preserve">البنوك </w:t>
      </w:r>
      <w:r w:rsidR="00BB1574">
        <w:rPr>
          <w:rFonts w:hint="cs"/>
          <w:sz w:val="28"/>
          <w:szCs w:val="28"/>
          <w:rtl/>
        </w:rPr>
        <w:t>ال</w:t>
      </w:r>
      <w:r w:rsidR="00481D8C" w:rsidRPr="00D01BF0">
        <w:rPr>
          <w:sz w:val="28"/>
          <w:szCs w:val="28"/>
          <w:rtl/>
        </w:rPr>
        <w:t>مهمة محلياً:</w:t>
      </w:r>
    </w:p>
    <w:p w:rsidR="00990B74" w:rsidRPr="00D01BF0" w:rsidRDefault="009445B6" w:rsidP="009445B6">
      <w:pPr>
        <w:pStyle w:val="ListParagraph"/>
        <w:ind w:left="1275" w:hanging="567"/>
        <w:rPr>
          <w:b w:val="0"/>
          <w:bCs w:val="0"/>
          <w:rtl/>
        </w:rPr>
      </w:pPr>
      <w:r>
        <w:rPr>
          <w:rFonts w:hint="cs"/>
          <w:b w:val="0"/>
          <w:bCs w:val="0"/>
          <w:rtl/>
          <w:lang w:bidi="ar-JO"/>
        </w:rPr>
        <w:t>1.3</w:t>
      </w:r>
      <w:r w:rsidR="00D95417" w:rsidRPr="00D01BF0">
        <w:rPr>
          <w:b w:val="0"/>
          <w:bCs w:val="0"/>
          <w:rtl/>
          <w:lang w:bidi="ar-JO"/>
        </w:rPr>
        <w:t>.</w:t>
      </w:r>
      <w:r w:rsidR="00D95417" w:rsidRPr="00D01BF0">
        <w:rPr>
          <w:b w:val="0"/>
          <w:bCs w:val="0"/>
          <w:rtl/>
          <w:lang w:bidi="ar-JO"/>
        </w:rPr>
        <w:tab/>
      </w:r>
      <w:r w:rsidR="00481D8C" w:rsidRPr="00D01BF0">
        <w:rPr>
          <w:b w:val="0"/>
          <w:bCs w:val="0"/>
          <w:rtl/>
          <w:lang w:bidi="ar-JO"/>
        </w:rPr>
        <w:t>سيقوم البنك المركزي باع</w:t>
      </w:r>
      <w:r w:rsidR="00A53B18" w:rsidRPr="00D01BF0">
        <w:rPr>
          <w:b w:val="0"/>
          <w:bCs w:val="0"/>
          <w:rtl/>
          <w:lang w:bidi="ar-JO"/>
        </w:rPr>
        <w:t xml:space="preserve">تماد منهجية لاحتساب متطلبات رأس </w:t>
      </w:r>
      <w:r w:rsidR="00140405" w:rsidRPr="00D01BF0">
        <w:rPr>
          <w:b w:val="0"/>
          <w:bCs w:val="0"/>
          <w:rtl/>
          <w:lang w:bidi="ar-JO"/>
        </w:rPr>
        <w:t xml:space="preserve">المال الإضافي </w:t>
      </w:r>
      <w:r w:rsidR="00481D8C" w:rsidRPr="00D01BF0">
        <w:rPr>
          <w:b w:val="0"/>
          <w:bCs w:val="0"/>
          <w:rtl/>
          <w:lang w:bidi="ar-JO"/>
        </w:rPr>
        <w:t>للبنوك</w:t>
      </w:r>
      <w:r w:rsidR="00140405" w:rsidRPr="00D01BF0">
        <w:rPr>
          <w:b w:val="0"/>
          <w:bCs w:val="0"/>
          <w:rtl/>
          <w:lang w:bidi="ar-JO"/>
        </w:rPr>
        <w:t xml:space="preserve"> </w:t>
      </w:r>
      <w:r w:rsidR="00A53B18" w:rsidRPr="00D01BF0">
        <w:rPr>
          <w:b w:val="0"/>
          <w:bCs w:val="0"/>
          <w:rtl/>
          <w:lang w:bidi="ar-JO"/>
        </w:rPr>
        <w:t xml:space="preserve">التي سيتم اعتبارها بنوكاً مهمة محلياً </w:t>
      </w:r>
      <w:r w:rsidR="00140405" w:rsidRPr="00D01BF0">
        <w:rPr>
          <w:b w:val="0"/>
          <w:bCs w:val="0"/>
          <w:rtl/>
          <w:lang w:bidi="ar-JO"/>
        </w:rPr>
        <w:t>(</w:t>
      </w:r>
      <w:r w:rsidR="00140405" w:rsidRPr="00D01BF0">
        <w:rPr>
          <w:b w:val="0"/>
          <w:bCs w:val="0"/>
          <w:lang w:bidi="ar-JO"/>
        </w:rPr>
        <w:t>Surch</w:t>
      </w:r>
      <w:r w:rsidR="00D6758C" w:rsidRPr="00D01BF0">
        <w:rPr>
          <w:b w:val="0"/>
          <w:bCs w:val="0"/>
          <w:lang w:bidi="ar-JO"/>
        </w:rPr>
        <w:t>ar</w:t>
      </w:r>
      <w:r w:rsidR="00140405" w:rsidRPr="00D01BF0">
        <w:rPr>
          <w:b w:val="0"/>
          <w:bCs w:val="0"/>
          <w:lang w:bidi="ar-JO"/>
        </w:rPr>
        <w:t>ge</w:t>
      </w:r>
      <w:r w:rsidR="00990B74" w:rsidRPr="00D01BF0">
        <w:rPr>
          <w:b w:val="0"/>
          <w:bCs w:val="0"/>
          <w:rtl/>
          <w:lang w:bidi="ar-JO"/>
        </w:rPr>
        <w:t>)</w:t>
      </w:r>
      <w:r w:rsidR="00481D8C" w:rsidRPr="00D01BF0">
        <w:rPr>
          <w:b w:val="0"/>
          <w:bCs w:val="0"/>
          <w:rtl/>
          <w:lang w:bidi="ar-JO"/>
        </w:rPr>
        <w:t>، علماً بأن</w:t>
      </w:r>
      <w:r w:rsidR="003811EE" w:rsidRPr="00D01BF0">
        <w:rPr>
          <w:b w:val="0"/>
          <w:bCs w:val="0"/>
          <w:rtl/>
          <w:lang w:bidi="ar-JO"/>
        </w:rPr>
        <w:t xml:space="preserve"> هذه المنهجية </w:t>
      </w:r>
      <w:r w:rsidR="00990B74" w:rsidRPr="00D01BF0">
        <w:rPr>
          <w:b w:val="0"/>
          <w:bCs w:val="0"/>
          <w:rtl/>
          <w:lang w:bidi="ar-JO"/>
        </w:rPr>
        <w:t xml:space="preserve">ستصدر بتعميم تزامناً مع إصدار هذه التعليمات، وبحيث يدخل حيز التنفيذ مع دخول تعليمات بازل </w:t>
      </w:r>
      <w:r w:rsidR="00990B74" w:rsidRPr="008B011C">
        <w:rPr>
          <w:rFonts w:asciiTheme="majorBidi" w:hAnsiTheme="majorBidi" w:cstheme="majorBidi"/>
          <w:b w:val="0"/>
          <w:bCs w:val="0"/>
          <w:lang w:bidi="ar-JO"/>
        </w:rPr>
        <w:t>III</w:t>
      </w:r>
      <w:r w:rsidR="00990B74" w:rsidRPr="00D01BF0">
        <w:rPr>
          <w:b w:val="0"/>
          <w:bCs w:val="0"/>
          <w:rtl/>
        </w:rPr>
        <w:t xml:space="preserve"> حيز التنفيذ. </w:t>
      </w:r>
    </w:p>
    <w:p w:rsidR="00D95417" w:rsidRPr="00D01BF0" w:rsidRDefault="009445B6" w:rsidP="009445B6">
      <w:pPr>
        <w:pStyle w:val="ListParagraph"/>
        <w:ind w:left="1275" w:hanging="567"/>
        <w:rPr>
          <w:b w:val="0"/>
          <w:bCs w:val="0"/>
          <w:rtl/>
        </w:rPr>
      </w:pPr>
      <w:r>
        <w:rPr>
          <w:rFonts w:hint="cs"/>
          <w:b w:val="0"/>
          <w:bCs w:val="0"/>
          <w:rtl/>
        </w:rPr>
        <w:t>2.3</w:t>
      </w:r>
      <w:r w:rsidR="00D95417" w:rsidRPr="00D01BF0">
        <w:rPr>
          <w:b w:val="0"/>
          <w:bCs w:val="0"/>
          <w:rtl/>
        </w:rPr>
        <w:t>.</w:t>
      </w:r>
      <w:r w:rsidR="00D95417" w:rsidRPr="00D01BF0">
        <w:rPr>
          <w:b w:val="0"/>
          <w:bCs w:val="0"/>
          <w:rtl/>
        </w:rPr>
        <w:tab/>
        <w:t xml:space="preserve">سيتم تحديد </w:t>
      </w:r>
      <w:r w:rsidR="00D95417" w:rsidRPr="00D01BF0">
        <w:rPr>
          <w:b w:val="0"/>
          <w:bCs w:val="0"/>
          <w:rtl/>
          <w:lang w:bidi="ar-JO"/>
        </w:rPr>
        <w:t>القيود</w:t>
      </w:r>
      <w:r w:rsidR="005157B2" w:rsidRPr="00D01BF0">
        <w:rPr>
          <w:b w:val="0"/>
          <w:bCs w:val="0"/>
          <w:rtl/>
        </w:rPr>
        <w:t xml:space="preserve"> على توزيع الأرباح</w:t>
      </w:r>
      <w:r w:rsidR="00D95417" w:rsidRPr="00D01BF0">
        <w:rPr>
          <w:b w:val="0"/>
          <w:bCs w:val="0"/>
          <w:rtl/>
        </w:rPr>
        <w:t xml:space="preserve"> </w:t>
      </w:r>
      <w:r w:rsidR="00D95417" w:rsidRPr="00D01BF0">
        <w:rPr>
          <w:b w:val="0"/>
          <w:bCs w:val="0"/>
          <w:rtl/>
          <w:lang w:bidi="ar-JO"/>
        </w:rPr>
        <w:t xml:space="preserve">في حال عدم قدرة البنك على الاحتفاظ برأس المال المطلوب من البنوك المهمة محلياً </w:t>
      </w:r>
      <w:r w:rsidR="00D95417" w:rsidRPr="00D01BF0">
        <w:rPr>
          <w:b w:val="0"/>
          <w:bCs w:val="0"/>
          <w:rtl/>
        </w:rPr>
        <w:t xml:space="preserve">في التعليمات التي ستصدر لاحقاً. </w:t>
      </w:r>
    </w:p>
    <w:p w:rsidR="00990B74" w:rsidRPr="006D6E07" w:rsidRDefault="00990B74" w:rsidP="00990B74">
      <w:pPr>
        <w:pStyle w:val="ListParagraph"/>
        <w:rPr>
          <w:rtl/>
        </w:rPr>
      </w:pPr>
    </w:p>
    <w:p w:rsidR="00990B74" w:rsidRPr="006D6E07" w:rsidRDefault="00990B74" w:rsidP="00990B74">
      <w:pPr>
        <w:pStyle w:val="ListParagraph"/>
        <w:rPr>
          <w:rtl/>
        </w:rPr>
      </w:pPr>
    </w:p>
    <w:p w:rsidR="00990B74" w:rsidRDefault="00990B74" w:rsidP="00990B74">
      <w:pPr>
        <w:pStyle w:val="ListParagraph"/>
        <w:rPr>
          <w:rtl/>
        </w:rPr>
      </w:pPr>
    </w:p>
    <w:p w:rsidR="00DC20B9" w:rsidRDefault="00DC20B9" w:rsidP="00990B74">
      <w:pPr>
        <w:pStyle w:val="ListParagraph"/>
        <w:rPr>
          <w:rtl/>
        </w:rPr>
      </w:pPr>
    </w:p>
    <w:p w:rsidR="00DC20B9" w:rsidRDefault="00DC20B9" w:rsidP="00990B74">
      <w:pPr>
        <w:pStyle w:val="ListParagraph"/>
        <w:rPr>
          <w:rtl/>
        </w:rPr>
      </w:pPr>
    </w:p>
    <w:p w:rsidR="00DC20B9" w:rsidRDefault="00DC20B9" w:rsidP="00990B74">
      <w:pPr>
        <w:pStyle w:val="ListParagraph"/>
        <w:rPr>
          <w:rtl/>
        </w:rPr>
      </w:pPr>
    </w:p>
    <w:p w:rsidR="00DC20B9" w:rsidRDefault="00DC20B9" w:rsidP="00990B74">
      <w:pPr>
        <w:pStyle w:val="ListParagraph"/>
        <w:rPr>
          <w:rtl/>
        </w:rPr>
      </w:pPr>
    </w:p>
    <w:p w:rsidR="00DC20B9" w:rsidRDefault="00DC20B9" w:rsidP="00990B74">
      <w:pPr>
        <w:pStyle w:val="ListParagraph"/>
        <w:rPr>
          <w:rtl/>
        </w:rPr>
      </w:pPr>
    </w:p>
    <w:p w:rsidR="00DC20B9" w:rsidRDefault="00DC20B9" w:rsidP="00990B74">
      <w:pPr>
        <w:pStyle w:val="ListParagraph"/>
        <w:rPr>
          <w:rtl/>
        </w:rPr>
      </w:pPr>
    </w:p>
    <w:p w:rsidR="00DC20B9" w:rsidRDefault="00DC20B9" w:rsidP="00990B74">
      <w:pPr>
        <w:pStyle w:val="ListParagraph"/>
        <w:rPr>
          <w:rtl/>
        </w:rPr>
      </w:pPr>
    </w:p>
    <w:p w:rsidR="00DC7961" w:rsidRPr="00D01BF0" w:rsidRDefault="00DC7961" w:rsidP="00D01BF0">
      <w:pPr>
        <w:pStyle w:val="Heading1"/>
        <w:pBdr>
          <w:bottom w:val="single" w:sz="4" w:space="1" w:color="auto"/>
        </w:pBdr>
        <w:jc w:val="center"/>
        <w:rPr>
          <w:b/>
          <w:bCs/>
          <w:rtl/>
        </w:rPr>
      </w:pPr>
      <w:bookmarkStart w:id="41" w:name="_Toc451176019"/>
      <w:bookmarkStart w:id="42" w:name="_Toc451180001"/>
      <w:bookmarkStart w:id="43" w:name="_Toc451260329"/>
      <w:r w:rsidRPr="00D01BF0">
        <w:rPr>
          <w:rFonts w:hint="cs"/>
          <w:b/>
          <w:bCs/>
          <w:rtl/>
        </w:rPr>
        <w:lastRenderedPageBreak/>
        <w:t>الفصل الرابع</w:t>
      </w:r>
      <w:bookmarkStart w:id="44" w:name="_Toc451176020"/>
      <w:bookmarkStart w:id="45" w:name="_Toc451180002"/>
      <w:bookmarkEnd w:id="41"/>
      <w:bookmarkEnd w:id="42"/>
      <w:r w:rsidR="00D01BF0" w:rsidRPr="00D01BF0">
        <w:rPr>
          <w:rFonts w:hint="cs"/>
          <w:b/>
          <w:bCs/>
          <w:rtl/>
        </w:rPr>
        <w:t xml:space="preserve">: </w:t>
      </w:r>
      <w:r w:rsidR="00B259A6" w:rsidRPr="00D01BF0">
        <w:rPr>
          <w:rFonts w:hint="cs"/>
          <w:b/>
          <w:bCs/>
          <w:rtl/>
        </w:rPr>
        <w:t>تغطيــــة المخـ</w:t>
      </w:r>
      <w:r w:rsidRPr="00D01BF0">
        <w:rPr>
          <w:rFonts w:hint="cs"/>
          <w:b/>
          <w:bCs/>
          <w:rtl/>
        </w:rPr>
        <w:t>ــاطــــــر</w:t>
      </w:r>
      <w:bookmarkEnd w:id="43"/>
      <w:bookmarkEnd w:id="44"/>
      <w:bookmarkEnd w:id="45"/>
    </w:p>
    <w:p w:rsidR="00B259A6" w:rsidRPr="006D6E07" w:rsidRDefault="00B259A6" w:rsidP="00B259A6">
      <w:pPr>
        <w:pStyle w:val="ListParagraph"/>
        <w:ind w:left="41"/>
        <w:rPr>
          <w:b w:val="0"/>
          <w:bCs w:val="0"/>
          <w:rtl/>
        </w:rPr>
      </w:pPr>
    </w:p>
    <w:p w:rsidR="00B259A6" w:rsidRPr="00D01BF0" w:rsidRDefault="00B259A6" w:rsidP="00136C4D">
      <w:pPr>
        <w:pStyle w:val="Heading2"/>
        <w:rPr>
          <w:rtl/>
        </w:rPr>
      </w:pPr>
      <w:bookmarkStart w:id="46" w:name="_Toc451176021"/>
      <w:bookmarkStart w:id="47" w:name="_Toc451180003"/>
      <w:bookmarkStart w:id="48" w:name="_Toc451260330"/>
      <w:r w:rsidRPr="00D01BF0">
        <w:rPr>
          <w:rtl/>
        </w:rPr>
        <w:t>أولاً: مخاطر الائتمان (المدخل المعياري)</w:t>
      </w:r>
      <w:bookmarkEnd w:id="46"/>
      <w:bookmarkEnd w:id="47"/>
      <w:bookmarkEnd w:id="48"/>
    </w:p>
    <w:p w:rsidR="00B259A6" w:rsidRPr="00D01BF0" w:rsidRDefault="00B22AA0" w:rsidP="002F28A0">
      <w:pPr>
        <w:ind w:left="708" w:hanging="425"/>
        <w:rPr>
          <w:rtl/>
        </w:rPr>
      </w:pPr>
      <w:bookmarkStart w:id="49" w:name="_Toc451176022"/>
      <w:bookmarkStart w:id="50" w:name="_Toc451180004"/>
      <w:r w:rsidRPr="00D01BF0">
        <w:rPr>
          <w:rtl/>
        </w:rPr>
        <w:t>1.</w:t>
      </w:r>
      <w:r w:rsidR="00B259A6" w:rsidRPr="00D01BF0">
        <w:rPr>
          <w:rtl/>
        </w:rPr>
        <w:tab/>
        <w:t>نطاق التطبيق</w:t>
      </w:r>
      <w:bookmarkEnd w:id="49"/>
      <w:bookmarkEnd w:id="50"/>
    </w:p>
    <w:p w:rsidR="00B259A6" w:rsidRPr="00D01BF0" w:rsidRDefault="00B259A6" w:rsidP="002F28A0">
      <w:pPr>
        <w:ind w:left="1275" w:hanging="700"/>
        <w:rPr>
          <w:b w:val="0"/>
          <w:bCs w:val="0"/>
        </w:rPr>
      </w:pPr>
      <w:bookmarkStart w:id="51" w:name="_Toc414887834"/>
      <w:r w:rsidRPr="00D01BF0">
        <w:rPr>
          <w:b w:val="0"/>
          <w:bCs w:val="0"/>
          <w:rtl/>
        </w:rPr>
        <w:t>1.1</w:t>
      </w:r>
      <w:r w:rsidR="00D01BF0">
        <w:rPr>
          <w:rFonts w:hint="cs"/>
          <w:b w:val="0"/>
          <w:bCs w:val="0"/>
          <w:rtl/>
        </w:rPr>
        <w:t>.</w:t>
      </w:r>
      <w:r w:rsidRPr="00D01BF0">
        <w:rPr>
          <w:b w:val="0"/>
          <w:bCs w:val="0"/>
          <w:rtl/>
        </w:rPr>
        <w:tab/>
        <w:t xml:space="preserve">إن منهجية تخصيص أوزان ترجيحية للمخاطر للتعرضات الائتمانية للبنود داخل الميزانية </w:t>
      </w:r>
      <w:r w:rsidRPr="00D01BF0">
        <w:rPr>
          <w:b w:val="0"/>
          <w:bCs w:val="0"/>
        </w:rPr>
        <w:t>Exposure)</w:t>
      </w:r>
      <w:r w:rsidRPr="00D01BF0">
        <w:rPr>
          <w:b w:val="0"/>
          <w:bCs w:val="0"/>
          <w:rtl/>
        </w:rPr>
        <w:t>) تغطي كافة البنود داخل الميزانية باستثناء ما يلي:</w:t>
      </w:r>
      <w:bookmarkEnd w:id="51"/>
    </w:p>
    <w:p w:rsidR="00B259A6" w:rsidRPr="00D01BF0" w:rsidRDefault="00B259A6" w:rsidP="002F28A0">
      <w:pPr>
        <w:ind w:left="2126" w:hanging="851"/>
        <w:rPr>
          <w:b w:val="0"/>
          <w:bCs w:val="0"/>
        </w:rPr>
      </w:pPr>
      <w:bookmarkStart w:id="52" w:name="_Toc414887835"/>
      <w:r w:rsidRPr="00D01BF0">
        <w:rPr>
          <w:b w:val="0"/>
          <w:bCs w:val="0"/>
          <w:rtl/>
        </w:rPr>
        <w:t>1.1.1</w:t>
      </w:r>
      <w:r w:rsidR="00D01BF0">
        <w:rPr>
          <w:rFonts w:hint="cs"/>
          <w:b w:val="0"/>
          <w:bCs w:val="0"/>
          <w:rtl/>
        </w:rPr>
        <w:t>.</w:t>
      </w:r>
      <w:r w:rsidRPr="00D01BF0">
        <w:rPr>
          <w:b w:val="0"/>
          <w:bCs w:val="0"/>
          <w:rtl/>
        </w:rPr>
        <w:tab/>
        <w:t>كافة الموجودات والاستثمارات التي يجب طرحها من الشريحة الأولى والثانية لرأس المال (</w:t>
      </w:r>
      <w:r w:rsidRPr="00D01BF0">
        <w:rPr>
          <w:b w:val="0"/>
          <w:bCs w:val="0"/>
        </w:rPr>
        <w:t>Tier1, Tier2 Capital</w:t>
      </w:r>
      <w:r w:rsidRPr="00D01BF0">
        <w:rPr>
          <w:b w:val="0"/>
          <w:bCs w:val="0"/>
          <w:rtl/>
        </w:rPr>
        <w:t xml:space="preserve">) </w:t>
      </w:r>
      <w:r w:rsidR="00A44B31" w:rsidRPr="00D01BF0">
        <w:rPr>
          <w:b w:val="0"/>
          <w:bCs w:val="0"/>
          <w:rtl/>
        </w:rPr>
        <w:t>وحسب الترتيبات المذكورة في الملحق رقم (1).</w:t>
      </w:r>
      <w:bookmarkEnd w:id="52"/>
      <w:r w:rsidR="00A44B31" w:rsidRPr="00D01BF0">
        <w:rPr>
          <w:b w:val="0"/>
          <w:bCs w:val="0"/>
          <w:rtl/>
        </w:rPr>
        <w:t xml:space="preserve"> </w:t>
      </w:r>
    </w:p>
    <w:p w:rsidR="00B259A6" w:rsidRPr="00D01BF0" w:rsidRDefault="00B259A6" w:rsidP="002F28A0">
      <w:pPr>
        <w:ind w:left="2126" w:hanging="851"/>
        <w:rPr>
          <w:b w:val="0"/>
          <w:bCs w:val="0"/>
          <w:rtl/>
        </w:rPr>
      </w:pPr>
      <w:bookmarkStart w:id="53" w:name="_Toc414887836"/>
      <w:r w:rsidRPr="00D01BF0">
        <w:rPr>
          <w:b w:val="0"/>
          <w:bCs w:val="0"/>
          <w:rtl/>
        </w:rPr>
        <w:t>2.1.1</w:t>
      </w:r>
      <w:r w:rsidR="00D01BF0">
        <w:rPr>
          <w:rFonts w:hint="cs"/>
          <w:b w:val="0"/>
          <w:bCs w:val="0"/>
          <w:rtl/>
        </w:rPr>
        <w:t>.</w:t>
      </w:r>
      <w:r w:rsidRPr="00D01BF0">
        <w:rPr>
          <w:b w:val="0"/>
          <w:bCs w:val="0"/>
          <w:rtl/>
        </w:rPr>
        <w:tab/>
        <w:t>جميع سندات الدين وأدوات الملكية والبنود الخاصة بالبضائع المحتفظ بها ضمن محفظة المتاجرة والتي تعالج ضمن إطار مخاطر السوق.</w:t>
      </w:r>
      <w:bookmarkEnd w:id="53"/>
    </w:p>
    <w:p w:rsidR="00EF0D86" w:rsidRPr="006D6E07" w:rsidRDefault="00EF0D86" w:rsidP="002F28A0">
      <w:pPr>
        <w:ind w:left="708" w:hanging="425"/>
        <w:rPr>
          <w:rtl/>
        </w:rPr>
      </w:pPr>
      <w:bookmarkStart w:id="54" w:name="_Toc451176023"/>
      <w:bookmarkStart w:id="55" w:name="_Toc451180005"/>
      <w:r w:rsidRPr="006D6E07">
        <w:rPr>
          <w:rtl/>
        </w:rPr>
        <w:t>2.</w:t>
      </w:r>
      <w:r w:rsidRPr="006D6E07">
        <w:rPr>
          <w:rtl/>
        </w:rPr>
        <w:tab/>
        <w:t xml:space="preserve">الأوزان الترجيحية للبنود داخل الميزانية </w:t>
      </w:r>
      <w:r w:rsidRPr="006D6E07">
        <w:t>Risk Weight</w:t>
      </w:r>
      <w:r w:rsidR="00D0581E">
        <w:t>s-</w:t>
      </w:r>
      <w:r w:rsidRPr="006D6E07">
        <w:t xml:space="preserve"> On Balance Sheet Items</w:t>
      </w:r>
      <w:bookmarkEnd w:id="54"/>
      <w:bookmarkEnd w:id="55"/>
      <w:r w:rsidRPr="006D6E07">
        <w:rPr>
          <w:rtl/>
        </w:rPr>
        <w:t xml:space="preserve"> </w:t>
      </w:r>
    </w:p>
    <w:p w:rsidR="00EF0D86" w:rsidRPr="002F28A0" w:rsidRDefault="00EF0D86" w:rsidP="002F28A0">
      <w:pPr>
        <w:ind w:left="1275" w:hanging="709"/>
        <w:rPr>
          <w:b w:val="0"/>
          <w:bCs w:val="0"/>
          <w:rtl/>
        </w:rPr>
      </w:pPr>
      <w:bookmarkStart w:id="56" w:name="_Toc451176024"/>
      <w:bookmarkStart w:id="57" w:name="_Toc451180006"/>
      <w:r w:rsidRPr="002F28A0">
        <w:rPr>
          <w:b w:val="0"/>
          <w:bCs w:val="0"/>
          <w:rtl/>
        </w:rPr>
        <w:t>1.2</w:t>
      </w:r>
      <w:r w:rsidR="00D01BF0" w:rsidRPr="002F28A0">
        <w:rPr>
          <w:rFonts w:hint="cs"/>
          <w:b w:val="0"/>
          <w:bCs w:val="0"/>
          <w:rtl/>
        </w:rPr>
        <w:t>.</w:t>
      </w:r>
      <w:r w:rsidRPr="002F28A0">
        <w:rPr>
          <w:b w:val="0"/>
          <w:bCs w:val="0"/>
          <w:rtl/>
        </w:rPr>
        <w:tab/>
        <w:t xml:space="preserve">قواعد عامة </w:t>
      </w:r>
      <w:r w:rsidRPr="002F28A0">
        <w:rPr>
          <w:b w:val="0"/>
          <w:bCs w:val="0"/>
        </w:rPr>
        <w:t>General Rules</w:t>
      </w:r>
      <w:bookmarkEnd w:id="56"/>
      <w:bookmarkEnd w:id="57"/>
      <w:r w:rsidR="00810BE9" w:rsidRPr="002F28A0">
        <w:rPr>
          <w:rFonts w:hint="cs"/>
          <w:b w:val="0"/>
          <w:bCs w:val="0"/>
          <w:rtl/>
        </w:rPr>
        <w:t>:</w:t>
      </w:r>
    </w:p>
    <w:p w:rsidR="00EF0D86" w:rsidRPr="00810BE9" w:rsidRDefault="00EF0D86" w:rsidP="001848BD">
      <w:pPr>
        <w:ind w:left="2126" w:hanging="851"/>
        <w:rPr>
          <w:b w:val="0"/>
          <w:bCs w:val="0"/>
          <w:rtl/>
        </w:rPr>
      </w:pPr>
      <w:bookmarkStart w:id="58" w:name="_Toc414887839"/>
      <w:bookmarkStart w:id="59" w:name="_Toc451176025"/>
      <w:bookmarkStart w:id="60" w:name="_Toc451180007"/>
      <w:r w:rsidRPr="00810BE9">
        <w:rPr>
          <w:b w:val="0"/>
          <w:bCs w:val="0"/>
          <w:rtl/>
        </w:rPr>
        <w:t>1.1.2</w:t>
      </w:r>
      <w:r w:rsidR="00D01BF0" w:rsidRPr="00810BE9">
        <w:rPr>
          <w:rFonts w:hint="cs"/>
          <w:b w:val="0"/>
          <w:bCs w:val="0"/>
          <w:rtl/>
        </w:rPr>
        <w:t>.</w:t>
      </w:r>
      <w:r w:rsidRPr="00810BE9">
        <w:rPr>
          <w:b w:val="0"/>
          <w:bCs w:val="0"/>
          <w:rtl/>
        </w:rPr>
        <w:tab/>
        <w:t xml:space="preserve">المجموع الكلي للتعرضات الائتمانية داخل الميزانية المرجحة بالمخاطر يساوي حاصل جمع </w:t>
      </w:r>
      <w:r w:rsidR="009058CD" w:rsidRPr="00810BE9">
        <w:rPr>
          <w:b w:val="0"/>
          <w:bCs w:val="0"/>
          <w:rtl/>
        </w:rPr>
        <w:t xml:space="preserve"> الموجودات </w:t>
      </w:r>
      <w:r w:rsidRPr="00810BE9">
        <w:rPr>
          <w:b w:val="0"/>
          <w:bCs w:val="0"/>
          <w:rtl/>
        </w:rPr>
        <w:t>المرجحة بالمخاطر لكافة البنود، أو</w:t>
      </w:r>
      <w:bookmarkEnd w:id="58"/>
      <w:bookmarkEnd w:id="59"/>
      <w:bookmarkEnd w:id="60"/>
    </w:p>
    <w:p w:rsidR="00EF0D86" w:rsidRPr="00810BE9" w:rsidRDefault="00EF0D86" w:rsidP="001848BD">
      <w:pPr>
        <w:ind w:left="2126" w:hanging="851"/>
        <w:rPr>
          <w:b w:val="0"/>
          <w:bCs w:val="0"/>
          <w:rtl/>
        </w:rPr>
      </w:pPr>
      <w:bookmarkStart w:id="61" w:name="_Toc414887840"/>
      <w:bookmarkStart w:id="62" w:name="_Toc451176026"/>
      <w:bookmarkStart w:id="63" w:name="_Toc451180008"/>
      <w:r w:rsidRPr="00810BE9">
        <w:rPr>
          <w:b w:val="0"/>
          <w:bCs w:val="0"/>
          <w:rtl/>
        </w:rPr>
        <w:t>2.1.2</w:t>
      </w:r>
      <w:r w:rsidR="00D01BF0" w:rsidRPr="00810BE9">
        <w:rPr>
          <w:rFonts w:hint="cs"/>
          <w:b w:val="0"/>
          <w:bCs w:val="0"/>
          <w:rtl/>
        </w:rPr>
        <w:t>.</w:t>
      </w:r>
      <w:r w:rsidRPr="00810BE9">
        <w:rPr>
          <w:b w:val="0"/>
          <w:bCs w:val="0"/>
          <w:rtl/>
        </w:rPr>
        <w:tab/>
        <w:t>المجموع الكلي للتعرضات الائتمانية داخل الميزانية المرجحة بالمخاطر يساوي حاصل الجمع الجبري للبنود التي تقع ضمن نفس الفئة بعد  ترجيحها بوزن المخاطر المناسب لها.</w:t>
      </w:r>
      <w:bookmarkEnd w:id="61"/>
      <w:bookmarkEnd w:id="62"/>
      <w:bookmarkEnd w:id="63"/>
    </w:p>
    <w:p w:rsidR="00B22AA0" w:rsidRPr="00810BE9" w:rsidRDefault="00EF0D86" w:rsidP="00D0581E">
      <w:pPr>
        <w:ind w:left="2126" w:hanging="851"/>
        <w:rPr>
          <w:b w:val="0"/>
          <w:bCs w:val="0"/>
          <w:rtl/>
        </w:rPr>
      </w:pPr>
      <w:bookmarkStart w:id="64" w:name="_Toc414887841"/>
      <w:bookmarkStart w:id="65" w:name="_Toc451176027"/>
      <w:bookmarkStart w:id="66" w:name="_Toc451180009"/>
      <w:r w:rsidRPr="00810BE9">
        <w:rPr>
          <w:b w:val="0"/>
          <w:bCs w:val="0"/>
          <w:rtl/>
        </w:rPr>
        <w:t>3.1.2</w:t>
      </w:r>
      <w:r w:rsidR="00D01BF0" w:rsidRPr="00810BE9">
        <w:rPr>
          <w:rFonts w:hint="cs"/>
          <w:b w:val="0"/>
          <w:bCs w:val="0"/>
          <w:rtl/>
        </w:rPr>
        <w:t>.</w:t>
      </w:r>
      <w:r w:rsidRPr="00810BE9">
        <w:rPr>
          <w:b w:val="0"/>
          <w:bCs w:val="0"/>
          <w:rtl/>
        </w:rPr>
        <w:tab/>
        <w:t>يتم تحديد القيمة المرجحة بالمخاطر للبند داخل الميزانية بإيجاد حاصل ضرب صافي قيمته الدفترية  بالوزن</w:t>
      </w:r>
      <w:r w:rsidR="00D0581E">
        <w:rPr>
          <w:b w:val="0"/>
          <w:bCs w:val="0"/>
          <w:rtl/>
        </w:rPr>
        <w:t xml:space="preserve"> الترجيحي المناسب له</w:t>
      </w:r>
      <w:r w:rsidRPr="00810BE9">
        <w:rPr>
          <w:b w:val="0"/>
          <w:bCs w:val="0"/>
          <w:rtl/>
        </w:rPr>
        <w:t>، مع الأخذ بعين الاعتبار الوارد في البند (4.1.2) أدناه:</w:t>
      </w:r>
      <w:bookmarkEnd w:id="64"/>
      <w:bookmarkEnd w:id="65"/>
      <w:bookmarkEnd w:id="66"/>
    </w:p>
    <w:p w:rsidR="00810BE9" w:rsidRPr="00810BE9" w:rsidRDefault="00B259A6" w:rsidP="001848BD">
      <w:pPr>
        <w:pStyle w:val="ListParagraph"/>
        <w:numPr>
          <w:ilvl w:val="0"/>
          <w:numId w:val="29"/>
        </w:numPr>
        <w:ind w:left="2551" w:hanging="425"/>
        <w:rPr>
          <w:b w:val="0"/>
          <w:bCs w:val="0"/>
        </w:rPr>
      </w:pPr>
      <w:bookmarkStart w:id="67" w:name="_Toc414887842"/>
      <w:bookmarkStart w:id="68" w:name="_Toc451176028"/>
      <w:bookmarkStart w:id="69" w:name="_Toc451180010"/>
      <w:r w:rsidRPr="00810BE9">
        <w:rPr>
          <w:b w:val="0"/>
          <w:bCs w:val="0"/>
          <w:rtl/>
        </w:rPr>
        <w:t>يقصد بصافي القيمة الدفترية رصيد التعرض الائتماني (و/أو القيمة الاسمية لأدوات سوق راس المال) بما فيه أي فوائد مستحقة غير مقبوضة (</w:t>
      </w:r>
      <w:r w:rsidRPr="00810BE9">
        <w:rPr>
          <w:b w:val="0"/>
          <w:bCs w:val="0"/>
        </w:rPr>
        <w:t>Accrued Interest</w:t>
      </w:r>
      <w:r w:rsidRPr="00810BE9">
        <w:rPr>
          <w:b w:val="0"/>
          <w:bCs w:val="0"/>
          <w:rtl/>
        </w:rPr>
        <w:t>)، وذلك بعد طرح المخصص الخاص والفوائد والعمولات المعلقة و/أو مصاريف الاستهلاك أخذاً بالاعتبار فروقات إعادة التقييم.</w:t>
      </w:r>
      <w:bookmarkEnd w:id="67"/>
      <w:bookmarkEnd w:id="68"/>
      <w:bookmarkEnd w:id="69"/>
      <w:r w:rsidRPr="00810BE9">
        <w:rPr>
          <w:b w:val="0"/>
          <w:bCs w:val="0"/>
          <w:rtl/>
        </w:rPr>
        <w:t xml:space="preserve"> </w:t>
      </w:r>
      <w:bookmarkStart w:id="70" w:name="_Toc414887843"/>
      <w:bookmarkStart w:id="71" w:name="_Toc451176029"/>
      <w:bookmarkStart w:id="72" w:name="_Toc451180011"/>
    </w:p>
    <w:p w:rsidR="00B259A6" w:rsidRDefault="00B259A6" w:rsidP="001848BD">
      <w:pPr>
        <w:pStyle w:val="ListParagraph"/>
        <w:numPr>
          <w:ilvl w:val="0"/>
          <w:numId w:val="29"/>
        </w:numPr>
        <w:ind w:left="2551" w:hanging="425"/>
        <w:rPr>
          <w:b w:val="0"/>
          <w:bCs w:val="0"/>
        </w:rPr>
      </w:pPr>
      <w:r w:rsidRPr="00810BE9">
        <w:rPr>
          <w:b w:val="0"/>
          <w:bCs w:val="0"/>
          <w:rtl/>
        </w:rPr>
        <w:t>يقصد بالمخصص الخاص مخصص تدني التسهيلات الائتمانية وذلك أينما ورد في هذه التعليمات.</w:t>
      </w:r>
      <w:bookmarkEnd w:id="70"/>
      <w:bookmarkEnd w:id="71"/>
      <w:bookmarkEnd w:id="72"/>
    </w:p>
    <w:p w:rsidR="008B011C" w:rsidRPr="00810BE9" w:rsidRDefault="008B011C" w:rsidP="008B011C">
      <w:pPr>
        <w:pStyle w:val="ListParagraph"/>
        <w:ind w:left="2551"/>
        <w:rPr>
          <w:b w:val="0"/>
          <w:bCs w:val="0"/>
        </w:rPr>
      </w:pPr>
    </w:p>
    <w:p w:rsidR="00B259A6" w:rsidRPr="00810BE9" w:rsidRDefault="00B259A6" w:rsidP="001848BD">
      <w:pPr>
        <w:ind w:left="2126" w:hanging="851"/>
        <w:rPr>
          <w:b w:val="0"/>
          <w:bCs w:val="0"/>
        </w:rPr>
      </w:pPr>
      <w:bookmarkStart w:id="73" w:name="_Toc414887844"/>
      <w:bookmarkStart w:id="74" w:name="_Toc451176030"/>
      <w:bookmarkStart w:id="75" w:name="_Toc451180012"/>
      <w:r w:rsidRPr="00810BE9">
        <w:rPr>
          <w:b w:val="0"/>
          <w:bCs w:val="0"/>
          <w:rtl/>
        </w:rPr>
        <w:lastRenderedPageBreak/>
        <w:t>4.1.2</w:t>
      </w:r>
      <w:r w:rsidR="00810BE9">
        <w:rPr>
          <w:rFonts w:hint="cs"/>
          <w:b w:val="0"/>
          <w:bCs w:val="0"/>
          <w:rtl/>
        </w:rPr>
        <w:t>.</w:t>
      </w:r>
      <w:r w:rsidRPr="00810BE9">
        <w:rPr>
          <w:b w:val="0"/>
          <w:bCs w:val="0"/>
          <w:rtl/>
        </w:rPr>
        <w:tab/>
        <w:t xml:space="preserve">في حال كان البند داخل الميزانية مضمون بأحد الضمانات المؤهلة أو مكفول بكفالة مقبولة أو مشتقة ائتمانية مقبولة، فيحق للبنك استخدام مخففات المخاطر الائتمانية المنصوص عليها في </w:t>
      </w:r>
      <w:r w:rsidR="006F5848" w:rsidRPr="00810BE9">
        <w:rPr>
          <w:b w:val="0"/>
          <w:bCs w:val="0"/>
          <w:rtl/>
        </w:rPr>
        <w:t>ال</w:t>
      </w:r>
      <w:r w:rsidR="00B22AA0" w:rsidRPr="00810BE9">
        <w:rPr>
          <w:b w:val="0"/>
          <w:bCs w:val="0"/>
          <w:rtl/>
        </w:rPr>
        <w:t>بند</w:t>
      </w:r>
      <w:r w:rsidR="006F5848" w:rsidRPr="00810BE9">
        <w:rPr>
          <w:b w:val="0"/>
          <w:bCs w:val="0"/>
          <w:rtl/>
        </w:rPr>
        <w:t xml:space="preserve"> (ثانياً) من هذا الفصل/</w:t>
      </w:r>
      <w:r w:rsidRPr="00810BE9">
        <w:rPr>
          <w:b w:val="0"/>
          <w:bCs w:val="0"/>
          <w:rtl/>
        </w:rPr>
        <w:t>مخففات مخاطر الائتمان</w:t>
      </w:r>
      <w:r w:rsidR="00B22AA0" w:rsidRPr="00810BE9">
        <w:rPr>
          <w:b w:val="0"/>
          <w:bCs w:val="0"/>
          <w:rtl/>
        </w:rPr>
        <w:t xml:space="preserve"> </w:t>
      </w:r>
      <w:r w:rsidRPr="00810BE9">
        <w:rPr>
          <w:b w:val="0"/>
          <w:bCs w:val="0"/>
          <w:rtl/>
        </w:rPr>
        <w:t>لتخفيض القيمة المرجحة بالمخاطر لهذا البند عند احتساب كفاية رأس المال.</w:t>
      </w:r>
      <w:bookmarkEnd w:id="73"/>
      <w:bookmarkEnd w:id="74"/>
      <w:bookmarkEnd w:id="75"/>
    </w:p>
    <w:p w:rsidR="00B259A6" w:rsidRPr="00810BE9" w:rsidRDefault="00B259A6" w:rsidP="001848BD">
      <w:pPr>
        <w:ind w:left="2126" w:hanging="851"/>
        <w:rPr>
          <w:b w:val="0"/>
          <w:bCs w:val="0"/>
          <w:rtl/>
        </w:rPr>
      </w:pPr>
      <w:bookmarkStart w:id="76" w:name="_Toc414887845"/>
      <w:bookmarkStart w:id="77" w:name="_Toc451176031"/>
      <w:bookmarkStart w:id="78" w:name="_Toc451180013"/>
      <w:r w:rsidRPr="00810BE9">
        <w:rPr>
          <w:b w:val="0"/>
          <w:bCs w:val="0"/>
          <w:rtl/>
        </w:rPr>
        <w:t>5.1.2</w:t>
      </w:r>
      <w:r w:rsidR="00810BE9">
        <w:rPr>
          <w:rFonts w:hint="cs"/>
          <w:b w:val="0"/>
          <w:bCs w:val="0"/>
          <w:rtl/>
        </w:rPr>
        <w:t>.</w:t>
      </w:r>
      <w:r w:rsidRPr="00810BE9">
        <w:rPr>
          <w:b w:val="0"/>
          <w:bCs w:val="0"/>
          <w:rtl/>
        </w:rPr>
        <w:tab/>
        <w:t>على البنك الرجوع إلى البنك المركزي الأردني في حال عدم قدرته على تحديد القيمة المرجحة بالمخاطر لأي بند من بنود الميزانية.</w:t>
      </w:r>
      <w:bookmarkEnd w:id="76"/>
      <w:bookmarkEnd w:id="77"/>
      <w:bookmarkEnd w:id="78"/>
    </w:p>
    <w:p w:rsidR="00B259A6" w:rsidRPr="00810BE9" w:rsidRDefault="00F461F5" w:rsidP="002F28A0">
      <w:pPr>
        <w:ind w:left="1275" w:hanging="709"/>
        <w:rPr>
          <w:b w:val="0"/>
          <w:bCs w:val="0"/>
        </w:rPr>
      </w:pPr>
      <w:bookmarkStart w:id="79" w:name="_Toc451176032"/>
      <w:bookmarkStart w:id="80" w:name="_Toc451180014"/>
      <w:r w:rsidRPr="00810BE9">
        <w:rPr>
          <w:b w:val="0"/>
          <w:bCs w:val="0"/>
          <w:rtl/>
        </w:rPr>
        <w:t>2.2</w:t>
      </w:r>
      <w:r w:rsidR="00810BE9">
        <w:rPr>
          <w:rFonts w:hint="cs"/>
          <w:b w:val="0"/>
          <w:bCs w:val="0"/>
          <w:rtl/>
        </w:rPr>
        <w:t>.</w:t>
      </w:r>
      <w:r w:rsidRPr="00810BE9">
        <w:rPr>
          <w:b w:val="0"/>
          <w:bCs w:val="0"/>
          <w:rtl/>
        </w:rPr>
        <w:tab/>
      </w:r>
      <w:r w:rsidRPr="0036451D">
        <w:rPr>
          <w:b w:val="0"/>
          <w:bCs w:val="0"/>
          <w:rtl/>
        </w:rPr>
        <w:t>أنواع</w:t>
      </w:r>
      <w:r w:rsidRPr="00810BE9">
        <w:rPr>
          <w:rtl/>
        </w:rPr>
        <w:t xml:space="preserve"> </w:t>
      </w:r>
      <w:r w:rsidRPr="0036451D">
        <w:rPr>
          <w:b w:val="0"/>
          <w:bCs w:val="0"/>
          <w:rtl/>
        </w:rPr>
        <w:t>المطالبات</w:t>
      </w:r>
      <w:r w:rsidRPr="00810BE9">
        <w:rPr>
          <w:rtl/>
        </w:rPr>
        <w:t>/</w:t>
      </w:r>
      <w:r w:rsidR="00B259A6" w:rsidRPr="0036451D">
        <w:rPr>
          <w:b w:val="0"/>
          <w:bCs w:val="0"/>
          <w:rtl/>
        </w:rPr>
        <w:t>التعرضات</w:t>
      </w:r>
      <w:bookmarkEnd w:id="79"/>
      <w:bookmarkEnd w:id="80"/>
      <w:r w:rsidR="00810BE9" w:rsidRPr="00810BE9">
        <w:rPr>
          <w:rFonts w:hint="cs"/>
          <w:rtl/>
        </w:rPr>
        <w:t>:</w:t>
      </w:r>
    </w:p>
    <w:p w:rsidR="00B259A6" w:rsidRPr="00810BE9" w:rsidRDefault="00B259A6" w:rsidP="001848BD">
      <w:pPr>
        <w:ind w:left="2126" w:hanging="851"/>
        <w:rPr>
          <w:b w:val="0"/>
          <w:bCs w:val="0"/>
        </w:rPr>
      </w:pPr>
      <w:bookmarkStart w:id="81" w:name="_Toc414887847"/>
      <w:bookmarkStart w:id="82" w:name="_Toc451176033"/>
      <w:bookmarkStart w:id="83" w:name="_Toc451180015"/>
      <w:r w:rsidRPr="00810BE9">
        <w:rPr>
          <w:b w:val="0"/>
          <w:bCs w:val="0"/>
          <w:rtl/>
        </w:rPr>
        <w:t>1.2.2</w:t>
      </w:r>
      <w:r w:rsidR="00810BE9">
        <w:rPr>
          <w:rFonts w:hint="cs"/>
          <w:b w:val="0"/>
          <w:bCs w:val="0"/>
          <w:rtl/>
        </w:rPr>
        <w:t>.</w:t>
      </w:r>
      <w:r w:rsidRPr="00810BE9">
        <w:rPr>
          <w:b w:val="0"/>
          <w:bCs w:val="0"/>
          <w:rtl/>
        </w:rPr>
        <w:tab/>
        <w:t>مطالبات</w:t>
      </w:r>
      <w:r w:rsidR="00C75C61" w:rsidRPr="00810BE9">
        <w:rPr>
          <w:b w:val="0"/>
          <w:bCs w:val="0"/>
          <w:rtl/>
        </w:rPr>
        <w:t xml:space="preserve"> على</w:t>
      </w:r>
      <w:r w:rsidRPr="00810BE9">
        <w:rPr>
          <w:b w:val="0"/>
          <w:bCs w:val="0"/>
          <w:rtl/>
        </w:rPr>
        <w:t xml:space="preserve"> الدول </w:t>
      </w:r>
      <w:r w:rsidRPr="00810BE9">
        <w:rPr>
          <w:b w:val="0"/>
          <w:bCs w:val="0"/>
        </w:rPr>
        <w:t>Claims on Sovereigns</w:t>
      </w:r>
      <w:bookmarkEnd w:id="81"/>
      <w:bookmarkEnd w:id="82"/>
      <w:bookmarkEnd w:id="83"/>
    </w:p>
    <w:p w:rsidR="00B259A6" w:rsidRPr="00810BE9" w:rsidRDefault="001848BD" w:rsidP="001848BD">
      <w:pPr>
        <w:pStyle w:val="ListParagraph"/>
        <w:ind w:left="2551" w:hanging="425"/>
        <w:contextualSpacing w:val="0"/>
        <w:rPr>
          <w:b w:val="0"/>
          <w:bCs w:val="0"/>
        </w:rPr>
      </w:pPr>
      <w:bookmarkStart w:id="84" w:name="_Toc414887848"/>
      <w:bookmarkStart w:id="85" w:name="_Toc451176034"/>
      <w:bookmarkStart w:id="86" w:name="_Toc451180016"/>
      <w:r>
        <w:rPr>
          <w:rFonts w:hint="cs"/>
          <w:b w:val="0"/>
          <w:bCs w:val="0"/>
          <w:rtl/>
        </w:rPr>
        <w:t>-</w:t>
      </w:r>
      <w:r>
        <w:rPr>
          <w:rFonts w:hint="cs"/>
          <w:b w:val="0"/>
          <w:bCs w:val="0"/>
          <w:rtl/>
        </w:rPr>
        <w:tab/>
      </w:r>
      <w:r w:rsidR="00B259A6" w:rsidRPr="00810BE9">
        <w:rPr>
          <w:b w:val="0"/>
          <w:bCs w:val="0"/>
          <w:rtl/>
        </w:rPr>
        <w:t>تعطى المطالبات على الدول و/أو بنوكها المركزية أوزان المخاطر الترجيحية التالية وفقاً للتصنيفات الائتمانية الممنوحة من قبل مؤسسات التصنيف المعترف بها:</w:t>
      </w:r>
      <w:bookmarkEnd w:id="84"/>
      <w:bookmarkEnd w:id="85"/>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047"/>
        <w:gridCol w:w="721"/>
        <w:gridCol w:w="769"/>
        <w:gridCol w:w="848"/>
        <w:gridCol w:w="1080"/>
        <w:gridCol w:w="1435"/>
      </w:tblGrid>
      <w:tr w:rsidR="00810BE9" w:rsidRPr="00C27ED0" w:rsidTr="001848BD">
        <w:trPr>
          <w:trHeight w:val="1475"/>
        </w:trPr>
        <w:tc>
          <w:tcPr>
            <w:tcW w:w="0" w:type="auto"/>
            <w:shd w:val="clear" w:color="auto" w:fill="auto"/>
            <w:vAlign w:val="center"/>
          </w:tcPr>
          <w:p w:rsidR="00B259A6" w:rsidRPr="001848BD" w:rsidRDefault="00724E5F" w:rsidP="00D0581E">
            <w:pPr>
              <w:jc w:val="center"/>
              <w:rPr>
                <w:sz w:val="22"/>
                <w:szCs w:val="22"/>
              </w:rPr>
            </w:pPr>
            <w:bookmarkStart w:id="87" w:name="_Toc414887849"/>
            <w:bookmarkStart w:id="88" w:name="_Toc451176035"/>
            <w:bookmarkStart w:id="89" w:name="_Toc451180017"/>
            <w:r w:rsidRPr="001848BD">
              <w:rPr>
                <w:sz w:val="22"/>
                <w:szCs w:val="22"/>
                <w:rtl/>
              </w:rPr>
              <w:t>غير</w:t>
            </w:r>
            <w:r w:rsidR="00D0581E">
              <w:rPr>
                <w:rFonts w:hint="cs"/>
                <w:sz w:val="22"/>
                <w:szCs w:val="22"/>
                <w:rtl/>
              </w:rPr>
              <w:t xml:space="preserve"> </w:t>
            </w:r>
            <w:r w:rsidR="00B259A6" w:rsidRPr="001848BD">
              <w:rPr>
                <w:sz w:val="22"/>
                <w:szCs w:val="22"/>
                <w:rtl/>
              </w:rPr>
              <w:t>مصنف</w:t>
            </w:r>
            <w:bookmarkEnd w:id="87"/>
            <w:bookmarkEnd w:id="88"/>
            <w:bookmarkEnd w:id="89"/>
          </w:p>
        </w:tc>
        <w:tc>
          <w:tcPr>
            <w:tcW w:w="0" w:type="auto"/>
            <w:shd w:val="clear" w:color="auto" w:fill="auto"/>
            <w:vAlign w:val="center"/>
          </w:tcPr>
          <w:p w:rsidR="00B259A6" w:rsidRPr="001848BD" w:rsidRDefault="00B259A6" w:rsidP="00810BE9">
            <w:pPr>
              <w:jc w:val="center"/>
              <w:rPr>
                <w:sz w:val="22"/>
                <w:szCs w:val="22"/>
              </w:rPr>
            </w:pPr>
            <w:bookmarkStart w:id="90" w:name="_Toc414887850"/>
            <w:bookmarkStart w:id="91" w:name="_Toc451176036"/>
            <w:bookmarkStart w:id="92" w:name="_Toc451180018"/>
            <w:r w:rsidRPr="001848BD">
              <w:rPr>
                <w:sz w:val="22"/>
                <w:szCs w:val="22"/>
                <w:rtl/>
              </w:rPr>
              <w:t xml:space="preserve">أقل من </w:t>
            </w:r>
            <w:r w:rsidRPr="001848BD">
              <w:rPr>
                <w:sz w:val="22"/>
                <w:szCs w:val="22"/>
              </w:rPr>
              <w:t>B-</w:t>
            </w:r>
            <w:bookmarkEnd w:id="90"/>
            <w:bookmarkEnd w:id="91"/>
            <w:bookmarkEnd w:id="92"/>
          </w:p>
        </w:tc>
        <w:tc>
          <w:tcPr>
            <w:tcW w:w="0" w:type="auto"/>
            <w:shd w:val="clear" w:color="auto" w:fill="auto"/>
            <w:vAlign w:val="center"/>
          </w:tcPr>
          <w:p w:rsidR="00B259A6" w:rsidRPr="001848BD" w:rsidRDefault="00B259A6" w:rsidP="00810BE9">
            <w:pPr>
              <w:jc w:val="center"/>
              <w:rPr>
                <w:sz w:val="22"/>
                <w:szCs w:val="22"/>
              </w:rPr>
            </w:pPr>
            <w:bookmarkStart w:id="93" w:name="_Toc414887851"/>
            <w:bookmarkStart w:id="94" w:name="_Toc451176037"/>
            <w:bookmarkStart w:id="95" w:name="_Toc451180019"/>
            <w:r w:rsidRPr="001848BD">
              <w:rPr>
                <w:sz w:val="22"/>
                <w:szCs w:val="22"/>
              </w:rPr>
              <w:t>BB+</w:t>
            </w:r>
            <w:bookmarkEnd w:id="93"/>
            <w:bookmarkEnd w:id="94"/>
            <w:bookmarkEnd w:id="95"/>
          </w:p>
          <w:p w:rsidR="00B259A6" w:rsidRPr="001848BD" w:rsidRDefault="00B259A6" w:rsidP="00810BE9">
            <w:pPr>
              <w:jc w:val="center"/>
              <w:rPr>
                <w:sz w:val="22"/>
                <w:szCs w:val="22"/>
              </w:rPr>
            </w:pPr>
            <w:bookmarkStart w:id="96" w:name="_Toc414887852"/>
            <w:bookmarkStart w:id="97" w:name="_Toc451176038"/>
            <w:bookmarkStart w:id="98" w:name="_Toc451180020"/>
            <w:r w:rsidRPr="001848BD">
              <w:rPr>
                <w:sz w:val="22"/>
                <w:szCs w:val="22"/>
              </w:rPr>
              <w:t>to</w:t>
            </w:r>
            <w:bookmarkEnd w:id="96"/>
            <w:bookmarkEnd w:id="97"/>
            <w:bookmarkEnd w:id="98"/>
          </w:p>
          <w:p w:rsidR="00B259A6" w:rsidRPr="001848BD" w:rsidRDefault="00B259A6" w:rsidP="00810BE9">
            <w:pPr>
              <w:jc w:val="center"/>
              <w:rPr>
                <w:sz w:val="22"/>
                <w:szCs w:val="22"/>
              </w:rPr>
            </w:pPr>
            <w:bookmarkStart w:id="99" w:name="_Toc414887853"/>
            <w:bookmarkStart w:id="100" w:name="_Toc451176039"/>
            <w:bookmarkStart w:id="101" w:name="_Toc451180021"/>
            <w:r w:rsidRPr="001848BD">
              <w:rPr>
                <w:sz w:val="22"/>
                <w:szCs w:val="22"/>
              </w:rPr>
              <w:t>B-</w:t>
            </w:r>
            <w:bookmarkEnd w:id="99"/>
            <w:bookmarkEnd w:id="100"/>
            <w:bookmarkEnd w:id="101"/>
          </w:p>
        </w:tc>
        <w:tc>
          <w:tcPr>
            <w:tcW w:w="0" w:type="auto"/>
            <w:shd w:val="clear" w:color="auto" w:fill="auto"/>
            <w:vAlign w:val="center"/>
          </w:tcPr>
          <w:p w:rsidR="00B259A6" w:rsidRPr="001848BD" w:rsidRDefault="00B259A6" w:rsidP="00810BE9">
            <w:pPr>
              <w:jc w:val="center"/>
              <w:rPr>
                <w:sz w:val="22"/>
                <w:szCs w:val="22"/>
              </w:rPr>
            </w:pPr>
            <w:bookmarkStart w:id="102" w:name="_Toc414887854"/>
            <w:bookmarkStart w:id="103" w:name="_Toc451176040"/>
            <w:bookmarkStart w:id="104" w:name="_Toc451180022"/>
            <w:r w:rsidRPr="001848BD">
              <w:rPr>
                <w:sz w:val="22"/>
                <w:szCs w:val="22"/>
              </w:rPr>
              <w:t>BBB+</w:t>
            </w:r>
            <w:bookmarkEnd w:id="102"/>
            <w:bookmarkEnd w:id="103"/>
            <w:bookmarkEnd w:id="104"/>
          </w:p>
          <w:p w:rsidR="00B259A6" w:rsidRPr="001848BD" w:rsidRDefault="00B259A6" w:rsidP="00810BE9">
            <w:pPr>
              <w:jc w:val="center"/>
              <w:rPr>
                <w:sz w:val="22"/>
                <w:szCs w:val="22"/>
                <w:rtl/>
              </w:rPr>
            </w:pPr>
            <w:bookmarkStart w:id="105" w:name="_Toc414887855"/>
            <w:bookmarkStart w:id="106" w:name="_Toc451176041"/>
            <w:bookmarkStart w:id="107" w:name="_Toc451180023"/>
            <w:r w:rsidRPr="001848BD">
              <w:rPr>
                <w:sz w:val="22"/>
                <w:szCs w:val="22"/>
              </w:rPr>
              <w:t>to</w:t>
            </w:r>
            <w:bookmarkEnd w:id="105"/>
            <w:bookmarkEnd w:id="106"/>
            <w:bookmarkEnd w:id="107"/>
          </w:p>
          <w:p w:rsidR="00B259A6" w:rsidRPr="001848BD" w:rsidRDefault="00B259A6" w:rsidP="00810BE9">
            <w:pPr>
              <w:jc w:val="center"/>
              <w:rPr>
                <w:sz w:val="22"/>
                <w:szCs w:val="22"/>
              </w:rPr>
            </w:pPr>
            <w:bookmarkStart w:id="108" w:name="_Toc414887856"/>
            <w:bookmarkStart w:id="109" w:name="_Toc451176042"/>
            <w:bookmarkStart w:id="110" w:name="_Toc451180024"/>
            <w:r w:rsidRPr="001848BD">
              <w:rPr>
                <w:sz w:val="22"/>
                <w:szCs w:val="22"/>
              </w:rPr>
              <w:t>BBB-</w:t>
            </w:r>
            <w:bookmarkEnd w:id="108"/>
            <w:bookmarkEnd w:id="109"/>
            <w:bookmarkEnd w:id="110"/>
          </w:p>
        </w:tc>
        <w:tc>
          <w:tcPr>
            <w:tcW w:w="848" w:type="dxa"/>
            <w:shd w:val="clear" w:color="auto" w:fill="auto"/>
            <w:vAlign w:val="center"/>
          </w:tcPr>
          <w:p w:rsidR="00B259A6" w:rsidRPr="001848BD" w:rsidRDefault="00B259A6" w:rsidP="00810BE9">
            <w:pPr>
              <w:jc w:val="center"/>
              <w:rPr>
                <w:sz w:val="22"/>
                <w:szCs w:val="22"/>
              </w:rPr>
            </w:pPr>
            <w:bookmarkStart w:id="111" w:name="_Toc414887857"/>
            <w:bookmarkStart w:id="112" w:name="_Toc451176043"/>
            <w:bookmarkStart w:id="113" w:name="_Toc451180025"/>
            <w:r w:rsidRPr="001848BD">
              <w:rPr>
                <w:sz w:val="22"/>
                <w:szCs w:val="22"/>
              </w:rPr>
              <w:t>A+</w:t>
            </w:r>
            <w:bookmarkEnd w:id="111"/>
            <w:bookmarkEnd w:id="112"/>
            <w:bookmarkEnd w:id="113"/>
          </w:p>
          <w:p w:rsidR="00B259A6" w:rsidRPr="001848BD" w:rsidRDefault="00B259A6" w:rsidP="00810BE9">
            <w:pPr>
              <w:jc w:val="center"/>
              <w:rPr>
                <w:sz w:val="22"/>
                <w:szCs w:val="22"/>
              </w:rPr>
            </w:pPr>
            <w:bookmarkStart w:id="114" w:name="_Toc414887858"/>
            <w:bookmarkStart w:id="115" w:name="_Toc451176044"/>
            <w:bookmarkStart w:id="116" w:name="_Toc451180026"/>
            <w:r w:rsidRPr="001848BD">
              <w:rPr>
                <w:sz w:val="22"/>
                <w:szCs w:val="22"/>
              </w:rPr>
              <w:t>to</w:t>
            </w:r>
            <w:bookmarkEnd w:id="114"/>
            <w:bookmarkEnd w:id="115"/>
            <w:bookmarkEnd w:id="116"/>
          </w:p>
          <w:p w:rsidR="00B259A6" w:rsidRPr="001848BD" w:rsidRDefault="00B259A6" w:rsidP="00810BE9">
            <w:pPr>
              <w:jc w:val="center"/>
              <w:rPr>
                <w:sz w:val="22"/>
                <w:szCs w:val="22"/>
              </w:rPr>
            </w:pPr>
            <w:bookmarkStart w:id="117" w:name="_Toc414887859"/>
            <w:bookmarkStart w:id="118" w:name="_Toc451176045"/>
            <w:bookmarkStart w:id="119" w:name="_Toc451180027"/>
            <w:r w:rsidRPr="001848BD">
              <w:rPr>
                <w:sz w:val="22"/>
                <w:szCs w:val="22"/>
              </w:rPr>
              <w:t>A-</w:t>
            </w:r>
            <w:bookmarkEnd w:id="117"/>
            <w:bookmarkEnd w:id="118"/>
            <w:bookmarkEnd w:id="119"/>
          </w:p>
        </w:tc>
        <w:tc>
          <w:tcPr>
            <w:tcW w:w="1080" w:type="dxa"/>
            <w:shd w:val="clear" w:color="auto" w:fill="auto"/>
            <w:vAlign w:val="center"/>
          </w:tcPr>
          <w:p w:rsidR="00B259A6" w:rsidRPr="001848BD" w:rsidRDefault="00B259A6" w:rsidP="00810BE9">
            <w:pPr>
              <w:jc w:val="center"/>
              <w:rPr>
                <w:sz w:val="22"/>
                <w:szCs w:val="22"/>
              </w:rPr>
            </w:pPr>
            <w:bookmarkStart w:id="120" w:name="_Toc414887860"/>
            <w:bookmarkStart w:id="121" w:name="_Toc451176046"/>
            <w:bookmarkStart w:id="122" w:name="_Toc451180028"/>
            <w:r w:rsidRPr="001848BD">
              <w:rPr>
                <w:sz w:val="22"/>
                <w:szCs w:val="22"/>
              </w:rPr>
              <w:t>AAA</w:t>
            </w:r>
            <w:bookmarkEnd w:id="120"/>
            <w:bookmarkEnd w:id="121"/>
            <w:bookmarkEnd w:id="122"/>
          </w:p>
          <w:p w:rsidR="00B259A6" w:rsidRPr="001848BD" w:rsidRDefault="00B259A6" w:rsidP="00810BE9">
            <w:pPr>
              <w:jc w:val="center"/>
              <w:rPr>
                <w:sz w:val="22"/>
                <w:szCs w:val="22"/>
              </w:rPr>
            </w:pPr>
            <w:bookmarkStart w:id="123" w:name="_Toc414887861"/>
            <w:bookmarkStart w:id="124" w:name="_Toc451176047"/>
            <w:bookmarkStart w:id="125" w:name="_Toc451180029"/>
            <w:r w:rsidRPr="001848BD">
              <w:rPr>
                <w:sz w:val="22"/>
                <w:szCs w:val="22"/>
              </w:rPr>
              <w:t>to</w:t>
            </w:r>
            <w:bookmarkEnd w:id="123"/>
            <w:bookmarkEnd w:id="124"/>
            <w:bookmarkEnd w:id="125"/>
          </w:p>
          <w:p w:rsidR="00B259A6" w:rsidRPr="001848BD" w:rsidRDefault="00B259A6" w:rsidP="00810BE9">
            <w:pPr>
              <w:jc w:val="center"/>
              <w:rPr>
                <w:sz w:val="22"/>
                <w:szCs w:val="22"/>
                <w:rtl/>
              </w:rPr>
            </w:pPr>
            <w:bookmarkStart w:id="126" w:name="_Toc414887862"/>
            <w:bookmarkStart w:id="127" w:name="_Toc451176048"/>
            <w:bookmarkStart w:id="128" w:name="_Toc451180030"/>
            <w:r w:rsidRPr="001848BD">
              <w:rPr>
                <w:sz w:val="22"/>
                <w:szCs w:val="22"/>
                <w:rtl/>
              </w:rPr>
              <w:t>-</w:t>
            </w:r>
            <w:r w:rsidRPr="001848BD">
              <w:rPr>
                <w:sz w:val="22"/>
                <w:szCs w:val="22"/>
              </w:rPr>
              <w:t>AA</w:t>
            </w:r>
            <w:bookmarkEnd w:id="126"/>
            <w:bookmarkEnd w:id="127"/>
            <w:bookmarkEnd w:id="128"/>
          </w:p>
        </w:tc>
        <w:tc>
          <w:tcPr>
            <w:tcW w:w="1435" w:type="dxa"/>
            <w:shd w:val="clear" w:color="auto" w:fill="auto"/>
            <w:vAlign w:val="center"/>
          </w:tcPr>
          <w:p w:rsidR="00B259A6" w:rsidRPr="001848BD" w:rsidRDefault="00B259A6" w:rsidP="00810BE9">
            <w:pPr>
              <w:jc w:val="center"/>
              <w:rPr>
                <w:sz w:val="22"/>
                <w:szCs w:val="22"/>
                <w:rtl/>
              </w:rPr>
            </w:pPr>
            <w:bookmarkStart w:id="129" w:name="_Toc414887863"/>
            <w:bookmarkStart w:id="130" w:name="_Toc451176049"/>
            <w:bookmarkStart w:id="131" w:name="_Toc451180031"/>
            <w:r w:rsidRPr="001848BD">
              <w:rPr>
                <w:sz w:val="22"/>
                <w:szCs w:val="22"/>
                <w:rtl/>
              </w:rPr>
              <w:t xml:space="preserve">التصنيف حسب </w:t>
            </w:r>
            <w:r w:rsidRPr="001848BD">
              <w:rPr>
                <w:sz w:val="22"/>
                <w:szCs w:val="22"/>
              </w:rPr>
              <w:t>S&amp;P*</w:t>
            </w:r>
            <w:bookmarkEnd w:id="129"/>
            <w:bookmarkEnd w:id="130"/>
            <w:bookmarkEnd w:id="131"/>
          </w:p>
        </w:tc>
      </w:tr>
      <w:tr w:rsidR="00810BE9" w:rsidRPr="00C27ED0" w:rsidTr="001848BD">
        <w:trPr>
          <w:trHeight w:val="144"/>
        </w:trPr>
        <w:tc>
          <w:tcPr>
            <w:tcW w:w="0" w:type="auto"/>
            <w:vAlign w:val="center"/>
          </w:tcPr>
          <w:p w:rsidR="00B259A6" w:rsidRPr="00C27ED0" w:rsidRDefault="00B259A6" w:rsidP="00810BE9">
            <w:pPr>
              <w:jc w:val="center"/>
              <w:rPr>
                <w:b w:val="0"/>
                <w:bCs w:val="0"/>
                <w:sz w:val="24"/>
                <w:szCs w:val="24"/>
              </w:rPr>
            </w:pPr>
            <w:bookmarkStart w:id="132" w:name="_Toc414887864"/>
            <w:bookmarkStart w:id="133" w:name="_Toc451176050"/>
            <w:bookmarkStart w:id="134" w:name="_Toc451180032"/>
            <w:r w:rsidRPr="00C27ED0">
              <w:rPr>
                <w:b w:val="0"/>
                <w:bCs w:val="0"/>
                <w:sz w:val="24"/>
                <w:szCs w:val="24"/>
                <w:rtl/>
              </w:rPr>
              <w:t>100%</w:t>
            </w:r>
            <w:bookmarkEnd w:id="132"/>
            <w:bookmarkEnd w:id="133"/>
            <w:bookmarkEnd w:id="134"/>
          </w:p>
        </w:tc>
        <w:tc>
          <w:tcPr>
            <w:tcW w:w="0" w:type="auto"/>
            <w:vAlign w:val="center"/>
          </w:tcPr>
          <w:p w:rsidR="00B259A6" w:rsidRPr="00C27ED0" w:rsidRDefault="00B259A6" w:rsidP="00810BE9">
            <w:pPr>
              <w:jc w:val="center"/>
              <w:rPr>
                <w:b w:val="0"/>
                <w:bCs w:val="0"/>
                <w:sz w:val="24"/>
                <w:szCs w:val="24"/>
              </w:rPr>
            </w:pPr>
            <w:bookmarkStart w:id="135" w:name="_Toc414887865"/>
            <w:bookmarkStart w:id="136" w:name="_Toc451176051"/>
            <w:bookmarkStart w:id="137" w:name="_Toc451180033"/>
            <w:r w:rsidRPr="00C27ED0">
              <w:rPr>
                <w:b w:val="0"/>
                <w:bCs w:val="0"/>
                <w:sz w:val="24"/>
                <w:szCs w:val="24"/>
                <w:rtl/>
              </w:rPr>
              <w:t>150%</w:t>
            </w:r>
            <w:bookmarkEnd w:id="135"/>
            <w:bookmarkEnd w:id="136"/>
            <w:bookmarkEnd w:id="137"/>
          </w:p>
        </w:tc>
        <w:tc>
          <w:tcPr>
            <w:tcW w:w="0" w:type="auto"/>
            <w:vAlign w:val="center"/>
          </w:tcPr>
          <w:p w:rsidR="00B259A6" w:rsidRPr="00C27ED0" w:rsidRDefault="00B259A6" w:rsidP="00810BE9">
            <w:pPr>
              <w:jc w:val="center"/>
              <w:rPr>
                <w:b w:val="0"/>
                <w:bCs w:val="0"/>
                <w:sz w:val="24"/>
                <w:szCs w:val="24"/>
              </w:rPr>
            </w:pPr>
            <w:bookmarkStart w:id="138" w:name="_Toc414887866"/>
            <w:bookmarkStart w:id="139" w:name="_Toc451176052"/>
            <w:bookmarkStart w:id="140" w:name="_Toc451180034"/>
            <w:r w:rsidRPr="00C27ED0">
              <w:rPr>
                <w:b w:val="0"/>
                <w:bCs w:val="0"/>
                <w:sz w:val="24"/>
                <w:szCs w:val="24"/>
                <w:rtl/>
              </w:rPr>
              <w:t>100%</w:t>
            </w:r>
            <w:bookmarkEnd w:id="138"/>
            <w:bookmarkEnd w:id="139"/>
            <w:bookmarkEnd w:id="140"/>
          </w:p>
        </w:tc>
        <w:tc>
          <w:tcPr>
            <w:tcW w:w="0" w:type="auto"/>
            <w:vAlign w:val="center"/>
          </w:tcPr>
          <w:p w:rsidR="00B259A6" w:rsidRPr="00C27ED0" w:rsidRDefault="00B259A6" w:rsidP="00810BE9">
            <w:pPr>
              <w:jc w:val="center"/>
              <w:rPr>
                <w:b w:val="0"/>
                <w:bCs w:val="0"/>
                <w:sz w:val="24"/>
                <w:szCs w:val="24"/>
                <w:rtl/>
              </w:rPr>
            </w:pPr>
            <w:bookmarkStart w:id="141" w:name="_Toc414887867"/>
            <w:bookmarkStart w:id="142" w:name="_Toc451176053"/>
            <w:bookmarkStart w:id="143" w:name="_Toc451180035"/>
            <w:r w:rsidRPr="00C27ED0">
              <w:rPr>
                <w:b w:val="0"/>
                <w:bCs w:val="0"/>
                <w:sz w:val="24"/>
                <w:szCs w:val="24"/>
                <w:rtl/>
              </w:rPr>
              <w:t>50%</w:t>
            </w:r>
            <w:bookmarkEnd w:id="141"/>
            <w:bookmarkEnd w:id="142"/>
            <w:bookmarkEnd w:id="143"/>
          </w:p>
        </w:tc>
        <w:tc>
          <w:tcPr>
            <w:tcW w:w="848" w:type="dxa"/>
            <w:vAlign w:val="center"/>
          </w:tcPr>
          <w:p w:rsidR="00B259A6" w:rsidRPr="00C27ED0" w:rsidRDefault="00B259A6" w:rsidP="00810BE9">
            <w:pPr>
              <w:jc w:val="center"/>
              <w:rPr>
                <w:b w:val="0"/>
                <w:bCs w:val="0"/>
                <w:sz w:val="24"/>
                <w:szCs w:val="24"/>
              </w:rPr>
            </w:pPr>
            <w:bookmarkStart w:id="144" w:name="_Toc414887868"/>
            <w:bookmarkStart w:id="145" w:name="_Toc451176054"/>
            <w:bookmarkStart w:id="146" w:name="_Toc451180036"/>
            <w:r w:rsidRPr="00C27ED0">
              <w:rPr>
                <w:b w:val="0"/>
                <w:bCs w:val="0"/>
                <w:sz w:val="24"/>
                <w:szCs w:val="24"/>
                <w:rtl/>
              </w:rPr>
              <w:t>20%</w:t>
            </w:r>
            <w:bookmarkEnd w:id="144"/>
            <w:bookmarkEnd w:id="145"/>
            <w:bookmarkEnd w:id="146"/>
          </w:p>
        </w:tc>
        <w:tc>
          <w:tcPr>
            <w:tcW w:w="1080" w:type="dxa"/>
            <w:vAlign w:val="center"/>
          </w:tcPr>
          <w:p w:rsidR="00B259A6" w:rsidRPr="00C27ED0" w:rsidRDefault="00B259A6" w:rsidP="00810BE9">
            <w:pPr>
              <w:jc w:val="center"/>
              <w:rPr>
                <w:b w:val="0"/>
                <w:bCs w:val="0"/>
                <w:sz w:val="24"/>
                <w:szCs w:val="24"/>
                <w:rtl/>
              </w:rPr>
            </w:pPr>
            <w:bookmarkStart w:id="147" w:name="_Toc414887869"/>
            <w:bookmarkStart w:id="148" w:name="_Toc451176055"/>
            <w:bookmarkStart w:id="149" w:name="_Toc451180037"/>
            <w:r w:rsidRPr="00C27ED0">
              <w:rPr>
                <w:b w:val="0"/>
                <w:bCs w:val="0"/>
                <w:sz w:val="24"/>
                <w:szCs w:val="24"/>
                <w:rtl/>
              </w:rPr>
              <w:t>صفر %</w:t>
            </w:r>
            <w:bookmarkEnd w:id="147"/>
            <w:bookmarkEnd w:id="148"/>
            <w:bookmarkEnd w:id="149"/>
          </w:p>
        </w:tc>
        <w:tc>
          <w:tcPr>
            <w:tcW w:w="1435" w:type="dxa"/>
            <w:vAlign w:val="center"/>
          </w:tcPr>
          <w:p w:rsidR="00B259A6" w:rsidRPr="00C27ED0" w:rsidRDefault="00B259A6" w:rsidP="00810BE9">
            <w:pPr>
              <w:rPr>
                <w:sz w:val="24"/>
                <w:szCs w:val="24"/>
              </w:rPr>
            </w:pPr>
            <w:bookmarkStart w:id="150" w:name="_Toc414887870"/>
            <w:bookmarkStart w:id="151" w:name="_Toc451176056"/>
            <w:bookmarkStart w:id="152" w:name="_Toc451180038"/>
            <w:r w:rsidRPr="00C27ED0">
              <w:rPr>
                <w:sz w:val="24"/>
                <w:szCs w:val="24"/>
                <w:rtl/>
              </w:rPr>
              <w:t>وزن المخاطر</w:t>
            </w:r>
            <w:bookmarkEnd w:id="150"/>
            <w:bookmarkEnd w:id="151"/>
            <w:bookmarkEnd w:id="152"/>
          </w:p>
        </w:tc>
      </w:tr>
    </w:tbl>
    <w:p w:rsidR="00B259A6" w:rsidRPr="00810BE9" w:rsidRDefault="00B259A6" w:rsidP="001848BD">
      <w:pPr>
        <w:ind w:left="2267" w:hanging="283"/>
        <w:rPr>
          <w:b w:val="0"/>
          <w:bCs w:val="0"/>
          <w:rtl/>
        </w:rPr>
      </w:pPr>
      <w:bookmarkStart w:id="153" w:name="_Toc414887871"/>
      <w:bookmarkStart w:id="154" w:name="_Toc451176057"/>
      <w:bookmarkStart w:id="155" w:name="_Toc451180039"/>
      <w:r w:rsidRPr="00810BE9">
        <w:rPr>
          <w:b w:val="0"/>
          <w:bCs w:val="0"/>
          <w:rtl/>
        </w:rPr>
        <w:t>* تعتمد تصنيفات الجهات الأخرى</w:t>
      </w:r>
      <w:r w:rsidR="009C1759" w:rsidRPr="00810BE9">
        <w:rPr>
          <w:b w:val="0"/>
          <w:bCs w:val="0"/>
          <w:rtl/>
        </w:rPr>
        <w:t xml:space="preserve"> (المذكورة في الملحق رقم </w:t>
      </w:r>
      <w:r w:rsidR="006A6078" w:rsidRPr="00810BE9">
        <w:rPr>
          <w:b w:val="0"/>
          <w:bCs w:val="0"/>
          <w:rtl/>
        </w:rPr>
        <w:t>7</w:t>
      </w:r>
      <w:r w:rsidR="00524031" w:rsidRPr="00810BE9">
        <w:rPr>
          <w:b w:val="0"/>
          <w:bCs w:val="0"/>
          <w:rtl/>
        </w:rPr>
        <w:t>)</w:t>
      </w:r>
      <w:r w:rsidRPr="00810BE9">
        <w:rPr>
          <w:b w:val="0"/>
          <w:bCs w:val="0"/>
          <w:rtl/>
        </w:rPr>
        <w:t xml:space="preserve"> المقبولة لدى البنك المركزي</w:t>
      </w:r>
      <w:r w:rsidR="00A44B31" w:rsidRPr="00810BE9">
        <w:rPr>
          <w:b w:val="0"/>
          <w:bCs w:val="0"/>
          <w:rtl/>
        </w:rPr>
        <w:t xml:space="preserve"> والتي تُعادل تصنيفاتها التصنيف أعلاه</w:t>
      </w:r>
      <w:r w:rsidRPr="00810BE9">
        <w:rPr>
          <w:b w:val="0"/>
          <w:bCs w:val="0"/>
          <w:rtl/>
        </w:rPr>
        <w:t>.</w:t>
      </w:r>
      <w:bookmarkEnd w:id="153"/>
      <w:bookmarkEnd w:id="154"/>
      <w:bookmarkEnd w:id="155"/>
    </w:p>
    <w:p w:rsidR="00B259A6" w:rsidRPr="00810BE9" w:rsidRDefault="00B259A6" w:rsidP="001848BD">
      <w:pPr>
        <w:pStyle w:val="ListParagraph"/>
        <w:numPr>
          <w:ilvl w:val="0"/>
          <w:numId w:val="29"/>
        </w:numPr>
        <w:ind w:left="2551" w:hanging="425"/>
        <w:rPr>
          <w:b w:val="0"/>
          <w:bCs w:val="0"/>
        </w:rPr>
      </w:pPr>
      <w:bookmarkStart w:id="156" w:name="_Toc414887872"/>
      <w:bookmarkStart w:id="157" w:name="_Toc451176058"/>
      <w:bookmarkStart w:id="158" w:name="_Toc451180040"/>
      <w:r w:rsidRPr="00810BE9">
        <w:rPr>
          <w:b w:val="0"/>
          <w:bCs w:val="0"/>
          <w:rtl/>
        </w:rPr>
        <w:t>تعطى جميع الالتزامات على الحكومة الأردنية والبنك المركزي الأردني بالدينار الأردني وزن مخاطر ترجيحي يساوي</w:t>
      </w:r>
      <w:r w:rsidR="00AE73E0" w:rsidRPr="00810BE9">
        <w:rPr>
          <w:b w:val="0"/>
          <w:bCs w:val="0"/>
          <w:rtl/>
        </w:rPr>
        <w:t xml:space="preserve"> </w:t>
      </w:r>
      <w:r w:rsidRPr="00810BE9">
        <w:rPr>
          <w:b w:val="0"/>
          <w:bCs w:val="0"/>
          <w:rtl/>
        </w:rPr>
        <w:t>(صفر%)، شريطة أن تكون مصادر تمويل هذه الالتزامات بالدينار الأردني.</w:t>
      </w:r>
      <w:bookmarkEnd w:id="156"/>
      <w:bookmarkEnd w:id="157"/>
      <w:bookmarkEnd w:id="158"/>
    </w:p>
    <w:p w:rsidR="00B259A6" w:rsidRPr="001848BD" w:rsidRDefault="00B259A6" w:rsidP="001848BD">
      <w:pPr>
        <w:pStyle w:val="ListParagraph"/>
        <w:numPr>
          <w:ilvl w:val="0"/>
          <w:numId w:val="29"/>
        </w:numPr>
        <w:ind w:left="2551" w:hanging="425"/>
        <w:rPr>
          <w:b w:val="0"/>
          <w:bCs w:val="0"/>
        </w:rPr>
      </w:pPr>
      <w:bookmarkStart w:id="159" w:name="_Toc414887873"/>
      <w:bookmarkStart w:id="160" w:name="_Toc451176059"/>
      <w:bookmarkStart w:id="161" w:name="_Toc451180041"/>
      <w:r w:rsidRPr="001848BD">
        <w:rPr>
          <w:b w:val="0"/>
          <w:bCs w:val="0"/>
          <w:rtl/>
        </w:rPr>
        <w:t>تسري هذه القاعدة على التزامات الدول المضيفة لفروع البنوك الأردنية والشركات البنكية التابعة في حال كانت بنفس عملة تلك الدول وشريطة المعاملة بالمثل.</w:t>
      </w:r>
      <w:bookmarkEnd w:id="159"/>
      <w:bookmarkEnd w:id="160"/>
      <w:bookmarkEnd w:id="161"/>
    </w:p>
    <w:p w:rsidR="00B259A6" w:rsidRPr="001848BD" w:rsidRDefault="00B259A6" w:rsidP="001848BD">
      <w:pPr>
        <w:pStyle w:val="ListParagraph"/>
        <w:numPr>
          <w:ilvl w:val="0"/>
          <w:numId w:val="29"/>
        </w:numPr>
        <w:ind w:left="2551" w:hanging="425"/>
        <w:rPr>
          <w:b w:val="0"/>
          <w:bCs w:val="0"/>
        </w:rPr>
      </w:pPr>
      <w:bookmarkStart w:id="162" w:name="_Toc414887874"/>
      <w:bookmarkStart w:id="163" w:name="_Toc451176060"/>
      <w:r w:rsidRPr="001848BD">
        <w:rPr>
          <w:b w:val="0"/>
          <w:bCs w:val="0"/>
          <w:rtl/>
        </w:rPr>
        <w:t>يجوز للبنوك استخدام درجات التصنيف الصادرة عن وكالات ضمان الصادرات</w:t>
      </w:r>
      <w:r w:rsidR="00A44B31" w:rsidRPr="001848BD">
        <w:rPr>
          <w:b w:val="0"/>
          <w:bCs w:val="0"/>
          <w:rtl/>
        </w:rPr>
        <w:t xml:space="preserve"> </w:t>
      </w:r>
      <w:r w:rsidRPr="001848BD">
        <w:rPr>
          <w:b w:val="0"/>
          <w:bCs w:val="0"/>
          <w:rtl/>
        </w:rPr>
        <w:t>(</w:t>
      </w:r>
      <w:r w:rsidRPr="001848BD">
        <w:rPr>
          <w:b w:val="0"/>
          <w:bCs w:val="0"/>
        </w:rPr>
        <w:t>ECAs</w:t>
      </w:r>
      <w:r w:rsidRPr="001848BD">
        <w:rPr>
          <w:b w:val="0"/>
          <w:bCs w:val="0"/>
          <w:rtl/>
        </w:rPr>
        <w:t>) الموافق عليها من قبل البنك المركزي الأردني وتكون أوزانها الترجيحية وفقاً للجدول التالي:</w:t>
      </w:r>
      <w:bookmarkEnd w:id="162"/>
      <w:bookmarkEnd w:id="1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721"/>
        <w:gridCol w:w="595"/>
        <w:gridCol w:w="595"/>
        <w:gridCol w:w="853"/>
        <w:gridCol w:w="895"/>
      </w:tblGrid>
      <w:tr w:rsidR="00B259A6" w:rsidRPr="00C27ED0" w:rsidTr="00810BE9">
        <w:trPr>
          <w:jc w:val="center"/>
        </w:trPr>
        <w:tc>
          <w:tcPr>
            <w:tcW w:w="0" w:type="auto"/>
            <w:vAlign w:val="center"/>
          </w:tcPr>
          <w:p w:rsidR="00B259A6" w:rsidRPr="00C27ED0" w:rsidRDefault="00B259A6" w:rsidP="001848BD">
            <w:pPr>
              <w:jc w:val="center"/>
              <w:rPr>
                <w:sz w:val="24"/>
                <w:szCs w:val="24"/>
              </w:rPr>
            </w:pPr>
            <w:bookmarkStart w:id="164" w:name="_Toc414887875"/>
            <w:bookmarkStart w:id="165" w:name="_Toc451176061"/>
            <w:bookmarkStart w:id="166" w:name="_Toc451180042"/>
            <w:r w:rsidRPr="00C27ED0">
              <w:rPr>
                <w:sz w:val="24"/>
                <w:szCs w:val="24"/>
                <w:rtl/>
              </w:rPr>
              <w:t>7</w:t>
            </w:r>
            <w:bookmarkEnd w:id="164"/>
            <w:bookmarkEnd w:id="165"/>
            <w:bookmarkEnd w:id="166"/>
          </w:p>
        </w:tc>
        <w:tc>
          <w:tcPr>
            <w:tcW w:w="0" w:type="auto"/>
            <w:vAlign w:val="center"/>
          </w:tcPr>
          <w:p w:rsidR="00B259A6" w:rsidRPr="00C27ED0" w:rsidRDefault="00B259A6" w:rsidP="001848BD">
            <w:pPr>
              <w:jc w:val="center"/>
              <w:rPr>
                <w:sz w:val="24"/>
                <w:szCs w:val="24"/>
              </w:rPr>
            </w:pPr>
            <w:bookmarkStart w:id="167" w:name="_Toc414887876"/>
            <w:bookmarkStart w:id="168" w:name="_Toc451176062"/>
            <w:bookmarkStart w:id="169" w:name="_Toc451180043"/>
            <w:r w:rsidRPr="00C27ED0">
              <w:rPr>
                <w:sz w:val="24"/>
                <w:szCs w:val="24"/>
                <w:rtl/>
              </w:rPr>
              <w:t>4-6</w:t>
            </w:r>
            <w:bookmarkEnd w:id="167"/>
            <w:bookmarkEnd w:id="168"/>
            <w:bookmarkEnd w:id="169"/>
          </w:p>
        </w:tc>
        <w:tc>
          <w:tcPr>
            <w:tcW w:w="0" w:type="auto"/>
            <w:vAlign w:val="center"/>
          </w:tcPr>
          <w:p w:rsidR="00B259A6" w:rsidRPr="00C27ED0" w:rsidRDefault="00B259A6" w:rsidP="001848BD">
            <w:pPr>
              <w:jc w:val="center"/>
              <w:rPr>
                <w:sz w:val="24"/>
                <w:szCs w:val="24"/>
              </w:rPr>
            </w:pPr>
            <w:bookmarkStart w:id="170" w:name="_Toc414887877"/>
            <w:bookmarkStart w:id="171" w:name="_Toc451176063"/>
            <w:bookmarkStart w:id="172" w:name="_Toc451180044"/>
            <w:r w:rsidRPr="00C27ED0">
              <w:rPr>
                <w:sz w:val="24"/>
                <w:szCs w:val="24"/>
                <w:rtl/>
              </w:rPr>
              <w:t>3</w:t>
            </w:r>
            <w:bookmarkEnd w:id="170"/>
            <w:bookmarkEnd w:id="171"/>
            <w:bookmarkEnd w:id="172"/>
          </w:p>
        </w:tc>
        <w:tc>
          <w:tcPr>
            <w:tcW w:w="0" w:type="auto"/>
            <w:vAlign w:val="center"/>
          </w:tcPr>
          <w:p w:rsidR="00B259A6" w:rsidRPr="00C27ED0" w:rsidRDefault="00B259A6" w:rsidP="001848BD">
            <w:pPr>
              <w:jc w:val="center"/>
              <w:rPr>
                <w:sz w:val="24"/>
                <w:szCs w:val="24"/>
              </w:rPr>
            </w:pPr>
            <w:bookmarkStart w:id="173" w:name="_Toc414887878"/>
            <w:bookmarkStart w:id="174" w:name="_Toc451176064"/>
            <w:bookmarkStart w:id="175" w:name="_Toc451180045"/>
            <w:r w:rsidRPr="00C27ED0">
              <w:rPr>
                <w:sz w:val="24"/>
                <w:szCs w:val="24"/>
                <w:rtl/>
              </w:rPr>
              <w:t>2</w:t>
            </w:r>
            <w:bookmarkEnd w:id="173"/>
            <w:bookmarkEnd w:id="174"/>
            <w:bookmarkEnd w:id="175"/>
          </w:p>
        </w:tc>
        <w:tc>
          <w:tcPr>
            <w:tcW w:w="0" w:type="auto"/>
            <w:vAlign w:val="center"/>
          </w:tcPr>
          <w:p w:rsidR="00B259A6" w:rsidRPr="00C27ED0" w:rsidRDefault="00B259A6" w:rsidP="001848BD">
            <w:pPr>
              <w:jc w:val="center"/>
              <w:rPr>
                <w:sz w:val="24"/>
                <w:szCs w:val="24"/>
              </w:rPr>
            </w:pPr>
            <w:bookmarkStart w:id="176" w:name="_Toc414887879"/>
            <w:bookmarkStart w:id="177" w:name="_Toc451176065"/>
            <w:bookmarkStart w:id="178" w:name="_Toc451180046"/>
            <w:r w:rsidRPr="00C27ED0">
              <w:rPr>
                <w:sz w:val="24"/>
                <w:szCs w:val="24"/>
                <w:rtl/>
              </w:rPr>
              <w:t>صفر-1</w:t>
            </w:r>
            <w:bookmarkEnd w:id="176"/>
            <w:bookmarkEnd w:id="177"/>
            <w:bookmarkEnd w:id="178"/>
          </w:p>
        </w:tc>
        <w:tc>
          <w:tcPr>
            <w:tcW w:w="0" w:type="auto"/>
            <w:vAlign w:val="center"/>
          </w:tcPr>
          <w:p w:rsidR="00B259A6" w:rsidRPr="00C27ED0" w:rsidRDefault="00B259A6" w:rsidP="001848BD">
            <w:pPr>
              <w:jc w:val="center"/>
              <w:rPr>
                <w:sz w:val="24"/>
                <w:szCs w:val="24"/>
                <w:rtl/>
              </w:rPr>
            </w:pPr>
            <w:bookmarkStart w:id="179" w:name="_Toc414887880"/>
            <w:bookmarkStart w:id="180" w:name="_Toc451176066"/>
            <w:bookmarkStart w:id="181" w:name="_Toc451180047"/>
            <w:r w:rsidRPr="00C27ED0">
              <w:rPr>
                <w:sz w:val="24"/>
                <w:szCs w:val="24"/>
                <w:rtl/>
              </w:rPr>
              <w:t>التصنيف</w:t>
            </w:r>
            <w:bookmarkEnd w:id="179"/>
            <w:bookmarkEnd w:id="180"/>
            <w:bookmarkEnd w:id="181"/>
          </w:p>
        </w:tc>
      </w:tr>
      <w:tr w:rsidR="00B259A6" w:rsidRPr="00C27ED0" w:rsidTr="00810BE9">
        <w:trPr>
          <w:jc w:val="center"/>
        </w:trPr>
        <w:tc>
          <w:tcPr>
            <w:tcW w:w="0" w:type="auto"/>
            <w:vAlign w:val="center"/>
          </w:tcPr>
          <w:p w:rsidR="00B259A6" w:rsidRPr="00C27ED0" w:rsidRDefault="00B259A6" w:rsidP="001848BD">
            <w:pPr>
              <w:jc w:val="center"/>
              <w:rPr>
                <w:b w:val="0"/>
                <w:bCs w:val="0"/>
                <w:sz w:val="24"/>
                <w:szCs w:val="24"/>
              </w:rPr>
            </w:pPr>
            <w:bookmarkStart w:id="182" w:name="_Toc414887881"/>
            <w:bookmarkStart w:id="183" w:name="_Toc451176067"/>
            <w:bookmarkStart w:id="184" w:name="_Toc451180048"/>
            <w:r w:rsidRPr="00C27ED0">
              <w:rPr>
                <w:b w:val="0"/>
                <w:bCs w:val="0"/>
                <w:sz w:val="24"/>
                <w:szCs w:val="24"/>
                <w:rtl/>
              </w:rPr>
              <w:t>150%</w:t>
            </w:r>
            <w:bookmarkEnd w:id="182"/>
            <w:bookmarkEnd w:id="183"/>
            <w:bookmarkEnd w:id="184"/>
          </w:p>
        </w:tc>
        <w:tc>
          <w:tcPr>
            <w:tcW w:w="0" w:type="auto"/>
            <w:vAlign w:val="center"/>
          </w:tcPr>
          <w:p w:rsidR="00B259A6" w:rsidRPr="00C27ED0" w:rsidRDefault="00B259A6" w:rsidP="001848BD">
            <w:pPr>
              <w:jc w:val="center"/>
              <w:rPr>
                <w:b w:val="0"/>
                <w:bCs w:val="0"/>
                <w:sz w:val="24"/>
                <w:szCs w:val="24"/>
              </w:rPr>
            </w:pPr>
            <w:bookmarkStart w:id="185" w:name="_Toc414887882"/>
            <w:bookmarkStart w:id="186" w:name="_Toc451176068"/>
            <w:bookmarkStart w:id="187" w:name="_Toc451180049"/>
            <w:r w:rsidRPr="00C27ED0">
              <w:rPr>
                <w:b w:val="0"/>
                <w:bCs w:val="0"/>
                <w:sz w:val="24"/>
                <w:szCs w:val="24"/>
                <w:rtl/>
              </w:rPr>
              <w:t>100%</w:t>
            </w:r>
            <w:bookmarkEnd w:id="185"/>
            <w:bookmarkEnd w:id="186"/>
            <w:bookmarkEnd w:id="187"/>
          </w:p>
        </w:tc>
        <w:tc>
          <w:tcPr>
            <w:tcW w:w="0" w:type="auto"/>
            <w:vAlign w:val="center"/>
          </w:tcPr>
          <w:p w:rsidR="00B259A6" w:rsidRPr="00C27ED0" w:rsidRDefault="00B259A6" w:rsidP="001848BD">
            <w:pPr>
              <w:jc w:val="center"/>
              <w:rPr>
                <w:b w:val="0"/>
                <w:bCs w:val="0"/>
                <w:sz w:val="24"/>
                <w:szCs w:val="24"/>
              </w:rPr>
            </w:pPr>
            <w:bookmarkStart w:id="188" w:name="_Toc414887883"/>
            <w:bookmarkStart w:id="189" w:name="_Toc451176069"/>
            <w:bookmarkStart w:id="190" w:name="_Toc451180050"/>
            <w:r w:rsidRPr="00C27ED0">
              <w:rPr>
                <w:b w:val="0"/>
                <w:bCs w:val="0"/>
                <w:sz w:val="24"/>
                <w:szCs w:val="24"/>
                <w:rtl/>
              </w:rPr>
              <w:t>50%</w:t>
            </w:r>
            <w:bookmarkEnd w:id="188"/>
            <w:bookmarkEnd w:id="189"/>
            <w:bookmarkEnd w:id="190"/>
          </w:p>
        </w:tc>
        <w:tc>
          <w:tcPr>
            <w:tcW w:w="0" w:type="auto"/>
            <w:vAlign w:val="center"/>
          </w:tcPr>
          <w:p w:rsidR="00B259A6" w:rsidRPr="00C27ED0" w:rsidRDefault="00B259A6" w:rsidP="001848BD">
            <w:pPr>
              <w:jc w:val="center"/>
              <w:rPr>
                <w:b w:val="0"/>
                <w:bCs w:val="0"/>
                <w:sz w:val="24"/>
                <w:szCs w:val="24"/>
              </w:rPr>
            </w:pPr>
            <w:bookmarkStart w:id="191" w:name="_Toc414887884"/>
            <w:bookmarkStart w:id="192" w:name="_Toc451176070"/>
            <w:bookmarkStart w:id="193" w:name="_Toc451180051"/>
            <w:r w:rsidRPr="00C27ED0">
              <w:rPr>
                <w:b w:val="0"/>
                <w:bCs w:val="0"/>
                <w:sz w:val="24"/>
                <w:szCs w:val="24"/>
                <w:rtl/>
              </w:rPr>
              <w:t>20%</w:t>
            </w:r>
            <w:bookmarkEnd w:id="191"/>
            <w:bookmarkEnd w:id="192"/>
            <w:bookmarkEnd w:id="193"/>
          </w:p>
        </w:tc>
        <w:tc>
          <w:tcPr>
            <w:tcW w:w="0" w:type="auto"/>
            <w:vAlign w:val="center"/>
          </w:tcPr>
          <w:p w:rsidR="00B259A6" w:rsidRPr="00C27ED0" w:rsidRDefault="00B259A6" w:rsidP="001848BD">
            <w:pPr>
              <w:jc w:val="center"/>
              <w:rPr>
                <w:b w:val="0"/>
                <w:bCs w:val="0"/>
                <w:sz w:val="24"/>
                <w:szCs w:val="24"/>
              </w:rPr>
            </w:pPr>
            <w:bookmarkStart w:id="194" w:name="_Toc414887885"/>
            <w:bookmarkStart w:id="195" w:name="_Toc451176071"/>
            <w:bookmarkStart w:id="196" w:name="_Toc451180052"/>
            <w:r w:rsidRPr="00C27ED0">
              <w:rPr>
                <w:b w:val="0"/>
                <w:bCs w:val="0"/>
                <w:sz w:val="24"/>
                <w:szCs w:val="24"/>
                <w:rtl/>
              </w:rPr>
              <w:t>صفر</w:t>
            </w:r>
            <w:bookmarkEnd w:id="194"/>
            <w:bookmarkEnd w:id="195"/>
            <w:bookmarkEnd w:id="196"/>
          </w:p>
        </w:tc>
        <w:tc>
          <w:tcPr>
            <w:tcW w:w="0" w:type="auto"/>
            <w:vAlign w:val="center"/>
          </w:tcPr>
          <w:p w:rsidR="00B259A6" w:rsidRPr="00C27ED0" w:rsidRDefault="00B259A6" w:rsidP="001848BD">
            <w:pPr>
              <w:jc w:val="center"/>
              <w:rPr>
                <w:b w:val="0"/>
                <w:bCs w:val="0"/>
                <w:sz w:val="24"/>
                <w:szCs w:val="24"/>
                <w:rtl/>
              </w:rPr>
            </w:pPr>
            <w:bookmarkStart w:id="197" w:name="_Toc414887886"/>
            <w:bookmarkStart w:id="198" w:name="_Toc451176072"/>
            <w:bookmarkStart w:id="199" w:name="_Toc451180053"/>
            <w:r w:rsidRPr="00C27ED0">
              <w:rPr>
                <w:b w:val="0"/>
                <w:bCs w:val="0"/>
                <w:sz w:val="24"/>
                <w:szCs w:val="24"/>
                <w:rtl/>
              </w:rPr>
              <w:t>الوزن</w:t>
            </w:r>
            <w:bookmarkEnd w:id="197"/>
            <w:bookmarkEnd w:id="198"/>
            <w:bookmarkEnd w:id="199"/>
          </w:p>
        </w:tc>
      </w:tr>
    </w:tbl>
    <w:p w:rsidR="002544DA" w:rsidRPr="002544DA" w:rsidRDefault="006D09B0" w:rsidP="001848BD">
      <w:pPr>
        <w:ind w:left="1370" w:firstLine="756"/>
        <w:rPr>
          <w:b w:val="0"/>
          <w:bCs w:val="0"/>
          <w:rtl/>
        </w:rPr>
      </w:pPr>
      <w:bookmarkStart w:id="200" w:name="_Toc451176073"/>
      <w:bookmarkStart w:id="201" w:name="_Toc451180054"/>
      <w:bookmarkStart w:id="202" w:name="_Toc414887887"/>
      <w:r w:rsidRPr="002544DA">
        <w:rPr>
          <w:b w:val="0"/>
          <w:bCs w:val="0"/>
          <w:rtl/>
        </w:rPr>
        <w:t>إذا كانت الدولة غير مصنفة تعطى المطالبات عليها وزن مخاطر ترجيحي 100%</w:t>
      </w:r>
      <w:bookmarkEnd w:id="200"/>
      <w:bookmarkEnd w:id="201"/>
    </w:p>
    <w:p w:rsidR="00C75C61" w:rsidRPr="002544DA" w:rsidRDefault="00C75C61" w:rsidP="001848BD">
      <w:pPr>
        <w:ind w:left="2126" w:hanging="851"/>
        <w:rPr>
          <w:b w:val="0"/>
          <w:bCs w:val="0"/>
          <w:rtl/>
        </w:rPr>
      </w:pPr>
      <w:bookmarkStart w:id="203" w:name="_Toc451176074"/>
      <w:bookmarkStart w:id="204" w:name="_Toc451180055"/>
      <w:r w:rsidRPr="002544DA">
        <w:rPr>
          <w:b w:val="0"/>
          <w:bCs w:val="0"/>
          <w:rtl/>
        </w:rPr>
        <w:lastRenderedPageBreak/>
        <w:t>2.2.2</w:t>
      </w:r>
      <w:r w:rsidR="002544DA">
        <w:rPr>
          <w:rFonts w:hint="cs"/>
          <w:b w:val="0"/>
          <w:bCs w:val="0"/>
          <w:rtl/>
        </w:rPr>
        <w:t>.</w:t>
      </w:r>
      <w:r w:rsidR="0054200F">
        <w:rPr>
          <w:rFonts w:hint="cs"/>
          <w:b w:val="0"/>
          <w:bCs w:val="0"/>
          <w:rtl/>
        </w:rPr>
        <w:t xml:space="preserve"> </w:t>
      </w:r>
      <w:r w:rsidRPr="002544DA">
        <w:rPr>
          <w:b w:val="0"/>
          <w:bCs w:val="0"/>
          <w:rtl/>
        </w:rPr>
        <w:t>مطالبات على منظمات دولية:</w:t>
      </w:r>
      <w:bookmarkEnd w:id="203"/>
      <w:bookmarkEnd w:id="204"/>
    </w:p>
    <w:p w:rsidR="002C63F3" w:rsidRPr="002544DA" w:rsidRDefault="00C77639" w:rsidP="001848BD">
      <w:pPr>
        <w:ind w:left="2126" w:hanging="142"/>
        <w:rPr>
          <w:b w:val="0"/>
          <w:bCs w:val="0"/>
          <w:rtl/>
        </w:rPr>
      </w:pPr>
      <w:bookmarkStart w:id="205" w:name="_Toc451176075"/>
      <w:bookmarkStart w:id="206" w:name="_Toc451180056"/>
      <w:r w:rsidRPr="002544DA">
        <w:rPr>
          <w:b w:val="0"/>
          <w:bCs w:val="0"/>
          <w:rtl/>
        </w:rPr>
        <w:t>تعطى</w:t>
      </w:r>
      <w:r w:rsidR="00B259A6" w:rsidRPr="002544DA">
        <w:rPr>
          <w:b w:val="0"/>
          <w:bCs w:val="0"/>
          <w:rtl/>
        </w:rPr>
        <w:t xml:space="preserve"> المؤسسات التالية وزن مخاطر ترجيحي يساوي (صفر%):</w:t>
      </w:r>
      <w:bookmarkEnd w:id="202"/>
      <w:bookmarkEnd w:id="205"/>
      <w:bookmarkEnd w:id="206"/>
    </w:p>
    <w:tbl>
      <w:tblPr>
        <w:tblStyle w:val="TableGrid"/>
        <w:tblpPr w:leftFromText="180" w:rightFromText="180" w:vertAnchor="text" w:tblpY="1"/>
        <w:bidiVisual/>
        <w:tblW w:w="0" w:type="auto"/>
        <w:tblLook w:val="04A0" w:firstRow="1" w:lastRow="0" w:firstColumn="1" w:lastColumn="0" w:noHBand="0" w:noVBand="1"/>
      </w:tblPr>
      <w:tblGrid>
        <w:gridCol w:w="2464"/>
        <w:gridCol w:w="4282"/>
      </w:tblGrid>
      <w:tr w:rsidR="00C77639" w:rsidRPr="006B35B7" w:rsidTr="001848BD">
        <w:trPr>
          <w:trHeight w:val="288"/>
        </w:trPr>
        <w:tc>
          <w:tcPr>
            <w:tcW w:w="2464" w:type="dxa"/>
          </w:tcPr>
          <w:p w:rsidR="00C77639" w:rsidRPr="006B35B7" w:rsidRDefault="00C77639" w:rsidP="002544DA">
            <w:pPr>
              <w:jc w:val="left"/>
              <w:rPr>
                <w:b w:val="0"/>
                <w:bCs w:val="0"/>
                <w:sz w:val="24"/>
                <w:szCs w:val="24"/>
                <w:rtl/>
                <w:lang w:val="x-none" w:bidi="ar-JO"/>
              </w:rPr>
            </w:pPr>
            <w:r w:rsidRPr="006B35B7">
              <w:rPr>
                <w:b w:val="0"/>
                <w:bCs w:val="0"/>
                <w:sz w:val="24"/>
                <w:szCs w:val="24"/>
                <w:rtl/>
                <w:lang w:val="x-none" w:bidi="ar-JO"/>
              </w:rPr>
              <w:t>بنك التسويات الدولية</w:t>
            </w:r>
          </w:p>
        </w:tc>
        <w:tc>
          <w:tcPr>
            <w:tcW w:w="4282" w:type="dxa"/>
          </w:tcPr>
          <w:p w:rsidR="00C77639" w:rsidRPr="006B35B7" w:rsidRDefault="00C77639" w:rsidP="002544DA">
            <w:pPr>
              <w:jc w:val="right"/>
              <w:rPr>
                <w:b w:val="0"/>
                <w:bCs w:val="0"/>
                <w:sz w:val="24"/>
                <w:szCs w:val="24"/>
                <w:lang w:bidi="ar-JO"/>
              </w:rPr>
            </w:pPr>
            <w:r w:rsidRPr="006B35B7">
              <w:rPr>
                <w:b w:val="0"/>
                <w:bCs w:val="0"/>
                <w:sz w:val="24"/>
                <w:szCs w:val="24"/>
              </w:rPr>
              <w:t>Bank for International Settlements</w:t>
            </w:r>
          </w:p>
        </w:tc>
      </w:tr>
      <w:tr w:rsidR="00C77639" w:rsidRPr="006B35B7" w:rsidTr="001848BD">
        <w:trPr>
          <w:trHeight w:val="288"/>
        </w:trPr>
        <w:tc>
          <w:tcPr>
            <w:tcW w:w="2464" w:type="dxa"/>
          </w:tcPr>
          <w:p w:rsidR="00C77639" w:rsidRPr="006B35B7" w:rsidRDefault="00C77639" w:rsidP="002544DA">
            <w:pPr>
              <w:jc w:val="left"/>
              <w:rPr>
                <w:b w:val="0"/>
                <w:bCs w:val="0"/>
                <w:sz w:val="24"/>
                <w:szCs w:val="24"/>
                <w:rtl/>
                <w:lang w:val="x-none" w:bidi="ar-JO"/>
              </w:rPr>
            </w:pPr>
            <w:r w:rsidRPr="006B35B7">
              <w:rPr>
                <w:b w:val="0"/>
                <w:bCs w:val="0"/>
                <w:sz w:val="24"/>
                <w:szCs w:val="24"/>
                <w:rtl/>
              </w:rPr>
              <w:t>صندوق النقد الدولي</w:t>
            </w:r>
          </w:p>
        </w:tc>
        <w:tc>
          <w:tcPr>
            <w:tcW w:w="4282" w:type="dxa"/>
          </w:tcPr>
          <w:p w:rsidR="00C77639" w:rsidRPr="006B35B7" w:rsidRDefault="00C77639" w:rsidP="002544DA">
            <w:pPr>
              <w:jc w:val="right"/>
              <w:rPr>
                <w:b w:val="0"/>
                <w:bCs w:val="0"/>
                <w:sz w:val="24"/>
                <w:szCs w:val="24"/>
                <w:rtl/>
                <w:lang w:val="x-none" w:bidi="ar-JO"/>
              </w:rPr>
            </w:pPr>
            <w:r w:rsidRPr="006B35B7">
              <w:rPr>
                <w:b w:val="0"/>
                <w:bCs w:val="0"/>
                <w:sz w:val="24"/>
                <w:szCs w:val="24"/>
              </w:rPr>
              <w:t>International Monetary Fund</w:t>
            </w:r>
          </w:p>
        </w:tc>
      </w:tr>
      <w:tr w:rsidR="00C77639" w:rsidRPr="006B35B7" w:rsidTr="001848BD">
        <w:trPr>
          <w:trHeight w:val="288"/>
        </w:trPr>
        <w:tc>
          <w:tcPr>
            <w:tcW w:w="2464" w:type="dxa"/>
          </w:tcPr>
          <w:p w:rsidR="00C77639" w:rsidRPr="006B35B7" w:rsidRDefault="00C77639" w:rsidP="002544DA">
            <w:pPr>
              <w:jc w:val="left"/>
              <w:rPr>
                <w:b w:val="0"/>
                <w:bCs w:val="0"/>
                <w:sz w:val="24"/>
                <w:szCs w:val="24"/>
                <w:rtl/>
                <w:lang w:val="x-none" w:bidi="ar-JO"/>
              </w:rPr>
            </w:pPr>
            <w:r w:rsidRPr="006B35B7">
              <w:rPr>
                <w:b w:val="0"/>
                <w:bCs w:val="0"/>
                <w:sz w:val="24"/>
                <w:szCs w:val="24"/>
                <w:rtl/>
                <w:lang w:val="x-none" w:bidi="ar-JO"/>
              </w:rPr>
              <w:t>البنك المركزي الأوروبي</w:t>
            </w:r>
          </w:p>
        </w:tc>
        <w:tc>
          <w:tcPr>
            <w:tcW w:w="4282" w:type="dxa"/>
          </w:tcPr>
          <w:p w:rsidR="00C77639" w:rsidRPr="006B35B7" w:rsidRDefault="00C77639" w:rsidP="002544DA">
            <w:pPr>
              <w:jc w:val="right"/>
              <w:rPr>
                <w:b w:val="0"/>
                <w:bCs w:val="0"/>
                <w:sz w:val="24"/>
                <w:szCs w:val="24"/>
                <w:rtl/>
                <w:lang w:val="x-none" w:bidi="ar-JO"/>
              </w:rPr>
            </w:pPr>
            <w:r w:rsidRPr="006B35B7">
              <w:rPr>
                <w:b w:val="0"/>
                <w:bCs w:val="0"/>
                <w:sz w:val="24"/>
                <w:szCs w:val="24"/>
              </w:rPr>
              <w:t>European Central Bank</w:t>
            </w:r>
          </w:p>
        </w:tc>
      </w:tr>
      <w:tr w:rsidR="00C77639" w:rsidRPr="006B35B7" w:rsidTr="001848BD">
        <w:trPr>
          <w:trHeight w:val="288"/>
        </w:trPr>
        <w:tc>
          <w:tcPr>
            <w:tcW w:w="2464" w:type="dxa"/>
          </w:tcPr>
          <w:p w:rsidR="00C77639" w:rsidRPr="006B35B7" w:rsidRDefault="00C77639" w:rsidP="002544DA">
            <w:pPr>
              <w:jc w:val="left"/>
              <w:rPr>
                <w:b w:val="0"/>
                <w:bCs w:val="0"/>
                <w:sz w:val="24"/>
                <w:szCs w:val="24"/>
                <w:rtl/>
                <w:lang w:val="x-none" w:bidi="ar-JO"/>
              </w:rPr>
            </w:pPr>
            <w:r w:rsidRPr="006B35B7">
              <w:rPr>
                <w:b w:val="0"/>
                <w:bCs w:val="0"/>
                <w:sz w:val="24"/>
                <w:szCs w:val="24"/>
                <w:rtl/>
              </w:rPr>
              <w:t>الاتحاد الأوروبي</w:t>
            </w:r>
          </w:p>
        </w:tc>
        <w:tc>
          <w:tcPr>
            <w:tcW w:w="4282" w:type="dxa"/>
          </w:tcPr>
          <w:p w:rsidR="00C77639" w:rsidRPr="006B35B7" w:rsidRDefault="00C77639" w:rsidP="002544DA">
            <w:pPr>
              <w:jc w:val="right"/>
              <w:rPr>
                <w:b w:val="0"/>
                <w:bCs w:val="0"/>
                <w:sz w:val="24"/>
                <w:szCs w:val="24"/>
                <w:rtl/>
                <w:lang w:val="x-none" w:bidi="ar-JO"/>
              </w:rPr>
            </w:pPr>
            <w:r w:rsidRPr="006B35B7">
              <w:rPr>
                <w:b w:val="0"/>
                <w:bCs w:val="0"/>
                <w:sz w:val="24"/>
                <w:szCs w:val="24"/>
              </w:rPr>
              <w:t>European Community</w:t>
            </w:r>
          </w:p>
        </w:tc>
      </w:tr>
      <w:tr w:rsidR="00C77639" w:rsidRPr="006B35B7" w:rsidTr="001848BD">
        <w:trPr>
          <w:trHeight w:val="288"/>
        </w:trPr>
        <w:tc>
          <w:tcPr>
            <w:tcW w:w="2464" w:type="dxa"/>
          </w:tcPr>
          <w:p w:rsidR="00C77639" w:rsidRPr="006B35B7" w:rsidRDefault="00C77639" w:rsidP="002544DA">
            <w:pPr>
              <w:jc w:val="left"/>
              <w:rPr>
                <w:b w:val="0"/>
                <w:bCs w:val="0"/>
                <w:sz w:val="24"/>
                <w:szCs w:val="24"/>
                <w:rtl/>
              </w:rPr>
            </w:pPr>
            <w:r w:rsidRPr="006B35B7">
              <w:rPr>
                <w:b w:val="0"/>
                <w:bCs w:val="0"/>
                <w:sz w:val="24"/>
                <w:szCs w:val="24"/>
                <w:rtl/>
              </w:rPr>
              <w:t>صندوق النقد العربي</w:t>
            </w:r>
          </w:p>
        </w:tc>
        <w:tc>
          <w:tcPr>
            <w:tcW w:w="4282" w:type="dxa"/>
          </w:tcPr>
          <w:p w:rsidR="00C77639" w:rsidRPr="006B35B7" w:rsidRDefault="00C77639" w:rsidP="002544DA">
            <w:pPr>
              <w:jc w:val="right"/>
              <w:rPr>
                <w:b w:val="0"/>
                <w:bCs w:val="0"/>
                <w:sz w:val="24"/>
                <w:szCs w:val="24"/>
                <w:rtl/>
                <w:lang w:bidi="ar-JO"/>
              </w:rPr>
            </w:pPr>
            <w:r w:rsidRPr="006B35B7">
              <w:rPr>
                <w:b w:val="0"/>
                <w:bCs w:val="0"/>
                <w:sz w:val="24"/>
                <w:szCs w:val="24"/>
              </w:rPr>
              <w:t>Arab Monetary Fund</w:t>
            </w:r>
          </w:p>
        </w:tc>
      </w:tr>
    </w:tbl>
    <w:p w:rsidR="002C63F3" w:rsidRDefault="002C63F3" w:rsidP="002C63F3">
      <w:pPr>
        <w:ind w:left="1115"/>
        <w:rPr>
          <w:b w:val="0"/>
          <w:bCs w:val="0"/>
        </w:rPr>
      </w:pPr>
      <w:bookmarkStart w:id="207" w:name="_Toc451176076"/>
      <w:bookmarkStart w:id="208" w:name="_Toc451180057"/>
      <w:bookmarkStart w:id="209" w:name="_Toc414887888"/>
    </w:p>
    <w:p w:rsidR="002C63F3" w:rsidRDefault="002C63F3" w:rsidP="002C63F3">
      <w:pPr>
        <w:ind w:left="1115"/>
        <w:rPr>
          <w:b w:val="0"/>
          <w:bCs w:val="0"/>
        </w:rPr>
      </w:pPr>
    </w:p>
    <w:p w:rsidR="002C63F3" w:rsidRDefault="002C63F3" w:rsidP="002C63F3">
      <w:pPr>
        <w:ind w:left="1115"/>
        <w:rPr>
          <w:b w:val="0"/>
          <w:bCs w:val="0"/>
        </w:rPr>
      </w:pPr>
    </w:p>
    <w:p w:rsidR="002C63F3" w:rsidRDefault="002C63F3" w:rsidP="002C63F3">
      <w:pPr>
        <w:ind w:left="1115"/>
        <w:rPr>
          <w:b w:val="0"/>
          <w:bCs w:val="0"/>
        </w:rPr>
      </w:pPr>
    </w:p>
    <w:p w:rsidR="002C63F3" w:rsidRDefault="002C63F3" w:rsidP="002C63F3">
      <w:pPr>
        <w:ind w:left="1115"/>
        <w:rPr>
          <w:b w:val="0"/>
          <w:bCs w:val="0"/>
        </w:rPr>
      </w:pPr>
    </w:p>
    <w:p w:rsidR="00B259A6" w:rsidRPr="002544DA" w:rsidRDefault="001848BD" w:rsidP="00D0581E">
      <w:pPr>
        <w:spacing w:before="240"/>
        <w:ind w:left="1984" w:hanging="709"/>
        <w:rPr>
          <w:b w:val="0"/>
          <w:bCs w:val="0"/>
        </w:rPr>
      </w:pPr>
      <w:r w:rsidRPr="002544DA">
        <w:rPr>
          <w:b w:val="0"/>
          <w:bCs w:val="0"/>
          <w:rtl/>
        </w:rPr>
        <w:t>3.2.2</w:t>
      </w:r>
      <w:r>
        <w:rPr>
          <w:rFonts w:hint="cs"/>
          <w:b w:val="0"/>
          <w:bCs w:val="0"/>
          <w:rtl/>
        </w:rPr>
        <w:t>.</w:t>
      </w:r>
      <w:r>
        <w:rPr>
          <w:rFonts w:hint="cs"/>
          <w:b w:val="0"/>
          <w:bCs w:val="0"/>
          <w:rtl/>
        </w:rPr>
        <w:tab/>
      </w:r>
      <w:r w:rsidR="00B259A6" w:rsidRPr="002544DA">
        <w:rPr>
          <w:b w:val="0"/>
          <w:bCs w:val="0"/>
          <w:rtl/>
        </w:rPr>
        <w:t>المطالبات على منشآت القطاع العام (</w:t>
      </w:r>
      <w:r w:rsidR="00B259A6" w:rsidRPr="002544DA">
        <w:rPr>
          <w:b w:val="0"/>
          <w:bCs w:val="0"/>
        </w:rPr>
        <w:t>PSEs</w:t>
      </w:r>
      <w:r w:rsidR="00B259A6" w:rsidRPr="002544DA">
        <w:rPr>
          <w:b w:val="0"/>
          <w:bCs w:val="0"/>
          <w:rtl/>
        </w:rPr>
        <w:t>) (باستثناء الحكومة المركزية)</w:t>
      </w:r>
      <w:r w:rsidR="00F461F5" w:rsidRPr="002544DA">
        <w:rPr>
          <w:b w:val="0"/>
          <w:bCs w:val="0"/>
          <w:rtl/>
        </w:rPr>
        <w:t xml:space="preserve"> </w:t>
      </w:r>
      <w:r w:rsidR="00F461F5" w:rsidRPr="002544DA">
        <w:rPr>
          <w:b w:val="0"/>
          <w:bCs w:val="0"/>
        </w:rPr>
        <w:t xml:space="preserve">Claims </w:t>
      </w:r>
      <w:r w:rsidR="00D0581E">
        <w:rPr>
          <w:b w:val="0"/>
          <w:bCs w:val="0"/>
        </w:rPr>
        <w:t>o</w:t>
      </w:r>
      <w:r w:rsidR="00F461F5" w:rsidRPr="002544DA">
        <w:rPr>
          <w:b w:val="0"/>
          <w:bCs w:val="0"/>
        </w:rPr>
        <w:t xml:space="preserve">n </w:t>
      </w:r>
      <w:r w:rsidR="00D0581E">
        <w:rPr>
          <w:b w:val="0"/>
          <w:bCs w:val="0"/>
        </w:rPr>
        <w:t>n</w:t>
      </w:r>
      <w:r w:rsidR="00F461F5" w:rsidRPr="002544DA">
        <w:rPr>
          <w:b w:val="0"/>
          <w:bCs w:val="0"/>
        </w:rPr>
        <w:t>on-Central Government Public Sector Entities (PSEs)</w:t>
      </w:r>
      <w:bookmarkEnd w:id="207"/>
      <w:bookmarkEnd w:id="208"/>
      <w:bookmarkEnd w:id="209"/>
      <w:r w:rsidR="00F461F5" w:rsidRPr="002544DA">
        <w:rPr>
          <w:b w:val="0"/>
          <w:bCs w:val="0"/>
        </w:rPr>
        <w:t xml:space="preserve"> </w:t>
      </w:r>
    </w:p>
    <w:p w:rsidR="00B259A6" w:rsidRPr="002544DA" w:rsidRDefault="00B259A6" w:rsidP="001848BD">
      <w:pPr>
        <w:ind w:left="1115" w:firstLine="869"/>
        <w:rPr>
          <w:b w:val="0"/>
          <w:bCs w:val="0"/>
        </w:rPr>
      </w:pPr>
      <w:bookmarkStart w:id="210" w:name="_Toc414887889"/>
      <w:bookmarkStart w:id="211" w:name="_Toc451176077"/>
      <w:bookmarkStart w:id="212" w:name="_Toc451180058"/>
      <w:r w:rsidRPr="002544DA">
        <w:rPr>
          <w:b w:val="0"/>
          <w:bCs w:val="0"/>
          <w:rtl/>
        </w:rPr>
        <w:t>تقسم هذه المنشآت إلى ثلاثة أنواع:</w:t>
      </w:r>
      <w:bookmarkEnd w:id="210"/>
      <w:bookmarkEnd w:id="211"/>
      <w:bookmarkEnd w:id="212"/>
    </w:p>
    <w:p w:rsidR="00B259A6" w:rsidRPr="006D6E07" w:rsidRDefault="00B259A6" w:rsidP="001848BD">
      <w:pPr>
        <w:pStyle w:val="ListParagraph"/>
        <w:numPr>
          <w:ilvl w:val="0"/>
          <w:numId w:val="29"/>
        </w:numPr>
        <w:ind w:left="2551" w:hanging="425"/>
      </w:pPr>
      <w:bookmarkStart w:id="213" w:name="_Toc414887890"/>
      <w:bookmarkStart w:id="214" w:name="_Toc451176078"/>
      <w:bookmarkStart w:id="215" w:name="_Toc451180059"/>
      <w:r w:rsidRPr="002544DA">
        <w:rPr>
          <w:b w:val="0"/>
          <w:bCs w:val="0"/>
          <w:rtl/>
        </w:rPr>
        <w:t>حكومات الأقاليم والسلطات المحلية: منشآت حكومية لديها سلطة قانونية وتشريعية تمكنها من تحصيل إيرادات وتخفيض احتمالات مخاطر التعثر وهذه المنشآت مؤهلة للحصول على أوزان مخاطر الحكومات المركزية.</w:t>
      </w:r>
      <w:bookmarkEnd w:id="213"/>
      <w:bookmarkEnd w:id="214"/>
      <w:bookmarkEnd w:id="215"/>
    </w:p>
    <w:p w:rsidR="00B259A6" w:rsidRPr="002544DA" w:rsidRDefault="00B259A6" w:rsidP="00D0581E">
      <w:pPr>
        <w:pStyle w:val="ListParagraph"/>
        <w:numPr>
          <w:ilvl w:val="0"/>
          <w:numId w:val="29"/>
        </w:numPr>
        <w:ind w:left="2551" w:hanging="425"/>
        <w:rPr>
          <w:b w:val="0"/>
          <w:bCs w:val="0"/>
        </w:rPr>
      </w:pPr>
      <w:bookmarkStart w:id="216" w:name="_Toc414887891"/>
      <w:bookmarkStart w:id="217" w:name="_Toc451176079"/>
      <w:bookmarkStart w:id="218" w:name="_Toc451180060"/>
      <w:r w:rsidRPr="002544DA">
        <w:rPr>
          <w:b w:val="0"/>
          <w:bCs w:val="0"/>
          <w:rtl/>
        </w:rPr>
        <w:t>الأجهزة الإدارية المسؤولة أمام الحكومات المركزية أو الإقليمية أو السلطات المحلية والمنشآت الأخرى غير التجارية التي تملكها الحكومات أو الأجهزة المحلية:</w:t>
      </w:r>
      <w:r w:rsidR="00F461F5" w:rsidRPr="002544DA">
        <w:rPr>
          <w:b w:val="0"/>
          <w:bCs w:val="0"/>
          <w:rtl/>
        </w:rPr>
        <w:t xml:space="preserve"> </w:t>
      </w:r>
      <w:r w:rsidR="00D0581E" w:rsidRPr="002544DA">
        <w:rPr>
          <w:b w:val="0"/>
          <w:bCs w:val="0"/>
          <w:rtl/>
        </w:rPr>
        <w:t>لا تحظى بنفس  معاملة  الحكومة المركزية إذا كانت لا تتمتع بسلطات تمكنها من تحصيل وجمع إيرادات (ضريبية)</w:t>
      </w:r>
      <w:r w:rsidR="00D0581E">
        <w:rPr>
          <w:rFonts w:hint="cs"/>
          <w:b w:val="0"/>
          <w:bCs w:val="0"/>
          <w:rtl/>
        </w:rPr>
        <w:t xml:space="preserve">. </w:t>
      </w:r>
      <w:r w:rsidR="00D0581E" w:rsidRPr="002544DA">
        <w:rPr>
          <w:b w:val="0"/>
          <w:bCs w:val="0"/>
          <w:rtl/>
        </w:rPr>
        <w:t>في حال أن</w:t>
      </w:r>
      <w:r w:rsidR="00D0581E">
        <w:rPr>
          <w:rFonts w:hint="cs"/>
          <w:b w:val="0"/>
          <w:bCs w:val="0"/>
          <w:rtl/>
        </w:rPr>
        <w:t xml:space="preserve"> </w:t>
      </w:r>
      <w:r w:rsidR="00D0581E" w:rsidRPr="002544DA">
        <w:rPr>
          <w:b w:val="0"/>
          <w:bCs w:val="0"/>
          <w:rtl/>
        </w:rPr>
        <w:t>ه</w:t>
      </w:r>
      <w:r w:rsidR="00D0581E">
        <w:rPr>
          <w:rFonts w:hint="cs"/>
          <w:b w:val="0"/>
          <w:bCs w:val="0"/>
          <w:rtl/>
        </w:rPr>
        <w:t xml:space="preserve">ذه الأجهزة </w:t>
      </w:r>
      <w:r w:rsidR="00D0581E" w:rsidRPr="002544DA">
        <w:rPr>
          <w:b w:val="0"/>
          <w:bCs w:val="0"/>
          <w:rtl/>
        </w:rPr>
        <w:t xml:space="preserve">تخضع لترتيبات اقتراض متشددة وليس بالإمكان إشهار إفلاسها بسبب وضعها القانوني كمؤسسة عامة </w:t>
      </w:r>
      <w:r w:rsidR="00D0581E">
        <w:rPr>
          <w:rFonts w:hint="cs"/>
          <w:b w:val="0"/>
          <w:bCs w:val="0"/>
          <w:rtl/>
        </w:rPr>
        <w:t xml:space="preserve">فإنها </w:t>
      </w:r>
      <w:r w:rsidR="00F461F5" w:rsidRPr="002544DA">
        <w:rPr>
          <w:b w:val="0"/>
          <w:bCs w:val="0"/>
          <w:rtl/>
        </w:rPr>
        <w:t>تكون مؤهلة للحصول على أوزان مخاطر البنوك (باستثناء المعاملة ا</w:t>
      </w:r>
      <w:r w:rsidR="00D0581E">
        <w:rPr>
          <w:b w:val="0"/>
          <w:bCs w:val="0"/>
          <w:rtl/>
        </w:rPr>
        <w:t>لتفضيلية للمطالبات قصيرة الأجل)</w:t>
      </w:r>
      <w:r w:rsidRPr="002544DA">
        <w:rPr>
          <w:b w:val="0"/>
          <w:bCs w:val="0"/>
          <w:rtl/>
        </w:rPr>
        <w:t>.</w:t>
      </w:r>
      <w:bookmarkEnd w:id="216"/>
      <w:bookmarkEnd w:id="217"/>
      <w:bookmarkEnd w:id="218"/>
      <w:r w:rsidR="00F461F5" w:rsidRPr="002544DA">
        <w:rPr>
          <w:b w:val="0"/>
          <w:bCs w:val="0"/>
          <w:rtl/>
        </w:rPr>
        <w:t xml:space="preserve">   </w:t>
      </w:r>
    </w:p>
    <w:p w:rsidR="00B259A6" w:rsidRPr="002544DA" w:rsidRDefault="00B259A6" w:rsidP="001848BD">
      <w:pPr>
        <w:pStyle w:val="ListParagraph"/>
        <w:numPr>
          <w:ilvl w:val="0"/>
          <w:numId w:val="29"/>
        </w:numPr>
        <w:ind w:left="2551" w:hanging="425"/>
        <w:rPr>
          <w:b w:val="0"/>
          <w:bCs w:val="0"/>
          <w:rtl/>
        </w:rPr>
      </w:pPr>
      <w:bookmarkStart w:id="219" w:name="_Toc414887892"/>
      <w:bookmarkStart w:id="220" w:name="_Toc451176080"/>
      <w:bookmarkStart w:id="221" w:name="_Toc451180061"/>
      <w:r w:rsidRPr="002544DA">
        <w:rPr>
          <w:b w:val="0"/>
          <w:bCs w:val="0"/>
          <w:rtl/>
        </w:rPr>
        <w:t>المنشآت التجارية المملوكة للحكومات المركزية  او الإقليمية أو السلطات المحلية: على الرغم من ملكية الدولة أو السلطة المحلية لأغلب أسهم هذه المنشآت إلا أنه يتم معاملتها نفس معاملة المنشآت التجارية، وتعطى أوزان مخاطر الشركات تبعا لتصنيفها الائتماني.</w:t>
      </w:r>
      <w:bookmarkEnd w:id="219"/>
      <w:bookmarkEnd w:id="220"/>
      <w:bookmarkEnd w:id="221"/>
    </w:p>
    <w:p w:rsidR="002544DA" w:rsidRDefault="00B259A6" w:rsidP="00D0581E">
      <w:pPr>
        <w:ind w:left="1984"/>
        <w:rPr>
          <w:b w:val="0"/>
          <w:bCs w:val="0"/>
          <w:rtl/>
        </w:rPr>
      </w:pPr>
      <w:bookmarkStart w:id="222" w:name="_Toc414887893"/>
      <w:bookmarkStart w:id="223" w:name="_Toc451176081"/>
      <w:bookmarkStart w:id="224" w:name="_Toc451180062"/>
      <w:r w:rsidRPr="002544DA">
        <w:rPr>
          <w:b w:val="0"/>
          <w:bCs w:val="0"/>
          <w:rtl/>
        </w:rPr>
        <w:t>في ظل التعريفات أعلاه فقد قام البنك المركزي الأردني بتصنيف منشآت وشركات القطاع العام حسب الفئات المشار إليها أعلاه (ووفقاً للمل</w:t>
      </w:r>
      <w:r w:rsidR="00D0581E">
        <w:rPr>
          <w:rFonts w:hint="cs"/>
          <w:b w:val="0"/>
          <w:bCs w:val="0"/>
          <w:rtl/>
        </w:rPr>
        <w:t>ا</w:t>
      </w:r>
      <w:r w:rsidRPr="002544DA">
        <w:rPr>
          <w:b w:val="0"/>
          <w:bCs w:val="0"/>
          <w:rtl/>
        </w:rPr>
        <w:t xml:space="preserve">حق </w:t>
      </w:r>
      <w:r w:rsidR="00D0581E">
        <w:rPr>
          <w:rFonts w:hint="cs"/>
          <w:b w:val="0"/>
          <w:bCs w:val="0"/>
          <w:rtl/>
        </w:rPr>
        <w:t>ذات الأرقام 10.9.8</w:t>
      </w:r>
      <w:r w:rsidRPr="002544DA">
        <w:rPr>
          <w:b w:val="0"/>
          <w:bCs w:val="0"/>
          <w:rtl/>
        </w:rPr>
        <w:t>)</w:t>
      </w:r>
      <w:r w:rsidR="004F1FC2" w:rsidRPr="002544DA">
        <w:rPr>
          <w:b w:val="0"/>
          <w:bCs w:val="0"/>
          <w:rtl/>
        </w:rPr>
        <w:t>.</w:t>
      </w:r>
      <w:bookmarkEnd w:id="222"/>
      <w:bookmarkEnd w:id="223"/>
      <w:bookmarkEnd w:id="224"/>
      <w:r w:rsidR="004F1FC2" w:rsidRPr="002544DA">
        <w:rPr>
          <w:b w:val="0"/>
          <w:bCs w:val="0"/>
          <w:rtl/>
        </w:rPr>
        <w:t xml:space="preserve"> </w:t>
      </w:r>
    </w:p>
    <w:p w:rsidR="001848BD" w:rsidRPr="002544DA" w:rsidRDefault="001848BD" w:rsidP="001848BD">
      <w:pPr>
        <w:ind w:left="1984"/>
        <w:rPr>
          <w:b w:val="0"/>
          <w:bCs w:val="0"/>
          <w:rtl/>
        </w:rPr>
      </w:pPr>
    </w:p>
    <w:p w:rsidR="00B259A6" w:rsidRPr="006B35B7" w:rsidRDefault="000E7E6C" w:rsidP="001848BD">
      <w:pPr>
        <w:ind w:left="2126" w:hanging="851"/>
        <w:rPr>
          <w:b w:val="0"/>
          <w:bCs w:val="0"/>
          <w:rtl/>
        </w:rPr>
      </w:pPr>
      <w:bookmarkStart w:id="225" w:name="_Toc414887894"/>
      <w:bookmarkStart w:id="226" w:name="_Toc451176082"/>
      <w:bookmarkStart w:id="227" w:name="_Toc451180063"/>
      <w:r w:rsidRPr="006B35B7">
        <w:rPr>
          <w:b w:val="0"/>
          <w:bCs w:val="0"/>
          <w:rtl/>
        </w:rPr>
        <w:lastRenderedPageBreak/>
        <w:t>4</w:t>
      </w:r>
      <w:r w:rsidR="00B259A6" w:rsidRPr="006B35B7">
        <w:rPr>
          <w:b w:val="0"/>
          <w:bCs w:val="0"/>
          <w:rtl/>
        </w:rPr>
        <w:t>.2.2</w:t>
      </w:r>
      <w:r w:rsidR="006B35B7">
        <w:rPr>
          <w:rFonts w:hint="cs"/>
          <w:b w:val="0"/>
          <w:bCs w:val="0"/>
          <w:rtl/>
        </w:rPr>
        <w:t>.</w:t>
      </w:r>
      <w:r w:rsidR="00B259A6" w:rsidRPr="006B35B7">
        <w:rPr>
          <w:b w:val="0"/>
          <w:bCs w:val="0"/>
          <w:rtl/>
        </w:rPr>
        <w:tab/>
        <w:t>مطالبات</w:t>
      </w:r>
      <w:r w:rsidRPr="006B35B7">
        <w:rPr>
          <w:b w:val="0"/>
          <w:bCs w:val="0"/>
          <w:rtl/>
        </w:rPr>
        <w:t xml:space="preserve"> على</w:t>
      </w:r>
      <w:r w:rsidR="00B259A6" w:rsidRPr="006B35B7">
        <w:rPr>
          <w:b w:val="0"/>
          <w:bCs w:val="0"/>
          <w:rtl/>
        </w:rPr>
        <w:t xml:space="preserve"> بنوك التنمية متعددة الأطراف </w:t>
      </w:r>
      <w:r w:rsidR="00B259A6" w:rsidRPr="006B35B7">
        <w:rPr>
          <w:b w:val="0"/>
          <w:bCs w:val="0"/>
        </w:rPr>
        <w:t>Claims on Multilateral Development Banks (MDBs)</w:t>
      </w:r>
      <w:r w:rsidR="00B259A6" w:rsidRPr="006B35B7">
        <w:rPr>
          <w:b w:val="0"/>
          <w:bCs w:val="0"/>
          <w:rtl/>
        </w:rPr>
        <w:t>:</w:t>
      </w:r>
      <w:bookmarkEnd w:id="225"/>
      <w:bookmarkEnd w:id="226"/>
      <w:bookmarkEnd w:id="227"/>
    </w:p>
    <w:p w:rsidR="00B259A6" w:rsidRDefault="001848BD" w:rsidP="001848BD">
      <w:pPr>
        <w:ind w:left="2551" w:hanging="425"/>
        <w:rPr>
          <w:b w:val="0"/>
          <w:bCs w:val="0"/>
          <w:rtl/>
        </w:rPr>
      </w:pPr>
      <w:bookmarkStart w:id="228" w:name="_Toc414887895"/>
      <w:bookmarkStart w:id="229" w:name="_Toc451176083"/>
      <w:bookmarkStart w:id="230" w:name="_Toc451180064"/>
      <w:r>
        <w:rPr>
          <w:rFonts w:hint="cs"/>
          <w:b w:val="0"/>
          <w:bCs w:val="0"/>
          <w:rtl/>
        </w:rPr>
        <w:t>-</w:t>
      </w:r>
      <w:r>
        <w:rPr>
          <w:rFonts w:hint="cs"/>
          <w:b w:val="0"/>
          <w:bCs w:val="0"/>
          <w:rtl/>
        </w:rPr>
        <w:tab/>
      </w:r>
      <w:r w:rsidR="00B259A6" w:rsidRPr="006B35B7">
        <w:rPr>
          <w:b w:val="0"/>
          <w:bCs w:val="0"/>
          <w:rtl/>
        </w:rPr>
        <w:t>تعامل المطالبات على هذه البنوك معاملة البنوك - باستثناء المعاملة التفضيلية للالتزامات قصيرة الأجل- ما عدا البنوك التالية التي تعطى وزن مخاطر ترجيحي (صفر%):</w:t>
      </w:r>
      <w:bookmarkEnd w:id="228"/>
      <w:bookmarkEnd w:id="229"/>
      <w:bookmarkEnd w:id="230"/>
    </w:p>
    <w:tbl>
      <w:tblPr>
        <w:tblStyle w:val="TableGrid"/>
        <w:bidiVisual/>
        <w:tblW w:w="3934" w:type="pct"/>
        <w:jc w:val="right"/>
        <w:tblLook w:val="04A0" w:firstRow="1" w:lastRow="0" w:firstColumn="1" w:lastColumn="0" w:noHBand="0" w:noVBand="1"/>
      </w:tblPr>
      <w:tblGrid>
        <w:gridCol w:w="2411"/>
        <w:gridCol w:w="4785"/>
      </w:tblGrid>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lang w:bidi="ar-JO"/>
              </w:rPr>
            </w:pPr>
            <w:bookmarkStart w:id="231" w:name="_Toc414887896"/>
            <w:bookmarkStart w:id="232" w:name="_Toc451176084"/>
            <w:bookmarkStart w:id="233" w:name="_Toc451180065"/>
            <w:r w:rsidRPr="001848BD">
              <w:rPr>
                <w:b w:val="0"/>
                <w:bCs w:val="0"/>
                <w:sz w:val="22"/>
                <w:szCs w:val="22"/>
                <w:rtl/>
              </w:rPr>
              <w:t>البنك الدولي للإنشاء والتعمير</w:t>
            </w:r>
            <w:bookmarkEnd w:id="231"/>
            <w:bookmarkEnd w:id="232"/>
            <w:bookmarkEnd w:id="233"/>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World Bank Group for Reconstruction and Development (IBRD)</w:t>
            </w:r>
          </w:p>
        </w:tc>
      </w:tr>
      <w:tr w:rsidR="00D85144" w:rsidRPr="001848BD" w:rsidTr="001848BD">
        <w:trPr>
          <w:trHeight w:val="363"/>
          <w:jc w:val="right"/>
        </w:trPr>
        <w:tc>
          <w:tcPr>
            <w:tcW w:w="1675" w:type="pct"/>
            <w:vAlign w:val="center"/>
          </w:tcPr>
          <w:p w:rsidR="002544DA" w:rsidRPr="001848BD" w:rsidRDefault="002544DA" w:rsidP="00C27ED0">
            <w:pPr>
              <w:jc w:val="left"/>
              <w:rPr>
                <w:b w:val="0"/>
                <w:bCs w:val="0"/>
                <w:sz w:val="22"/>
                <w:szCs w:val="22"/>
              </w:rPr>
            </w:pPr>
            <w:bookmarkStart w:id="234" w:name="_Toc414887897"/>
            <w:bookmarkStart w:id="235" w:name="_Toc451176085"/>
            <w:bookmarkStart w:id="236" w:name="_Toc451180066"/>
            <w:r w:rsidRPr="001848BD">
              <w:rPr>
                <w:b w:val="0"/>
                <w:bCs w:val="0"/>
                <w:sz w:val="22"/>
                <w:szCs w:val="22"/>
                <w:rtl/>
              </w:rPr>
              <w:t>مؤسسة التمويل الدولية</w:t>
            </w:r>
            <w:bookmarkEnd w:id="234"/>
            <w:bookmarkEnd w:id="235"/>
            <w:bookmarkEnd w:id="236"/>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International Finance Corporation (IFC)</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37" w:name="_Toc414887898"/>
            <w:bookmarkStart w:id="238" w:name="_Toc451176086"/>
            <w:bookmarkStart w:id="239" w:name="_Toc451180067"/>
            <w:r w:rsidRPr="001848BD">
              <w:rPr>
                <w:b w:val="0"/>
                <w:bCs w:val="0"/>
                <w:sz w:val="22"/>
                <w:szCs w:val="22"/>
                <w:rtl/>
              </w:rPr>
              <w:t>البنك الآسيوي للتنمية</w:t>
            </w:r>
            <w:bookmarkEnd w:id="237"/>
            <w:bookmarkEnd w:id="238"/>
            <w:bookmarkEnd w:id="239"/>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The Asian Development Bank (ADB)</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40" w:name="_Toc414887899"/>
            <w:bookmarkStart w:id="241" w:name="_Toc451176087"/>
            <w:bookmarkStart w:id="242" w:name="_Toc451180068"/>
            <w:r w:rsidRPr="001848BD">
              <w:rPr>
                <w:b w:val="0"/>
                <w:bCs w:val="0"/>
                <w:sz w:val="22"/>
                <w:szCs w:val="22"/>
                <w:rtl/>
              </w:rPr>
              <w:t>بنك التنمية الإفريقي</w:t>
            </w:r>
            <w:bookmarkEnd w:id="240"/>
            <w:bookmarkEnd w:id="241"/>
            <w:bookmarkEnd w:id="242"/>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The African Development Bank (AFDB)</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43" w:name="_Toc414887900"/>
            <w:bookmarkStart w:id="244" w:name="_Toc451176088"/>
            <w:bookmarkStart w:id="245" w:name="_Toc451180069"/>
            <w:r w:rsidRPr="001848BD">
              <w:rPr>
                <w:b w:val="0"/>
                <w:bCs w:val="0"/>
                <w:sz w:val="22"/>
                <w:szCs w:val="22"/>
                <w:rtl/>
              </w:rPr>
              <w:t>البنك الأوروبي للإنشاء والتعمير</w:t>
            </w:r>
            <w:bookmarkEnd w:id="243"/>
            <w:bookmarkEnd w:id="244"/>
            <w:bookmarkEnd w:id="245"/>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The European Bank for Reconstruction and Development (EBRD)</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46" w:name="_Toc414887901"/>
            <w:bookmarkStart w:id="247" w:name="_Toc451176089"/>
            <w:bookmarkStart w:id="248" w:name="_Toc451180070"/>
            <w:r w:rsidRPr="001848BD">
              <w:rPr>
                <w:b w:val="0"/>
                <w:bCs w:val="0"/>
                <w:sz w:val="22"/>
                <w:szCs w:val="22"/>
                <w:rtl/>
              </w:rPr>
              <w:t>بنك التنمية عبر أمريكا</w:t>
            </w:r>
            <w:bookmarkEnd w:id="246"/>
            <w:bookmarkEnd w:id="247"/>
            <w:bookmarkEnd w:id="248"/>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Inter-American Development Bank</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49" w:name="_Toc414887902"/>
            <w:bookmarkStart w:id="250" w:name="_Toc451176090"/>
            <w:bookmarkStart w:id="251" w:name="_Toc451180071"/>
            <w:r w:rsidRPr="001848BD">
              <w:rPr>
                <w:b w:val="0"/>
                <w:bCs w:val="0"/>
                <w:sz w:val="22"/>
                <w:szCs w:val="22"/>
                <w:rtl/>
              </w:rPr>
              <w:t>بنك الاستثمار الأوروبي</w:t>
            </w:r>
            <w:bookmarkEnd w:id="249"/>
            <w:bookmarkEnd w:id="250"/>
            <w:bookmarkEnd w:id="251"/>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The European Investment Bank (EIB)</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52" w:name="_Toc414887903"/>
            <w:bookmarkStart w:id="253" w:name="_Toc451176091"/>
            <w:bookmarkStart w:id="254" w:name="_Toc451180072"/>
            <w:r w:rsidRPr="001848BD">
              <w:rPr>
                <w:b w:val="0"/>
                <w:bCs w:val="0"/>
                <w:sz w:val="22"/>
                <w:szCs w:val="22"/>
                <w:rtl/>
              </w:rPr>
              <w:t>صندوق الاستثمار الأوروبي</w:t>
            </w:r>
            <w:bookmarkEnd w:id="252"/>
            <w:bookmarkEnd w:id="253"/>
            <w:bookmarkEnd w:id="254"/>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The European Investment Fund</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55" w:name="_Toc414887904"/>
            <w:bookmarkStart w:id="256" w:name="_Toc451176092"/>
            <w:bookmarkStart w:id="257" w:name="_Toc451180073"/>
            <w:r w:rsidRPr="001848BD">
              <w:rPr>
                <w:b w:val="0"/>
                <w:bCs w:val="0"/>
                <w:sz w:val="22"/>
                <w:szCs w:val="22"/>
                <w:rtl/>
              </w:rPr>
              <w:t>بنك الاستثمار لدول الشمال</w:t>
            </w:r>
            <w:bookmarkEnd w:id="255"/>
            <w:bookmarkEnd w:id="256"/>
            <w:bookmarkEnd w:id="257"/>
          </w:p>
        </w:tc>
        <w:tc>
          <w:tcPr>
            <w:tcW w:w="3325" w:type="pct"/>
            <w:vAlign w:val="center"/>
          </w:tcPr>
          <w:p w:rsidR="002544DA" w:rsidRPr="001848BD" w:rsidRDefault="002544DA" w:rsidP="00C27ED0">
            <w:pPr>
              <w:jc w:val="right"/>
              <w:rPr>
                <w:b w:val="0"/>
                <w:bCs w:val="0"/>
                <w:sz w:val="22"/>
                <w:szCs w:val="22"/>
                <w:rtl/>
              </w:rPr>
            </w:pPr>
            <w:r w:rsidRPr="001848BD">
              <w:rPr>
                <w:b w:val="0"/>
                <w:bCs w:val="0"/>
                <w:sz w:val="22"/>
                <w:szCs w:val="22"/>
              </w:rPr>
              <w:t>The Nordic Investment Bank (NIB)</w:t>
            </w:r>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58" w:name="_Toc414887905"/>
            <w:bookmarkStart w:id="259" w:name="_Toc451176093"/>
            <w:bookmarkStart w:id="260" w:name="_Toc451180074"/>
            <w:r w:rsidRPr="001848BD">
              <w:rPr>
                <w:b w:val="0"/>
                <w:bCs w:val="0"/>
                <w:sz w:val="22"/>
                <w:szCs w:val="22"/>
                <w:rtl/>
              </w:rPr>
              <w:t>بنك التنمية لدول الكاريبي</w:t>
            </w:r>
            <w:bookmarkEnd w:id="258"/>
            <w:bookmarkEnd w:id="259"/>
            <w:bookmarkEnd w:id="260"/>
          </w:p>
        </w:tc>
        <w:tc>
          <w:tcPr>
            <w:tcW w:w="3325" w:type="pct"/>
            <w:vAlign w:val="center"/>
          </w:tcPr>
          <w:p w:rsidR="002544DA" w:rsidRPr="001848BD" w:rsidRDefault="002544DA" w:rsidP="00C27ED0">
            <w:pPr>
              <w:jc w:val="right"/>
              <w:rPr>
                <w:b w:val="0"/>
                <w:bCs w:val="0"/>
                <w:sz w:val="22"/>
                <w:szCs w:val="22"/>
                <w:rtl/>
              </w:rPr>
            </w:pPr>
            <w:bookmarkStart w:id="261" w:name="_Toc414887906"/>
            <w:bookmarkStart w:id="262" w:name="_Toc451176094"/>
            <w:bookmarkStart w:id="263" w:name="_Toc451180075"/>
            <w:r w:rsidRPr="001848BD">
              <w:rPr>
                <w:b w:val="0"/>
                <w:bCs w:val="0"/>
                <w:sz w:val="22"/>
                <w:szCs w:val="22"/>
              </w:rPr>
              <w:t>The Caribbean Development Bank (CDB)</w:t>
            </w:r>
            <w:bookmarkEnd w:id="261"/>
            <w:bookmarkEnd w:id="262"/>
            <w:bookmarkEnd w:id="263"/>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64" w:name="_Toc414887907"/>
            <w:bookmarkStart w:id="265" w:name="_Toc451176095"/>
            <w:bookmarkStart w:id="266" w:name="_Toc451180076"/>
            <w:r w:rsidRPr="001848BD">
              <w:rPr>
                <w:b w:val="0"/>
                <w:bCs w:val="0"/>
                <w:sz w:val="22"/>
                <w:szCs w:val="22"/>
                <w:rtl/>
              </w:rPr>
              <w:t>البنك الإسلامي للتنمية</w:t>
            </w:r>
            <w:bookmarkEnd w:id="264"/>
            <w:bookmarkEnd w:id="265"/>
            <w:bookmarkEnd w:id="266"/>
          </w:p>
        </w:tc>
        <w:tc>
          <w:tcPr>
            <w:tcW w:w="3325" w:type="pct"/>
            <w:vAlign w:val="center"/>
          </w:tcPr>
          <w:p w:rsidR="002544DA" w:rsidRPr="001848BD" w:rsidRDefault="002544DA" w:rsidP="00C27ED0">
            <w:pPr>
              <w:jc w:val="right"/>
              <w:rPr>
                <w:b w:val="0"/>
                <w:bCs w:val="0"/>
                <w:sz w:val="22"/>
                <w:szCs w:val="22"/>
                <w:rtl/>
              </w:rPr>
            </w:pPr>
            <w:bookmarkStart w:id="267" w:name="_Toc414887908"/>
            <w:bookmarkStart w:id="268" w:name="_Toc451176096"/>
            <w:bookmarkStart w:id="269" w:name="_Toc451180077"/>
            <w:r w:rsidRPr="001848BD">
              <w:rPr>
                <w:b w:val="0"/>
                <w:bCs w:val="0"/>
                <w:sz w:val="22"/>
                <w:szCs w:val="22"/>
              </w:rPr>
              <w:t>The Islamic Development Bank (IDB)</w:t>
            </w:r>
            <w:bookmarkEnd w:id="267"/>
            <w:bookmarkEnd w:id="268"/>
            <w:bookmarkEnd w:id="269"/>
          </w:p>
        </w:tc>
      </w:tr>
      <w:tr w:rsidR="002544DA" w:rsidRPr="001848BD" w:rsidTr="001848BD">
        <w:trPr>
          <w:jc w:val="right"/>
        </w:trPr>
        <w:tc>
          <w:tcPr>
            <w:tcW w:w="1675" w:type="pct"/>
            <w:vAlign w:val="center"/>
          </w:tcPr>
          <w:p w:rsidR="002544DA" w:rsidRPr="001848BD" w:rsidRDefault="002544DA" w:rsidP="00C27ED0">
            <w:pPr>
              <w:jc w:val="left"/>
              <w:rPr>
                <w:b w:val="0"/>
                <w:bCs w:val="0"/>
                <w:sz w:val="22"/>
                <w:szCs w:val="22"/>
                <w:rtl/>
              </w:rPr>
            </w:pPr>
            <w:bookmarkStart w:id="270" w:name="_Toc414887909"/>
            <w:bookmarkStart w:id="271" w:name="_Toc451176097"/>
            <w:bookmarkStart w:id="272" w:name="_Toc451180078"/>
            <w:r w:rsidRPr="001848BD">
              <w:rPr>
                <w:b w:val="0"/>
                <w:bCs w:val="0"/>
                <w:sz w:val="22"/>
                <w:szCs w:val="22"/>
                <w:rtl/>
              </w:rPr>
              <w:t>المجلس الأوروبي للتنمية</w:t>
            </w:r>
            <w:bookmarkEnd w:id="270"/>
            <w:bookmarkEnd w:id="271"/>
            <w:bookmarkEnd w:id="272"/>
          </w:p>
        </w:tc>
        <w:tc>
          <w:tcPr>
            <w:tcW w:w="3325" w:type="pct"/>
            <w:vAlign w:val="center"/>
          </w:tcPr>
          <w:p w:rsidR="002544DA" w:rsidRPr="001848BD" w:rsidRDefault="002544DA" w:rsidP="00C27ED0">
            <w:pPr>
              <w:jc w:val="right"/>
              <w:rPr>
                <w:b w:val="0"/>
                <w:bCs w:val="0"/>
                <w:sz w:val="22"/>
                <w:szCs w:val="22"/>
                <w:rtl/>
              </w:rPr>
            </w:pPr>
            <w:bookmarkStart w:id="273" w:name="_Toc414887910"/>
            <w:bookmarkStart w:id="274" w:name="_Toc451176098"/>
            <w:bookmarkStart w:id="275" w:name="_Toc451180079"/>
            <w:r w:rsidRPr="001848BD">
              <w:rPr>
                <w:b w:val="0"/>
                <w:bCs w:val="0"/>
                <w:sz w:val="22"/>
                <w:szCs w:val="22"/>
              </w:rPr>
              <w:t>The Council of Europe Development Bank (CEDB)</w:t>
            </w:r>
            <w:bookmarkEnd w:id="273"/>
            <w:bookmarkEnd w:id="274"/>
            <w:bookmarkEnd w:id="275"/>
          </w:p>
        </w:tc>
      </w:tr>
    </w:tbl>
    <w:p w:rsidR="00B259A6" w:rsidRPr="002544DA" w:rsidRDefault="00B259A6" w:rsidP="001848BD">
      <w:pPr>
        <w:pStyle w:val="ListParagraph"/>
        <w:numPr>
          <w:ilvl w:val="0"/>
          <w:numId w:val="29"/>
        </w:numPr>
        <w:ind w:left="2551" w:hanging="425"/>
        <w:rPr>
          <w:b w:val="0"/>
          <w:bCs w:val="0"/>
          <w:rtl/>
        </w:rPr>
      </w:pPr>
      <w:bookmarkStart w:id="276" w:name="_Toc414887911"/>
      <w:bookmarkStart w:id="277" w:name="_Toc451176099"/>
      <w:bookmarkStart w:id="278" w:name="_Toc451180080"/>
      <w:r w:rsidRPr="002544DA">
        <w:rPr>
          <w:b w:val="0"/>
          <w:bCs w:val="0"/>
          <w:rtl/>
        </w:rPr>
        <w:t>يطبق وزن مخاطر ترجيحي(صفر%) على أي بنوك مشابهة شريطة الحصول على الموافقة المسبقة من البنك المركزي الأردني.</w:t>
      </w:r>
      <w:bookmarkEnd w:id="276"/>
      <w:bookmarkEnd w:id="277"/>
      <w:bookmarkEnd w:id="278"/>
    </w:p>
    <w:p w:rsidR="00B259A6" w:rsidRPr="006B35B7" w:rsidRDefault="000E7E6C" w:rsidP="001848BD">
      <w:pPr>
        <w:spacing w:before="240"/>
        <w:ind w:left="2126" w:hanging="851"/>
        <w:rPr>
          <w:b w:val="0"/>
          <w:bCs w:val="0"/>
        </w:rPr>
      </w:pPr>
      <w:bookmarkStart w:id="279" w:name="_Toc414887912"/>
      <w:bookmarkStart w:id="280" w:name="_Toc451176100"/>
      <w:bookmarkStart w:id="281" w:name="_Toc451180081"/>
      <w:r w:rsidRPr="006B35B7">
        <w:rPr>
          <w:b w:val="0"/>
          <w:bCs w:val="0"/>
          <w:rtl/>
        </w:rPr>
        <w:t>5</w:t>
      </w:r>
      <w:r w:rsidR="00B259A6" w:rsidRPr="006B35B7">
        <w:rPr>
          <w:b w:val="0"/>
          <w:bCs w:val="0"/>
          <w:rtl/>
        </w:rPr>
        <w:t>.2.2</w:t>
      </w:r>
      <w:r w:rsidR="006B35B7">
        <w:rPr>
          <w:b w:val="0"/>
          <w:bCs w:val="0"/>
        </w:rPr>
        <w:t>.</w:t>
      </w:r>
      <w:r w:rsidR="00B259A6" w:rsidRPr="006B35B7">
        <w:rPr>
          <w:b w:val="0"/>
          <w:bCs w:val="0"/>
          <w:rtl/>
        </w:rPr>
        <w:tab/>
        <w:t xml:space="preserve">مطالبات </w:t>
      </w:r>
      <w:r w:rsidRPr="006B35B7">
        <w:rPr>
          <w:b w:val="0"/>
          <w:bCs w:val="0"/>
          <w:rtl/>
        </w:rPr>
        <w:t xml:space="preserve">على </w:t>
      </w:r>
      <w:r w:rsidR="00B259A6" w:rsidRPr="006B35B7">
        <w:rPr>
          <w:b w:val="0"/>
          <w:bCs w:val="0"/>
          <w:rtl/>
        </w:rPr>
        <w:t xml:space="preserve">البنوك </w:t>
      </w:r>
      <w:r w:rsidR="00B259A6" w:rsidRPr="006B35B7">
        <w:rPr>
          <w:b w:val="0"/>
          <w:bCs w:val="0"/>
        </w:rPr>
        <w:t>Claims on banks</w:t>
      </w:r>
      <w:bookmarkEnd w:id="279"/>
      <w:bookmarkEnd w:id="280"/>
      <w:bookmarkEnd w:id="281"/>
    </w:p>
    <w:p w:rsidR="002C63F3" w:rsidRDefault="001848BD" w:rsidP="001848BD">
      <w:pPr>
        <w:ind w:left="2551" w:hanging="425"/>
        <w:rPr>
          <w:b w:val="0"/>
          <w:bCs w:val="0"/>
          <w:rtl/>
          <w:lang w:bidi="ar-JO"/>
        </w:rPr>
      </w:pPr>
      <w:bookmarkStart w:id="282" w:name="_Toc414887913"/>
      <w:bookmarkStart w:id="283" w:name="_Toc451176101"/>
      <w:bookmarkStart w:id="284" w:name="_Toc451180082"/>
      <w:r>
        <w:rPr>
          <w:rFonts w:hint="cs"/>
          <w:b w:val="0"/>
          <w:bCs w:val="0"/>
          <w:rtl/>
        </w:rPr>
        <w:t>-</w:t>
      </w:r>
      <w:r>
        <w:rPr>
          <w:rFonts w:hint="cs"/>
          <w:b w:val="0"/>
          <w:bCs w:val="0"/>
          <w:rtl/>
        </w:rPr>
        <w:tab/>
      </w:r>
      <w:r w:rsidR="00B259A6" w:rsidRPr="006B35B7">
        <w:rPr>
          <w:b w:val="0"/>
          <w:bCs w:val="0"/>
          <w:rtl/>
        </w:rPr>
        <w:t>تعطى مطالبات البنوك وزن مخاطر ترجيحي حسب التصنيف الخارجي للبنك المعني وفقا للجدول التالي وبحيث لا يقل وزن المخاطر عن (20%) بأي حال من الأحوال:</w:t>
      </w:r>
      <w:bookmarkEnd w:id="282"/>
      <w:bookmarkEnd w:id="283"/>
      <w:bookmarkEnd w:id="284"/>
    </w:p>
    <w:p w:rsidR="001848BD" w:rsidRPr="006B35B7" w:rsidRDefault="001848BD" w:rsidP="001848BD">
      <w:pPr>
        <w:ind w:left="2551" w:hanging="425"/>
        <w:rPr>
          <w:b w:val="0"/>
          <w:bCs w:val="0"/>
          <w:rtl/>
          <w:lang w:bidi="ar-J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810"/>
        <w:gridCol w:w="810"/>
        <w:gridCol w:w="900"/>
        <w:gridCol w:w="720"/>
        <w:gridCol w:w="990"/>
        <w:gridCol w:w="2600"/>
      </w:tblGrid>
      <w:tr w:rsidR="00B259A6" w:rsidRPr="00C27ED0" w:rsidTr="0024115F">
        <w:trPr>
          <w:cantSplit/>
        </w:trPr>
        <w:tc>
          <w:tcPr>
            <w:tcW w:w="766" w:type="dxa"/>
            <w:vAlign w:val="center"/>
          </w:tcPr>
          <w:p w:rsidR="00B259A6" w:rsidRPr="00C27ED0" w:rsidRDefault="00B259A6" w:rsidP="00C27ED0">
            <w:pPr>
              <w:jc w:val="center"/>
              <w:rPr>
                <w:b w:val="0"/>
                <w:bCs w:val="0"/>
                <w:sz w:val="24"/>
                <w:szCs w:val="24"/>
              </w:rPr>
            </w:pPr>
            <w:bookmarkStart w:id="285" w:name="_Toc414887914"/>
            <w:bookmarkStart w:id="286" w:name="_Toc451176102"/>
            <w:bookmarkStart w:id="287" w:name="_Toc451180083"/>
            <w:r w:rsidRPr="00C27ED0">
              <w:rPr>
                <w:b w:val="0"/>
                <w:bCs w:val="0"/>
                <w:sz w:val="24"/>
                <w:szCs w:val="24"/>
                <w:rtl/>
              </w:rPr>
              <w:lastRenderedPageBreak/>
              <w:t>غير مصنف</w:t>
            </w:r>
            <w:bookmarkEnd w:id="285"/>
            <w:bookmarkEnd w:id="286"/>
            <w:bookmarkEnd w:id="287"/>
          </w:p>
        </w:tc>
        <w:tc>
          <w:tcPr>
            <w:tcW w:w="810" w:type="dxa"/>
            <w:vAlign w:val="center"/>
          </w:tcPr>
          <w:p w:rsidR="00B259A6" w:rsidRPr="00C27ED0" w:rsidRDefault="00B259A6" w:rsidP="00C27ED0">
            <w:pPr>
              <w:jc w:val="center"/>
              <w:rPr>
                <w:b w:val="0"/>
                <w:bCs w:val="0"/>
                <w:sz w:val="24"/>
                <w:szCs w:val="24"/>
              </w:rPr>
            </w:pPr>
            <w:bookmarkStart w:id="288" w:name="_Toc414887915"/>
            <w:bookmarkStart w:id="289" w:name="_Toc451176103"/>
            <w:bookmarkStart w:id="290" w:name="_Toc451180084"/>
            <w:r w:rsidRPr="00C27ED0">
              <w:rPr>
                <w:b w:val="0"/>
                <w:bCs w:val="0"/>
                <w:sz w:val="24"/>
                <w:szCs w:val="24"/>
                <w:rtl/>
              </w:rPr>
              <w:t xml:space="preserve">أقل من </w:t>
            </w:r>
            <w:r w:rsidRPr="00C27ED0">
              <w:rPr>
                <w:b w:val="0"/>
                <w:bCs w:val="0"/>
                <w:sz w:val="24"/>
                <w:szCs w:val="24"/>
              </w:rPr>
              <w:t>B-</w:t>
            </w:r>
            <w:bookmarkEnd w:id="288"/>
            <w:bookmarkEnd w:id="289"/>
            <w:bookmarkEnd w:id="290"/>
          </w:p>
        </w:tc>
        <w:tc>
          <w:tcPr>
            <w:tcW w:w="810" w:type="dxa"/>
            <w:vAlign w:val="center"/>
          </w:tcPr>
          <w:p w:rsidR="00B259A6" w:rsidRPr="00C27ED0" w:rsidRDefault="00B259A6" w:rsidP="00C27ED0">
            <w:pPr>
              <w:jc w:val="center"/>
              <w:rPr>
                <w:b w:val="0"/>
                <w:bCs w:val="0"/>
                <w:sz w:val="24"/>
                <w:szCs w:val="24"/>
              </w:rPr>
            </w:pPr>
            <w:bookmarkStart w:id="291" w:name="_Toc414887916"/>
            <w:bookmarkStart w:id="292" w:name="_Toc451176104"/>
            <w:bookmarkStart w:id="293" w:name="_Toc451180085"/>
            <w:r w:rsidRPr="00C27ED0">
              <w:rPr>
                <w:b w:val="0"/>
                <w:bCs w:val="0"/>
                <w:sz w:val="24"/>
                <w:szCs w:val="24"/>
              </w:rPr>
              <w:t>BB+</w:t>
            </w:r>
            <w:bookmarkEnd w:id="291"/>
            <w:bookmarkEnd w:id="292"/>
            <w:bookmarkEnd w:id="293"/>
          </w:p>
          <w:p w:rsidR="00B259A6" w:rsidRPr="00C27ED0" w:rsidRDefault="00B259A6" w:rsidP="00C27ED0">
            <w:pPr>
              <w:jc w:val="center"/>
              <w:rPr>
                <w:b w:val="0"/>
                <w:bCs w:val="0"/>
                <w:sz w:val="24"/>
                <w:szCs w:val="24"/>
                <w:rtl/>
              </w:rPr>
            </w:pPr>
            <w:bookmarkStart w:id="294" w:name="_Toc414887917"/>
            <w:bookmarkStart w:id="295" w:name="_Toc451176105"/>
            <w:bookmarkStart w:id="296" w:name="_Toc451180086"/>
            <w:r w:rsidRPr="00C27ED0">
              <w:rPr>
                <w:b w:val="0"/>
                <w:bCs w:val="0"/>
                <w:sz w:val="24"/>
                <w:szCs w:val="24"/>
              </w:rPr>
              <w:t>to</w:t>
            </w:r>
            <w:bookmarkEnd w:id="294"/>
            <w:bookmarkEnd w:id="295"/>
            <w:bookmarkEnd w:id="296"/>
          </w:p>
          <w:p w:rsidR="00B259A6" w:rsidRPr="00C27ED0" w:rsidRDefault="00B259A6" w:rsidP="00C27ED0">
            <w:pPr>
              <w:jc w:val="center"/>
              <w:rPr>
                <w:b w:val="0"/>
                <w:bCs w:val="0"/>
                <w:sz w:val="24"/>
                <w:szCs w:val="24"/>
              </w:rPr>
            </w:pPr>
            <w:bookmarkStart w:id="297" w:name="_Toc414887918"/>
            <w:bookmarkStart w:id="298" w:name="_Toc451176106"/>
            <w:bookmarkStart w:id="299" w:name="_Toc451180087"/>
            <w:r w:rsidRPr="00C27ED0">
              <w:rPr>
                <w:b w:val="0"/>
                <w:bCs w:val="0"/>
                <w:sz w:val="24"/>
                <w:szCs w:val="24"/>
              </w:rPr>
              <w:t>B-</w:t>
            </w:r>
            <w:bookmarkEnd w:id="297"/>
            <w:bookmarkEnd w:id="298"/>
            <w:bookmarkEnd w:id="299"/>
          </w:p>
        </w:tc>
        <w:tc>
          <w:tcPr>
            <w:tcW w:w="900" w:type="dxa"/>
            <w:vAlign w:val="center"/>
          </w:tcPr>
          <w:p w:rsidR="00B259A6" w:rsidRPr="00C27ED0" w:rsidRDefault="00B259A6" w:rsidP="00C27ED0">
            <w:pPr>
              <w:jc w:val="center"/>
              <w:rPr>
                <w:b w:val="0"/>
                <w:bCs w:val="0"/>
                <w:sz w:val="24"/>
                <w:szCs w:val="24"/>
              </w:rPr>
            </w:pPr>
            <w:bookmarkStart w:id="300" w:name="_Toc414887919"/>
            <w:bookmarkStart w:id="301" w:name="_Toc451176107"/>
            <w:bookmarkStart w:id="302" w:name="_Toc451180088"/>
            <w:r w:rsidRPr="00C27ED0">
              <w:rPr>
                <w:b w:val="0"/>
                <w:bCs w:val="0"/>
                <w:sz w:val="24"/>
                <w:szCs w:val="24"/>
              </w:rPr>
              <w:t>BBB+</w:t>
            </w:r>
            <w:bookmarkEnd w:id="300"/>
            <w:bookmarkEnd w:id="301"/>
            <w:bookmarkEnd w:id="302"/>
          </w:p>
          <w:p w:rsidR="00B259A6" w:rsidRPr="00C27ED0" w:rsidRDefault="00B259A6" w:rsidP="00C27ED0">
            <w:pPr>
              <w:jc w:val="center"/>
              <w:rPr>
                <w:b w:val="0"/>
                <w:bCs w:val="0"/>
                <w:sz w:val="24"/>
                <w:szCs w:val="24"/>
              </w:rPr>
            </w:pPr>
            <w:bookmarkStart w:id="303" w:name="_Toc414887920"/>
            <w:bookmarkStart w:id="304" w:name="_Toc451176108"/>
            <w:bookmarkStart w:id="305" w:name="_Toc451180089"/>
            <w:r w:rsidRPr="00C27ED0">
              <w:rPr>
                <w:b w:val="0"/>
                <w:bCs w:val="0"/>
                <w:sz w:val="24"/>
                <w:szCs w:val="24"/>
              </w:rPr>
              <w:t>to</w:t>
            </w:r>
            <w:bookmarkEnd w:id="303"/>
            <w:bookmarkEnd w:id="304"/>
            <w:bookmarkEnd w:id="305"/>
          </w:p>
          <w:p w:rsidR="00B259A6" w:rsidRPr="00C27ED0" w:rsidRDefault="00B259A6" w:rsidP="00C27ED0">
            <w:pPr>
              <w:jc w:val="center"/>
              <w:rPr>
                <w:b w:val="0"/>
                <w:bCs w:val="0"/>
                <w:sz w:val="24"/>
                <w:szCs w:val="24"/>
              </w:rPr>
            </w:pPr>
            <w:bookmarkStart w:id="306" w:name="_Toc414887921"/>
            <w:bookmarkStart w:id="307" w:name="_Toc451176109"/>
            <w:bookmarkStart w:id="308" w:name="_Toc451180090"/>
            <w:r w:rsidRPr="00C27ED0">
              <w:rPr>
                <w:b w:val="0"/>
                <w:bCs w:val="0"/>
                <w:sz w:val="24"/>
                <w:szCs w:val="24"/>
              </w:rPr>
              <w:t>BBB-</w:t>
            </w:r>
            <w:bookmarkEnd w:id="306"/>
            <w:bookmarkEnd w:id="307"/>
            <w:bookmarkEnd w:id="308"/>
          </w:p>
        </w:tc>
        <w:tc>
          <w:tcPr>
            <w:tcW w:w="720" w:type="dxa"/>
            <w:vAlign w:val="center"/>
          </w:tcPr>
          <w:p w:rsidR="00B259A6" w:rsidRPr="00C27ED0" w:rsidRDefault="00B259A6" w:rsidP="00C27ED0">
            <w:pPr>
              <w:jc w:val="center"/>
              <w:rPr>
                <w:b w:val="0"/>
                <w:bCs w:val="0"/>
                <w:sz w:val="24"/>
                <w:szCs w:val="24"/>
              </w:rPr>
            </w:pPr>
            <w:bookmarkStart w:id="309" w:name="_Toc414887922"/>
            <w:bookmarkStart w:id="310" w:name="_Toc451176110"/>
            <w:bookmarkStart w:id="311" w:name="_Toc451180091"/>
            <w:r w:rsidRPr="00C27ED0">
              <w:rPr>
                <w:b w:val="0"/>
                <w:bCs w:val="0"/>
                <w:sz w:val="24"/>
                <w:szCs w:val="24"/>
              </w:rPr>
              <w:t>A+</w:t>
            </w:r>
            <w:bookmarkEnd w:id="309"/>
            <w:bookmarkEnd w:id="310"/>
            <w:bookmarkEnd w:id="311"/>
          </w:p>
          <w:p w:rsidR="00B259A6" w:rsidRPr="00C27ED0" w:rsidRDefault="00B259A6" w:rsidP="00C27ED0">
            <w:pPr>
              <w:jc w:val="center"/>
              <w:rPr>
                <w:b w:val="0"/>
                <w:bCs w:val="0"/>
                <w:sz w:val="24"/>
                <w:szCs w:val="24"/>
              </w:rPr>
            </w:pPr>
            <w:bookmarkStart w:id="312" w:name="_Toc414887923"/>
            <w:bookmarkStart w:id="313" w:name="_Toc451176111"/>
            <w:bookmarkStart w:id="314" w:name="_Toc451180092"/>
            <w:r w:rsidRPr="00C27ED0">
              <w:rPr>
                <w:b w:val="0"/>
                <w:bCs w:val="0"/>
                <w:sz w:val="24"/>
                <w:szCs w:val="24"/>
              </w:rPr>
              <w:t>to</w:t>
            </w:r>
            <w:bookmarkEnd w:id="312"/>
            <w:bookmarkEnd w:id="313"/>
            <w:bookmarkEnd w:id="314"/>
          </w:p>
          <w:p w:rsidR="00B259A6" w:rsidRPr="00C27ED0" w:rsidRDefault="00B259A6" w:rsidP="00C27ED0">
            <w:pPr>
              <w:jc w:val="center"/>
              <w:rPr>
                <w:b w:val="0"/>
                <w:bCs w:val="0"/>
                <w:sz w:val="24"/>
                <w:szCs w:val="24"/>
              </w:rPr>
            </w:pPr>
            <w:bookmarkStart w:id="315" w:name="_Toc414887924"/>
            <w:bookmarkStart w:id="316" w:name="_Toc451176112"/>
            <w:bookmarkStart w:id="317" w:name="_Toc451180093"/>
            <w:r w:rsidRPr="00C27ED0">
              <w:rPr>
                <w:b w:val="0"/>
                <w:bCs w:val="0"/>
                <w:sz w:val="24"/>
                <w:szCs w:val="24"/>
              </w:rPr>
              <w:t>A-</w:t>
            </w:r>
            <w:bookmarkEnd w:id="315"/>
            <w:bookmarkEnd w:id="316"/>
            <w:bookmarkEnd w:id="317"/>
          </w:p>
        </w:tc>
        <w:tc>
          <w:tcPr>
            <w:tcW w:w="990" w:type="dxa"/>
            <w:vAlign w:val="center"/>
          </w:tcPr>
          <w:p w:rsidR="00B259A6" w:rsidRPr="00C27ED0" w:rsidRDefault="00B259A6" w:rsidP="00C27ED0">
            <w:pPr>
              <w:jc w:val="center"/>
              <w:rPr>
                <w:b w:val="0"/>
                <w:bCs w:val="0"/>
                <w:sz w:val="24"/>
                <w:szCs w:val="24"/>
              </w:rPr>
            </w:pPr>
            <w:bookmarkStart w:id="318" w:name="_Toc414887925"/>
            <w:bookmarkStart w:id="319" w:name="_Toc451176113"/>
            <w:bookmarkStart w:id="320" w:name="_Toc451180094"/>
            <w:r w:rsidRPr="00C27ED0">
              <w:rPr>
                <w:b w:val="0"/>
                <w:bCs w:val="0"/>
                <w:sz w:val="24"/>
                <w:szCs w:val="24"/>
              </w:rPr>
              <w:t>AAA</w:t>
            </w:r>
            <w:bookmarkEnd w:id="318"/>
            <w:bookmarkEnd w:id="319"/>
            <w:bookmarkEnd w:id="320"/>
          </w:p>
          <w:p w:rsidR="00B259A6" w:rsidRPr="00C27ED0" w:rsidRDefault="00B259A6" w:rsidP="00C27ED0">
            <w:pPr>
              <w:jc w:val="center"/>
              <w:rPr>
                <w:b w:val="0"/>
                <w:bCs w:val="0"/>
                <w:sz w:val="24"/>
                <w:szCs w:val="24"/>
              </w:rPr>
            </w:pPr>
            <w:bookmarkStart w:id="321" w:name="_Toc414887926"/>
            <w:bookmarkStart w:id="322" w:name="_Toc451176114"/>
            <w:bookmarkStart w:id="323" w:name="_Toc451180095"/>
            <w:r w:rsidRPr="00C27ED0">
              <w:rPr>
                <w:b w:val="0"/>
                <w:bCs w:val="0"/>
                <w:sz w:val="24"/>
                <w:szCs w:val="24"/>
              </w:rPr>
              <w:t>to</w:t>
            </w:r>
            <w:bookmarkEnd w:id="321"/>
            <w:bookmarkEnd w:id="322"/>
            <w:bookmarkEnd w:id="323"/>
          </w:p>
          <w:p w:rsidR="00B259A6" w:rsidRPr="00C27ED0" w:rsidRDefault="00B259A6" w:rsidP="00C27ED0">
            <w:pPr>
              <w:jc w:val="center"/>
              <w:rPr>
                <w:b w:val="0"/>
                <w:bCs w:val="0"/>
                <w:sz w:val="24"/>
                <w:szCs w:val="24"/>
                <w:rtl/>
              </w:rPr>
            </w:pPr>
            <w:bookmarkStart w:id="324" w:name="_Toc414887927"/>
            <w:bookmarkStart w:id="325" w:name="_Toc451176115"/>
            <w:bookmarkStart w:id="326" w:name="_Toc451180096"/>
            <w:r w:rsidRPr="00C27ED0">
              <w:rPr>
                <w:b w:val="0"/>
                <w:bCs w:val="0"/>
                <w:sz w:val="24"/>
                <w:szCs w:val="24"/>
                <w:rtl/>
              </w:rPr>
              <w:t>-</w:t>
            </w:r>
            <w:r w:rsidRPr="00C27ED0">
              <w:rPr>
                <w:b w:val="0"/>
                <w:bCs w:val="0"/>
                <w:sz w:val="24"/>
                <w:szCs w:val="24"/>
              </w:rPr>
              <w:t>AA</w:t>
            </w:r>
            <w:bookmarkEnd w:id="324"/>
            <w:bookmarkEnd w:id="325"/>
            <w:bookmarkEnd w:id="326"/>
          </w:p>
        </w:tc>
        <w:tc>
          <w:tcPr>
            <w:tcW w:w="2600" w:type="dxa"/>
            <w:vAlign w:val="center"/>
          </w:tcPr>
          <w:p w:rsidR="00B259A6" w:rsidRPr="00C27ED0" w:rsidRDefault="00B259A6" w:rsidP="00C27ED0">
            <w:pPr>
              <w:jc w:val="center"/>
              <w:rPr>
                <w:b w:val="0"/>
                <w:bCs w:val="0"/>
                <w:sz w:val="24"/>
                <w:szCs w:val="24"/>
              </w:rPr>
            </w:pPr>
            <w:bookmarkStart w:id="327" w:name="_Toc414887928"/>
            <w:bookmarkStart w:id="328" w:name="_Toc451176116"/>
            <w:bookmarkStart w:id="329" w:name="_Toc451180097"/>
            <w:r w:rsidRPr="00C27ED0">
              <w:rPr>
                <w:b w:val="0"/>
                <w:bCs w:val="0"/>
                <w:sz w:val="24"/>
                <w:szCs w:val="24"/>
                <w:rtl/>
              </w:rPr>
              <w:t>التصنيف حسب</w:t>
            </w:r>
            <w:bookmarkEnd w:id="327"/>
            <w:bookmarkEnd w:id="328"/>
            <w:bookmarkEnd w:id="329"/>
          </w:p>
          <w:p w:rsidR="00B259A6" w:rsidRPr="00C27ED0" w:rsidRDefault="00B259A6" w:rsidP="00C27ED0">
            <w:pPr>
              <w:jc w:val="center"/>
              <w:rPr>
                <w:b w:val="0"/>
                <w:bCs w:val="0"/>
                <w:sz w:val="24"/>
                <w:szCs w:val="24"/>
                <w:rtl/>
              </w:rPr>
            </w:pPr>
            <w:bookmarkStart w:id="330" w:name="_Toc414887929"/>
            <w:bookmarkStart w:id="331" w:name="_Toc451176117"/>
            <w:bookmarkStart w:id="332" w:name="_Toc451180098"/>
            <w:r w:rsidRPr="00C27ED0">
              <w:rPr>
                <w:b w:val="0"/>
                <w:bCs w:val="0"/>
                <w:sz w:val="24"/>
                <w:szCs w:val="24"/>
              </w:rPr>
              <w:t>S&amp;P*</w:t>
            </w:r>
            <w:bookmarkEnd w:id="330"/>
            <w:bookmarkEnd w:id="331"/>
            <w:bookmarkEnd w:id="332"/>
          </w:p>
        </w:tc>
      </w:tr>
      <w:tr w:rsidR="00B259A6" w:rsidRPr="00C27ED0" w:rsidTr="0024115F">
        <w:trPr>
          <w:cantSplit/>
        </w:trPr>
        <w:tc>
          <w:tcPr>
            <w:tcW w:w="766" w:type="dxa"/>
            <w:vAlign w:val="center"/>
          </w:tcPr>
          <w:p w:rsidR="00B259A6" w:rsidRPr="00C27ED0" w:rsidRDefault="00B259A6" w:rsidP="00C27ED0">
            <w:pPr>
              <w:jc w:val="center"/>
              <w:rPr>
                <w:b w:val="0"/>
                <w:bCs w:val="0"/>
                <w:sz w:val="24"/>
                <w:szCs w:val="24"/>
              </w:rPr>
            </w:pPr>
            <w:bookmarkStart w:id="333" w:name="_Toc414887930"/>
            <w:bookmarkStart w:id="334" w:name="_Toc451176118"/>
            <w:bookmarkStart w:id="335" w:name="_Toc451180099"/>
            <w:r w:rsidRPr="00C27ED0">
              <w:rPr>
                <w:b w:val="0"/>
                <w:bCs w:val="0"/>
                <w:sz w:val="24"/>
                <w:szCs w:val="24"/>
                <w:rtl/>
              </w:rPr>
              <w:t>50%</w:t>
            </w:r>
            <w:bookmarkEnd w:id="333"/>
            <w:bookmarkEnd w:id="334"/>
            <w:bookmarkEnd w:id="335"/>
          </w:p>
        </w:tc>
        <w:tc>
          <w:tcPr>
            <w:tcW w:w="810" w:type="dxa"/>
            <w:vAlign w:val="center"/>
          </w:tcPr>
          <w:p w:rsidR="00B259A6" w:rsidRPr="00C27ED0" w:rsidRDefault="00B259A6" w:rsidP="00C27ED0">
            <w:pPr>
              <w:jc w:val="center"/>
              <w:rPr>
                <w:b w:val="0"/>
                <w:bCs w:val="0"/>
                <w:sz w:val="24"/>
                <w:szCs w:val="24"/>
              </w:rPr>
            </w:pPr>
            <w:bookmarkStart w:id="336" w:name="_Toc414887931"/>
            <w:bookmarkStart w:id="337" w:name="_Toc451176119"/>
            <w:bookmarkStart w:id="338" w:name="_Toc451180100"/>
            <w:r w:rsidRPr="00C27ED0">
              <w:rPr>
                <w:b w:val="0"/>
                <w:bCs w:val="0"/>
                <w:sz w:val="24"/>
                <w:szCs w:val="24"/>
                <w:rtl/>
              </w:rPr>
              <w:t>150%</w:t>
            </w:r>
            <w:bookmarkEnd w:id="336"/>
            <w:bookmarkEnd w:id="337"/>
            <w:bookmarkEnd w:id="338"/>
          </w:p>
        </w:tc>
        <w:tc>
          <w:tcPr>
            <w:tcW w:w="810" w:type="dxa"/>
            <w:vAlign w:val="center"/>
          </w:tcPr>
          <w:p w:rsidR="00B259A6" w:rsidRPr="00C27ED0" w:rsidRDefault="00B259A6" w:rsidP="00C27ED0">
            <w:pPr>
              <w:jc w:val="center"/>
              <w:rPr>
                <w:b w:val="0"/>
                <w:bCs w:val="0"/>
                <w:sz w:val="24"/>
                <w:szCs w:val="24"/>
              </w:rPr>
            </w:pPr>
            <w:bookmarkStart w:id="339" w:name="_Toc414887932"/>
            <w:bookmarkStart w:id="340" w:name="_Toc451176120"/>
            <w:bookmarkStart w:id="341" w:name="_Toc451180101"/>
            <w:r w:rsidRPr="00C27ED0">
              <w:rPr>
                <w:b w:val="0"/>
                <w:bCs w:val="0"/>
                <w:sz w:val="24"/>
                <w:szCs w:val="24"/>
                <w:rtl/>
              </w:rPr>
              <w:t>100%</w:t>
            </w:r>
            <w:bookmarkEnd w:id="339"/>
            <w:bookmarkEnd w:id="340"/>
            <w:bookmarkEnd w:id="341"/>
          </w:p>
        </w:tc>
        <w:tc>
          <w:tcPr>
            <w:tcW w:w="900" w:type="dxa"/>
            <w:vAlign w:val="center"/>
          </w:tcPr>
          <w:p w:rsidR="00B259A6" w:rsidRPr="00C27ED0" w:rsidRDefault="00B259A6" w:rsidP="00C27ED0">
            <w:pPr>
              <w:jc w:val="center"/>
              <w:rPr>
                <w:b w:val="0"/>
                <w:bCs w:val="0"/>
                <w:sz w:val="24"/>
                <w:szCs w:val="24"/>
              </w:rPr>
            </w:pPr>
            <w:bookmarkStart w:id="342" w:name="_Toc414887933"/>
            <w:bookmarkStart w:id="343" w:name="_Toc451176121"/>
            <w:bookmarkStart w:id="344" w:name="_Toc451180102"/>
            <w:r w:rsidRPr="00C27ED0">
              <w:rPr>
                <w:b w:val="0"/>
                <w:bCs w:val="0"/>
                <w:sz w:val="24"/>
                <w:szCs w:val="24"/>
                <w:rtl/>
              </w:rPr>
              <w:t>50%</w:t>
            </w:r>
            <w:bookmarkEnd w:id="342"/>
            <w:bookmarkEnd w:id="343"/>
            <w:bookmarkEnd w:id="344"/>
          </w:p>
        </w:tc>
        <w:tc>
          <w:tcPr>
            <w:tcW w:w="720" w:type="dxa"/>
            <w:vAlign w:val="center"/>
          </w:tcPr>
          <w:p w:rsidR="00B259A6" w:rsidRPr="00C27ED0" w:rsidRDefault="00B259A6" w:rsidP="00C27ED0">
            <w:pPr>
              <w:jc w:val="center"/>
              <w:rPr>
                <w:b w:val="0"/>
                <w:bCs w:val="0"/>
                <w:sz w:val="24"/>
                <w:szCs w:val="24"/>
              </w:rPr>
            </w:pPr>
            <w:bookmarkStart w:id="345" w:name="_Toc414887934"/>
            <w:bookmarkStart w:id="346" w:name="_Toc451176122"/>
            <w:bookmarkStart w:id="347" w:name="_Toc451180103"/>
            <w:r w:rsidRPr="00C27ED0">
              <w:rPr>
                <w:b w:val="0"/>
                <w:bCs w:val="0"/>
                <w:sz w:val="24"/>
                <w:szCs w:val="24"/>
                <w:rtl/>
              </w:rPr>
              <w:t>50%</w:t>
            </w:r>
            <w:bookmarkEnd w:id="345"/>
            <w:bookmarkEnd w:id="346"/>
            <w:bookmarkEnd w:id="347"/>
          </w:p>
        </w:tc>
        <w:tc>
          <w:tcPr>
            <w:tcW w:w="990" w:type="dxa"/>
            <w:vAlign w:val="center"/>
          </w:tcPr>
          <w:p w:rsidR="00B259A6" w:rsidRPr="00C27ED0" w:rsidRDefault="00B259A6" w:rsidP="00C27ED0">
            <w:pPr>
              <w:jc w:val="center"/>
              <w:rPr>
                <w:b w:val="0"/>
                <w:bCs w:val="0"/>
                <w:sz w:val="24"/>
                <w:szCs w:val="24"/>
              </w:rPr>
            </w:pPr>
            <w:bookmarkStart w:id="348" w:name="_Toc414887935"/>
            <w:bookmarkStart w:id="349" w:name="_Toc451176123"/>
            <w:bookmarkStart w:id="350" w:name="_Toc451180104"/>
            <w:r w:rsidRPr="00C27ED0">
              <w:rPr>
                <w:b w:val="0"/>
                <w:bCs w:val="0"/>
                <w:sz w:val="24"/>
                <w:szCs w:val="24"/>
                <w:rtl/>
              </w:rPr>
              <w:t>20%</w:t>
            </w:r>
            <w:bookmarkEnd w:id="348"/>
            <w:bookmarkEnd w:id="349"/>
            <w:bookmarkEnd w:id="350"/>
          </w:p>
        </w:tc>
        <w:tc>
          <w:tcPr>
            <w:tcW w:w="2600" w:type="dxa"/>
            <w:vAlign w:val="center"/>
          </w:tcPr>
          <w:p w:rsidR="00B259A6" w:rsidRPr="00C27ED0" w:rsidRDefault="00B259A6" w:rsidP="00C27ED0">
            <w:pPr>
              <w:jc w:val="center"/>
              <w:rPr>
                <w:b w:val="0"/>
                <w:bCs w:val="0"/>
                <w:sz w:val="24"/>
                <w:szCs w:val="24"/>
                <w:rtl/>
              </w:rPr>
            </w:pPr>
            <w:bookmarkStart w:id="351" w:name="_Toc414887936"/>
            <w:bookmarkStart w:id="352" w:name="_Toc451176124"/>
            <w:bookmarkStart w:id="353" w:name="_Toc451180105"/>
            <w:r w:rsidRPr="00C27ED0">
              <w:rPr>
                <w:b w:val="0"/>
                <w:bCs w:val="0"/>
                <w:sz w:val="24"/>
                <w:szCs w:val="24"/>
                <w:rtl/>
              </w:rPr>
              <w:t>وزن المخاطر</w:t>
            </w:r>
            <w:bookmarkEnd w:id="351"/>
            <w:bookmarkEnd w:id="352"/>
            <w:bookmarkEnd w:id="353"/>
          </w:p>
        </w:tc>
      </w:tr>
      <w:tr w:rsidR="00B259A6" w:rsidRPr="00C27ED0" w:rsidTr="0024115F">
        <w:trPr>
          <w:cantSplit/>
        </w:trPr>
        <w:tc>
          <w:tcPr>
            <w:tcW w:w="766" w:type="dxa"/>
            <w:tcBorders>
              <w:bottom w:val="single" w:sz="4" w:space="0" w:color="auto"/>
            </w:tcBorders>
            <w:vAlign w:val="center"/>
          </w:tcPr>
          <w:p w:rsidR="00B259A6" w:rsidRPr="00C27ED0" w:rsidRDefault="00B259A6" w:rsidP="00C27ED0">
            <w:pPr>
              <w:jc w:val="center"/>
              <w:rPr>
                <w:b w:val="0"/>
                <w:bCs w:val="0"/>
                <w:sz w:val="24"/>
                <w:szCs w:val="24"/>
                <w:rtl/>
              </w:rPr>
            </w:pPr>
            <w:bookmarkStart w:id="354" w:name="_Toc414887937"/>
            <w:bookmarkStart w:id="355" w:name="_Toc451176125"/>
            <w:bookmarkStart w:id="356" w:name="_Toc451180106"/>
            <w:r w:rsidRPr="00C27ED0">
              <w:rPr>
                <w:b w:val="0"/>
                <w:bCs w:val="0"/>
                <w:sz w:val="24"/>
                <w:szCs w:val="24"/>
                <w:rtl/>
              </w:rPr>
              <w:t>20%</w:t>
            </w:r>
            <w:bookmarkEnd w:id="354"/>
            <w:bookmarkEnd w:id="355"/>
            <w:bookmarkEnd w:id="356"/>
          </w:p>
        </w:tc>
        <w:tc>
          <w:tcPr>
            <w:tcW w:w="810" w:type="dxa"/>
            <w:tcBorders>
              <w:bottom w:val="single" w:sz="4" w:space="0" w:color="auto"/>
            </w:tcBorders>
            <w:vAlign w:val="center"/>
          </w:tcPr>
          <w:p w:rsidR="00B259A6" w:rsidRPr="00C27ED0" w:rsidRDefault="00B259A6" w:rsidP="00C27ED0">
            <w:pPr>
              <w:jc w:val="center"/>
              <w:rPr>
                <w:b w:val="0"/>
                <w:bCs w:val="0"/>
                <w:sz w:val="24"/>
                <w:szCs w:val="24"/>
                <w:rtl/>
              </w:rPr>
            </w:pPr>
            <w:bookmarkStart w:id="357" w:name="_Toc414887938"/>
            <w:bookmarkStart w:id="358" w:name="_Toc451176126"/>
            <w:bookmarkStart w:id="359" w:name="_Toc451180107"/>
            <w:r w:rsidRPr="00C27ED0">
              <w:rPr>
                <w:b w:val="0"/>
                <w:bCs w:val="0"/>
                <w:sz w:val="24"/>
                <w:szCs w:val="24"/>
                <w:rtl/>
              </w:rPr>
              <w:t>150%</w:t>
            </w:r>
            <w:bookmarkEnd w:id="357"/>
            <w:bookmarkEnd w:id="358"/>
            <w:bookmarkEnd w:id="359"/>
          </w:p>
        </w:tc>
        <w:tc>
          <w:tcPr>
            <w:tcW w:w="810" w:type="dxa"/>
            <w:tcBorders>
              <w:bottom w:val="single" w:sz="4" w:space="0" w:color="auto"/>
            </w:tcBorders>
            <w:vAlign w:val="center"/>
          </w:tcPr>
          <w:p w:rsidR="00B259A6" w:rsidRPr="00C27ED0" w:rsidRDefault="00B259A6" w:rsidP="00C27ED0">
            <w:pPr>
              <w:jc w:val="center"/>
              <w:rPr>
                <w:b w:val="0"/>
                <w:bCs w:val="0"/>
                <w:sz w:val="24"/>
                <w:szCs w:val="24"/>
                <w:rtl/>
              </w:rPr>
            </w:pPr>
            <w:bookmarkStart w:id="360" w:name="_Toc414887939"/>
            <w:bookmarkStart w:id="361" w:name="_Toc451176127"/>
            <w:bookmarkStart w:id="362" w:name="_Toc451180108"/>
            <w:r w:rsidRPr="00C27ED0">
              <w:rPr>
                <w:b w:val="0"/>
                <w:bCs w:val="0"/>
                <w:sz w:val="24"/>
                <w:szCs w:val="24"/>
                <w:rtl/>
              </w:rPr>
              <w:t>50%</w:t>
            </w:r>
            <w:bookmarkEnd w:id="360"/>
            <w:bookmarkEnd w:id="361"/>
            <w:bookmarkEnd w:id="362"/>
          </w:p>
        </w:tc>
        <w:tc>
          <w:tcPr>
            <w:tcW w:w="900" w:type="dxa"/>
            <w:tcBorders>
              <w:bottom w:val="single" w:sz="4" w:space="0" w:color="auto"/>
            </w:tcBorders>
            <w:vAlign w:val="center"/>
          </w:tcPr>
          <w:p w:rsidR="00B259A6" w:rsidRPr="00C27ED0" w:rsidRDefault="00B259A6" w:rsidP="00C27ED0">
            <w:pPr>
              <w:jc w:val="center"/>
              <w:rPr>
                <w:b w:val="0"/>
                <w:bCs w:val="0"/>
                <w:sz w:val="24"/>
                <w:szCs w:val="24"/>
                <w:rtl/>
              </w:rPr>
            </w:pPr>
            <w:bookmarkStart w:id="363" w:name="_Toc414887940"/>
            <w:bookmarkStart w:id="364" w:name="_Toc451176128"/>
            <w:bookmarkStart w:id="365" w:name="_Toc451180109"/>
            <w:r w:rsidRPr="00C27ED0">
              <w:rPr>
                <w:b w:val="0"/>
                <w:bCs w:val="0"/>
                <w:sz w:val="24"/>
                <w:szCs w:val="24"/>
                <w:rtl/>
              </w:rPr>
              <w:t>20%</w:t>
            </w:r>
            <w:bookmarkEnd w:id="363"/>
            <w:bookmarkEnd w:id="364"/>
            <w:bookmarkEnd w:id="365"/>
          </w:p>
        </w:tc>
        <w:tc>
          <w:tcPr>
            <w:tcW w:w="720" w:type="dxa"/>
            <w:tcBorders>
              <w:bottom w:val="single" w:sz="4" w:space="0" w:color="auto"/>
            </w:tcBorders>
            <w:vAlign w:val="center"/>
          </w:tcPr>
          <w:p w:rsidR="00B259A6" w:rsidRPr="00C27ED0" w:rsidRDefault="00B259A6" w:rsidP="00C27ED0">
            <w:pPr>
              <w:jc w:val="center"/>
              <w:rPr>
                <w:b w:val="0"/>
                <w:bCs w:val="0"/>
                <w:sz w:val="24"/>
                <w:szCs w:val="24"/>
                <w:rtl/>
              </w:rPr>
            </w:pPr>
            <w:bookmarkStart w:id="366" w:name="_Toc414887941"/>
            <w:bookmarkStart w:id="367" w:name="_Toc451176129"/>
            <w:bookmarkStart w:id="368" w:name="_Toc451180110"/>
            <w:r w:rsidRPr="00C27ED0">
              <w:rPr>
                <w:b w:val="0"/>
                <w:bCs w:val="0"/>
                <w:sz w:val="24"/>
                <w:szCs w:val="24"/>
                <w:rtl/>
              </w:rPr>
              <w:t>20%</w:t>
            </w:r>
            <w:bookmarkEnd w:id="366"/>
            <w:bookmarkEnd w:id="367"/>
            <w:bookmarkEnd w:id="368"/>
          </w:p>
        </w:tc>
        <w:tc>
          <w:tcPr>
            <w:tcW w:w="990" w:type="dxa"/>
            <w:tcBorders>
              <w:bottom w:val="single" w:sz="4" w:space="0" w:color="auto"/>
            </w:tcBorders>
            <w:vAlign w:val="center"/>
          </w:tcPr>
          <w:p w:rsidR="00B259A6" w:rsidRPr="00C27ED0" w:rsidRDefault="00B259A6" w:rsidP="00C27ED0">
            <w:pPr>
              <w:jc w:val="center"/>
              <w:rPr>
                <w:b w:val="0"/>
                <w:bCs w:val="0"/>
                <w:sz w:val="24"/>
                <w:szCs w:val="24"/>
                <w:rtl/>
              </w:rPr>
            </w:pPr>
            <w:bookmarkStart w:id="369" w:name="_Toc414887942"/>
            <w:bookmarkStart w:id="370" w:name="_Toc451176130"/>
            <w:bookmarkStart w:id="371" w:name="_Toc451180111"/>
            <w:r w:rsidRPr="00C27ED0">
              <w:rPr>
                <w:b w:val="0"/>
                <w:bCs w:val="0"/>
                <w:sz w:val="24"/>
                <w:szCs w:val="24"/>
                <w:rtl/>
              </w:rPr>
              <w:t>20%</w:t>
            </w:r>
            <w:bookmarkEnd w:id="369"/>
            <w:bookmarkEnd w:id="370"/>
            <w:bookmarkEnd w:id="371"/>
          </w:p>
        </w:tc>
        <w:tc>
          <w:tcPr>
            <w:tcW w:w="2600" w:type="dxa"/>
            <w:vAlign w:val="center"/>
          </w:tcPr>
          <w:p w:rsidR="00B259A6" w:rsidRPr="00C27ED0" w:rsidRDefault="00B259A6" w:rsidP="00C27ED0">
            <w:pPr>
              <w:jc w:val="center"/>
              <w:rPr>
                <w:b w:val="0"/>
                <w:bCs w:val="0"/>
                <w:sz w:val="24"/>
                <w:szCs w:val="24"/>
                <w:rtl/>
              </w:rPr>
            </w:pPr>
            <w:bookmarkStart w:id="372" w:name="_Toc414887943"/>
            <w:bookmarkStart w:id="373" w:name="_Toc451176131"/>
            <w:bookmarkStart w:id="374" w:name="_Toc451180112"/>
            <w:r w:rsidRPr="00C27ED0">
              <w:rPr>
                <w:b w:val="0"/>
                <w:bCs w:val="0"/>
                <w:sz w:val="24"/>
                <w:szCs w:val="24"/>
                <w:rtl/>
              </w:rPr>
              <w:t>وزن المخاطر للمطالبات/قصيرة الأجل بالعملات الأجنبية</w:t>
            </w:r>
            <w:bookmarkEnd w:id="372"/>
            <w:bookmarkEnd w:id="373"/>
            <w:bookmarkEnd w:id="374"/>
          </w:p>
        </w:tc>
      </w:tr>
      <w:tr w:rsidR="00B259A6" w:rsidRPr="00C27ED0" w:rsidTr="0024115F">
        <w:trPr>
          <w:cantSplit/>
        </w:trPr>
        <w:tc>
          <w:tcPr>
            <w:tcW w:w="4996" w:type="dxa"/>
            <w:gridSpan w:val="6"/>
            <w:tcBorders>
              <w:left w:val="single" w:sz="4" w:space="0" w:color="auto"/>
              <w:bottom w:val="single" w:sz="4" w:space="0" w:color="auto"/>
            </w:tcBorders>
            <w:vAlign w:val="center"/>
          </w:tcPr>
          <w:p w:rsidR="00B259A6" w:rsidRPr="00C27ED0" w:rsidRDefault="00B259A6" w:rsidP="00C27ED0">
            <w:pPr>
              <w:jc w:val="center"/>
              <w:rPr>
                <w:b w:val="0"/>
                <w:bCs w:val="0"/>
                <w:sz w:val="24"/>
                <w:szCs w:val="24"/>
                <w:rtl/>
              </w:rPr>
            </w:pPr>
            <w:bookmarkStart w:id="375" w:name="_Toc414887944"/>
            <w:bookmarkStart w:id="376" w:name="_Toc451176132"/>
            <w:bookmarkStart w:id="377" w:name="_Toc451180113"/>
            <w:r w:rsidRPr="00C27ED0">
              <w:rPr>
                <w:b w:val="0"/>
                <w:bCs w:val="0"/>
                <w:sz w:val="24"/>
                <w:szCs w:val="24"/>
                <w:rtl/>
              </w:rPr>
              <w:t>20%</w:t>
            </w:r>
            <w:bookmarkEnd w:id="375"/>
            <w:bookmarkEnd w:id="376"/>
            <w:bookmarkEnd w:id="377"/>
          </w:p>
        </w:tc>
        <w:tc>
          <w:tcPr>
            <w:tcW w:w="2600" w:type="dxa"/>
            <w:vAlign w:val="center"/>
          </w:tcPr>
          <w:p w:rsidR="00B259A6" w:rsidRPr="00C27ED0" w:rsidRDefault="00B259A6" w:rsidP="00C27ED0">
            <w:pPr>
              <w:jc w:val="center"/>
              <w:rPr>
                <w:b w:val="0"/>
                <w:bCs w:val="0"/>
                <w:sz w:val="24"/>
                <w:szCs w:val="24"/>
                <w:rtl/>
              </w:rPr>
            </w:pPr>
            <w:bookmarkStart w:id="378" w:name="_Toc414887945"/>
            <w:bookmarkStart w:id="379" w:name="_Toc451176133"/>
            <w:bookmarkStart w:id="380" w:name="_Toc451180114"/>
            <w:r w:rsidRPr="00C27ED0">
              <w:rPr>
                <w:b w:val="0"/>
                <w:bCs w:val="0"/>
                <w:sz w:val="24"/>
                <w:szCs w:val="24"/>
                <w:rtl/>
              </w:rPr>
              <w:t>وزن المخاطر للمطالبات/قصيرة الأجل بالدينار الأردني</w:t>
            </w:r>
            <w:bookmarkEnd w:id="378"/>
            <w:bookmarkEnd w:id="379"/>
            <w:bookmarkEnd w:id="380"/>
          </w:p>
        </w:tc>
      </w:tr>
    </w:tbl>
    <w:p w:rsidR="00B259A6" w:rsidRPr="001848BD" w:rsidRDefault="006B35B7" w:rsidP="001848BD">
      <w:pPr>
        <w:ind w:left="2126" w:hanging="142"/>
        <w:rPr>
          <w:b w:val="0"/>
          <w:bCs w:val="0"/>
          <w:sz w:val="22"/>
          <w:szCs w:val="22"/>
          <w:rtl/>
        </w:rPr>
      </w:pPr>
      <w:bookmarkStart w:id="381" w:name="_Toc414887946"/>
      <w:bookmarkStart w:id="382" w:name="_Toc451176134"/>
      <w:bookmarkStart w:id="383" w:name="_Toc451180115"/>
      <w:r w:rsidRPr="001848BD">
        <w:rPr>
          <w:b w:val="0"/>
          <w:bCs w:val="0"/>
          <w:sz w:val="22"/>
          <w:szCs w:val="22"/>
          <w:rtl/>
        </w:rPr>
        <w:t xml:space="preserve">* </w:t>
      </w:r>
      <w:r w:rsidR="00B259A6" w:rsidRPr="001848BD">
        <w:rPr>
          <w:b w:val="0"/>
          <w:bCs w:val="0"/>
          <w:sz w:val="22"/>
          <w:szCs w:val="22"/>
          <w:rtl/>
        </w:rPr>
        <w:t>تعتمد تصنيفات الجهات الأخرى المقبولة لدى البنك المركزي</w:t>
      </w:r>
      <w:r w:rsidR="00E85241" w:rsidRPr="001848BD">
        <w:rPr>
          <w:b w:val="0"/>
          <w:bCs w:val="0"/>
          <w:sz w:val="22"/>
          <w:szCs w:val="22"/>
          <w:rtl/>
        </w:rPr>
        <w:t xml:space="preserve"> والتي تُعادل تصنيفاتها التصنيف أعلاه</w:t>
      </w:r>
      <w:r w:rsidR="009C1759" w:rsidRPr="001848BD">
        <w:rPr>
          <w:b w:val="0"/>
          <w:bCs w:val="0"/>
          <w:sz w:val="22"/>
          <w:szCs w:val="22"/>
          <w:rtl/>
        </w:rPr>
        <w:t xml:space="preserve"> (وفق الملحق رقم </w:t>
      </w:r>
      <w:r w:rsidR="006A6078" w:rsidRPr="001848BD">
        <w:rPr>
          <w:b w:val="0"/>
          <w:bCs w:val="0"/>
          <w:sz w:val="22"/>
          <w:szCs w:val="22"/>
          <w:rtl/>
        </w:rPr>
        <w:t>7</w:t>
      </w:r>
      <w:r w:rsidR="009C1759" w:rsidRPr="001848BD">
        <w:rPr>
          <w:b w:val="0"/>
          <w:bCs w:val="0"/>
          <w:sz w:val="22"/>
          <w:szCs w:val="22"/>
          <w:rtl/>
        </w:rPr>
        <w:t>)</w:t>
      </w:r>
      <w:r w:rsidR="00B259A6" w:rsidRPr="001848BD">
        <w:rPr>
          <w:b w:val="0"/>
          <w:bCs w:val="0"/>
          <w:sz w:val="22"/>
          <w:szCs w:val="22"/>
          <w:rtl/>
        </w:rPr>
        <w:t>.</w:t>
      </w:r>
      <w:bookmarkEnd w:id="381"/>
      <w:bookmarkEnd w:id="382"/>
      <w:bookmarkEnd w:id="383"/>
    </w:p>
    <w:p w:rsidR="00B259A6" w:rsidRPr="004E2E90" w:rsidRDefault="00B259A6" w:rsidP="001848BD">
      <w:pPr>
        <w:pStyle w:val="ListParagraph"/>
        <w:numPr>
          <w:ilvl w:val="0"/>
          <w:numId w:val="29"/>
        </w:numPr>
        <w:ind w:left="2551" w:hanging="425"/>
        <w:rPr>
          <w:b w:val="0"/>
          <w:bCs w:val="0"/>
        </w:rPr>
      </w:pPr>
      <w:bookmarkStart w:id="384" w:name="_Toc414887947"/>
      <w:bookmarkStart w:id="385" w:name="_Toc451176135"/>
      <w:bookmarkStart w:id="386" w:name="_Toc451180116"/>
      <w:r w:rsidRPr="004E2E90">
        <w:rPr>
          <w:b w:val="0"/>
          <w:bCs w:val="0"/>
          <w:rtl/>
        </w:rPr>
        <w:t>تعرف المطالبات قصيرة الأجل بأنها تلك المطالبات ذات فترة استحقاق أصلية ثلاثة أشهر فأقل.</w:t>
      </w:r>
      <w:bookmarkEnd w:id="384"/>
      <w:bookmarkEnd w:id="385"/>
      <w:bookmarkEnd w:id="386"/>
    </w:p>
    <w:p w:rsidR="00B259A6" w:rsidRPr="004E2E90" w:rsidRDefault="00B259A6" w:rsidP="001848BD">
      <w:pPr>
        <w:pStyle w:val="ListParagraph"/>
        <w:numPr>
          <w:ilvl w:val="0"/>
          <w:numId w:val="29"/>
        </w:numPr>
        <w:ind w:left="2551" w:hanging="425"/>
        <w:rPr>
          <w:b w:val="0"/>
          <w:bCs w:val="0"/>
        </w:rPr>
      </w:pPr>
      <w:bookmarkStart w:id="387" w:name="_Toc414887948"/>
      <w:bookmarkStart w:id="388" w:name="_Toc451176136"/>
      <w:bookmarkStart w:id="389" w:name="_Toc451180117"/>
      <w:r w:rsidRPr="004E2E90">
        <w:rPr>
          <w:b w:val="0"/>
          <w:bCs w:val="0"/>
          <w:rtl/>
        </w:rPr>
        <w:t>تطبق المعاملة التفضيلية للمطالبات قصيرة الأجل بالعملات الأجنبية على كافة البنوك مصنفة أو غير مصنفة باستثناء تلك  المصنفة والتي يبلغ وزن مخاطرها الترجيحي (150%).</w:t>
      </w:r>
      <w:bookmarkEnd w:id="387"/>
      <w:bookmarkEnd w:id="388"/>
      <w:bookmarkEnd w:id="389"/>
    </w:p>
    <w:p w:rsidR="00B259A6" w:rsidRPr="004E2E90" w:rsidRDefault="00B259A6" w:rsidP="001848BD">
      <w:pPr>
        <w:pStyle w:val="ListParagraph"/>
        <w:numPr>
          <w:ilvl w:val="0"/>
          <w:numId w:val="29"/>
        </w:numPr>
        <w:ind w:left="2551" w:hanging="425"/>
        <w:rPr>
          <w:b w:val="0"/>
          <w:bCs w:val="0"/>
          <w:rtl/>
        </w:rPr>
      </w:pPr>
      <w:bookmarkStart w:id="390" w:name="_Toc414887949"/>
      <w:bookmarkStart w:id="391" w:name="_Toc451176137"/>
      <w:bookmarkStart w:id="392" w:name="_Toc451180118"/>
      <w:r w:rsidRPr="004E2E90">
        <w:rPr>
          <w:b w:val="0"/>
          <w:bCs w:val="0"/>
          <w:rtl/>
        </w:rPr>
        <w:t>تفقد المطالبات قصيرة الأجل معاملتها التفضيلية في حال وجود عبارة "تجدد تلقائياً" أو أي عبارات أخرى ذات نفس الدلالة.</w:t>
      </w:r>
      <w:bookmarkEnd w:id="390"/>
      <w:bookmarkEnd w:id="391"/>
      <w:bookmarkEnd w:id="392"/>
    </w:p>
    <w:p w:rsidR="00B259A6" w:rsidRPr="004E2E90" w:rsidRDefault="000E7E6C" w:rsidP="001848BD">
      <w:pPr>
        <w:ind w:left="2126" w:hanging="851"/>
        <w:rPr>
          <w:b w:val="0"/>
          <w:bCs w:val="0"/>
        </w:rPr>
      </w:pPr>
      <w:bookmarkStart w:id="393" w:name="_Toc414887950"/>
      <w:bookmarkStart w:id="394" w:name="_Toc451176138"/>
      <w:bookmarkStart w:id="395" w:name="_Toc451180119"/>
      <w:r w:rsidRPr="004E2E90">
        <w:rPr>
          <w:b w:val="0"/>
          <w:bCs w:val="0"/>
          <w:rtl/>
        </w:rPr>
        <w:t>6</w:t>
      </w:r>
      <w:r w:rsidR="00B259A6" w:rsidRPr="004E2E90">
        <w:rPr>
          <w:b w:val="0"/>
          <w:bCs w:val="0"/>
          <w:rtl/>
        </w:rPr>
        <w:t>.2.2</w:t>
      </w:r>
      <w:r w:rsidR="004E2E90">
        <w:rPr>
          <w:rFonts w:hint="cs"/>
          <w:b w:val="0"/>
          <w:bCs w:val="0"/>
          <w:rtl/>
        </w:rPr>
        <w:t>.</w:t>
      </w:r>
      <w:r w:rsidR="00B259A6" w:rsidRPr="004E2E90">
        <w:rPr>
          <w:b w:val="0"/>
          <w:bCs w:val="0"/>
          <w:rtl/>
        </w:rPr>
        <w:tab/>
        <w:t>مطالبات</w:t>
      </w:r>
      <w:r w:rsidRPr="004E2E90">
        <w:rPr>
          <w:b w:val="0"/>
          <w:bCs w:val="0"/>
          <w:rtl/>
        </w:rPr>
        <w:t xml:space="preserve"> على</w:t>
      </w:r>
      <w:r w:rsidR="00B259A6" w:rsidRPr="004E2E90">
        <w:rPr>
          <w:b w:val="0"/>
          <w:bCs w:val="0"/>
          <w:rtl/>
        </w:rPr>
        <w:t xml:space="preserve"> شركات الأوراق المالية </w:t>
      </w:r>
      <w:r w:rsidR="00B259A6" w:rsidRPr="004E2E90">
        <w:rPr>
          <w:b w:val="0"/>
          <w:bCs w:val="0"/>
        </w:rPr>
        <w:t xml:space="preserve"> Claims on </w:t>
      </w:r>
      <w:r w:rsidR="00A00936" w:rsidRPr="004E2E90">
        <w:rPr>
          <w:b w:val="0"/>
          <w:bCs w:val="0"/>
        </w:rPr>
        <w:t>Securities Firms</w:t>
      </w:r>
      <w:bookmarkEnd w:id="393"/>
      <w:bookmarkEnd w:id="394"/>
      <w:bookmarkEnd w:id="395"/>
      <w:r w:rsidR="00B259A6" w:rsidRPr="004E2E90">
        <w:rPr>
          <w:b w:val="0"/>
          <w:bCs w:val="0"/>
          <w:rtl/>
        </w:rPr>
        <w:t xml:space="preserve"> </w:t>
      </w:r>
    </w:p>
    <w:p w:rsidR="00B259A6" w:rsidRPr="00137CA8" w:rsidRDefault="00B259A6" w:rsidP="001848BD">
      <w:pPr>
        <w:ind w:left="2126"/>
        <w:rPr>
          <w:b w:val="0"/>
          <w:bCs w:val="0"/>
          <w:rtl/>
          <w:lang w:bidi="ar-JO"/>
        </w:rPr>
      </w:pPr>
      <w:bookmarkStart w:id="396" w:name="_Toc414887951"/>
      <w:bookmarkStart w:id="397" w:name="_Toc451176139"/>
      <w:bookmarkStart w:id="398" w:name="_Toc451180120"/>
      <w:r w:rsidRPr="004E2E90">
        <w:rPr>
          <w:b w:val="0"/>
          <w:bCs w:val="0"/>
          <w:rtl/>
        </w:rPr>
        <w:t>تعامل معاملة المطالبات على البنوك بشرط أن تكون خاضعة لترتيبات إشرافية وتنظيمية خصوصاً فيما يتعلق بمتطلبات كفاية رأس المال المبنية على حجم المخاطر، وفي حال عدم تحقق هذا الشرط تخضع لنفس معاملة مطالبات الشركات.</w:t>
      </w:r>
      <w:bookmarkEnd w:id="396"/>
      <w:bookmarkEnd w:id="397"/>
      <w:bookmarkEnd w:id="398"/>
    </w:p>
    <w:p w:rsidR="00B259A6" w:rsidRPr="004E2E90" w:rsidRDefault="000E7E6C" w:rsidP="001848BD">
      <w:pPr>
        <w:ind w:left="2126" w:hanging="851"/>
        <w:rPr>
          <w:b w:val="0"/>
          <w:bCs w:val="0"/>
          <w:rtl/>
        </w:rPr>
      </w:pPr>
      <w:bookmarkStart w:id="399" w:name="_Toc451176140"/>
      <w:bookmarkStart w:id="400" w:name="_Toc451180121"/>
      <w:bookmarkStart w:id="401" w:name="_Toc414887952"/>
      <w:r w:rsidRPr="004E2E90">
        <w:rPr>
          <w:b w:val="0"/>
          <w:bCs w:val="0"/>
          <w:rtl/>
        </w:rPr>
        <w:t>7</w:t>
      </w:r>
      <w:r w:rsidR="00B259A6" w:rsidRPr="004E2E90">
        <w:rPr>
          <w:b w:val="0"/>
          <w:bCs w:val="0"/>
          <w:rtl/>
        </w:rPr>
        <w:t>.2.2</w:t>
      </w:r>
      <w:r w:rsidR="004E2E90">
        <w:rPr>
          <w:rFonts w:hint="cs"/>
          <w:b w:val="0"/>
          <w:bCs w:val="0"/>
          <w:rtl/>
        </w:rPr>
        <w:t>.</w:t>
      </w:r>
      <w:r w:rsidR="00B259A6" w:rsidRPr="004E2E90">
        <w:rPr>
          <w:b w:val="0"/>
          <w:bCs w:val="0"/>
          <w:rtl/>
        </w:rPr>
        <w:tab/>
        <w:t>مطالبات</w:t>
      </w:r>
      <w:r w:rsidRPr="004E2E90">
        <w:rPr>
          <w:b w:val="0"/>
          <w:bCs w:val="0"/>
          <w:rtl/>
        </w:rPr>
        <w:t xml:space="preserve"> على</w:t>
      </w:r>
      <w:r w:rsidR="00B259A6" w:rsidRPr="004E2E90">
        <w:rPr>
          <w:b w:val="0"/>
          <w:bCs w:val="0"/>
          <w:rtl/>
        </w:rPr>
        <w:t xml:space="preserve"> الشركات </w:t>
      </w:r>
      <w:r w:rsidR="00B259A6" w:rsidRPr="004E2E90">
        <w:rPr>
          <w:b w:val="0"/>
          <w:bCs w:val="0"/>
        </w:rPr>
        <w:t>Claims on</w:t>
      </w:r>
      <w:r w:rsidR="00D21FF5" w:rsidRPr="004E2E90">
        <w:rPr>
          <w:b w:val="0"/>
          <w:bCs w:val="0"/>
        </w:rPr>
        <w:t xml:space="preserve"> Corporates</w:t>
      </w:r>
      <w:bookmarkEnd w:id="399"/>
      <w:bookmarkEnd w:id="400"/>
      <w:r w:rsidR="00D21FF5" w:rsidRPr="004E2E90">
        <w:rPr>
          <w:b w:val="0"/>
          <w:bCs w:val="0"/>
        </w:rPr>
        <w:t xml:space="preserve"> </w:t>
      </w:r>
      <w:bookmarkEnd w:id="401"/>
    </w:p>
    <w:p w:rsidR="0054200F" w:rsidRPr="004E2E90" w:rsidRDefault="001848BD" w:rsidP="001848BD">
      <w:pPr>
        <w:ind w:left="2551" w:hanging="425"/>
        <w:rPr>
          <w:b w:val="0"/>
          <w:bCs w:val="0"/>
          <w:rtl/>
        </w:rPr>
      </w:pPr>
      <w:bookmarkStart w:id="402" w:name="_Toc414887953"/>
      <w:bookmarkStart w:id="403" w:name="_Toc451176141"/>
      <w:bookmarkStart w:id="404" w:name="_Toc451180122"/>
      <w:r>
        <w:rPr>
          <w:rFonts w:hint="cs"/>
          <w:b w:val="0"/>
          <w:bCs w:val="0"/>
          <w:rtl/>
        </w:rPr>
        <w:t>-</w:t>
      </w:r>
      <w:r>
        <w:rPr>
          <w:rFonts w:hint="cs"/>
          <w:b w:val="0"/>
          <w:bCs w:val="0"/>
          <w:rtl/>
        </w:rPr>
        <w:tab/>
      </w:r>
      <w:r w:rsidR="00B259A6" w:rsidRPr="004E2E90">
        <w:rPr>
          <w:b w:val="0"/>
          <w:bCs w:val="0"/>
          <w:rtl/>
        </w:rPr>
        <w:t>تعطى مطالبات الشركات وزن مخاطر ترجيحي حسب التصنيف الخارجي للشركة المعنية وفقا للجدول التالي:</w:t>
      </w:r>
      <w:bookmarkEnd w:id="402"/>
      <w:bookmarkEnd w:id="403"/>
      <w:bookmarkEnd w:id="4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993"/>
        <w:gridCol w:w="728"/>
        <w:gridCol w:w="564"/>
        <w:gridCol w:w="1217"/>
        <w:gridCol w:w="1420"/>
      </w:tblGrid>
      <w:tr w:rsidR="00B259A6" w:rsidRPr="001848BD" w:rsidTr="001848BD">
        <w:trPr>
          <w:cantSplit/>
          <w:trHeight w:hRule="exact" w:val="1052"/>
        </w:trPr>
        <w:tc>
          <w:tcPr>
            <w:tcW w:w="1170" w:type="dxa"/>
            <w:vAlign w:val="center"/>
          </w:tcPr>
          <w:p w:rsidR="00B259A6" w:rsidRPr="001848BD" w:rsidRDefault="00B259A6" w:rsidP="001848BD">
            <w:pPr>
              <w:spacing w:after="0"/>
              <w:jc w:val="center"/>
              <w:rPr>
                <w:b w:val="0"/>
                <w:bCs w:val="0"/>
                <w:sz w:val="22"/>
                <w:szCs w:val="22"/>
                <w:rtl/>
              </w:rPr>
            </w:pPr>
            <w:bookmarkStart w:id="405" w:name="_Toc414887954"/>
            <w:bookmarkStart w:id="406" w:name="_Toc451176142"/>
            <w:bookmarkStart w:id="407" w:name="_Toc451180123"/>
            <w:r w:rsidRPr="001848BD">
              <w:rPr>
                <w:b w:val="0"/>
                <w:bCs w:val="0"/>
                <w:sz w:val="22"/>
                <w:szCs w:val="22"/>
                <w:rtl/>
              </w:rPr>
              <w:t>غير المصنف</w:t>
            </w:r>
            <w:bookmarkEnd w:id="405"/>
            <w:bookmarkEnd w:id="406"/>
            <w:bookmarkEnd w:id="407"/>
          </w:p>
        </w:tc>
        <w:tc>
          <w:tcPr>
            <w:tcW w:w="993" w:type="dxa"/>
            <w:vAlign w:val="center"/>
          </w:tcPr>
          <w:p w:rsidR="00B259A6" w:rsidRPr="001848BD" w:rsidRDefault="00B259A6" w:rsidP="001848BD">
            <w:pPr>
              <w:spacing w:after="0"/>
              <w:jc w:val="center"/>
              <w:rPr>
                <w:b w:val="0"/>
                <w:bCs w:val="0"/>
                <w:sz w:val="22"/>
                <w:szCs w:val="22"/>
                <w:rtl/>
              </w:rPr>
            </w:pPr>
            <w:bookmarkStart w:id="408" w:name="_Toc414887955"/>
            <w:bookmarkStart w:id="409" w:name="_Toc451176143"/>
            <w:bookmarkStart w:id="410" w:name="_Toc451180124"/>
            <w:r w:rsidRPr="001848BD">
              <w:rPr>
                <w:b w:val="0"/>
                <w:bCs w:val="0"/>
                <w:sz w:val="22"/>
                <w:szCs w:val="22"/>
                <w:rtl/>
              </w:rPr>
              <w:t>أقل من</w:t>
            </w:r>
            <w:bookmarkEnd w:id="408"/>
            <w:bookmarkEnd w:id="409"/>
            <w:bookmarkEnd w:id="410"/>
          </w:p>
          <w:p w:rsidR="00B259A6" w:rsidRPr="001848BD" w:rsidRDefault="00B259A6" w:rsidP="001848BD">
            <w:pPr>
              <w:spacing w:after="0"/>
              <w:jc w:val="center"/>
              <w:rPr>
                <w:b w:val="0"/>
                <w:bCs w:val="0"/>
                <w:sz w:val="22"/>
                <w:szCs w:val="22"/>
              </w:rPr>
            </w:pPr>
            <w:bookmarkStart w:id="411" w:name="_Toc414887956"/>
            <w:bookmarkStart w:id="412" w:name="_Toc451176144"/>
            <w:bookmarkStart w:id="413" w:name="_Toc451180125"/>
            <w:r w:rsidRPr="001848BD">
              <w:rPr>
                <w:b w:val="0"/>
                <w:bCs w:val="0"/>
                <w:sz w:val="22"/>
                <w:szCs w:val="22"/>
              </w:rPr>
              <w:t>BB-</w:t>
            </w:r>
            <w:bookmarkEnd w:id="411"/>
            <w:bookmarkEnd w:id="412"/>
            <w:bookmarkEnd w:id="413"/>
          </w:p>
        </w:tc>
        <w:tc>
          <w:tcPr>
            <w:tcW w:w="0" w:type="auto"/>
            <w:vAlign w:val="center"/>
          </w:tcPr>
          <w:p w:rsidR="00B259A6" w:rsidRPr="001848BD" w:rsidRDefault="00B259A6" w:rsidP="001848BD">
            <w:pPr>
              <w:spacing w:after="0"/>
              <w:jc w:val="center"/>
              <w:rPr>
                <w:b w:val="0"/>
                <w:bCs w:val="0"/>
                <w:sz w:val="22"/>
                <w:szCs w:val="22"/>
              </w:rPr>
            </w:pPr>
            <w:bookmarkStart w:id="414" w:name="_Toc414887957"/>
            <w:bookmarkStart w:id="415" w:name="_Toc451176145"/>
            <w:bookmarkStart w:id="416" w:name="_Toc451180126"/>
            <w:r w:rsidRPr="001848BD">
              <w:rPr>
                <w:b w:val="0"/>
                <w:bCs w:val="0"/>
                <w:sz w:val="22"/>
                <w:szCs w:val="22"/>
              </w:rPr>
              <w:t>BBB+</w:t>
            </w:r>
            <w:bookmarkEnd w:id="414"/>
            <w:bookmarkEnd w:id="415"/>
            <w:bookmarkEnd w:id="416"/>
          </w:p>
          <w:p w:rsidR="00B259A6" w:rsidRPr="001848BD" w:rsidRDefault="00B259A6" w:rsidP="001848BD">
            <w:pPr>
              <w:spacing w:after="0"/>
              <w:jc w:val="center"/>
              <w:rPr>
                <w:b w:val="0"/>
                <w:bCs w:val="0"/>
                <w:sz w:val="22"/>
                <w:szCs w:val="22"/>
              </w:rPr>
            </w:pPr>
            <w:bookmarkStart w:id="417" w:name="_Toc414887958"/>
            <w:bookmarkStart w:id="418" w:name="_Toc451176146"/>
            <w:bookmarkStart w:id="419" w:name="_Toc451180127"/>
            <w:r w:rsidRPr="001848BD">
              <w:rPr>
                <w:b w:val="0"/>
                <w:bCs w:val="0"/>
                <w:sz w:val="22"/>
                <w:szCs w:val="22"/>
              </w:rPr>
              <w:t>to</w:t>
            </w:r>
            <w:bookmarkEnd w:id="417"/>
            <w:bookmarkEnd w:id="418"/>
            <w:bookmarkEnd w:id="419"/>
          </w:p>
          <w:p w:rsidR="00B259A6" w:rsidRPr="001848BD" w:rsidRDefault="00B259A6" w:rsidP="001848BD">
            <w:pPr>
              <w:spacing w:after="0"/>
              <w:jc w:val="center"/>
              <w:rPr>
                <w:b w:val="0"/>
                <w:bCs w:val="0"/>
                <w:sz w:val="22"/>
                <w:szCs w:val="22"/>
              </w:rPr>
            </w:pPr>
            <w:bookmarkStart w:id="420" w:name="_Toc414887959"/>
            <w:bookmarkStart w:id="421" w:name="_Toc451176147"/>
            <w:bookmarkStart w:id="422" w:name="_Toc451180128"/>
            <w:r w:rsidRPr="001848BD">
              <w:rPr>
                <w:b w:val="0"/>
                <w:bCs w:val="0"/>
                <w:sz w:val="22"/>
                <w:szCs w:val="22"/>
              </w:rPr>
              <w:t>BB-</w:t>
            </w:r>
            <w:bookmarkEnd w:id="420"/>
            <w:bookmarkEnd w:id="421"/>
            <w:bookmarkEnd w:id="422"/>
          </w:p>
        </w:tc>
        <w:tc>
          <w:tcPr>
            <w:tcW w:w="0" w:type="auto"/>
            <w:vAlign w:val="center"/>
          </w:tcPr>
          <w:p w:rsidR="00B259A6" w:rsidRPr="001848BD" w:rsidRDefault="00B259A6" w:rsidP="001848BD">
            <w:pPr>
              <w:spacing w:after="0"/>
              <w:jc w:val="center"/>
              <w:rPr>
                <w:b w:val="0"/>
                <w:bCs w:val="0"/>
                <w:sz w:val="22"/>
                <w:szCs w:val="22"/>
              </w:rPr>
            </w:pPr>
            <w:bookmarkStart w:id="423" w:name="_Toc414887960"/>
            <w:bookmarkStart w:id="424" w:name="_Toc451176148"/>
            <w:bookmarkStart w:id="425" w:name="_Toc451180129"/>
            <w:r w:rsidRPr="001848BD">
              <w:rPr>
                <w:b w:val="0"/>
                <w:bCs w:val="0"/>
                <w:sz w:val="22"/>
                <w:szCs w:val="22"/>
              </w:rPr>
              <w:t>A+</w:t>
            </w:r>
            <w:bookmarkEnd w:id="423"/>
            <w:bookmarkEnd w:id="424"/>
            <w:bookmarkEnd w:id="425"/>
          </w:p>
          <w:p w:rsidR="00B259A6" w:rsidRPr="001848BD" w:rsidRDefault="00B259A6" w:rsidP="001848BD">
            <w:pPr>
              <w:spacing w:after="0"/>
              <w:jc w:val="center"/>
              <w:rPr>
                <w:b w:val="0"/>
                <w:bCs w:val="0"/>
                <w:sz w:val="22"/>
                <w:szCs w:val="22"/>
              </w:rPr>
            </w:pPr>
            <w:bookmarkStart w:id="426" w:name="_Toc414887961"/>
            <w:bookmarkStart w:id="427" w:name="_Toc451176149"/>
            <w:bookmarkStart w:id="428" w:name="_Toc451180130"/>
            <w:r w:rsidRPr="001848BD">
              <w:rPr>
                <w:b w:val="0"/>
                <w:bCs w:val="0"/>
                <w:sz w:val="22"/>
                <w:szCs w:val="22"/>
              </w:rPr>
              <w:t>to</w:t>
            </w:r>
            <w:bookmarkEnd w:id="426"/>
            <w:bookmarkEnd w:id="427"/>
            <w:bookmarkEnd w:id="428"/>
          </w:p>
          <w:p w:rsidR="00B259A6" w:rsidRPr="001848BD" w:rsidRDefault="00B259A6" w:rsidP="001848BD">
            <w:pPr>
              <w:spacing w:after="0"/>
              <w:jc w:val="center"/>
              <w:rPr>
                <w:b w:val="0"/>
                <w:bCs w:val="0"/>
                <w:sz w:val="22"/>
                <w:szCs w:val="22"/>
              </w:rPr>
            </w:pPr>
            <w:bookmarkStart w:id="429" w:name="_Toc414887962"/>
            <w:bookmarkStart w:id="430" w:name="_Toc451176150"/>
            <w:bookmarkStart w:id="431" w:name="_Toc451180131"/>
            <w:r w:rsidRPr="001848BD">
              <w:rPr>
                <w:b w:val="0"/>
                <w:bCs w:val="0"/>
                <w:sz w:val="22"/>
                <w:szCs w:val="22"/>
              </w:rPr>
              <w:t>A-</w:t>
            </w:r>
            <w:bookmarkEnd w:id="429"/>
            <w:bookmarkEnd w:id="430"/>
            <w:bookmarkEnd w:id="431"/>
          </w:p>
        </w:tc>
        <w:tc>
          <w:tcPr>
            <w:tcW w:w="1217" w:type="dxa"/>
            <w:vAlign w:val="center"/>
          </w:tcPr>
          <w:p w:rsidR="00B259A6" w:rsidRPr="001848BD" w:rsidRDefault="00B259A6" w:rsidP="001848BD">
            <w:pPr>
              <w:spacing w:after="0"/>
              <w:jc w:val="center"/>
              <w:rPr>
                <w:b w:val="0"/>
                <w:bCs w:val="0"/>
                <w:sz w:val="22"/>
                <w:szCs w:val="22"/>
              </w:rPr>
            </w:pPr>
            <w:bookmarkStart w:id="432" w:name="_Toc414887963"/>
            <w:bookmarkStart w:id="433" w:name="_Toc451176151"/>
            <w:bookmarkStart w:id="434" w:name="_Toc451180132"/>
            <w:r w:rsidRPr="001848BD">
              <w:rPr>
                <w:b w:val="0"/>
                <w:bCs w:val="0"/>
                <w:sz w:val="22"/>
                <w:szCs w:val="22"/>
              </w:rPr>
              <w:t>AAA</w:t>
            </w:r>
            <w:bookmarkEnd w:id="432"/>
            <w:bookmarkEnd w:id="433"/>
            <w:bookmarkEnd w:id="434"/>
          </w:p>
          <w:p w:rsidR="00B259A6" w:rsidRPr="001848BD" w:rsidRDefault="00B259A6" w:rsidP="001848BD">
            <w:pPr>
              <w:spacing w:after="0"/>
              <w:jc w:val="center"/>
              <w:rPr>
                <w:b w:val="0"/>
                <w:bCs w:val="0"/>
                <w:sz w:val="22"/>
                <w:szCs w:val="22"/>
              </w:rPr>
            </w:pPr>
            <w:bookmarkStart w:id="435" w:name="_Toc414887964"/>
            <w:bookmarkStart w:id="436" w:name="_Toc451176152"/>
            <w:bookmarkStart w:id="437" w:name="_Toc451180133"/>
            <w:r w:rsidRPr="001848BD">
              <w:rPr>
                <w:b w:val="0"/>
                <w:bCs w:val="0"/>
                <w:sz w:val="22"/>
                <w:szCs w:val="22"/>
              </w:rPr>
              <w:t>to</w:t>
            </w:r>
            <w:bookmarkEnd w:id="435"/>
            <w:bookmarkEnd w:id="436"/>
            <w:bookmarkEnd w:id="437"/>
          </w:p>
          <w:p w:rsidR="00B259A6" w:rsidRPr="001848BD" w:rsidRDefault="00B259A6" w:rsidP="001848BD">
            <w:pPr>
              <w:spacing w:after="0"/>
              <w:jc w:val="center"/>
              <w:rPr>
                <w:b w:val="0"/>
                <w:bCs w:val="0"/>
                <w:sz w:val="22"/>
                <w:szCs w:val="22"/>
                <w:rtl/>
              </w:rPr>
            </w:pPr>
            <w:bookmarkStart w:id="438" w:name="_Toc414887965"/>
            <w:bookmarkStart w:id="439" w:name="_Toc451176153"/>
            <w:bookmarkStart w:id="440" w:name="_Toc451180134"/>
            <w:r w:rsidRPr="001848BD">
              <w:rPr>
                <w:b w:val="0"/>
                <w:bCs w:val="0"/>
                <w:sz w:val="22"/>
                <w:szCs w:val="22"/>
                <w:rtl/>
              </w:rPr>
              <w:t>-</w:t>
            </w:r>
            <w:r w:rsidRPr="001848BD">
              <w:rPr>
                <w:b w:val="0"/>
                <w:bCs w:val="0"/>
                <w:sz w:val="22"/>
                <w:szCs w:val="22"/>
              </w:rPr>
              <w:t>AA</w:t>
            </w:r>
            <w:bookmarkEnd w:id="438"/>
            <w:bookmarkEnd w:id="439"/>
            <w:bookmarkEnd w:id="440"/>
          </w:p>
        </w:tc>
        <w:tc>
          <w:tcPr>
            <w:tcW w:w="1420" w:type="dxa"/>
            <w:vAlign w:val="center"/>
          </w:tcPr>
          <w:p w:rsidR="00B259A6" w:rsidRPr="001848BD" w:rsidRDefault="00B259A6" w:rsidP="001848BD">
            <w:pPr>
              <w:spacing w:after="0"/>
              <w:jc w:val="center"/>
              <w:rPr>
                <w:b w:val="0"/>
                <w:bCs w:val="0"/>
                <w:sz w:val="22"/>
                <w:szCs w:val="22"/>
              </w:rPr>
            </w:pPr>
            <w:bookmarkStart w:id="441" w:name="_Toc414887966"/>
            <w:bookmarkStart w:id="442" w:name="_Toc451176154"/>
            <w:bookmarkStart w:id="443" w:name="_Toc451180135"/>
            <w:r w:rsidRPr="001848BD">
              <w:rPr>
                <w:b w:val="0"/>
                <w:bCs w:val="0"/>
                <w:sz w:val="22"/>
                <w:szCs w:val="22"/>
                <w:rtl/>
              </w:rPr>
              <w:t>التصنيف حسب</w:t>
            </w:r>
            <w:bookmarkEnd w:id="441"/>
            <w:bookmarkEnd w:id="442"/>
            <w:bookmarkEnd w:id="443"/>
          </w:p>
          <w:p w:rsidR="00B259A6" w:rsidRPr="001848BD" w:rsidRDefault="00B259A6" w:rsidP="001848BD">
            <w:pPr>
              <w:spacing w:after="0"/>
              <w:jc w:val="center"/>
              <w:rPr>
                <w:b w:val="0"/>
                <w:bCs w:val="0"/>
                <w:sz w:val="22"/>
                <w:szCs w:val="22"/>
              </w:rPr>
            </w:pPr>
            <w:bookmarkStart w:id="444" w:name="_Toc414887967"/>
            <w:bookmarkStart w:id="445" w:name="_Toc451176155"/>
            <w:bookmarkStart w:id="446" w:name="_Toc451180136"/>
            <w:r w:rsidRPr="001848BD">
              <w:rPr>
                <w:b w:val="0"/>
                <w:bCs w:val="0"/>
                <w:sz w:val="22"/>
                <w:szCs w:val="22"/>
              </w:rPr>
              <w:t>S&amp;P*</w:t>
            </w:r>
            <w:bookmarkEnd w:id="444"/>
            <w:bookmarkEnd w:id="445"/>
            <w:bookmarkEnd w:id="446"/>
          </w:p>
        </w:tc>
      </w:tr>
      <w:tr w:rsidR="00B259A6" w:rsidRPr="001848BD" w:rsidTr="001848BD">
        <w:trPr>
          <w:cantSplit/>
          <w:trHeight w:hRule="exact" w:val="431"/>
        </w:trPr>
        <w:tc>
          <w:tcPr>
            <w:tcW w:w="1170" w:type="dxa"/>
            <w:vAlign w:val="center"/>
          </w:tcPr>
          <w:p w:rsidR="00B259A6" w:rsidRPr="001848BD" w:rsidRDefault="00B259A6" w:rsidP="004E2E90">
            <w:pPr>
              <w:jc w:val="center"/>
              <w:rPr>
                <w:b w:val="0"/>
                <w:bCs w:val="0"/>
                <w:sz w:val="22"/>
                <w:szCs w:val="22"/>
              </w:rPr>
            </w:pPr>
            <w:bookmarkStart w:id="447" w:name="_Toc414887968"/>
            <w:bookmarkStart w:id="448" w:name="_Toc451176156"/>
            <w:bookmarkStart w:id="449" w:name="_Toc451180137"/>
            <w:r w:rsidRPr="001848BD">
              <w:rPr>
                <w:b w:val="0"/>
                <w:bCs w:val="0"/>
                <w:sz w:val="22"/>
                <w:szCs w:val="22"/>
                <w:rtl/>
              </w:rPr>
              <w:t>100%</w:t>
            </w:r>
            <w:bookmarkEnd w:id="447"/>
            <w:bookmarkEnd w:id="448"/>
            <w:bookmarkEnd w:id="449"/>
          </w:p>
        </w:tc>
        <w:tc>
          <w:tcPr>
            <w:tcW w:w="993" w:type="dxa"/>
            <w:vAlign w:val="center"/>
          </w:tcPr>
          <w:p w:rsidR="00B259A6" w:rsidRPr="001848BD" w:rsidRDefault="00B259A6" w:rsidP="004E2E90">
            <w:pPr>
              <w:jc w:val="center"/>
              <w:rPr>
                <w:b w:val="0"/>
                <w:bCs w:val="0"/>
                <w:sz w:val="22"/>
                <w:szCs w:val="22"/>
              </w:rPr>
            </w:pPr>
            <w:bookmarkStart w:id="450" w:name="_Toc414887969"/>
            <w:bookmarkStart w:id="451" w:name="_Toc451176157"/>
            <w:bookmarkStart w:id="452" w:name="_Toc451180138"/>
            <w:r w:rsidRPr="001848BD">
              <w:rPr>
                <w:b w:val="0"/>
                <w:bCs w:val="0"/>
                <w:sz w:val="22"/>
                <w:szCs w:val="22"/>
                <w:rtl/>
              </w:rPr>
              <w:t>150%</w:t>
            </w:r>
            <w:bookmarkEnd w:id="450"/>
            <w:bookmarkEnd w:id="451"/>
            <w:bookmarkEnd w:id="452"/>
          </w:p>
        </w:tc>
        <w:tc>
          <w:tcPr>
            <w:tcW w:w="0" w:type="auto"/>
            <w:vAlign w:val="center"/>
          </w:tcPr>
          <w:p w:rsidR="00B259A6" w:rsidRPr="001848BD" w:rsidRDefault="00B259A6" w:rsidP="004E2E90">
            <w:pPr>
              <w:jc w:val="center"/>
              <w:rPr>
                <w:b w:val="0"/>
                <w:bCs w:val="0"/>
                <w:sz w:val="22"/>
                <w:szCs w:val="22"/>
              </w:rPr>
            </w:pPr>
            <w:bookmarkStart w:id="453" w:name="_Toc414887970"/>
            <w:bookmarkStart w:id="454" w:name="_Toc451176158"/>
            <w:bookmarkStart w:id="455" w:name="_Toc451180139"/>
            <w:r w:rsidRPr="001848BD">
              <w:rPr>
                <w:b w:val="0"/>
                <w:bCs w:val="0"/>
                <w:sz w:val="22"/>
                <w:szCs w:val="22"/>
                <w:rtl/>
              </w:rPr>
              <w:t>100%</w:t>
            </w:r>
            <w:bookmarkEnd w:id="453"/>
            <w:bookmarkEnd w:id="454"/>
            <w:bookmarkEnd w:id="455"/>
          </w:p>
        </w:tc>
        <w:tc>
          <w:tcPr>
            <w:tcW w:w="0" w:type="auto"/>
            <w:vAlign w:val="center"/>
          </w:tcPr>
          <w:p w:rsidR="00B259A6" w:rsidRPr="001848BD" w:rsidRDefault="00B259A6" w:rsidP="004E2E90">
            <w:pPr>
              <w:jc w:val="center"/>
              <w:rPr>
                <w:b w:val="0"/>
                <w:bCs w:val="0"/>
                <w:sz w:val="22"/>
                <w:szCs w:val="22"/>
              </w:rPr>
            </w:pPr>
            <w:bookmarkStart w:id="456" w:name="_Toc414887971"/>
            <w:bookmarkStart w:id="457" w:name="_Toc451176159"/>
            <w:bookmarkStart w:id="458" w:name="_Toc451180140"/>
            <w:r w:rsidRPr="001848BD">
              <w:rPr>
                <w:b w:val="0"/>
                <w:bCs w:val="0"/>
                <w:sz w:val="22"/>
                <w:szCs w:val="22"/>
                <w:rtl/>
              </w:rPr>
              <w:t>50%</w:t>
            </w:r>
            <w:bookmarkEnd w:id="456"/>
            <w:bookmarkEnd w:id="457"/>
            <w:bookmarkEnd w:id="458"/>
          </w:p>
        </w:tc>
        <w:tc>
          <w:tcPr>
            <w:tcW w:w="1217" w:type="dxa"/>
            <w:vAlign w:val="center"/>
          </w:tcPr>
          <w:p w:rsidR="00B259A6" w:rsidRPr="001848BD" w:rsidRDefault="00B259A6" w:rsidP="004E2E90">
            <w:pPr>
              <w:jc w:val="center"/>
              <w:rPr>
                <w:b w:val="0"/>
                <w:bCs w:val="0"/>
                <w:sz w:val="22"/>
                <w:szCs w:val="22"/>
              </w:rPr>
            </w:pPr>
            <w:bookmarkStart w:id="459" w:name="_Toc414887972"/>
            <w:bookmarkStart w:id="460" w:name="_Toc451176160"/>
            <w:bookmarkStart w:id="461" w:name="_Toc451180141"/>
            <w:r w:rsidRPr="001848BD">
              <w:rPr>
                <w:b w:val="0"/>
                <w:bCs w:val="0"/>
                <w:sz w:val="22"/>
                <w:szCs w:val="22"/>
                <w:rtl/>
              </w:rPr>
              <w:t>20%</w:t>
            </w:r>
            <w:bookmarkEnd w:id="459"/>
            <w:bookmarkEnd w:id="460"/>
            <w:bookmarkEnd w:id="461"/>
          </w:p>
        </w:tc>
        <w:tc>
          <w:tcPr>
            <w:tcW w:w="1420" w:type="dxa"/>
            <w:vAlign w:val="center"/>
          </w:tcPr>
          <w:p w:rsidR="00B259A6" w:rsidRPr="001848BD" w:rsidRDefault="00B259A6" w:rsidP="004E2E90">
            <w:pPr>
              <w:jc w:val="center"/>
              <w:rPr>
                <w:b w:val="0"/>
                <w:bCs w:val="0"/>
                <w:sz w:val="22"/>
                <w:szCs w:val="22"/>
                <w:rtl/>
              </w:rPr>
            </w:pPr>
            <w:bookmarkStart w:id="462" w:name="_Toc414887973"/>
            <w:bookmarkStart w:id="463" w:name="_Toc451176161"/>
            <w:bookmarkStart w:id="464" w:name="_Toc451180142"/>
            <w:r w:rsidRPr="001848BD">
              <w:rPr>
                <w:b w:val="0"/>
                <w:bCs w:val="0"/>
                <w:sz w:val="22"/>
                <w:szCs w:val="22"/>
                <w:rtl/>
              </w:rPr>
              <w:t>وزن المخاطر</w:t>
            </w:r>
            <w:bookmarkEnd w:id="462"/>
            <w:bookmarkEnd w:id="463"/>
            <w:bookmarkEnd w:id="464"/>
          </w:p>
        </w:tc>
      </w:tr>
    </w:tbl>
    <w:p w:rsidR="00B259A6" w:rsidRPr="001848BD" w:rsidRDefault="00B259A6" w:rsidP="001848BD">
      <w:pPr>
        <w:ind w:left="2693" w:hanging="284"/>
        <w:rPr>
          <w:b w:val="0"/>
          <w:bCs w:val="0"/>
          <w:sz w:val="22"/>
          <w:szCs w:val="22"/>
          <w:rtl/>
        </w:rPr>
      </w:pPr>
      <w:bookmarkStart w:id="465" w:name="_Toc414887974"/>
      <w:bookmarkStart w:id="466" w:name="_Toc451176162"/>
      <w:bookmarkStart w:id="467" w:name="_Toc451180143"/>
      <w:r w:rsidRPr="001848BD">
        <w:rPr>
          <w:b w:val="0"/>
          <w:bCs w:val="0"/>
          <w:sz w:val="22"/>
          <w:szCs w:val="22"/>
          <w:rtl/>
        </w:rPr>
        <w:t>* تعتمد تصنيفات الجهات الأخرى المقبولة لدى البنك المركزي</w:t>
      </w:r>
      <w:r w:rsidR="00A00936" w:rsidRPr="001848BD">
        <w:rPr>
          <w:b w:val="0"/>
          <w:bCs w:val="0"/>
          <w:sz w:val="22"/>
          <w:szCs w:val="22"/>
          <w:rtl/>
        </w:rPr>
        <w:t xml:space="preserve"> والتي تُعادل تصنيفاتها التصنيف أعلاه</w:t>
      </w:r>
      <w:r w:rsidR="009C1759" w:rsidRPr="001848BD">
        <w:rPr>
          <w:b w:val="0"/>
          <w:bCs w:val="0"/>
          <w:sz w:val="22"/>
          <w:szCs w:val="22"/>
          <w:rtl/>
        </w:rPr>
        <w:t xml:space="preserve"> (وفق الملحق رقم </w:t>
      </w:r>
      <w:r w:rsidR="006A6078" w:rsidRPr="001848BD">
        <w:rPr>
          <w:b w:val="0"/>
          <w:bCs w:val="0"/>
          <w:sz w:val="22"/>
          <w:szCs w:val="22"/>
          <w:rtl/>
        </w:rPr>
        <w:t>7</w:t>
      </w:r>
      <w:r w:rsidR="009C1759" w:rsidRPr="001848BD">
        <w:rPr>
          <w:b w:val="0"/>
          <w:bCs w:val="0"/>
          <w:sz w:val="22"/>
          <w:szCs w:val="22"/>
          <w:rtl/>
        </w:rPr>
        <w:t>)</w:t>
      </w:r>
      <w:r w:rsidRPr="001848BD">
        <w:rPr>
          <w:b w:val="0"/>
          <w:bCs w:val="0"/>
          <w:sz w:val="22"/>
          <w:szCs w:val="22"/>
          <w:rtl/>
        </w:rPr>
        <w:t>.</w:t>
      </w:r>
      <w:bookmarkEnd w:id="465"/>
      <w:bookmarkEnd w:id="466"/>
      <w:bookmarkEnd w:id="467"/>
    </w:p>
    <w:p w:rsidR="00B259A6" w:rsidRPr="00137CA8" w:rsidRDefault="00B259A6" w:rsidP="001848BD">
      <w:pPr>
        <w:pStyle w:val="ListParagraph"/>
        <w:numPr>
          <w:ilvl w:val="0"/>
          <w:numId w:val="29"/>
        </w:numPr>
        <w:ind w:left="2551" w:hanging="425"/>
        <w:rPr>
          <w:b w:val="0"/>
          <w:bCs w:val="0"/>
        </w:rPr>
      </w:pPr>
      <w:bookmarkStart w:id="468" w:name="_Toc414887975"/>
      <w:bookmarkStart w:id="469" w:name="_Toc451176163"/>
      <w:bookmarkStart w:id="470" w:name="_Toc451180144"/>
      <w:r w:rsidRPr="00137CA8">
        <w:rPr>
          <w:b w:val="0"/>
          <w:bCs w:val="0"/>
          <w:rtl/>
        </w:rPr>
        <w:lastRenderedPageBreak/>
        <w:t>لا يمكن إعطاء أي شركة غير مصنفة وزن مخاطر أفضل من وزن المخاطر المعطى للدولة التي أنشئت  فيها الشركة.</w:t>
      </w:r>
      <w:bookmarkEnd w:id="468"/>
      <w:bookmarkEnd w:id="469"/>
      <w:bookmarkEnd w:id="470"/>
    </w:p>
    <w:p w:rsidR="00B259A6" w:rsidRPr="00137CA8" w:rsidRDefault="00B259A6" w:rsidP="001848BD">
      <w:pPr>
        <w:pStyle w:val="ListParagraph"/>
        <w:numPr>
          <w:ilvl w:val="0"/>
          <w:numId w:val="29"/>
        </w:numPr>
        <w:ind w:left="2551" w:hanging="425"/>
        <w:rPr>
          <w:b w:val="0"/>
          <w:bCs w:val="0"/>
        </w:rPr>
      </w:pPr>
      <w:bookmarkStart w:id="471" w:name="_Toc414887976"/>
      <w:bookmarkStart w:id="472" w:name="_Toc451176164"/>
      <w:bookmarkStart w:id="473" w:name="_Toc451180145"/>
      <w:r w:rsidRPr="00137CA8">
        <w:rPr>
          <w:b w:val="0"/>
          <w:bCs w:val="0"/>
          <w:rtl/>
        </w:rPr>
        <w:t>للبنك المركزي الأردني زيادة أوزان المخاطر عن (100%) للشركات غير المصنفة استنادا لملاحظاته لنسب التعثر في القطاعات المختلفة على مستوى كافة البنوك العاملة في المملكة و/أو على مستوى البنك الواحد.</w:t>
      </w:r>
      <w:bookmarkEnd w:id="471"/>
      <w:bookmarkEnd w:id="472"/>
      <w:bookmarkEnd w:id="473"/>
    </w:p>
    <w:p w:rsidR="00B259A6" w:rsidRPr="00137CA8" w:rsidRDefault="00B259A6" w:rsidP="001848BD">
      <w:pPr>
        <w:pStyle w:val="ListParagraph"/>
        <w:numPr>
          <w:ilvl w:val="0"/>
          <w:numId w:val="29"/>
        </w:numPr>
        <w:ind w:left="2551" w:hanging="425"/>
        <w:rPr>
          <w:b w:val="0"/>
          <w:bCs w:val="0"/>
          <w:rtl/>
        </w:rPr>
      </w:pPr>
      <w:bookmarkStart w:id="474" w:name="_Toc414887977"/>
      <w:bookmarkStart w:id="475" w:name="_Toc451176165"/>
      <w:bookmarkStart w:id="476" w:name="_Toc451180146"/>
      <w:r w:rsidRPr="00137CA8">
        <w:rPr>
          <w:b w:val="0"/>
          <w:bCs w:val="0"/>
          <w:rtl/>
        </w:rPr>
        <w:t>يمكن تطبيق وزن مخاطر (100%) على كافة الشركات بغض النظـر عن تصنيفها الخارجي شريطة الحصول على موافقة مسبقة من البنك المركزي الأردني للسماح بذلك، وشريطة تطبيقها على كافة مطالبات الشركات لدى البنك.</w:t>
      </w:r>
      <w:bookmarkEnd w:id="474"/>
      <w:bookmarkEnd w:id="475"/>
      <w:bookmarkEnd w:id="476"/>
    </w:p>
    <w:p w:rsidR="00B259A6" w:rsidRPr="004E2E90" w:rsidRDefault="000E7E6C" w:rsidP="001848BD">
      <w:pPr>
        <w:ind w:left="2126" w:hanging="851"/>
        <w:rPr>
          <w:b w:val="0"/>
          <w:bCs w:val="0"/>
        </w:rPr>
      </w:pPr>
      <w:bookmarkStart w:id="477" w:name="_Toc414887978"/>
      <w:bookmarkStart w:id="478" w:name="_Toc451176166"/>
      <w:bookmarkStart w:id="479" w:name="_Toc451180147"/>
      <w:r w:rsidRPr="004E2E90">
        <w:rPr>
          <w:b w:val="0"/>
          <w:bCs w:val="0"/>
          <w:rtl/>
        </w:rPr>
        <w:t>8</w:t>
      </w:r>
      <w:r w:rsidR="00B259A6" w:rsidRPr="004E2E90">
        <w:rPr>
          <w:b w:val="0"/>
          <w:bCs w:val="0"/>
          <w:rtl/>
        </w:rPr>
        <w:t>.2.2</w:t>
      </w:r>
      <w:r w:rsidR="004E2E90">
        <w:rPr>
          <w:rFonts w:hint="cs"/>
          <w:b w:val="0"/>
          <w:bCs w:val="0"/>
          <w:rtl/>
        </w:rPr>
        <w:t>.</w:t>
      </w:r>
      <w:r w:rsidR="00B259A6" w:rsidRPr="004E2E90">
        <w:rPr>
          <w:b w:val="0"/>
          <w:bCs w:val="0"/>
          <w:rtl/>
        </w:rPr>
        <w:tab/>
        <w:t>المطالبات المصنفة ضمن محفظة التجزئة التنظيمية:</w:t>
      </w:r>
      <w:r w:rsidR="00A00936" w:rsidRPr="004E2E90">
        <w:rPr>
          <w:b w:val="0"/>
          <w:bCs w:val="0"/>
          <w:rtl/>
        </w:rPr>
        <w:t xml:space="preserve"> </w:t>
      </w:r>
      <w:r w:rsidR="00B259A6" w:rsidRPr="004E2E90">
        <w:rPr>
          <w:b w:val="0"/>
          <w:bCs w:val="0"/>
          <w:rtl/>
        </w:rPr>
        <w:t>(المنسجمة مع المعايير المحدد</w:t>
      </w:r>
      <w:r w:rsidR="004E2E90">
        <w:rPr>
          <w:b w:val="0"/>
          <w:bCs w:val="0"/>
          <w:rtl/>
        </w:rPr>
        <w:t>ة من قبل</w:t>
      </w:r>
      <w:r w:rsidR="004E2E90">
        <w:rPr>
          <w:rFonts w:hint="cs"/>
          <w:b w:val="0"/>
          <w:bCs w:val="0"/>
          <w:rtl/>
        </w:rPr>
        <w:t xml:space="preserve"> </w:t>
      </w:r>
      <w:r w:rsidR="004E2E90">
        <w:rPr>
          <w:b w:val="0"/>
          <w:bCs w:val="0"/>
          <w:rtl/>
        </w:rPr>
        <w:t>البنك</w:t>
      </w:r>
      <w:r w:rsidR="004E2E90">
        <w:rPr>
          <w:rFonts w:hint="cs"/>
          <w:b w:val="0"/>
          <w:bCs w:val="0"/>
          <w:rtl/>
        </w:rPr>
        <w:t xml:space="preserve"> </w:t>
      </w:r>
      <w:r w:rsidR="004E2E90">
        <w:rPr>
          <w:b w:val="0"/>
          <w:bCs w:val="0"/>
          <w:rtl/>
        </w:rPr>
        <w:t>المركزي</w:t>
      </w:r>
      <w:r w:rsidR="004E2E90">
        <w:rPr>
          <w:rFonts w:hint="cs"/>
          <w:b w:val="0"/>
          <w:bCs w:val="0"/>
          <w:rtl/>
        </w:rPr>
        <w:t xml:space="preserve"> </w:t>
      </w:r>
      <w:r w:rsidR="004E2E90">
        <w:rPr>
          <w:b w:val="0"/>
          <w:bCs w:val="0"/>
          <w:rtl/>
        </w:rPr>
        <w:t>والواردة</w:t>
      </w:r>
      <w:r w:rsidR="004E2E90">
        <w:rPr>
          <w:rFonts w:hint="cs"/>
          <w:b w:val="0"/>
          <w:bCs w:val="0"/>
          <w:rtl/>
        </w:rPr>
        <w:t xml:space="preserve"> </w:t>
      </w:r>
      <w:r w:rsidR="00B259A6" w:rsidRPr="004E2E90">
        <w:rPr>
          <w:b w:val="0"/>
          <w:bCs w:val="0"/>
          <w:rtl/>
        </w:rPr>
        <w:t>أدناه)</w:t>
      </w:r>
      <w:r w:rsidR="004E2E90">
        <w:rPr>
          <w:rFonts w:hint="cs"/>
          <w:b w:val="0"/>
          <w:bCs w:val="0"/>
          <w:rtl/>
        </w:rPr>
        <w:t xml:space="preserve"> </w:t>
      </w:r>
      <w:r w:rsidR="004E2E90">
        <w:rPr>
          <w:b w:val="0"/>
          <w:bCs w:val="0"/>
        </w:rPr>
        <w:t xml:space="preserve"> </w:t>
      </w:r>
      <w:r w:rsidR="008C1A07" w:rsidRPr="004E2E90">
        <w:rPr>
          <w:b w:val="0"/>
          <w:bCs w:val="0"/>
        </w:rPr>
        <w:t>Claims Included in the Regulatory Retail Portfolio</w:t>
      </w:r>
      <w:bookmarkEnd w:id="477"/>
      <w:bookmarkEnd w:id="478"/>
      <w:bookmarkEnd w:id="479"/>
    </w:p>
    <w:p w:rsidR="00B259A6" w:rsidRPr="00137CA8" w:rsidRDefault="00B259A6" w:rsidP="00D0311B">
      <w:pPr>
        <w:pStyle w:val="ListParagraph"/>
        <w:numPr>
          <w:ilvl w:val="0"/>
          <w:numId w:val="29"/>
        </w:numPr>
        <w:ind w:left="2551" w:hanging="425"/>
        <w:rPr>
          <w:b w:val="0"/>
          <w:bCs w:val="0"/>
        </w:rPr>
      </w:pPr>
      <w:bookmarkStart w:id="480" w:name="_Toc414887979"/>
      <w:bookmarkStart w:id="481" w:name="_Toc451176167"/>
      <w:bookmarkStart w:id="482" w:name="_Toc451180148"/>
      <w:r w:rsidRPr="00137CA8">
        <w:rPr>
          <w:b w:val="0"/>
          <w:bCs w:val="0"/>
          <w:rtl/>
        </w:rPr>
        <w:t>تُعطى المطالبات العاملة ضمن محفظة التجزئة والتي تحقق المعايير الأربعة الواردة أدناه وزن مخاطر ترجيحي</w:t>
      </w:r>
      <w:r w:rsidR="008C1A07" w:rsidRPr="00137CA8">
        <w:rPr>
          <w:b w:val="0"/>
          <w:bCs w:val="0"/>
          <w:rtl/>
        </w:rPr>
        <w:t xml:space="preserve"> </w:t>
      </w:r>
      <w:r w:rsidRPr="00137CA8">
        <w:rPr>
          <w:b w:val="0"/>
          <w:bCs w:val="0"/>
          <w:rtl/>
        </w:rPr>
        <w:t>(75%):</w:t>
      </w:r>
      <w:bookmarkEnd w:id="480"/>
      <w:bookmarkEnd w:id="481"/>
      <w:bookmarkEnd w:id="482"/>
    </w:p>
    <w:p w:rsidR="00B259A6" w:rsidRPr="00137CA8" w:rsidRDefault="00D0311B" w:rsidP="00D0581E">
      <w:pPr>
        <w:ind w:left="2976" w:hanging="425"/>
        <w:contextualSpacing/>
        <w:rPr>
          <w:b w:val="0"/>
          <w:bCs w:val="0"/>
        </w:rPr>
      </w:pPr>
      <w:bookmarkStart w:id="483" w:name="_Toc414887980"/>
      <w:bookmarkStart w:id="484" w:name="_Toc451176168"/>
      <w:bookmarkStart w:id="485" w:name="_Toc451180149"/>
      <w:r>
        <w:rPr>
          <w:rFonts w:hint="cs"/>
          <w:b w:val="0"/>
          <w:bCs w:val="0"/>
          <w:rtl/>
        </w:rPr>
        <w:t>أ</w:t>
      </w:r>
      <w:r w:rsidR="00B259A6" w:rsidRPr="00137CA8">
        <w:rPr>
          <w:b w:val="0"/>
          <w:bCs w:val="0"/>
          <w:rtl/>
        </w:rPr>
        <w:t>.</w:t>
      </w:r>
      <w:r w:rsidR="00B259A6" w:rsidRPr="00137CA8">
        <w:rPr>
          <w:b w:val="0"/>
          <w:bCs w:val="0"/>
          <w:rtl/>
        </w:rPr>
        <w:tab/>
        <w:t xml:space="preserve">معيار العميل: أن يكون الائتمان ممنوح لفرد أو مجموعة من </w:t>
      </w:r>
      <w:r w:rsidR="00D0581E">
        <w:rPr>
          <w:b w:val="0"/>
          <w:bCs w:val="0"/>
          <w:rtl/>
        </w:rPr>
        <w:t xml:space="preserve">العملاء ذوي صلة أو منشأة صغيرة </w:t>
      </w:r>
      <w:r w:rsidR="00D0581E">
        <w:rPr>
          <w:rFonts w:hint="cs"/>
          <w:b w:val="0"/>
          <w:bCs w:val="0"/>
          <w:rtl/>
        </w:rPr>
        <w:t xml:space="preserve">وذلك </w:t>
      </w:r>
      <w:r w:rsidR="00B259A6" w:rsidRPr="00137CA8">
        <w:rPr>
          <w:b w:val="0"/>
          <w:bCs w:val="0"/>
          <w:rtl/>
        </w:rPr>
        <w:t xml:space="preserve">حسب التعريف الوارد في الملحق رقم </w:t>
      </w:r>
      <w:r w:rsidR="008C1A07" w:rsidRPr="00137CA8">
        <w:rPr>
          <w:b w:val="0"/>
          <w:bCs w:val="0"/>
          <w:rtl/>
        </w:rPr>
        <w:t>(</w:t>
      </w:r>
      <w:r w:rsidR="00D0581E">
        <w:rPr>
          <w:rFonts w:hint="cs"/>
          <w:b w:val="0"/>
          <w:bCs w:val="0"/>
          <w:rtl/>
        </w:rPr>
        <w:t>11</w:t>
      </w:r>
      <w:r w:rsidR="00B259A6" w:rsidRPr="00137CA8">
        <w:rPr>
          <w:b w:val="0"/>
          <w:bCs w:val="0"/>
          <w:rtl/>
        </w:rPr>
        <w:t>).</w:t>
      </w:r>
      <w:bookmarkEnd w:id="483"/>
      <w:bookmarkEnd w:id="484"/>
      <w:bookmarkEnd w:id="485"/>
    </w:p>
    <w:p w:rsidR="00B259A6" w:rsidRPr="00137CA8" w:rsidRDefault="00D0311B" w:rsidP="00D85144">
      <w:pPr>
        <w:ind w:left="2976" w:hanging="425"/>
        <w:contextualSpacing/>
        <w:rPr>
          <w:b w:val="0"/>
          <w:bCs w:val="0"/>
          <w:rtl/>
        </w:rPr>
      </w:pPr>
      <w:bookmarkStart w:id="486" w:name="_Toc414887981"/>
      <w:bookmarkStart w:id="487" w:name="_Toc451176169"/>
      <w:bookmarkStart w:id="488" w:name="_Toc451180150"/>
      <w:r>
        <w:rPr>
          <w:rFonts w:hint="cs"/>
          <w:b w:val="0"/>
          <w:bCs w:val="0"/>
          <w:rtl/>
        </w:rPr>
        <w:t>ب</w:t>
      </w:r>
      <w:r w:rsidR="00B259A6" w:rsidRPr="00137CA8">
        <w:rPr>
          <w:b w:val="0"/>
          <w:bCs w:val="0"/>
          <w:rtl/>
        </w:rPr>
        <w:t>.</w:t>
      </w:r>
      <w:r w:rsidR="00B259A6" w:rsidRPr="00137CA8">
        <w:rPr>
          <w:b w:val="0"/>
          <w:bCs w:val="0"/>
          <w:rtl/>
        </w:rPr>
        <w:tab/>
        <w:t>معيار المنتج: أن يكون الائتمان ضمن المنتجات التالية</w:t>
      </w:r>
      <w:r w:rsidR="008C1A07" w:rsidRPr="00137CA8">
        <w:rPr>
          <w:b w:val="0"/>
          <w:bCs w:val="0"/>
          <w:rtl/>
        </w:rPr>
        <w:t xml:space="preserve"> [</w:t>
      </w:r>
      <w:r w:rsidR="00B259A6" w:rsidRPr="00137CA8">
        <w:rPr>
          <w:b w:val="0"/>
          <w:bCs w:val="0"/>
          <w:rtl/>
        </w:rPr>
        <w:t>السلف الشخصية</w:t>
      </w:r>
      <w:r w:rsidR="008C1A07" w:rsidRPr="00137CA8">
        <w:rPr>
          <w:b w:val="0"/>
          <w:bCs w:val="0"/>
          <w:rtl/>
        </w:rPr>
        <w:t>،</w:t>
      </w:r>
      <w:r w:rsidR="00B259A6" w:rsidRPr="00137CA8">
        <w:rPr>
          <w:b w:val="0"/>
          <w:bCs w:val="0"/>
          <w:rtl/>
        </w:rPr>
        <w:t xml:space="preserve"> بطاقات الائتمان</w:t>
      </w:r>
      <w:r w:rsidR="008C1A07" w:rsidRPr="00137CA8">
        <w:rPr>
          <w:b w:val="0"/>
          <w:bCs w:val="0"/>
          <w:rtl/>
        </w:rPr>
        <w:t xml:space="preserve">، </w:t>
      </w:r>
      <w:r w:rsidR="00B259A6" w:rsidRPr="00137CA8">
        <w:rPr>
          <w:b w:val="0"/>
          <w:bCs w:val="0"/>
          <w:rtl/>
        </w:rPr>
        <w:t>قروض السيارات</w:t>
      </w:r>
      <w:r w:rsidR="008C1A07" w:rsidRPr="00137CA8">
        <w:rPr>
          <w:b w:val="0"/>
          <w:bCs w:val="0"/>
          <w:rtl/>
        </w:rPr>
        <w:t xml:space="preserve">، القروض الاستهلاكية، القروض التعليمية، </w:t>
      </w:r>
      <w:r w:rsidR="00B259A6" w:rsidRPr="00137CA8">
        <w:rPr>
          <w:b w:val="0"/>
          <w:bCs w:val="0"/>
          <w:rtl/>
        </w:rPr>
        <w:t>التأجير التمويلي</w:t>
      </w:r>
      <w:r w:rsidR="008C1A07" w:rsidRPr="00137CA8">
        <w:rPr>
          <w:b w:val="0"/>
          <w:bCs w:val="0"/>
          <w:rtl/>
        </w:rPr>
        <w:t xml:space="preserve">، </w:t>
      </w:r>
      <w:r w:rsidR="00B259A6" w:rsidRPr="00137CA8">
        <w:rPr>
          <w:b w:val="0"/>
          <w:bCs w:val="0"/>
          <w:rtl/>
        </w:rPr>
        <w:t>التمويل المخصص للمنشآت الصغيرة بما في ذلك القروض</w:t>
      </w:r>
      <w:r w:rsidR="008C1A07" w:rsidRPr="00137CA8">
        <w:rPr>
          <w:b w:val="0"/>
          <w:bCs w:val="0"/>
          <w:rtl/>
        </w:rPr>
        <w:t xml:space="preserve"> العقارية التجارية الممنوحة لها، </w:t>
      </w:r>
      <w:r w:rsidR="00B259A6" w:rsidRPr="00137CA8">
        <w:rPr>
          <w:b w:val="0"/>
          <w:bCs w:val="0"/>
          <w:rtl/>
        </w:rPr>
        <w:t>أخرى (أي ائتمان يحمل صفات مشابهة للمنتجات أعلاه وبعد الحصول على موافقة البنك المركزي المسبقة)</w:t>
      </w:r>
      <w:r w:rsidR="008C1A07" w:rsidRPr="00137CA8">
        <w:rPr>
          <w:b w:val="0"/>
          <w:bCs w:val="0"/>
          <w:rtl/>
        </w:rPr>
        <w:t>]</w:t>
      </w:r>
      <w:r w:rsidR="00B259A6" w:rsidRPr="00137CA8">
        <w:rPr>
          <w:b w:val="0"/>
          <w:bCs w:val="0"/>
          <w:rtl/>
        </w:rPr>
        <w:t>.</w:t>
      </w:r>
      <w:bookmarkEnd w:id="486"/>
      <w:bookmarkEnd w:id="487"/>
      <w:bookmarkEnd w:id="488"/>
    </w:p>
    <w:p w:rsidR="00B259A6" w:rsidRPr="00137CA8" w:rsidRDefault="00D0311B" w:rsidP="00D0581E">
      <w:pPr>
        <w:ind w:left="2976" w:hanging="425"/>
        <w:contextualSpacing/>
        <w:rPr>
          <w:b w:val="0"/>
          <w:bCs w:val="0"/>
        </w:rPr>
      </w:pPr>
      <w:bookmarkStart w:id="489" w:name="_Toc414887982"/>
      <w:bookmarkStart w:id="490" w:name="_Toc451176170"/>
      <w:bookmarkStart w:id="491" w:name="_Toc451180151"/>
      <w:r>
        <w:rPr>
          <w:rFonts w:hint="cs"/>
          <w:b w:val="0"/>
          <w:bCs w:val="0"/>
          <w:rtl/>
        </w:rPr>
        <w:t>ج</w:t>
      </w:r>
      <w:r w:rsidR="00B259A6" w:rsidRPr="00137CA8">
        <w:rPr>
          <w:b w:val="0"/>
          <w:bCs w:val="0"/>
          <w:rtl/>
        </w:rPr>
        <w:t>.</w:t>
      </w:r>
      <w:r w:rsidR="00B259A6" w:rsidRPr="00137CA8">
        <w:rPr>
          <w:b w:val="0"/>
          <w:bCs w:val="0"/>
          <w:rtl/>
        </w:rPr>
        <w:tab/>
        <w:t>معيار التفتت: أن تكون محفظة التجزئة موزعة بشكل جيد</w:t>
      </w:r>
      <w:r w:rsidR="00D0581E">
        <w:rPr>
          <w:rFonts w:hint="cs"/>
          <w:b w:val="0"/>
          <w:bCs w:val="0"/>
          <w:rtl/>
        </w:rPr>
        <w:br/>
        <w:t>(</w:t>
      </w:r>
      <w:r w:rsidR="00D0581E">
        <w:rPr>
          <w:b w:val="0"/>
          <w:bCs w:val="0"/>
        </w:rPr>
        <w:t>Well diversified</w:t>
      </w:r>
      <w:r w:rsidR="00D0581E">
        <w:rPr>
          <w:rFonts w:hint="cs"/>
          <w:b w:val="0"/>
          <w:bCs w:val="0"/>
          <w:rtl/>
        </w:rPr>
        <w:t>)</w:t>
      </w:r>
      <w:r w:rsidR="00B259A6" w:rsidRPr="00137CA8">
        <w:rPr>
          <w:b w:val="0"/>
          <w:bCs w:val="0"/>
          <w:rtl/>
        </w:rPr>
        <w:t>، بحيث لا يجوز أن يزيد إجمالي الائتمان الممنوح للعميل الواحد بكافة أنواعه (بما فيه الائتمان الممنوح للعملاء ذوي الصلة) عن (0.2%) من محفظة التجزئة العاملة، وتحتسب على مستوى المنطقة الجغرافية/ البلد الواحد.</w:t>
      </w:r>
      <w:bookmarkEnd w:id="489"/>
      <w:bookmarkEnd w:id="490"/>
      <w:bookmarkEnd w:id="491"/>
    </w:p>
    <w:p w:rsidR="00B259A6" w:rsidRPr="00137CA8" w:rsidRDefault="00D0311B" w:rsidP="00D85144">
      <w:pPr>
        <w:ind w:left="2976" w:hanging="425"/>
        <w:contextualSpacing/>
        <w:rPr>
          <w:b w:val="0"/>
          <w:bCs w:val="0"/>
        </w:rPr>
      </w:pPr>
      <w:bookmarkStart w:id="492" w:name="_Toc414887983"/>
      <w:bookmarkStart w:id="493" w:name="_Toc451176171"/>
      <w:bookmarkStart w:id="494" w:name="_Toc451180152"/>
      <w:r>
        <w:rPr>
          <w:rFonts w:hint="cs"/>
          <w:b w:val="0"/>
          <w:bCs w:val="0"/>
          <w:rtl/>
        </w:rPr>
        <w:t>د</w:t>
      </w:r>
      <w:r w:rsidR="00B259A6" w:rsidRPr="00137CA8">
        <w:rPr>
          <w:b w:val="0"/>
          <w:bCs w:val="0"/>
          <w:rtl/>
        </w:rPr>
        <w:t>.</w:t>
      </w:r>
      <w:r w:rsidR="00B259A6" w:rsidRPr="00137CA8">
        <w:rPr>
          <w:b w:val="0"/>
          <w:bCs w:val="0"/>
          <w:rtl/>
        </w:rPr>
        <w:tab/>
        <w:t xml:space="preserve">معيار القيمة القصوى: أن لا يزيد إجمالي الائتمان بكافة أنواعه(باستثناء القروض السكنية) الممنوح للعميل الواحد (سواء على مستوى الفرد </w:t>
      </w:r>
      <w:r w:rsidR="008C1A07" w:rsidRPr="00137CA8">
        <w:rPr>
          <w:b w:val="0"/>
          <w:bCs w:val="0"/>
          <w:rtl/>
        </w:rPr>
        <w:t>و</w:t>
      </w:r>
      <w:r w:rsidR="00B259A6" w:rsidRPr="00137CA8">
        <w:rPr>
          <w:b w:val="0"/>
          <w:bCs w:val="0"/>
          <w:rtl/>
        </w:rPr>
        <w:t>/ أو المنشأة الصغيرة وبما فيه الائتمان الممنوح للعملاء ذوي الصلة) عن (250) ألف دينار على مستوى البنك الواحد.</w:t>
      </w:r>
      <w:bookmarkEnd w:id="492"/>
      <w:bookmarkEnd w:id="493"/>
      <w:bookmarkEnd w:id="494"/>
    </w:p>
    <w:p w:rsidR="00B259A6" w:rsidRPr="00137CA8" w:rsidRDefault="00B259A6" w:rsidP="00D0581E">
      <w:pPr>
        <w:pStyle w:val="ListParagraph"/>
        <w:numPr>
          <w:ilvl w:val="0"/>
          <w:numId w:val="29"/>
        </w:numPr>
        <w:spacing w:after="0"/>
        <w:ind w:left="2551" w:hanging="425"/>
        <w:rPr>
          <w:b w:val="0"/>
          <w:bCs w:val="0"/>
        </w:rPr>
      </w:pPr>
      <w:bookmarkStart w:id="495" w:name="_Toc414887984"/>
      <w:bookmarkStart w:id="496" w:name="_Toc451176172"/>
      <w:bookmarkStart w:id="497" w:name="_Toc451180153"/>
      <w:r w:rsidRPr="00137CA8">
        <w:rPr>
          <w:b w:val="0"/>
          <w:bCs w:val="0"/>
          <w:rtl/>
        </w:rPr>
        <w:lastRenderedPageBreak/>
        <w:t>لا تدرج ضمن هذه المحفظة كل مما يلي :</w:t>
      </w:r>
      <w:bookmarkEnd w:id="495"/>
      <w:bookmarkEnd w:id="496"/>
      <w:bookmarkEnd w:id="497"/>
    </w:p>
    <w:p w:rsidR="00B259A6" w:rsidRPr="00137CA8" w:rsidRDefault="00D85144" w:rsidP="00D85144">
      <w:pPr>
        <w:ind w:left="2976" w:hanging="425"/>
        <w:contextualSpacing/>
        <w:rPr>
          <w:b w:val="0"/>
          <w:bCs w:val="0"/>
          <w:rtl/>
        </w:rPr>
      </w:pPr>
      <w:bookmarkStart w:id="498" w:name="_Toc414887985"/>
      <w:bookmarkStart w:id="499" w:name="_Toc451176173"/>
      <w:bookmarkStart w:id="500" w:name="_Toc451180154"/>
      <w:r>
        <w:rPr>
          <w:rFonts w:hint="cs"/>
          <w:b w:val="0"/>
          <w:bCs w:val="0"/>
          <w:rtl/>
        </w:rPr>
        <w:t>أ</w:t>
      </w:r>
      <w:r w:rsidR="008C1A07" w:rsidRPr="00137CA8">
        <w:rPr>
          <w:b w:val="0"/>
          <w:bCs w:val="0"/>
          <w:rtl/>
        </w:rPr>
        <w:t>.</w:t>
      </w:r>
      <w:r w:rsidR="00B259A6" w:rsidRPr="00137CA8">
        <w:rPr>
          <w:b w:val="0"/>
          <w:bCs w:val="0"/>
          <w:rtl/>
        </w:rPr>
        <w:tab/>
        <w:t>مطالبات القروض السكنية المؤهلة</w:t>
      </w:r>
      <w:bookmarkEnd w:id="498"/>
      <w:bookmarkEnd w:id="499"/>
      <w:bookmarkEnd w:id="500"/>
      <w:r w:rsidR="00B259A6" w:rsidRPr="00137CA8">
        <w:rPr>
          <w:b w:val="0"/>
          <w:bCs w:val="0"/>
          <w:rtl/>
        </w:rPr>
        <w:t xml:space="preserve"> </w:t>
      </w:r>
      <w:r w:rsidR="00137CA8">
        <w:rPr>
          <w:b w:val="0"/>
          <w:bCs w:val="0"/>
        </w:rPr>
        <w:t>.</w:t>
      </w:r>
    </w:p>
    <w:p w:rsidR="00B259A6" w:rsidRPr="00137CA8" w:rsidRDefault="00D85144" w:rsidP="00D85144">
      <w:pPr>
        <w:ind w:left="2976" w:hanging="425"/>
        <w:contextualSpacing/>
        <w:rPr>
          <w:b w:val="0"/>
          <w:bCs w:val="0"/>
        </w:rPr>
      </w:pPr>
      <w:bookmarkStart w:id="501" w:name="_Toc414887986"/>
      <w:bookmarkStart w:id="502" w:name="_Toc451176174"/>
      <w:bookmarkStart w:id="503" w:name="_Toc451180155"/>
      <w:r>
        <w:rPr>
          <w:rFonts w:hint="cs"/>
          <w:b w:val="0"/>
          <w:bCs w:val="0"/>
          <w:rtl/>
        </w:rPr>
        <w:t>ب</w:t>
      </w:r>
      <w:r w:rsidR="00B259A6" w:rsidRPr="00137CA8">
        <w:rPr>
          <w:b w:val="0"/>
          <w:bCs w:val="0"/>
          <w:rtl/>
        </w:rPr>
        <w:t>.</w:t>
      </w:r>
      <w:r w:rsidR="00B259A6" w:rsidRPr="00137CA8">
        <w:rPr>
          <w:b w:val="0"/>
          <w:bCs w:val="0"/>
          <w:rtl/>
        </w:rPr>
        <w:tab/>
        <w:t>سندات الدين الصادرة عن المنشآت الصغيرة</w:t>
      </w:r>
      <w:bookmarkEnd w:id="501"/>
      <w:bookmarkEnd w:id="502"/>
      <w:bookmarkEnd w:id="503"/>
      <w:r w:rsidR="00137CA8">
        <w:rPr>
          <w:b w:val="0"/>
          <w:bCs w:val="0"/>
        </w:rPr>
        <w:t>.</w:t>
      </w:r>
    </w:p>
    <w:p w:rsidR="00B259A6" w:rsidRPr="00137CA8" w:rsidRDefault="00D85144" w:rsidP="00D85144">
      <w:pPr>
        <w:ind w:left="2976" w:hanging="425"/>
        <w:contextualSpacing/>
        <w:rPr>
          <w:b w:val="0"/>
          <w:bCs w:val="0"/>
          <w:rtl/>
        </w:rPr>
      </w:pPr>
      <w:bookmarkStart w:id="504" w:name="_Toc414887987"/>
      <w:bookmarkStart w:id="505" w:name="_Toc451176175"/>
      <w:bookmarkStart w:id="506" w:name="_Toc451180156"/>
      <w:r>
        <w:rPr>
          <w:rFonts w:hint="cs"/>
          <w:b w:val="0"/>
          <w:bCs w:val="0"/>
          <w:rtl/>
        </w:rPr>
        <w:t>ج</w:t>
      </w:r>
      <w:r w:rsidR="00B259A6" w:rsidRPr="00137CA8">
        <w:rPr>
          <w:b w:val="0"/>
          <w:bCs w:val="0"/>
          <w:rtl/>
        </w:rPr>
        <w:t>.</w:t>
      </w:r>
      <w:r w:rsidR="00B259A6" w:rsidRPr="00137CA8">
        <w:rPr>
          <w:b w:val="0"/>
          <w:bCs w:val="0"/>
          <w:rtl/>
        </w:rPr>
        <w:tab/>
        <w:t>أي ائتمان ممنوح (ضمن منتج) بهدف المضاربة (</w:t>
      </w:r>
      <w:r w:rsidR="00B259A6" w:rsidRPr="00137CA8">
        <w:rPr>
          <w:b w:val="0"/>
          <w:bCs w:val="0"/>
        </w:rPr>
        <w:t>Speculation</w:t>
      </w:r>
      <w:r w:rsidR="00B259A6" w:rsidRPr="00137CA8">
        <w:rPr>
          <w:b w:val="0"/>
          <w:bCs w:val="0"/>
          <w:rtl/>
        </w:rPr>
        <w:t>)</w:t>
      </w:r>
      <w:bookmarkEnd w:id="504"/>
      <w:bookmarkEnd w:id="505"/>
      <w:bookmarkEnd w:id="506"/>
      <w:r w:rsidR="00D0581E">
        <w:rPr>
          <w:rFonts w:hint="cs"/>
          <w:b w:val="0"/>
          <w:bCs w:val="0"/>
          <w:rtl/>
        </w:rPr>
        <w:t xml:space="preserve">، مثل تمويل شراء الأسهم و/أو الأراضي الذي يهدف إلى الاستفادة من فروقات الأسعار في المدى المنظور. </w:t>
      </w:r>
    </w:p>
    <w:p w:rsidR="00B259A6" w:rsidRPr="00137CA8" w:rsidRDefault="00D85144" w:rsidP="00D85144">
      <w:pPr>
        <w:ind w:left="2976" w:hanging="425"/>
        <w:contextualSpacing/>
        <w:rPr>
          <w:b w:val="0"/>
          <w:bCs w:val="0"/>
          <w:rtl/>
        </w:rPr>
      </w:pPr>
      <w:bookmarkStart w:id="507" w:name="_Toc414887988"/>
      <w:bookmarkStart w:id="508" w:name="_Toc451176176"/>
      <w:bookmarkStart w:id="509" w:name="_Toc451180157"/>
      <w:r>
        <w:rPr>
          <w:rFonts w:hint="cs"/>
          <w:b w:val="0"/>
          <w:bCs w:val="0"/>
          <w:rtl/>
        </w:rPr>
        <w:t>د</w:t>
      </w:r>
      <w:r w:rsidR="008C1A07" w:rsidRPr="00137CA8">
        <w:rPr>
          <w:b w:val="0"/>
          <w:bCs w:val="0"/>
          <w:rtl/>
        </w:rPr>
        <w:t>.</w:t>
      </w:r>
      <w:r w:rsidR="00B259A6" w:rsidRPr="00137CA8">
        <w:rPr>
          <w:b w:val="0"/>
          <w:bCs w:val="0"/>
          <w:rtl/>
        </w:rPr>
        <w:tab/>
        <w:t>أي مطالبات يزيد عمرها الأصلي عن سبع سنوات.</w:t>
      </w:r>
      <w:bookmarkEnd w:id="507"/>
      <w:bookmarkEnd w:id="508"/>
      <w:bookmarkEnd w:id="509"/>
    </w:p>
    <w:p w:rsidR="00B259A6" w:rsidRPr="00137CA8" w:rsidRDefault="00D85144" w:rsidP="00D85144">
      <w:pPr>
        <w:spacing w:after="0"/>
        <w:ind w:left="2976" w:hanging="425"/>
        <w:contextualSpacing/>
        <w:rPr>
          <w:b w:val="0"/>
          <w:bCs w:val="0"/>
          <w:rtl/>
        </w:rPr>
      </w:pPr>
      <w:bookmarkStart w:id="510" w:name="_Toc414887989"/>
      <w:bookmarkStart w:id="511" w:name="_Toc451176177"/>
      <w:bookmarkStart w:id="512" w:name="_Toc451180158"/>
      <w:r>
        <w:rPr>
          <w:rFonts w:hint="cs"/>
          <w:b w:val="0"/>
          <w:bCs w:val="0"/>
          <w:rtl/>
        </w:rPr>
        <w:t>ه</w:t>
      </w:r>
      <w:r w:rsidR="00B259A6" w:rsidRPr="00137CA8">
        <w:rPr>
          <w:b w:val="0"/>
          <w:bCs w:val="0"/>
          <w:rtl/>
        </w:rPr>
        <w:t>.</w:t>
      </w:r>
      <w:r w:rsidR="00B259A6" w:rsidRPr="00137CA8">
        <w:rPr>
          <w:b w:val="0"/>
          <w:bCs w:val="0"/>
          <w:rtl/>
        </w:rPr>
        <w:tab/>
        <w:t>أي عميل (فرد) تزيد نسبة خدمة مديونيته</w:t>
      </w:r>
      <w:r w:rsidR="00D0581E">
        <w:rPr>
          <w:rFonts w:hint="cs"/>
          <w:b w:val="0"/>
          <w:bCs w:val="0"/>
          <w:rtl/>
        </w:rPr>
        <w:t xml:space="preserve"> </w:t>
      </w:r>
      <w:r w:rsidR="00D0581E">
        <w:rPr>
          <w:b w:val="0"/>
          <w:bCs w:val="0"/>
          <w:rtl/>
        </w:rPr>
        <w:t>–</w:t>
      </w:r>
      <w:r w:rsidR="00D0581E">
        <w:rPr>
          <w:rFonts w:hint="cs"/>
          <w:b w:val="0"/>
          <w:bCs w:val="0"/>
          <w:rtl/>
        </w:rPr>
        <w:t xml:space="preserve"> عند منح التسهيلات و/أو تجديدها - </w:t>
      </w:r>
      <w:r w:rsidR="00B259A6" w:rsidRPr="00137CA8">
        <w:rPr>
          <w:b w:val="0"/>
          <w:bCs w:val="0"/>
          <w:rtl/>
        </w:rPr>
        <w:t>عن 50% من صافي دخله الشهري المثبت في ملف العميل بعد اقتطاع ضريبة الدخل و مساهمات الضمان الاجتماعي</w:t>
      </w:r>
      <w:bookmarkEnd w:id="510"/>
      <w:bookmarkEnd w:id="511"/>
      <w:bookmarkEnd w:id="512"/>
      <w:r w:rsidR="00D0581E">
        <w:rPr>
          <w:rFonts w:hint="cs"/>
          <w:b w:val="0"/>
          <w:bCs w:val="0"/>
          <w:rtl/>
        </w:rPr>
        <w:t xml:space="preserve">، ويقصد بنسبة خدمة المديونية إجمالي المبلغ المترتب على العميل إلى صافي دخله الشهري بعد الاقتطاعات أعلاه. </w:t>
      </w:r>
    </w:p>
    <w:p w:rsidR="00B259A6" w:rsidRDefault="00B259A6" w:rsidP="00D85144">
      <w:pPr>
        <w:pStyle w:val="ListParagraph"/>
        <w:numPr>
          <w:ilvl w:val="0"/>
          <w:numId w:val="29"/>
        </w:numPr>
        <w:ind w:left="2551" w:hanging="425"/>
        <w:rPr>
          <w:b w:val="0"/>
          <w:bCs w:val="0"/>
        </w:rPr>
      </w:pPr>
      <w:bookmarkStart w:id="513" w:name="_Toc414887990"/>
      <w:bookmarkStart w:id="514" w:name="_Toc451176178"/>
      <w:bookmarkStart w:id="515" w:name="_Toc451180159"/>
      <w:r w:rsidRPr="00137CA8">
        <w:rPr>
          <w:b w:val="0"/>
          <w:bCs w:val="0"/>
          <w:rtl/>
        </w:rPr>
        <w:t>تعطى تسهيلات التجزئة التي لا تحقق كافة الشروط أعلاه وزن مخاطر ترجيحي (100%) وتدرج ضمن بند "تسهيلات تجزئة أخرى".</w:t>
      </w:r>
      <w:bookmarkEnd w:id="513"/>
      <w:bookmarkEnd w:id="514"/>
      <w:bookmarkEnd w:id="515"/>
    </w:p>
    <w:p w:rsidR="00B259A6" w:rsidRPr="00137CA8" w:rsidRDefault="00230BC7" w:rsidP="00D85144">
      <w:pPr>
        <w:ind w:left="2126" w:hanging="851"/>
        <w:rPr>
          <w:b w:val="0"/>
          <w:bCs w:val="0"/>
          <w:rtl/>
        </w:rPr>
      </w:pPr>
      <w:bookmarkStart w:id="516" w:name="_Toc414887991"/>
      <w:bookmarkStart w:id="517" w:name="_Toc451176179"/>
      <w:bookmarkStart w:id="518" w:name="_Toc451180160"/>
      <w:r>
        <w:rPr>
          <w:rFonts w:hint="cs"/>
          <w:b w:val="0"/>
          <w:bCs w:val="0"/>
          <w:rtl/>
        </w:rPr>
        <w:t>9</w:t>
      </w:r>
      <w:r w:rsidR="00B259A6" w:rsidRPr="00137CA8">
        <w:rPr>
          <w:b w:val="0"/>
          <w:bCs w:val="0"/>
          <w:rtl/>
        </w:rPr>
        <w:t>.2.2</w:t>
      </w:r>
      <w:r w:rsidR="00137CA8">
        <w:rPr>
          <w:rFonts w:hint="cs"/>
          <w:b w:val="0"/>
          <w:bCs w:val="0"/>
          <w:rtl/>
        </w:rPr>
        <w:t>.</w:t>
      </w:r>
      <w:r w:rsidR="00B259A6" w:rsidRPr="00137CA8">
        <w:rPr>
          <w:b w:val="0"/>
          <w:bCs w:val="0"/>
          <w:rtl/>
        </w:rPr>
        <w:tab/>
        <w:t>مطالبات  القروض السكنية المضمونة برهونات عقارية</w:t>
      </w:r>
      <w:r w:rsidR="00B259A6" w:rsidRPr="00137CA8">
        <w:rPr>
          <w:b w:val="0"/>
          <w:bCs w:val="0"/>
        </w:rPr>
        <w:t xml:space="preserve">Claims </w:t>
      </w:r>
      <w:r w:rsidR="00B356E2" w:rsidRPr="00137CA8">
        <w:rPr>
          <w:b w:val="0"/>
          <w:bCs w:val="0"/>
        </w:rPr>
        <w:t>Secured</w:t>
      </w:r>
      <w:r w:rsidR="00B259A6" w:rsidRPr="00137CA8">
        <w:rPr>
          <w:b w:val="0"/>
          <w:bCs w:val="0"/>
        </w:rPr>
        <w:t xml:space="preserve"> by </w:t>
      </w:r>
      <w:r w:rsidR="00B356E2" w:rsidRPr="00137CA8">
        <w:rPr>
          <w:b w:val="0"/>
          <w:bCs w:val="0"/>
        </w:rPr>
        <w:t>Residential</w:t>
      </w:r>
      <w:r w:rsidR="00B259A6" w:rsidRPr="00137CA8">
        <w:rPr>
          <w:b w:val="0"/>
          <w:bCs w:val="0"/>
        </w:rPr>
        <w:t xml:space="preserve"> </w:t>
      </w:r>
      <w:r w:rsidR="00B356E2" w:rsidRPr="00137CA8">
        <w:rPr>
          <w:b w:val="0"/>
          <w:bCs w:val="0"/>
        </w:rPr>
        <w:t>Property</w:t>
      </w:r>
      <w:r w:rsidR="00B356E2" w:rsidRPr="00137CA8">
        <w:rPr>
          <w:b w:val="0"/>
          <w:bCs w:val="0"/>
          <w:rtl/>
        </w:rPr>
        <w:t xml:space="preserve"> </w:t>
      </w:r>
      <w:r w:rsidR="00D0581E">
        <w:rPr>
          <w:rFonts w:hint="cs"/>
          <w:b w:val="0"/>
          <w:bCs w:val="0"/>
          <w:rtl/>
        </w:rPr>
        <w:t>(بما فيها الإجارة المنتهية بالتملك للشقق السكنية)</w:t>
      </w:r>
      <w:r w:rsidR="00B356E2" w:rsidRPr="00137CA8">
        <w:rPr>
          <w:b w:val="0"/>
          <w:bCs w:val="0"/>
          <w:rtl/>
        </w:rPr>
        <w:t>:</w:t>
      </w:r>
      <w:bookmarkEnd w:id="516"/>
      <w:bookmarkEnd w:id="517"/>
      <w:bookmarkEnd w:id="518"/>
    </w:p>
    <w:p w:rsidR="00B259A6" w:rsidRPr="00137CA8" w:rsidRDefault="00D85144" w:rsidP="00D0581E">
      <w:pPr>
        <w:ind w:left="2551" w:hanging="425"/>
        <w:rPr>
          <w:b w:val="0"/>
          <w:bCs w:val="0"/>
        </w:rPr>
      </w:pPr>
      <w:bookmarkStart w:id="519" w:name="_Toc414887992"/>
      <w:bookmarkStart w:id="520" w:name="_Toc451176180"/>
      <w:bookmarkStart w:id="521" w:name="_Toc451180161"/>
      <w:r>
        <w:rPr>
          <w:rFonts w:hint="cs"/>
          <w:b w:val="0"/>
          <w:bCs w:val="0"/>
          <w:rtl/>
        </w:rPr>
        <w:t>-</w:t>
      </w:r>
      <w:r>
        <w:rPr>
          <w:rFonts w:hint="cs"/>
          <w:b w:val="0"/>
          <w:bCs w:val="0"/>
          <w:rtl/>
        </w:rPr>
        <w:tab/>
      </w:r>
      <w:r w:rsidR="00B259A6" w:rsidRPr="00137CA8">
        <w:rPr>
          <w:b w:val="0"/>
          <w:bCs w:val="0"/>
          <w:rtl/>
        </w:rPr>
        <w:t>تُعطى هذه المطالبات وزن مخاطر ترجيحي (35%) في حال انطباق كافة الشروط التالية والشروط المنصوص عليها ضمن الملحق رقم (</w:t>
      </w:r>
      <w:r w:rsidR="00D0581E">
        <w:rPr>
          <w:rFonts w:hint="cs"/>
          <w:b w:val="0"/>
          <w:bCs w:val="0"/>
          <w:rtl/>
        </w:rPr>
        <w:t>12</w:t>
      </w:r>
      <w:r w:rsidR="00B259A6" w:rsidRPr="00137CA8">
        <w:rPr>
          <w:b w:val="0"/>
          <w:bCs w:val="0"/>
          <w:rtl/>
        </w:rPr>
        <w:t>):</w:t>
      </w:r>
      <w:bookmarkEnd w:id="519"/>
      <w:bookmarkEnd w:id="520"/>
      <w:bookmarkEnd w:id="521"/>
    </w:p>
    <w:p w:rsidR="00B259A6" w:rsidRPr="00137CA8" w:rsidRDefault="00D85144" w:rsidP="00D85144">
      <w:pPr>
        <w:ind w:left="2976" w:hanging="425"/>
        <w:contextualSpacing/>
        <w:rPr>
          <w:b w:val="0"/>
          <w:bCs w:val="0"/>
        </w:rPr>
      </w:pPr>
      <w:bookmarkStart w:id="522" w:name="_Toc414887993"/>
      <w:bookmarkStart w:id="523" w:name="_Toc451176181"/>
      <w:bookmarkStart w:id="524" w:name="_Toc451180162"/>
      <w:r>
        <w:rPr>
          <w:rFonts w:hint="cs"/>
          <w:b w:val="0"/>
          <w:bCs w:val="0"/>
          <w:rtl/>
        </w:rPr>
        <w:t>أ</w:t>
      </w:r>
      <w:r w:rsidR="00B259A6" w:rsidRPr="00137CA8">
        <w:rPr>
          <w:b w:val="0"/>
          <w:bCs w:val="0"/>
          <w:rtl/>
        </w:rPr>
        <w:t>.</w:t>
      </w:r>
      <w:r w:rsidR="00B259A6" w:rsidRPr="00137CA8">
        <w:rPr>
          <w:b w:val="0"/>
          <w:bCs w:val="0"/>
          <w:rtl/>
        </w:rPr>
        <w:tab/>
        <w:t>مضمونة بالكامل برهن عقار سكني (مشغول من المقترض أو مؤجر للغير و بحد أقصى ثلاث وحدات سكنية مؤجرة ضمن نفس المبنى).</w:t>
      </w:r>
      <w:bookmarkEnd w:id="522"/>
      <w:bookmarkEnd w:id="523"/>
      <w:bookmarkEnd w:id="524"/>
    </w:p>
    <w:p w:rsidR="00B259A6" w:rsidRPr="00137CA8" w:rsidRDefault="00D85144" w:rsidP="00D85144">
      <w:pPr>
        <w:ind w:left="2976" w:hanging="425"/>
        <w:contextualSpacing/>
        <w:rPr>
          <w:b w:val="0"/>
          <w:bCs w:val="0"/>
        </w:rPr>
      </w:pPr>
      <w:bookmarkStart w:id="525" w:name="_Toc414887994"/>
      <w:bookmarkStart w:id="526" w:name="_Toc451176182"/>
      <w:bookmarkStart w:id="527" w:name="_Toc451180163"/>
      <w:r>
        <w:rPr>
          <w:rFonts w:hint="cs"/>
          <w:b w:val="0"/>
          <w:bCs w:val="0"/>
          <w:rtl/>
        </w:rPr>
        <w:t>ب</w:t>
      </w:r>
      <w:r w:rsidR="00B259A6" w:rsidRPr="00137CA8">
        <w:rPr>
          <w:b w:val="0"/>
          <w:bCs w:val="0"/>
          <w:rtl/>
        </w:rPr>
        <w:t>.</w:t>
      </w:r>
      <w:r w:rsidR="00B259A6" w:rsidRPr="00137CA8">
        <w:rPr>
          <w:b w:val="0"/>
          <w:bCs w:val="0"/>
          <w:rtl/>
        </w:rPr>
        <w:tab/>
        <w:t>العقار لأغراض سكنية وليس لأغراض تجارية.</w:t>
      </w:r>
      <w:bookmarkEnd w:id="525"/>
      <w:bookmarkEnd w:id="526"/>
      <w:bookmarkEnd w:id="527"/>
    </w:p>
    <w:p w:rsidR="00B259A6" w:rsidRPr="00137CA8" w:rsidRDefault="00D85144" w:rsidP="00D85144">
      <w:pPr>
        <w:ind w:left="2976" w:hanging="425"/>
        <w:contextualSpacing/>
        <w:rPr>
          <w:b w:val="0"/>
          <w:bCs w:val="0"/>
        </w:rPr>
      </w:pPr>
      <w:bookmarkStart w:id="528" w:name="_Toc414887995"/>
      <w:bookmarkStart w:id="529" w:name="_Toc451176183"/>
      <w:bookmarkStart w:id="530" w:name="_Toc451180164"/>
      <w:r>
        <w:rPr>
          <w:rFonts w:hint="cs"/>
          <w:b w:val="0"/>
          <w:bCs w:val="0"/>
          <w:rtl/>
        </w:rPr>
        <w:t>ج</w:t>
      </w:r>
      <w:r w:rsidR="00B259A6" w:rsidRPr="00137CA8">
        <w:rPr>
          <w:b w:val="0"/>
          <w:bCs w:val="0"/>
          <w:rtl/>
        </w:rPr>
        <w:t>.</w:t>
      </w:r>
      <w:r w:rsidR="00B259A6" w:rsidRPr="00137CA8">
        <w:rPr>
          <w:b w:val="0"/>
          <w:bCs w:val="0"/>
          <w:rtl/>
        </w:rPr>
        <w:tab/>
        <w:t>غاية القرض بناء أو شراء أو توسعة أو تجديد عقار سكني (لا تشمل القروض الشخصية المضمونة برهونات عقارية).</w:t>
      </w:r>
      <w:bookmarkEnd w:id="528"/>
      <w:bookmarkEnd w:id="529"/>
      <w:bookmarkEnd w:id="530"/>
    </w:p>
    <w:p w:rsidR="00B259A6" w:rsidRPr="00137CA8" w:rsidRDefault="00D85144" w:rsidP="00D85144">
      <w:pPr>
        <w:ind w:left="2976" w:hanging="425"/>
        <w:contextualSpacing/>
        <w:rPr>
          <w:b w:val="0"/>
          <w:bCs w:val="0"/>
        </w:rPr>
      </w:pPr>
      <w:bookmarkStart w:id="531" w:name="_Toc414887996"/>
      <w:bookmarkStart w:id="532" w:name="_Toc451176184"/>
      <w:bookmarkStart w:id="533" w:name="_Toc451180165"/>
      <w:r>
        <w:rPr>
          <w:rFonts w:hint="cs"/>
          <w:b w:val="0"/>
          <w:bCs w:val="0"/>
          <w:rtl/>
        </w:rPr>
        <w:t>د</w:t>
      </w:r>
      <w:r w:rsidR="00B259A6" w:rsidRPr="00137CA8">
        <w:rPr>
          <w:b w:val="0"/>
          <w:bCs w:val="0"/>
          <w:rtl/>
        </w:rPr>
        <w:t>.</w:t>
      </w:r>
      <w:r w:rsidR="00B259A6" w:rsidRPr="00137CA8">
        <w:rPr>
          <w:b w:val="0"/>
          <w:bCs w:val="0"/>
          <w:rtl/>
        </w:rPr>
        <w:tab/>
        <w:t>أن لا تزيد قيمة القرض</w:t>
      </w:r>
      <w:r w:rsidR="00B356E2" w:rsidRPr="00137CA8">
        <w:rPr>
          <w:b w:val="0"/>
          <w:bCs w:val="0"/>
          <w:rtl/>
        </w:rPr>
        <w:t xml:space="preserve"> (</w:t>
      </w:r>
      <w:r w:rsidR="00B356E2" w:rsidRPr="00137CA8">
        <w:rPr>
          <w:b w:val="0"/>
          <w:bCs w:val="0"/>
        </w:rPr>
        <w:t>Loan to Value</w:t>
      </w:r>
      <w:r w:rsidR="00B356E2" w:rsidRPr="00137CA8">
        <w:rPr>
          <w:b w:val="0"/>
          <w:bCs w:val="0"/>
          <w:rtl/>
        </w:rPr>
        <w:t>)</w:t>
      </w:r>
      <w:r w:rsidR="00B259A6" w:rsidRPr="00137CA8">
        <w:rPr>
          <w:b w:val="0"/>
          <w:bCs w:val="0"/>
          <w:rtl/>
        </w:rPr>
        <w:t xml:space="preserve"> عن (80%) من القيمة التقديرية للعقار أو القيمة الشرائية أيهما أقل عند المنح.</w:t>
      </w:r>
      <w:bookmarkEnd w:id="531"/>
      <w:bookmarkEnd w:id="532"/>
      <w:bookmarkEnd w:id="533"/>
    </w:p>
    <w:p w:rsidR="00B259A6" w:rsidRPr="00137CA8" w:rsidRDefault="00D85144" w:rsidP="00D85144">
      <w:pPr>
        <w:ind w:left="2976" w:hanging="425"/>
        <w:contextualSpacing/>
        <w:rPr>
          <w:b w:val="0"/>
          <w:bCs w:val="0"/>
          <w:rtl/>
        </w:rPr>
      </w:pPr>
      <w:bookmarkStart w:id="534" w:name="_Toc414887997"/>
      <w:bookmarkStart w:id="535" w:name="_Toc451176185"/>
      <w:bookmarkStart w:id="536" w:name="_Toc451180166"/>
      <w:r>
        <w:rPr>
          <w:rFonts w:hint="cs"/>
          <w:b w:val="0"/>
          <w:bCs w:val="0"/>
          <w:rtl/>
        </w:rPr>
        <w:t>ه</w:t>
      </w:r>
      <w:r w:rsidR="00B259A6" w:rsidRPr="00137CA8">
        <w:rPr>
          <w:b w:val="0"/>
          <w:bCs w:val="0"/>
          <w:rtl/>
        </w:rPr>
        <w:t>.</w:t>
      </w:r>
      <w:r w:rsidR="00B259A6" w:rsidRPr="00137CA8">
        <w:rPr>
          <w:b w:val="0"/>
          <w:bCs w:val="0"/>
          <w:rtl/>
        </w:rPr>
        <w:tab/>
        <w:t>أن يكون العقار مملوكاً لفرد أو مجموعة أفراد.</w:t>
      </w:r>
      <w:bookmarkEnd w:id="534"/>
      <w:bookmarkEnd w:id="535"/>
      <w:bookmarkEnd w:id="536"/>
    </w:p>
    <w:p w:rsidR="00B259A6" w:rsidRPr="00556357" w:rsidRDefault="00B259A6" w:rsidP="00D85144">
      <w:pPr>
        <w:pStyle w:val="ListParagraph"/>
        <w:numPr>
          <w:ilvl w:val="0"/>
          <w:numId w:val="29"/>
        </w:numPr>
        <w:ind w:left="2551" w:hanging="425"/>
        <w:rPr>
          <w:b w:val="0"/>
          <w:bCs w:val="0"/>
          <w:rtl/>
        </w:rPr>
      </w:pPr>
      <w:bookmarkStart w:id="537" w:name="_Toc414887998"/>
      <w:bookmarkStart w:id="538" w:name="_Toc451176186"/>
      <w:bookmarkStart w:id="539" w:name="_Toc451180167"/>
      <w:r w:rsidRPr="00556357">
        <w:rPr>
          <w:b w:val="0"/>
          <w:bCs w:val="0"/>
          <w:rtl/>
        </w:rPr>
        <w:t>سيتم رفع وزن المخاطر الترجيحي في حال كانت قيمة الخسائر الناتجة عن محفظة القروض السكنية أكبر مما هو متوقع سواءً على مستوى الجهاز المصرفي أو بنك بعينه.</w:t>
      </w:r>
      <w:bookmarkEnd w:id="537"/>
      <w:bookmarkEnd w:id="538"/>
      <w:bookmarkEnd w:id="539"/>
    </w:p>
    <w:p w:rsidR="00B259A6" w:rsidRPr="00556357" w:rsidRDefault="00B259A6" w:rsidP="00D85144">
      <w:pPr>
        <w:pStyle w:val="ListParagraph"/>
        <w:numPr>
          <w:ilvl w:val="0"/>
          <w:numId w:val="29"/>
        </w:numPr>
        <w:ind w:left="2551" w:hanging="425"/>
        <w:rPr>
          <w:b w:val="0"/>
          <w:bCs w:val="0"/>
        </w:rPr>
      </w:pPr>
      <w:bookmarkStart w:id="540" w:name="_Toc414887999"/>
      <w:bookmarkStart w:id="541" w:name="_Toc451176187"/>
      <w:bookmarkStart w:id="542" w:name="_Toc451180168"/>
      <w:r w:rsidRPr="00556357">
        <w:rPr>
          <w:b w:val="0"/>
          <w:bCs w:val="0"/>
          <w:rtl/>
        </w:rPr>
        <w:lastRenderedPageBreak/>
        <w:t>في حال عدم انطباق كافة الشروط أعلاه تخضع كامل قيمة التعرض الائتماني لوزن مخاطر ترجيحي (100%).</w:t>
      </w:r>
      <w:bookmarkEnd w:id="540"/>
      <w:bookmarkEnd w:id="541"/>
      <w:bookmarkEnd w:id="542"/>
    </w:p>
    <w:p w:rsidR="00B259A6" w:rsidRPr="00556357" w:rsidRDefault="00230BC7" w:rsidP="00D85144">
      <w:pPr>
        <w:ind w:left="2126" w:hanging="851"/>
        <w:rPr>
          <w:b w:val="0"/>
          <w:bCs w:val="0"/>
        </w:rPr>
      </w:pPr>
      <w:bookmarkStart w:id="543" w:name="_Toc414888000"/>
      <w:bookmarkStart w:id="544" w:name="_Toc451176188"/>
      <w:bookmarkStart w:id="545" w:name="_Toc451180169"/>
      <w:r>
        <w:rPr>
          <w:rFonts w:hint="cs"/>
          <w:b w:val="0"/>
          <w:bCs w:val="0"/>
          <w:rtl/>
        </w:rPr>
        <w:t>10</w:t>
      </w:r>
      <w:r w:rsidR="00B259A6" w:rsidRPr="00556357">
        <w:rPr>
          <w:b w:val="0"/>
          <w:bCs w:val="0"/>
          <w:rtl/>
        </w:rPr>
        <w:t>.2.2</w:t>
      </w:r>
      <w:r w:rsidR="00556357" w:rsidRPr="00556357">
        <w:rPr>
          <w:rFonts w:hint="cs"/>
          <w:b w:val="0"/>
          <w:bCs w:val="0"/>
          <w:rtl/>
        </w:rPr>
        <w:t>.</w:t>
      </w:r>
      <w:r w:rsidR="00556357">
        <w:rPr>
          <w:rFonts w:hint="cs"/>
          <w:b w:val="0"/>
          <w:bCs w:val="0"/>
          <w:rtl/>
        </w:rPr>
        <w:t xml:space="preserve"> </w:t>
      </w:r>
      <w:r w:rsidR="003E1278">
        <w:rPr>
          <w:b w:val="0"/>
          <w:bCs w:val="0"/>
          <w:rtl/>
        </w:rPr>
        <w:t xml:space="preserve">مطالبات </w:t>
      </w:r>
      <w:r w:rsidR="00B259A6" w:rsidRPr="00556357">
        <w:rPr>
          <w:b w:val="0"/>
          <w:bCs w:val="0"/>
          <w:rtl/>
        </w:rPr>
        <w:t xml:space="preserve">قروض تمويل العقارات التجارية </w:t>
      </w:r>
      <w:r w:rsidR="00B259A6" w:rsidRPr="00556357">
        <w:rPr>
          <w:b w:val="0"/>
          <w:bCs w:val="0"/>
        </w:rPr>
        <w:t xml:space="preserve">Claims </w:t>
      </w:r>
      <w:r w:rsidR="00B356E2" w:rsidRPr="00556357">
        <w:rPr>
          <w:b w:val="0"/>
          <w:bCs w:val="0"/>
        </w:rPr>
        <w:t>Secured</w:t>
      </w:r>
      <w:r w:rsidR="00B259A6" w:rsidRPr="00556357">
        <w:rPr>
          <w:b w:val="0"/>
          <w:bCs w:val="0"/>
        </w:rPr>
        <w:t xml:space="preserve"> by </w:t>
      </w:r>
      <w:r w:rsidR="00B356E2" w:rsidRPr="00556357">
        <w:rPr>
          <w:b w:val="0"/>
          <w:bCs w:val="0"/>
        </w:rPr>
        <w:t>Commercial</w:t>
      </w:r>
      <w:r w:rsidR="00B259A6" w:rsidRPr="00556357">
        <w:rPr>
          <w:b w:val="0"/>
          <w:bCs w:val="0"/>
        </w:rPr>
        <w:t xml:space="preserve"> </w:t>
      </w:r>
      <w:r w:rsidR="00B356E2" w:rsidRPr="00556357">
        <w:rPr>
          <w:b w:val="0"/>
          <w:bCs w:val="0"/>
        </w:rPr>
        <w:t>Real</w:t>
      </w:r>
      <w:r w:rsidR="00B259A6" w:rsidRPr="00556357">
        <w:rPr>
          <w:b w:val="0"/>
          <w:bCs w:val="0"/>
        </w:rPr>
        <w:t xml:space="preserve"> </w:t>
      </w:r>
      <w:r w:rsidR="00B356E2" w:rsidRPr="00556357">
        <w:rPr>
          <w:b w:val="0"/>
          <w:bCs w:val="0"/>
        </w:rPr>
        <w:t>State</w:t>
      </w:r>
      <w:bookmarkEnd w:id="543"/>
      <w:bookmarkEnd w:id="544"/>
      <w:bookmarkEnd w:id="545"/>
      <w:r w:rsidR="00556357">
        <w:rPr>
          <w:rFonts w:hint="cs"/>
          <w:b w:val="0"/>
          <w:bCs w:val="0"/>
          <w:rtl/>
        </w:rPr>
        <w:t>:</w:t>
      </w:r>
    </w:p>
    <w:p w:rsidR="00B259A6" w:rsidRPr="00556357" w:rsidRDefault="00B259A6" w:rsidP="007B7F97">
      <w:pPr>
        <w:pStyle w:val="ListParagraph"/>
        <w:numPr>
          <w:ilvl w:val="0"/>
          <w:numId w:val="29"/>
        </w:numPr>
        <w:ind w:left="2551" w:hanging="425"/>
        <w:rPr>
          <w:b w:val="0"/>
          <w:bCs w:val="0"/>
        </w:rPr>
      </w:pPr>
      <w:bookmarkStart w:id="546" w:name="_Toc414888001"/>
      <w:bookmarkStart w:id="547" w:name="_Toc451176189"/>
      <w:bookmarkStart w:id="548" w:name="_Toc451180170"/>
      <w:r w:rsidRPr="00556357">
        <w:rPr>
          <w:b w:val="0"/>
          <w:bCs w:val="0"/>
          <w:rtl/>
        </w:rPr>
        <w:t>ينطبق على هذا النوع من التمويل تعليمات الإقراض المتخصص</w:t>
      </w:r>
      <w:bookmarkEnd w:id="546"/>
      <w:bookmarkEnd w:id="547"/>
      <w:bookmarkEnd w:id="548"/>
      <w:r w:rsidR="007B7F97">
        <w:rPr>
          <w:rFonts w:hint="cs"/>
          <w:b w:val="0"/>
          <w:bCs w:val="0"/>
          <w:rtl/>
        </w:rPr>
        <w:t>.</w:t>
      </w:r>
    </w:p>
    <w:p w:rsidR="00B259A6" w:rsidRDefault="00B259A6" w:rsidP="00D85144">
      <w:pPr>
        <w:pStyle w:val="ListParagraph"/>
        <w:numPr>
          <w:ilvl w:val="0"/>
          <w:numId w:val="29"/>
        </w:numPr>
        <w:ind w:left="2551" w:hanging="425"/>
        <w:rPr>
          <w:b w:val="0"/>
          <w:bCs w:val="0"/>
        </w:rPr>
      </w:pPr>
      <w:bookmarkStart w:id="549" w:name="_Toc414888002"/>
      <w:bookmarkStart w:id="550" w:name="_Toc451176190"/>
      <w:bookmarkStart w:id="551" w:name="_Toc451180171"/>
      <w:r w:rsidRPr="00556357">
        <w:rPr>
          <w:b w:val="0"/>
          <w:bCs w:val="0"/>
          <w:rtl/>
        </w:rPr>
        <w:t>في حال إقراض الشركات لتمويل المباني المستخدمة لأغراض الشركة تعامل معاملة مطالبات الشركات.</w:t>
      </w:r>
      <w:bookmarkEnd w:id="549"/>
      <w:bookmarkEnd w:id="550"/>
      <w:bookmarkEnd w:id="551"/>
      <w:r w:rsidRPr="00556357">
        <w:rPr>
          <w:b w:val="0"/>
          <w:bCs w:val="0"/>
          <w:rtl/>
        </w:rPr>
        <w:t xml:space="preserve"> </w:t>
      </w:r>
      <w:r w:rsidRPr="00556357">
        <w:rPr>
          <w:b w:val="0"/>
          <w:bCs w:val="0"/>
          <w:rtl/>
        </w:rPr>
        <w:tab/>
      </w:r>
    </w:p>
    <w:p w:rsidR="00B259A6" w:rsidRPr="00556357" w:rsidRDefault="00230BC7" w:rsidP="00D85144">
      <w:pPr>
        <w:spacing w:after="0"/>
        <w:ind w:left="2126" w:hanging="851"/>
        <w:rPr>
          <w:b w:val="0"/>
          <w:bCs w:val="0"/>
        </w:rPr>
      </w:pPr>
      <w:bookmarkStart w:id="552" w:name="_Toc414888003"/>
      <w:bookmarkStart w:id="553" w:name="_Toc451176191"/>
      <w:bookmarkStart w:id="554" w:name="_Toc451180172"/>
      <w:r>
        <w:rPr>
          <w:rFonts w:hint="cs"/>
          <w:b w:val="0"/>
          <w:bCs w:val="0"/>
          <w:rtl/>
        </w:rPr>
        <w:t>11</w:t>
      </w:r>
      <w:r w:rsidR="00B259A6" w:rsidRPr="00556357">
        <w:rPr>
          <w:b w:val="0"/>
          <w:bCs w:val="0"/>
          <w:rtl/>
        </w:rPr>
        <w:t>.2.2</w:t>
      </w:r>
      <w:r w:rsidR="00137CA8" w:rsidRPr="00556357">
        <w:rPr>
          <w:rFonts w:hint="cs"/>
          <w:b w:val="0"/>
          <w:bCs w:val="0"/>
          <w:rtl/>
        </w:rPr>
        <w:t>.</w:t>
      </w:r>
      <w:r w:rsidR="00B259A6" w:rsidRPr="00556357">
        <w:rPr>
          <w:b w:val="0"/>
          <w:bCs w:val="0"/>
          <w:rtl/>
        </w:rPr>
        <w:tab/>
        <w:t xml:space="preserve">المطالبات غير العاملة </w:t>
      </w:r>
      <w:r w:rsidR="00B259A6" w:rsidRPr="00556357">
        <w:rPr>
          <w:b w:val="0"/>
          <w:bCs w:val="0"/>
        </w:rPr>
        <w:t xml:space="preserve">Past </w:t>
      </w:r>
      <w:r w:rsidR="00040C69" w:rsidRPr="00556357">
        <w:rPr>
          <w:b w:val="0"/>
          <w:bCs w:val="0"/>
        </w:rPr>
        <w:t>Due</w:t>
      </w:r>
      <w:r w:rsidR="00B259A6" w:rsidRPr="00556357">
        <w:rPr>
          <w:b w:val="0"/>
          <w:bCs w:val="0"/>
        </w:rPr>
        <w:t xml:space="preserve"> </w:t>
      </w:r>
      <w:r w:rsidR="00040C69" w:rsidRPr="00556357">
        <w:rPr>
          <w:b w:val="0"/>
          <w:bCs w:val="0"/>
        </w:rPr>
        <w:t>Loans</w:t>
      </w:r>
      <w:bookmarkEnd w:id="552"/>
      <w:bookmarkEnd w:id="553"/>
      <w:bookmarkEnd w:id="554"/>
      <w:r w:rsidR="007B7F97">
        <w:rPr>
          <w:rFonts w:hint="cs"/>
          <w:b w:val="0"/>
          <w:bCs w:val="0"/>
          <w:rtl/>
        </w:rPr>
        <w:t xml:space="preserve"> (تدرج كفئة مستقلة عن باقي المطالبات)</w:t>
      </w:r>
    </w:p>
    <w:p w:rsidR="00B259A6" w:rsidRPr="00556357" w:rsidRDefault="00B259A6" w:rsidP="00D85144">
      <w:pPr>
        <w:pStyle w:val="ListParagraph"/>
        <w:numPr>
          <w:ilvl w:val="0"/>
          <w:numId w:val="29"/>
        </w:numPr>
        <w:ind w:left="2551" w:hanging="425"/>
        <w:rPr>
          <w:b w:val="0"/>
          <w:bCs w:val="0"/>
        </w:rPr>
      </w:pPr>
      <w:bookmarkStart w:id="555" w:name="_Toc414888004"/>
      <w:bookmarkStart w:id="556" w:name="_Toc451176192"/>
      <w:bookmarkStart w:id="557" w:name="_Toc451180173"/>
      <w:r w:rsidRPr="00556357">
        <w:rPr>
          <w:b w:val="0"/>
          <w:bCs w:val="0"/>
          <w:rtl/>
        </w:rPr>
        <w:t>يعطى الجزء غير المغطى بضمان مؤهل من المطالبات غير العاملة (المستحق لمدة 90 يوم فأكثر) بعد طرح قيمة المخصص الخاص والفوائد والعمولات المعلقة، أوزان المخاطر الترجيحية التالية وتستثنى القروض السكنية المؤهلة من هذه القاعدة:</w:t>
      </w:r>
      <w:bookmarkEnd w:id="555"/>
      <w:bookmarkEnd w:id="556"/>
      <w:bookmarkEnd w:id="557"/>
    </w:p>
    <w:p w:rsidR="00B259A6" w:rsidRPr="00137CA8" w:rsidRDefault="00D85144" w:rsidP="00D85144">
      <w:pPr>
        <w:ind w:left="2976" w:hanging="425"/>
        <w:contextualSpacing/>
        <w:rPr>
          <w:b w:val="0"/>
          <w:bCs w:val="0"/>
          <w:rtl/>
        </w:rPr>
      </w:pPr>
      <w:bookmarkStart w:id="558" w:name="_Toc414888005"/>
      <w:bookmarkStart w:id="559" w:name="_Toc451176193"/>
      <w:bookmarkStart w:id="560" w:name="_Toc451180174"/>
      <w:r>
        <w:rPr>
          <w:rFonts w:hint="cs"/>
          <w:b w:val="0"/>
          <w:bCs w:val="0"/>
          <w:rtl/>
        </w:rPr>
        <w:t>أ</w:t>
      </w:r>
      <w:r>
        <w:rPr>
          <w:b w:val="0"/>
          <w:bCs w:val="0"/>
          <w:rtl/>
        </w:rPr>
        <w:t>.</w:t>
      </w:r>
      <w:r>
        <w:rPr>
          <w:rFonts w:hint="cs"/>
          <w:b w:val="0"/>
          <w:bCs w:val="0"/>
          <w:rtl/>
        </w:rPr>
        <w:tab/>
      </w:r>
      <w:r w:rsidR="00B259A6" w:rsidRPr="00137CA8">
        <w:rPr>
          <w:b w:val="0"/>
          <w:bCs w:val="0"/>
          <w:rtl/>
        </w:rPr>
        <w:t>(50%) إذا كان المخصص الخاص أكبر من (50%) من الرصيد القائم للتسهيلات.</w:t>
      </w:r>
      <w:bookmarkEnd w:id="558"/>
      <w:bookmarkEnd w:id="559"/>
      <w:bookmarkEnd w:id="560"/>
    </w:p>
    <w:p w:rsidR="00B259A6" w:rsidRPr="00137CA8" w:rsidRDefault="00D85144" w:rsidP="00D85144">
      <w:pPr>
        <w:ind w:left="2976" w:hanging="425"/>
        <w:contextualSpacing/>
        <w:rPr>
          <w:b w:val="0"/>
          <w:bCs w:val="0"/>
          <w:rtl/>
        </w:rPr>
      </w:pPr>
      <w:bookmarkStart w:id="561" w:name="_Toc414888006"/>
      <w:bookmarkStart w:id="562" w:name="_Toc451176194"/>
      <w:bookmarkStart w:id="563" w:name="_Toc451180175"/>
      <w:r>
        <w:rPr>
          <w:rFonts w:hint="cs"/>
          <w:b w:val="0"/>
          <w:bCs w:val="0"/>
          <w:rtl/>
        </w:rPr>
        <w:t>ب.</w:t>
      </w:r>
      <w:r w:rsidR="00B259A6" w:rsidRPr="00137CA8">
        <w:rPr>
          <w:b w:val="0"/>
          <w:bCs w:val="0"/>
          <w:rtl/>
        </w:rPr>
        <w:tab/>
        <w:t>(100%) إذا كان المخصص الخاص أكبر أو يساوي (20%) وأقل من (50%)</w:t>
      </w:r>
      <w:r w:rsidR="00036EC9">
        <w:rPr>
          <w:rFonts w:hint="cs"/>
          <w:b w:val="0"/>
          <w:bCs w:val="0"/>
          <w:rtl/>
        </w:rPr>
        <w:t xml:space="preserve"> </w:t>
      </w:r>
      <w:r w:rsidR="00B259A6" w:rsidRPr="00137CA8">
        <w:rPr>
          <w:b w:val="0"/>
          <w:bCs w:val="0"/>
          <w:rtl/>
        </w:rPr>
        <w:t>من الرصيد القائم للتسهيلات.</w:t>
      </w:r>
      <w:bookmarkEnd w:id="561"/>
      <w:bookmarkEnd w:id="562"/>
      <w:bookmarkEnd w:id="563"/>
    </w:p>
    <w:p w:rsidR="00B259A6" w:rsidRPr="00137CA8" w:rsidRDefault="00D85144" w:rsidP="00D85144">
      <w:pPr>
        <w:ind w:left="2976" w:hanging="425"/>
        <w:rPr>
          <w:b w:val="0"/>
          <w:bCs w:val="0"/>
        </w:rPr>
      </w:pPr>
      <w:bookmarkStart w:id="564" w:name="_Toc414888007"/>
      <w:bookmarkStart w:id="565" w:name="_Toc451176195"/>
      <w:bookmarkStart w:id="566" w:name="_Toc451180176"/>
      <w:r>
        <w:rPr>
          <w:rFonts w:hint="cs"/>
          <w:b w:val="0"/>
          <w:bCs w:val="0"/>
          <w:rtl/>
        </w:rPr>
        <w:t>ج</w:t>
      </w:r>
      <w:r w:rsidR="00B259A6" w:rsidRPr="00137CA8">
        <w:rPr>
          <w:b w:val="0"/>
          <w:bCs w:val="0"/>
          <w:rtl/>
        </w:rPr>
        <w:t>.</w:t>
      </w:r>
      <w:r w:rsidR="00B259A6" w:rsidRPr="00137CA8">
        <w:rPr>
          <w:b w:val="0"/>
          <w:bCs w:val="0"/>
          <w:rtl/>
        </w:rPr>
        <w:tab/>
        <w:t>(150%) إذا كان المخصص الخاص أقل من (20%) من الرصيد القائم للتسهيلات.</w:t>
      </w:r>
      <w:bookmarkEnd w:id="564"/>
      <w:bookmarkEnd w:id="565"/>
      <w:bookmarkEnd w:id="566"/>
    </w:p>
    <w:p w:rsidR="00B259A6" w:rsidRPr="00556357" w:rsidRDefault="00B259A6" w:rsidP="00D85144">
      <w:pPr>
        <w:pStyle w:val="ListParagraph"/>
        <w:numPr>
          <w:ilvl w:val="0"/>
          <w:numId w:val="29"/>
        </w:numPr>
        <w:ind w:left="2551" w:hanging="425"/>
        <w:rPr>
          <w:b w:val="0"/>
          <w:bCs w:val="0"/>
        </w:rPr>
      </w:pPr>
      <w:bookmarkStart w:id="567" w:name="_Toc414888008"/>
      <w:bookmarkStart w:id="568" w:name="_Toc451176196"/>
      <w:bookmarkStart w:id="569" w:name="_Toc451180177"/>
      <w:r w:rsidRPr="00556357">
        <w:rPr>
          <w:b w:val="0"/>
          <w:bCs w:val="0"/>
          <w:rtl/>
        </w:rPr>
        <w:t>تعتمد الضمانات والكفالات المؤهلة (</w:t>
      </w:r>
      <w:r w:rsidRPr="00556357">
        <w:rPr>
          <w:b w:val="0"/>
          <w:bCs w:val="0"/>
        </w:rPr>
        <w:t>Eligible Financial Collateral</w:t>
      </w:r>
      <w:r w:rsidRPr="00556357">
        <w:rPr>
          <w:b w:val="0"/>
          <w:bCs w:val="0"/>
          <w:rtl/>
        </w:rPr>
        <w:t>) حسب الوارد في بند مخففات مخاطر الائتمان عند احتساب الجزء المغطى بضمان من المطالبات غير العاملة.</w:t>
      </w:r>
      <w:bookmarkEnd w:id="567"/>
      <w:bookmarkEnd w:id="568"/>
      <w:bookmarkEnd w:id="569"/>
      <w:r w:rsidRPr="00556357">
        <w:rPr>
          <w:b w:val="0"/>
          <w:bCs w:val="0"/>
          <w:rtl/>
        </w:rPr>
        <w:t xml:space="preserve"> </w:t>
      </w:r>
    </w:p>
    <w:p w:rsidR="00B259A6" w:rsidRPr="00556357" w:rsidRDefault="00B259A6" w:rsidP="00D85144">
      <w:pPr>
        <w:pStyle w:val="ListParagraph"/>
        <w:numPr>
          <w:ilvl w:val="0"/>
          <w:numId w:val="29"/>
        </w:numPr>
        <w:ind w:left="2551" w:hanging="425"/>
        <w:rPr>
          <w:b w:val="0"/>
          <w:bCs w:val="0"/>
        </w:rPr>
      </w:pPr>
      <w:bookmarkStart w:id="570" w:name="_Toc414888009"/>
      <w:bookmarkStart w:id="571" w:name="_Toc451176197"/>
      <w:bookmarkStart w:id="572" w:name="_Toc451180178"/>
      <w:r w:rsidRPr="00556357">
        <w:rPr>
          <w:b w:val="0"/>
          <w:bCs w:val="0"/>
          <w:rtl/>
        </w:rPr>
        <w:t>تُستثنى المطالبات غير العاملة من مجموع محفظة تسهيلات التجزئة لدى تقدير معيار التفتت بهدف احتساب وزن المخاطر الترجيحي للمحفظة، ويطبق على الجزء غير العامل منها أوزان المخاطر الترجيحية أعلاه.</w:t>
      </w:r>
      <w:bookmarkEnd w:id="570"/>
      <w:bookmarkEnd w:id="571"/>
      <w:bookmarkEnd w:id="572"/>
    </w:p>
    <w:p w:rsidR="00B259A6" w:rsidRDefault="00B259A6" w:rsidP="00D85144">
      <w:pPr>
        <w:pStyle w:val="ListParagraph"/>
        <w:numPr>
          <w:ilvl w:val="0"/>
          <w:numId w:val="29"/>
        </w:numPr>
        <w:ind w:left="2551" w:hanging="425"/>
        <w:rPr>
          <w:b w:val="0"/>
          <w:bCs w:val="0"/>
        </w:rPr>
      </w:pPr>
      <w:bookmarkStart w:id="573" w:name="_Toc414888010"/>
      <w:bookmarkStart w:id="574" w:name="_Toc451176198"/>
      <w:bookmarkStart w:id="575" w:name="_Toc451180179"/>
      <w:r w:rsidRPr="00556357">
        <w:rPr>
          <w:b w:val="0"/>
          <w:bCs w:val="0"/>
          <w:rtl/>
        </w:rPr>
        <w:t>تُعطى القروض السكنية المؤهلة غير العاملة ( المستحقة لمدة 90 يوم فأكثر) وزن مخاطر ترجيحي (100%) بعد طرح قيمة المخصص الخاص والفوائد والعمولات المعلقة، وفي حال كان المخصص الخاص أكبر أو يساوي (20%) من الرصيد القائم تُعطى وزن مخاطر ترجيحي (50%).</w:t>
      </w:r>
      <w:bookmarkEnd w:id="573"/>
      <w:bookmarkEnd w:id="574"/>
      <w:bookmarkEnd w:id="575"/>
    </w:p>
    <w:p w:rsidR="00230BC7" w:rsidRDefault="00230BC7" w:rsidP="00230BC7">
      <w:pPr>
        <w:pStyle w:val="ListParagraph"/>
        <w:ind w:left="2551"/>
        <w:rPr>
          <w:b w:val="0"/>
          <w:bCs w:val="0"/>
        </w:rPr>
      </w:pPr>
    </w:p>
    <w:p w:rsidR="00B259A6" w:rsidRPr="00556357" w:rsidRDefault="00230BC7" w:rsidP="007B7F97">
      <w:pPr>
        <w:spacing w:after="0"/>
        <w:ind w:left="2126" w:hanging="851"/>
        <w:rPr>
          <w:b w:val="0"/>
          <w:bCs w:val="0"/>
          <w:rtl/>
        </w:rPr>
      </w:pPr>
      <w:bookmarkStart w:id="576" w:name="_Toc414888011"/>
      <w:bookmarkStart w:id="577" w:name="_Toc451176199"/>
      <w:bookmarkStart w:id="578" w:name="_Toc451180180"/>
      <w:r>
        <w:rPr>
          <w:rFonts w:hint="cs"/>
          <w:b w:val="0"/>
          <w:bCs w:val="0"/>
          <w:rtl/>
        </w:rPr>
        <w:lastRenderedPageBreak/>
        <w:t>12</w:t>
      </w:r>
      <w:r w:rsidR="00B259A6" w:rsidRPr="00556357">
        <w:rPr>
          <w:b w:val="0"/>
          <w:bCs w:val="0"/>
          <w:rtl/>
        </w:rPr>
        <w:t>.2.2</w:t>
      </w:r>
      <w:r w:rsidR="00556357">
        <w:rPr>
          <w:rFonts w:hint="cs"/>
          <w:b w:val="0"/>
          <w:bCs w:val="0"/>
          <w:rtl/>
        </w:rPr>
        <w:t>.</w:t>
      </w:r>
      <w:r w:rsidR="00B259A6" w:rsidRPr="00556357">
        <w:rPr>
          <w:b w:val="0"/>
          <w:bCs w:val="0"/>
          <w:rtl/>
        </w:rPr>
        <w:tab/>
        <w:t xml:space="preserve">المطالبات مرتفعة المخاطر </w:t>
      </w:r>
      <w:r w:rsidR="00B259A6" w:rsidRPr="00556357">
        <w:rPr>
          <w:b w:val="0"/>
          <w:bCs w:val="0"/>
        </w:rPr>
        <w:t xml:space="preserve">Higher – </w:t>
      </w:r>
      <w:r w:rsidR="00040C69" w:rsidRPr="00556357">
        <w:rPr>
          <w:b w:val="0"/>
          <w:bCs w:val="0"/>
        </w:rPr>
        <w:t>Risk Categories</w:t>
      </w:r>
      <w:bookmarkEnd w:id="576"/>
      <w:bookmarkEnd w:id="577"/>
      <w:bookmarkEnd w:id="578"/>
      <w:r w:rsidR="00B259A6" w:rsidRPr="00556357">
        <w:rPr>
          <w:b w:val="0"/>
          <w:bCs w:val="0"/>
        </w:rPr>
        <w:t xml:space="preserve"> </w:t>
      </w:r>
    </w:p>
    <w:p w:rsidR="00B259A6" w:rsidRPr="00E72601" w:rsidRDefault="00B259A6" w:rsidP="00D85144">
      <w:pPr>
        <w:pStyle w:val="ListParagraph"/>
        <w:numPr>
          <w:ilvl w:val="0"/>
          <w:numId w:val="29"/>
        </w:numPr>
        <w:ind w:left="2551" w:hanging="425"/>
        <w:rPr>
          <w:b w:val="0"/>
          <w:bCs w:val="0"/>
        </w:rPr>
      </w:pPr>
      <w:bookmarkStart w:id="579" w:name="_Toc414888012"/>
      <w:bookmarkStart w:id="580" w:name="_Toc451176200"/>
      <w:bookmarkStart w:id="581" w:name="_Toc451180181"/>
      <w:r w:rsidRPr="00E72601">
        <w:rPr>
          <w:b w:val="0"/>
          <w:bCs w:val="0"/>
          <w:rtl/>
        </w:rPr>
        <w:t>تُعطى المطالبات التالية وزن مخاطر ترجيحي (150%) و تدرج كفئة مستقلة عن باقي المطالبات:</w:t>
      </w:r>
      <w:bookmarkEnd w:id="579"/>
      <w:bookmarkEnd w:id="580"/>
      <w:bookmarkEnd w:id="581"/>
    </w:p>
    <w:p w:rsidR="00B259A6" w:rsidRPr="00556357" w:rsidRDefault="00D85144" w:rsidP="00D85144">
      <w:pPr>
        <w:ind w:left="2976" w:hanging="425"/>
        <w:contextualSpacing/>
        <w:rPr>
          <w:b w:val="0"/>
          <w:bCs w:val="0"/>
        </w:rPr>
      </w:pPr>
      <w:bookmarkStart w:id="582" w:name="_Toc414888013"/>
      <w:bookmarkStart w:id="583" w:name="_Toc451176201"/>
      <w:bookmarkStart w:id="584" w:name="_Toc451180182"/>
      <w:r>
        <w:rPr>
          <w:rFonts w:hint="cs"/>
          <w:b w:val="0"/>
          <w:bCs w:val="0"/>
          <w:rtl/>
        </w:rPr>
        <w:t>أ</w:t>
      </w:r>
      <w:r w:rsidR="00B259A6" w:rsidRPr="00556357">
        <w:rPr>
          <w:b w:val="0"/>
          <w:bCs w:val="0"/>
          <w:rtl/>
        </w:rPr>
        <w:t>.</w:t>
      </w:r>
      <w:r w:rsidR="00B259A6" w:rsidRPr="00556357">
        <w:rPr>
          <w:b w:val="0"/>
          <w:bCs w:val="0"/>
          <w:rtl/>
        </w:rPr>
        <w:tab/>
        <w:t>مطالبات على الدول، مؤسسات القطاع العام، البنوك وشركات الأوراق المالية(</w:t>
      </w:r>
      <w:r w:rsidR="00B259A6" w:rsidRPr="00556357">
        <w:rPr>
          <w:b w:val="0"/>
          <w:bCs w:val="0"/>
        </w:rPr>
        <w:t>securities firms</w:t>
      </w:r>
      <w:r w:rsidR="00B259A6" w:rsidRPr="00556357">
        <w:rPr>
          <w:b w:val="0"/>
          <w:bCs w:val="0"/>
          <w:rtl/>
        </w:rPr>
        <w:t xml:space="preserve">) التي تحمل تصنيف ائتماني أقل من </w:t>
      </w:r>
      <w:r w:rsidR="00B259A6" w:rsidRPr="00556357">
        <w:rPr>
          <w:b w:val="0"/>
          <w:bCs w:val="0"/>
        </w:rPr>
        <w:t xml:space="preserve">B- </w:t>
      </w:r>
      <w:r w:rsidR="00B259A6" w:rsidRPr="00556357">
        <w:rPr>
          <w:b w:val="0"/>
          <w:bCs w:val="0"/>
          <w:rtl/>
        </w:rPr>
        <w:t>.</w:t>
      </w:r>
      <w:bookmarkEnd w:id="582"/>
      <w:bookmarkEnd w:id="583"/>
      <w:bookmarkEnd w:id="584"/>
    </w:p>
    <w:p w:rsidR="00B259A6" w:rsidRPr="00556357" w:rsidRDefault="00D85144" w:rsidP="00D85144">
      <w:pPr>
        <w:ind w:left="2976" w:hanging="425"/>
        <w:contextualSpacing/>
        <w:rPr>
          <w:b w:val="0"/>
          <w:bCs w:val="0"/>
        </w:rPr>
      </w:pPr>
      <w:bookmarkStart w:id="585" w:name="_Toc414888014"/>
      <w:bookmarkStart w:id="586" w:name="_Toc451176202"/>
      <w:bookmarkStart w:id="587" w:name="_Toc451180183"/>
      <w:r>
        <w:rPr>
          <w:rFonts w:hint="cs"/>
          <w:b w:val="0"/>
          <w:bCs w:val="0"/>
          <w:rtl/>
        </w:rPr>
        <w:t>ب</w:t>
      </w:r>
      <w:r w:rsidR="00B259A6" w:rsidRPr="00556357">
        <w:rPr>
          <w:b w:val="0"/>
          <w:bCs w:val="0"/>
          <w:rtl/>
        </w:rPr>
        <w:t>.</w:t>
      </w:r>
      <w:r w:rsidR="00B259A6" w:rsidRPr="00556357">
        <w:rPr>
          <w:b w:val="0"/>
          <w:bCs w:val="0"/>
          <w:rtl/>
        </w:rPr>
        <w:tab/>
        <w:t xml:space="preserve">مطالبات على شركات القطاع الخاص التي تحمل تصنيف ائتماني أقل من </w:t>
      </w:r>
      <w:r w:rsidR="00B259A6" w:rsidRPr="00556357">
        <w:rPr>
          <w:b w:val="0"/>
          <w:bCs w:val="0"/>
        </w:rPr>
        <w:t>BB-</w:t>
      </w:r>
      <w:r w:rsidR="00B259A6" w:rsidRPr="00556357">
        <w:rPr>
          <w:b w:val="0"/>
          <w:bCs w:val="0"/>
          <w:rtl/>
        </w:rPr>
        <w:t>.</w:t>
      </w:r>
      <w:bookmarkEnd w:id="585"/>
      <w:bookmarkEnd w:id="586"/>
      <w:bookmarkEnd w:id="587"/>
    </w:p>
    <w:p w:rsidR="00B259A6" w:rsidRPr="00556357" w:rsidRDefault="00D85144" w:rsidP="00D85144">
      <w:pPr>
        <w:ind w:left="2976" w:hanging="425"/>
        <w:contextualSpacing/>
        <w:rPr>
          <w:b w:val="0"/>
          <w:bCs w:val="0"/>
        </w:rPr>
      </w:pPr>
      <w:bookmarkStart w:id="588" w:name="_Toc414888015"/>
      <w:bookmarkStart w:id="589" w:name="_Toc451176203"/>
      <w:bookmarkStart w:id="590" w:name="_Toc451180184"/>
      <w:r>
        <w:rPr>
          <w:rFonts w:hint="cs"/>
          <w:b w:val="0"/>
          <w:bCs w:val="0"/>
          <w:rtl/>
        </w:rPr>
        <w:t>ج</w:t>
      </w:r>
      <w:r w:rsidR="00B259A6" w:rsidRPr="00556357">
        <w:rPr>
          <w:b w:val="0"/>
          <w:bCs w:val="0"/>
          <w:rtl/>
        </w:rPr>
        <w:t>.</w:t>
      </w:r>
      <w:r w:rsidR="00B259A6" w:rsidRPr="00556357">
        <w:rPr>
          <w:b w:val="0"/>
          <w:bCs w:val="0"/>
          <w:rtl/>
        </w:rPr>
        <w:tab/>
        <w:t>التسهيلات الممنوحة لتمويل رأس المال المغامر (</w:t>
      </w:r>
      <w:r w:rsidR="00B259A6" w:rsidRPr="00556357">
        <w:rPr>
          <w:b w:val="0"/>
          <w:bCs w:val="0"/>
        </w:rPr>
        <w:t>Venture Capital</w:t>
      </w:r>
      <w:r w:rsidR="0054200F">
        <w:rPr>
          <w:b w:val="0"/>
          <w:bCs w:val="0"/>
          <w:rtl/>
        </w:rPr>
        <w:t>) وما هو بحكمه</w:t>
      </w:r>
      <w:r w:rsidR="0054200F">
        <w:rPr>
          <w:rFonts w:hint="cs"/>
          <w:b w:val="0"/>
          <w:bCs w:val="0"/>
          <w:rtl/>
        </w:rPr>
        <w:t xml:space="preserve"> </w:t>
      </w:r>
      <w:r w:rsidR="00B259A6" w:rsidRPr="00556357">
        <w:rPr>
          <w:b w:val="0"/>
          <w:bCs w:val="0"/>
          <w:rtl/>
        </w:rPr>
        <w:t xml:space="preserve">(تمويل رأس المال المغامر: التسهيلات التي تمنح </w:t>
      </w:r>
      <w:r w:rsidR="00040C69" w:rsidRPr="00556357">
        <w:rPr>
          <w:b w:val="0"/>
          <w:bCs w:val="0"/>
          <w:rtl/>
        </w:rPr>
        <w:t>بغرض تمويل شراء أسهم/حصص في رأس</w:t>
      </w:r>
      <w:r w:rsidR="00B259A6" w:rsidRPr="00556357">
        <w:rPr>
          <w:b w:val="0"/>
          <w:bCs w:val="0"/>
          <w:rtl/>
        </w:rPr>
        <w:t>مال الشركات عدا الشركات المساهمة العامة المدرجة في السوق المالي).</w:t>
      </w:r>
      <w:bookmarkEnd w:id="588"/>
      <w:bookmarkEnd w:id="589"/>
      <w:bookmarkEnd w:id="590"/>
    </w:p>
    <w:p w:rsidR="00B259A6" w:rsidRPr="00556357" w:rsidRDefault="00D85144" w:rsidP="00D85144">
      <w:pPr>
        <w:ind w:left="2976" w:hanging="425"/>
        <w:contextualSpacing/>
        <w:rPr>
          <w:b w:val="0"/>
          <w:bCs w:val="0"/>
        </w:rPr>
      </w:pPr>
      <w:bookmarkStart w:id="591" w:name="_Toc414888016"/>
      <w:bookmarkStart w:id="592" w:name="_Toc451176204"/>
      <w:bookmarkStart w:id="593" w:name="_Toc451180185"/>
      <w:r>
        <w:rPr>
          <w:rFonts w:hint="cs"/>
          <w:b w:val="0"/>
          <w:bCs w:val="0"/>
          <w:rtl/>
        </w:rPr>
        <w:t>د</w:t>
      </w:r>
      <w:r w:rsidR="00B259A6" w:rsidRPr="00556357">
        <w:rPr>
          <w:b w:val="0"/>
          <w:bCs w:val="0"/>
          <w:rtl/>
        </w:rPr>
        <w:t>.</w:t>
      </w:r>
      <w:r w:rsidR="00B259A6" w:rsidRPr="00556357">
        <w:rPr>
          <w:b w:val="0"/>
          <w:bCs w:val="0"/>
          <w:rtl/>
        </w:rPr>
        <w:tab/>
        <w:t>التسهيلات الممنوحة لتمويل الاكتتاب بأسهم شركات مساهمة عامة تحت التأسيس.</w:t>
      </w:r>
      <w:bookmarkEnd w:id="591"/>
      <w:bookmarkEnd w:id="592"/>
      <w:bookmarkEnd w:id="593"/>
    </w:p>
    <w:p w:rsidR="00B259A6" w:rsidRPr="00556357" w:rsidRDefault="00D85144" w:rsidP="00D85144">
      <w:pPr>
        <w:ind w:left="2976" w:hanging="425"/>
        <w:contextualSpacing/>
        <w:rPr>
          <w:b w:val="0"/>
          <w:bCs w:val="0"/>
        </w:rPr>
      </w:pPr>
      <w:bookmarkStart w:id="594" w:name="_Toc414888017"/>
      <w:bookmarkStart w:id="595" w:name="_Toc451176205"/>
      <w:bookmarkStart w:id="596" w:name="_Toc451180186"/>
      <w:r>
        <w:rPr>
          <w:rFonts w:hint="cs"/>
          <w:b w:val="0"/>
          <w:bCs w:val="0"/>
          <w:rtl/>
        </w:rPr>
        <w:t>ه</w:t>
      </w:r>
      <w:r w:rsidR="00B259A6" w:rsidRPr="00556357">
        <w:rPr>
          <w:b w:val="0"/>
          <w:bCs w:val="0"/>
          <w:rtl/>
        </w:rPr>
        <w:t>.</w:t>
      </w:r>
      <w:r w:rsidR="00B259A6" w:rsidRPr="00556357">
        <w:rPr>
          <w:b w:val="0"/>
          <w:bCs w:val="0"/>
          <w:rtl/>
        </w:rPr>
        <w:tab/>
        <w:t>الاكتتاب المباشر و/أو غير المباشر للبنوك بأسهم شركات مساهمة عامة تحت التأسيس.</w:t>
      </w:r>
      <w:bookmarkEnd w:id="594"/>
      <w:bookmarkEnd w:id="595"/>
      <w:bookmarkEnd w:id="596"/>
    </w:p>
    <w:p w:rsidR="00B259A6" w:rsidRPr="00556357" w:rsidRDefault="00D85144" w:rsidP="00D85144">
      <w:pPr>
        <w:ind w:left="2976" w:hanging="425"/>
        <w:contextualSpacing/>
        <w:rPr>
          <w:b w:val="0"/>
          <w:bCs w:val="0"/>
        </w:rPr>
      </w:pPr>
      <w:bookmarkStart w:id="597" w:name="_Toc414888018"/>
      <w:bookmarkStart w:id="598" w:name="_Toc451176206"/>
      <w:bookmarkStart w:id="599" w:name="_Toc451180187"/>
      <w:r>
        <w:rPr>
          <w:rFonts w:hint="cs"/>
          <w:b w:val="0"/>
          <w:bCs w:val="0"/>
          <w:rtl/>
        </w:rPr>
        <w:t>و</w:t>
      </w:r>
      <w:r w:rsidR="00B259A6" w:rsidRPr="00556357">
        <w:rPr>
          <w:b w:val="0"/>
          <w:bCs w:val="0"/>
          <w:rtl/>
        </w:rPr>
        <w:t>.</w:t>
      </w:r>
      <w:r w:rsidR="00B259A6" w:rsidRPr="00556357">
        <w:rPr>
          <w:b w:val="0"/>
          <w:bCs w:val="0"/>
          <w:rtl/>
        </w:rPr>
        <w:tab/>
        <w:t xml:space="preserve">التعرضات الائتمانية التي تأخذ شكل الديون المساندة (المتنازل عن حق الأولوية فيها </w:t>
      </w:r>
      <w:r w:rsidR="00B259A6" w:rsidRPr="00556357">
        <w:rPr>
          <w:b w:val="0"/>
          <w:bCs w:val="0"/>
        </w:rPr>
        <w:t>Subordinated Debt</w:t>
      </w:r>
      <w:r w:rsidR="00B259A6" w:rsidRPr="00556357">
        <w:rPr>
          <w:b w:val="0"/>
          <w:bCs w:val="0"/>
          <w:rtl/>
        </w:rPr>
        <w:t xml:space="preserve">) </w:t>
      </w:r>
      <w:r w:rsidR="00040C69" w:rsidRPr="00556357">
        <w:rPr>
          <w:b w:val="0"/>
          <w:bCs w:val="0"/>
          <w:rtl/>
        </w:rPr>
        <w:t xml:space="preserve">وبغض النظر </w:t>
      </w:r>
      <w:r w:rsidR="00F04AE6" w:rsidRPr="00556357">
        <w:rPr>
          <w:b w:val="0"/>
          <w:bCs w:val="0"/>
          <w:rtl/>
        </w:rPr>
        <w:t xml:space="preserve">عن الجهة المقترضة </w:t>
      </w:r>
      <w:r w:rsidR="00B259A6" w:rsidRPr="00556357">
        <w:rPr>
          <w:b w:val="0"/>
          <w:bCs w:val="0"/>
          <w:rtl/>
        </w:rPr>
        <w:t>وتصنيفها الائتماني.</w:t>
      </w:r>
      <w:bookmarkEnd w:id="597"/>
      <w:bookmarkEnd w:id="598"/>
      <w:bookmarkEnd w:id="599"/>
    </w:p>
    <w:p w:rsidR="00B259A6" w:rsidRPr="00556357" w:rsidRDefault="00D85144" w:rsidP="007B7F97">
      <w:pPr>
        <w:ind w:left="2976" w:hanging="425"/>
        <w:contextualSpacing/>
        <w:rPr>
          <w:b w:val="0"/>
          <w:bCs w:val="0"/>
        </w:rPr>
      </w:pPr>
      <w:bookmarkStart w:id="600" w:name="_Toc414888019"/>
      <w:bookmarkStart w:id="601" w:name="_Toc451176207"/>
      <w:bookmarkStart w:id="602" w:name="_Toc451180188"/>
      <w:r>
        <w:rPr>
          <w:rFonts w:hint="cs"/>
          <w:b w:val="0"/>
          <w:bCs w:val="0"/>
          <w:rtl/>
        </w:rPr>
        <w:t>ز</w:t>
      </w:r>
      <w:r w:rsidR="00B259A6" w:rsidRPr="00556357">
        <w:rPr>
          <w:b w:val="0"/>
          <w:bCs w:val="0"/>
          <w:rtl/>
        </w:rPr>
        <w:t>.</w:t>
      </w:r>
      <w:r w:rsidR="00B259A6" w:rsidRPr="00556357">
        <w:rPr>
          <w:b w:val="0"/>
          <w:bCs w:val="0"/>
          <w:rtl/>
        </w:rPr>
        <w:tab/>
        <w:t xml:space="preserve">الحسابات الجارية المكشوفة </w:t>
      </w:r>
      <w:bookmarkEnd w:id="600"/>
      <w:bookmarkEnd w:id="601"/>
      <w:bookmarkEnd w:id="602"/>
      <w:r w:rsidR="007B7F97">
        <w:rPr>
          <w:rFonts w:hint="cs"/>
          <w:b w:val="0"/>
          <w:bCs w:val="0"/>
          <w:rtl/>
        </w:rPr>
        <w:t>(باستثناء الحسابات الجارية المكشوفة لمدة تقل عن 30 يوم والتي تكون ضمن منتج مضمون بتحويل راتب وبحد أقصى قيمة ذلك الراتب).</w:t>
      </w:r>
      <w:r w:rsidR="00B259A6" w:rsidRPr="00556357">
        <w:rPr>
          <w:b w:val="0"/>
          <w:bCs w:val="0"/>
          <w:rtl/>
        </w:rPr>
        <w:t xml:space="preserve">             </w:t>
      </w:r>
    </w:p>
    <w:p w:rsidR="00B259A6" w:rsidRPr="00556357" w:rsidRDefault="00D85144" w:rsidP="00D85144">
      <w:pPr>
        <w:ind w:left="2976" w:hanging="425"/>
        <w:contextualSpacing/>
        <w:rPr>
          <w:b w:val="0"/>
          <w:bCs w:val="0"/>
          <w:rtl/>
        </w:rPr>
      </w:pPr>
      <w:bookmarkStart w:id="603" w:name="_Toc414888020"/>
      <w:bookmarkStart w:id="604" w:name="_Toc451176208"/>
      <w:bookmarkStart w:id="605" w:name="_Toc451180189"/>
      <w:r>
        <w:rPr>
          <w:rFonts w:hint="cs"/>
          <w:b w:val="0"/>
          <w:bCs w:val="0"/>
          <w:rtl/>
        </w:rPr>
        <w:t>ح</w:t>
      </w:r>
      <w:r w:rsidR="00B259A6" w:rsidRPr="00556357">
        <w:rPr>
          <w:b w:val="0"/>
          <w:bCs w:val="0"/>
          <w:rtl/>
        </w:rPr>
        <w:t>.</w:t>
      </w:r>
      <w:r w:rsidR="00B259A6" w:rsidRPr="00556357">
        <w:rPr>
          <w:b w:val="0"/>
          <w:bCs w:val="0"/>
          <w:rtl/>
        </w:rPr>
        <w:tab/>
        <w:t>أي مطالبات أخرى يدرجها البنك المركزي الأردني ضمن هذه الفئة.</w:t>
      </w:r>
      <w:bookmarkEnd w:id="603"/>
      <w:bookmarkEnd w:id="604"/>
      <w:bookmarkEnd w:id="605"/>
    </w:p>
    <w:p w:rsidR="0054200F" w:rsidRPr="00DC20B9" w:rsidRDefault="00B259A6" w:rsidP="007B7F97">
      <w:pPr>
        <w:pStyle w:val="ListParagraph"/>
        <w:numPr>
          <w:ilvl w:val="0"/>
          <w:numId w:val="29"/>
        </w:numPr>
        <w:ind w:left="2551" w:hanging="425"/>
        <w:rPr>
          <w:b w:val="0"/>
          <w:bCs w:val="0"/>
        </w:rPr>
      </w:pPr>
      <w:bookmarkStart w:id="606" w:name="_Toc414888021"/>
      <w:bookmarkStart w:id="607" w:name="_Toc451176209"/>
      <w:bookmarkStart w:id="608" w:name="_Toc451180190"/>
      <w:r w:rsidRPr="00E72601">
        <w:rPr>
          <w:b w:val="0"/>
          <w:bCs w:val="0"/>
          <w:rtl/>
        </w:rPr>
        <w:t>تُعطى أجزاء التسنيد المصنفة ما بين</w:t>
      </w:r>
      <w:r w:rsidRPr="00E72601">
        <w:rPr>
          <w:b w:val="0"/>
          <w:bCs w:val="0"/>
        </w:rPr>
        <w:t xml:space="preserve">BB+ </w:t>
      </w:r>
      <w:r w:rsidRPr="00E72601">
        <w:rPr>
          <w:b w:val="0"/>
          <w:bCs w:val="0"/>
          <w:rtl/>
        </w:rPr>
        <w:t xml:space="preserve"> أو </w:t>
      </w:r>
      <w:r w:rsidRPr="00E72601">
        <w:rPr>
          <w:b w:val="0"/>
          <w:bCs w:val="0"/>
        </w:rPr>
        <w:t>BB-</w:t>
      </w:r>
      <w:r w:rsidR="007B7F97">
        <w:rPr>
          <w:b w:val="0"/>
          <w:bCs w:val="0"/>
          <w:rtl/>
        </w:rPr>
        <w:t xml:space="preserve">  وزن  مخاطر ترجيحي  (350%)،</w:t>
      </w:r>
      <w:r w:rsidRPr="00E72601">
        <w:rPr>
          <w:b w:val="0"/>
          <w:bCs w:val="0"/>
          <w:rtl/>
        </w:rPr>
        <w:t xml:space="preserve"> ويتم  طرح قيمة الأجزاء التي تحمل تصنيف ائتماني أدنى من ذلك من رأس المال التنظيمي.</w:t>
      </w:r>
      <w:bookmarkEnd w:id="606"/>
      <w:bookmarkEnd w:id="607"/>
      <w:bookmarkEnd w:id="608"/>
    </w:p>
    <w:p w:rsidR="00B259A6" w:rsidRPr="00D853A5" w:rsidRDefault="00230BC7" w:rsidP="00D85144">
      <w:pPr>
        <w:ind w:left="2126" w:hanging="851"/>
        <w:rPr>
          <w:b w:val="0"/>
          <w:bCs w:val="0"/>
          <w:rtl/>
        </w:rPr>
      </w:pPr>
      <w:bookmarkStart w:id="609" w:name="_Toc414888022"/>
      <w:bookmarkStart w:id="610" w:name="_Toc451176210"/>
      <w:bookmarkStart w:id="611" w:name="_Toc451180191"/>
      <w:r>
        <w:rPr>
          <w:rFonts w:hint="cs"/>
          <w:b w:val="0"/>
          <w:bCs w:val="0"/>
          <w:rtl/>
        </w:rPr>
        <w:t>13</w:t>
      </w:r>
      <w:r w:rsidR="00B259A6" w:rsidRPr="00556357">
        <w:rPr>
          <w:b w:val="0"/>
          <w:bCs w:val="0"/>
          <w:rtl/>
        </w:rPr>
        <w:t>.2.2</w:t>
      </w:r>
      <w:r w:rsidR="00E72601">
        <w:rPr>
          <w:rFonts w:hint="cs"/>
          <w:b w:val="0"/>
          <w:bCs w:val="0"/>
          <w:rtl/>
        </w:rPr>
        <w:t>.</w:t>
      </w:r>
      <w:r w:rsidR="00B259A6" w:rsidRPr="00556357">
        <w:rPr>
          <w:b w:val="0"/>
          <w:bCs w:val="0"/>
          <w:rtl/>
        </w:rPr>
        <w:tab/>
        <w:t xml:space="preserve">التسهيلات المعاد تمويلها من الشركة الأردنية لإعادة تمويل الرهن العقاري والسندات </w:t>
      </w:r>
      <w:r w:rsidR="00B259A6" w:rsidRPr="00D853A5">
        <w:rPr>
          <w:b w:val="0"/>
          <w:bCs w:val="0"/>
          <w:rtl/>
        </w:rPr>
        <w:t>الصادرة عنها</w:t>
      </w:r>
      <w:bookmarkEnd w:id="609"/>
      <w:bookmarkEnd w:id="610"/>
      <w:bookmarkEnd w:id="611"/>
      <w:r w:rsidR="004A67C3" w:rsidRPr="00D853A5">
        <w:rPr>
          <w:rFonts w:hint="cs"/>
          <w:b w:val="0"/>
          <w:bCs w:val="0"/>
          <w:rtl/>
        </w:rPr>
        <w:t>, وكذلك الجزء المضمون من التسهيلات الائتمانية من قبل الشركة الاردنية لضمان القروض</w:t>
      </w:r>
      <w:r w:rsidR="00D853A5">
        <w:rPr>
          <w:rFonts w:hint="cs"/>
          <w:b w:val="0"/>
          <w:bCs w:val="0"/>
          <w:rtl/>
        </w:rPr>
        <w:t>:</w:t>
      </w:r>
      <w:r w:rsidR="004A67C3" w:rsidRPr="00D853A5">
        <w:rPr>
          <w:rFonts w:hint="cs"/>
          <w:b w:val="0"/>
          <w:bCs w:val="0"/>
          <w:rtl/>
        </w:rPr>
        <w:t xml:space="preserve"> </w:t>
      </w:r>
    </w:p>
    <w:p w:rsidR="00B259A6" w:rsidRDefault="00B259A6" w:rsidP="00D85144">
      <w:pPr>
        <w:pStyle w:val="ListParagraph"/>
        <w:numPr>
          <w:ilvl w:val="0"/>
          <w:numId w:val="29"/>
        </w:numPr>
        <w:ind w:left="2551" w:hanging="425"/>
        <w:rPr>
          <w:b w:val="0"/>
          <w:bCs w:val="0"/>
        </w:rPr>
      </w:pPr>
      <w:r w:rsidRPr="00D853A5">
        <w:rPr>
          <w:b w:val="0"/>
          <w:bCs w:val="0"/>
          <w:rtl/>
        </w:rPr>
        <w:t>تُعطى التسهيلات المعاد تمويلها من الشركة الأردنية لإعادة تمويل الرهن العقاري والسندات الصادرة عنها</w:t>
      </w:r>
      <w:r w:rsidR="004A67C3" w:rsidRPr="00D853A5">
        <w:rPr>
          <w:rFonts w:hint="cs"/>
          <w:b w:val="0"/>
          <w:bCs w:val="0"/>
          <w:rtl/>
        </w:rPr>
        <w:t>، وكذلك</w:t>
      </w:r>
      <w:r w:rsidR="005E30BE" w:rsidRPr="00D853A5">
        <w:rPr>
          <w:rFonts w:hint="cs"/>
          <w:b w:val="0"/>
          <w:bCs w:val="0"/>
          <w:rtl/>
        </w:rPr>
        <w:t xml:space="preserve"> الجزء المضمون من التسهيلات </w:t>
      </w:r>
      <w:r w:rsidR="005E30BE" w:rsidRPr="00D853A5">
        <w:rPr>
          <w:rFonts w:hint="cs"/>
          <w:b w:val="0"/>
          <w:bCs w:val="0"/>
          <w:rtl/>
        </w:rPr>
        <w:lastRenderedPageBreak/>
        <w:t>الائتمانية من قبل الشركة الاردنية لضمان القروض</w:t>
      </w:r>
      <w:r w:rsidR="004A67C3" w:rsidRPr="00D853A5">
        <w:rPr>
          <w:rFonts w:hint="cs"/>
          <w:b w:val="0"/>
          <w:bCs w:val="0"/>
          <w:rtl/>
        </w:rPr>
        <w:t xml:space="preserve"> </w:t>
      </w:r>
      <w:r w:rsidRPr="00D853A5">
        <w:rPr>
          <w:b w:val="0"/>
          <w:bCs w:val="0"/>
          <w:rtl/>
        </w:rPr>
        <w:t xml:space="preserve"> وزن مخاطر ترجيحي</w:t>
      </w:r>
      <w:r w:rsidRPr="00E72601">
        <w:rPr>
          <w:b w:val="0"/>
          <w:bCs w:val="0"/>
          <w:rtl/>
        </w:rPr>
        <w:t xml:space="preserve"> (20%). </w:t>
      </w:r>
    </w:p>
    <w:p w:rsidR="007B7F97" w:rsidRPr="00206447" w:rsidRDefault="007B7F97" w:rsidP="007B7F97">
      <w:pPr>
        <w:pStyle w:val="ListParagraph"/>
        <w:ind w:left="2551"/>
        <w:rPr>
          <w:b w:val="0"/>
          <w:bCs w:val="0"/>
          <w:sz w:val="16"/>
          <w:szCs w:val="16"/>
          <w:rtl/>
        </w:rPr>
      </w:pPr>
    </w:p>
    <w:p w:rsidR="00040C69" w:rsidRPr="00556357" w:rsidRDefault="00230BC7" w:rsidP="00206447">
      <w:pPr>
        <w:spacing w:after="0"/>
        <w:ind w:left="2126" w:hanging="900"/>
        <w:rPr>
          <w:b w:val="0"/>
          <w:bCs w:val="0"/>
        </w:rPr>
      </w:pPr>
      <w:r>
        <w:rPr>
          <w:rFonts w:hint="cs"/>
          <w:b w:val="0"/>
          <w:bCs w:val="0"/>
          <w:rtl/>
        </w:rPr>
        <w:t>14</w:t>
      </w:r>
      <w:r w:rsidR="00F655E7" w:rsidRPr="00556357">
        <w:rPr>
          <w:b w:val="0"/>
          <w:bCs w:val="0"/>
          <w:rtl/>
        </w:rPr>
        <w:t>.2.2</w:t>
      </w:r>
      <w:r w:rsidR="00E72601">
        <w:rPr>
          <w:rFonts w:hint="cs"/>
          <w:b w:val="0"/>
          <w:bCs w:val="0"/>
          <w:rtl/>
        </w:rPr>
        <w:t>.</w:t>
      </w:r>
      <w:r w:rsidR="00F655E7" w:rsidRPr="00556357">
        <w:rPr>
          <w:b w:val="0"/>
          <w:bCs w:val="0"/>
          <w:rtl/>
        </w:rPr>
        <w:t xml:space="preserve"> مطالبات الاقراض المتخصص</w:t>
      </w:r>
      <w:r w:rsidR="00C414A1" w:rsidRPr="00556357">
        <w:rPr>
          <w:b w:val="0"/>
          <w:bCs w:val="0"/>
          <w:rtl/>
        </w:rPr>
        <w:t xml:space="preserve"> </w:t>
      </w:r>
      <w:r w:rsidR="00C414A1" w:rsidRPr="00556357">
        <w:rPr>
          <w:b w:val="0"/>
          <w:bCs w:val="0"/>
        </w:rPr>
        <w:t>Specialized Lending</w:t>
      </w:r>
    </w:p>
    <w:p w:rsidR="00C414A1" w:rsidRPr="00E72601" w:rsidRDefault="00C414A1" w:rsidP="007B7F97">
      <w:pPr>
        <w:pStyle w:val="ListParagraph"/>
        <w:numPr>
          <w:ilvl w:val="0"/>
          <w:numId w:val="29"/>
        </w:numPr>
        <w:ind w:left="2551" w:hanging="425"/>
        <w:rPr>
          <w:b w:val="0"/>
          <w:bCs w:val="0"/>
          <w:rtl/>
        </w:rPr>
      </w:pPr>
      <w:bookmarkStart w:id="612" w:name="_Toc414888023"/>
      <w:bookmarkStart w:id="613" w:name="_Toc451176211"/>
      <w:bookmarkStart w:id="614" w:name="_Toc451180192"/>
      <w:r w:rsidRPr="00E72601">
        <w:rPr>
          <w:b w:val="0"/>
          <w:bCs w:val="0"/>
          <w:rtl/>
        </w:rPr>
        <w:t>يجب على البنوك التمييز بين خمسة أنواع من الإقراض المتخصص لدى تعريف الإقراض للشركات و كما يلي و حسب الملحق رقم (</w:t>
      </w:r>
      <w:r w:rsidR="007B7F97">
        <w:rPr>
          <w:rFonts w:hint="cs"/>
          <w:b w:val="0"/>
          <w:bCs w:val="0"/>
          <w:rtl/>
        </w:rPr>
        <w:t>13</w:t>
      </w:r>
      <w:r w:rsidRPr="00E72601">
        <w:rPr>
          <w:b w:val="0"/>
          <w:bCs w:val="0"/>
          <w:rtl/>
        </w:rPr>
        <w:t>):</w:t>
      </w:r>
      <w:bookmarkEnd w:id="612"/>
      <w:bookmarkEnd w:id="613"/>
      <w:bookmarkEnd w:id="614"/>
      <w:r w:rsidRPr="00E72601">
        <w:rPr>
          <w:b w:val="0"/>
          <w:bCs w:val="0"/>
          <w:rtl/>
        </w:rPr>
        <w:t xml:space="preserve"> </w:t>
      </w:r>
    </w:p>
    <w:p w:rsidR="00C414A1" w:rsidRPr="00E72601" w:rsidRDefault="00D85144" w:rsidP="00D85144">
      <w:pPr>
        <w:ind w:left="2976" w:hanging="425"/>
        <w:contextualSpacing/>
        <w:rPr>
          <w:b w:val="0"/>
          <w:bCs w:val="0"/>
        </w:rPr>
      </w:pPr>
      <w:bookmarkStart w:id="615" w:name="_Toc414888024"/>
      <w:bookmarkStart w:id="616" w:name="_Toc451176212"/>
      <w:bookmarkStart w:id="617" w:name="_Toc451180193"/>
      <w:r>
        <w:rPr>
          <w:rFonts w:hint="cs"/>
          <w:b w:val="0"/>
          <w:bCs w:val="0"/>
          <w:rtl/>
        </w:rPr>
        <w:t>أ</w:t>
      </w:r>
      <w:r w:rsidR="00C414A1" w:rsidRPr="00E72601">
        <w:rPr>
          <w:b w:val="0"/>
          <w:bCs w:val="0"/>
          <w:rtl/>
        </w:rPr>
        <w:t>.</w:t>
      </w:r>
      <w:r w:rsidR="00C414A1" w:rsidRPr="00E72601">
        <w:rPr>
          <w:b w:val="0"/>
          <w:bCs w:val="0"/>
          <w:rtl/>
        </w:rPr>
        <w:tab/>
        <w:t>تمويل المشاريع</w:t>
      </w:r>
      <w:bookmarkEnd w:id="615"/>
      <w:bookmarkEnd w:id="616"/>
      <w:bookmarkEnd w:id="617"/>
      <w:r w:rsidR="00E72601" w:rsidRPr="00E72601">
        <w:rPr>
          <w:rFonts w:hint="cs"/>
          <w:b w:val="0"/>
          <w:bCs w:val="0"/>
          <w:rtl/>
        </w:rPr>
        <w:t>.</w:t>
      </w:r>
    </w:p>
    <w:p w:rsidR="00C414A1" w:rsidRPr="00E72601" w:rsidRDefault="00D85144" w:rsidP="00D85144">
      <w:pPr>
        <w:ind w:left="2976" w:hanging="425"/>
        <w:contextualSpacing/>
        <w:rPr>
          <w:b w:val="0"/>
          <w:bCs w:val="0"/>
        </w:rPr>
      </w:pPr>
      <w:bookmarkStart w:id="618" w:name="_Toc414888025"/>
      <w:bookmarkStart w:id="619" w:name="_Toc451176213"/>
      <w:bookmarkStart w:id="620" w:name="_Toc451180194"/>
      <w:r>
        <w:rPr>
          <w:rFonts w:hint="cs"/>
          <w:b w:val="0"/>
          <w:bCs w:val="0"/>
          <w:rtl/>
        </w:rPr>
        <w:t>ب</w:t>
      </w:r>
      <w:r w:rsidR="00C414A1" w:rsidRPr="00E72601">
        <w:rPr>
          <w:b w:val="0"/>
          <w:bCs w:val="0"/>
          <w:rtl/>
        </w:rPr>
        <w:t>.</w:t>
      </w:r>
      <w:r w:rsidR="00C414A1" w:rsidRPr="00E72601">
        <w:rPr>
          <w:b w:val="0"/>
          <w:bCs w:val="0"/>
          <w:rtl/>
        </w:rPr>
        <w:tab/>
        <w:t>تمويل الأصول المادية</w:t>
      </w:r>
      <w:bookmarkEnd w:id="618"/>
      <w:bookmarkEnd w:id="619"/>
      <w:bookmarkEnd w:id="620"/>
      <w:r w:rsidR="00E72601" w:rsidRPr="00E72601">
        <w:rPr>
          <w:rFonts w:hint="cs"/>
          <w:b w:val="0"/>
          <w:bCs w:val="0"/>
          <w:rtl/>
        </w:rPr>
        <w:t>.</w:t>
      </w:r>
    </w:p>
    <w:p w:rsidR="00C414A1" w:rsidRPr="00E72601" w:rsidRDefault="00D85144" w:rsidP="00D85144">
      <w:pPr>
        <w:ind w:left="2976" w:hanging="425"/>
        <w:contextualSpacing/>
        <w:rPr>
          <w:b w:val="0"/>
          <w:bCs w:val="0"/>
        </w:rPr>
      </w:pPr>
      <w:bookmarkStart w:id="621" w:name="_Toc414888026"/>
      <w:bookmarkStart w:id="622" w:name="_Toc451176214"/>
      <w:bookmarkStart w:id="623" w:name="_Toc451180195"/>
      <w:r>
        <w:rPr>
          <w:rFonts w:hint="cs"/>
          <w:b w:val="0"/>
          <w:bCs w:val="0"/>
          <w:rtl/>
        </w:rPr>
        <w:t>ج</w:t>
      </w:r>
      <w:r w:rsidR="00C414A1" w:rsidRPr="00E72601">
        <w:rPr>
          <w:b w:val="0"/>
          <w:bCs w:val="0"/>
          <w:rtl/>
        </w:rPr>
        <w:t>.</w:t>
      </w:r>
      <w:r w:rsidR="00C414A1" w:rsidRPr="00E72601">
        <w:rPr>
          <w:b w:val="0"/>
          <w:bCs w:val="0"/>
          <w:rtl/>
        </w:rPr>
        <w:tab/>
        <w:t>تمويل البضائع</w:t>
      </w:r>
      <w:bookmarkEnd w:id="621"/>
      <w:bookmarkEnd w:id="622"/>
      <w:bookmarkEnd w:id="623"/>
      <w:r w:rsidR="00E72601" w:rsidRPr="00E72601">
        <w:rPr>
          <w:rFonts w:hint="cs"/>
          <w:b w:val="0"/>
          <w:bCs w:val="0"/>
          <w:rtl/>
        </w:rPr>
        <w:t>.</w:t>
      </w:r>
    </w:p>
    <w:p w:rsidR="00C414A1" w:rsidRPr="00E72601" w:rsidRDefault="00D85144" w:rsidP="00D85144">
      <w:pPr>
        <w:ind w:left="2976" w:hanging="425"/>
        <w:contextualSpacing/>
        <w:rPr>
          <w:b w:val="0"/>
          <w:bCs w:val="0"/>
        </w:rPr>
      </w:pPr>
      <w:bookmarkStart w:id="624" w:name="_Toc414888027"/>
      <w:bookmarkStart w:id="625" w:name="_Toc451176215"/>
      <w:bookmarkStart w:id="626" w:name="_Toc451180196"/>
      <w:r>
        <w:rPr>
          <w:rFonts w:hint="cs"/>
          <w:b w:val="0"/>
          <w:bCs w:val="0"/>
          <w:rtl/>
        </w:rPr>
        <w:t>د</w:t>
      </w:r>
      <w:r w:rsidR="00C414A1" w:rsidRPr="00E72601">
        <w:rPr>
          <w:b w:val="0"/>
          <w:bCs w:val="0"/>
          <w:rtl/>
        </w:rPr>
        <w:t>.</w:t>
      </w:r>
      <w:r w:rsidR="00C414A1" w:rsidRPr="00E72601">
        <w:rPr>
          <w:b w:val="0"/>
          <w:bCs w:val="0"/>
          <w:rtl/>
        </w:rPr>
        <w:tab/>
        <w:t>تمويل العقارات التجارية المدرة للدخل</w:t>
      </w:r>
      <w:bookmarkEnd w:id="624"/>
      <w:bookmarkEnd w:id="625"/>
      <w:bookmarkEnd w:id="626"/>
      <w:r w:rsidR="00E72601" w:rsidRPr="00E72601">
        <w:rPr>
          <w:rFonts w:hint="cs"/>
          <w:b w:val="0"/>
          <w:bCs w:val="0"/>
          <w:rtl/>
        </w:rPr>
        <w:t>.</w:t>
      </w:r>
    </w:p>
    <w:p w:rsidR="00C414A1" w:rsidRPr="00E72601" w:rsidRDefault="00D85144" w:rsidP="00D85144">
      <w:pPr>
        <w:ind w:left="2976" w:hanging="425"/>
        <w:contextualSpacing/>
        <w:rPr>
          <w:b w:val="0"/>
          <w:bCs w:val="0"/>
          <w:rtl/>
        </w:rPr>
      </w:pPr>
      <w:bookmarkStart w:id="627" w:name="_Toc414888028"/>
      <w:bookmarkStart w:id="628" w:name="_Toc451176216"/>
      <w:bookmarkStart w:id="629" w:name="_Toc451180197"/>
      <w:r>
        <w:rPr>
          <w:rFonts w:hint="cs"/>
          <w:b w:val="0"/>
          <w:bCs w:val="0"/>
          <w:rtl/>
        </w:rPr>
        <w:t>ه</w:t>
      </w:r>
      <w:r w:rsidR="00C414A1" w:rsidRPr="00E72601">
        <w:rPr>
          <w:b w:val="0"/>
          <w:bCs w:val="0"/>
          <w:rtl/>
        </w:rPr>
        <w:t>.</w:t>
      </w:r>
      <w:r w:rsidR="00C414A1" w:rsidRPr="00E72601">
        <w:rPr>
          <w:b w:val="0"/>
          <w:bCs w:val="0"/>
          <w:rtl/>
        </w:rPr>
        <w:tab/>
        <w:t>تمويل العقارات التجارية عالية التذبذب</w:t>
      </w:r>
      <w:bookmarkEnd w:id="627"/>
      <w:bookmarkEnd w:id="628"/>
      <w:bookmarkEnd w:id="629"/>
      <w:r w:rsidR="00E72601" w:rsidRPr="00E72601">
        <w:rPr>
          <w:rFonts w:hint="cs"/>
          <w:b w:val="0"/>
          <w:bCs w:val="0"/>
          <w:rtl/>
        </w:rPr>
        <w:t>.</w:t>
      </w:r>
    </w:p>
    <w:p w:rsidR="009D0E6F" w:rsidRPr="00E72601" w:rsidRDefault="00C414A1" w:rsidP="00D85144">
      <w:pPr>
        <w:pStyle w:val="ListParagraph"/>
        <w:numPr>
          <w:ilvl w:val="0"/>
          <w:numId w:val="29"/>
        </w:numPr>
        <w:ind w:left="2551" w:hanging="425"/>
        <w:rPr>
          <w:b w:val="0"/>
          <w:bCs w:val="0"/>
          <w:rtl/>
        </w:rPr>
      </w:pPr>
      <w:bookmarkStart w:id="630" w:name="_Toc414888029"/>
      <w:bookmarkStart w:id="631" w:name="_Toc451176217"/>
      <w:bookmarkStart w:id="632" w:name="_Toc451180198"/>
      <w:r w:rsidRPr="00E72601">
        <w:rPr>
          <w:b w:val="0"/>
          <w:bCs w:val="0"/>
          <w:rtl/>
        </w:rPr>
        <w:t>تعطى المطالبات التي تندرج ضمن أي من الأنواع الخمسة السابقة وزن مخاطر ترجيحي بنسبة لا تقل عن (100%) باستثناء تلك التي تندرج تحت بند تمويل العقارات التجارية عالية التذبذب والتي تعطى وزن مخاطر ترجيحي بنسبة لا تقل عن (150%).</w:t>
      </w:r>
      <w:bookmarkEnd w:id="630"/>
      <w:bookmarkEnd w:id="631"/>
      <w:bookmarkEnd w:id="632"/>
    </w:p>
    <w:p w:rsidR="00040C69" w:rsidRPr="0054200F" w:rsidRDefault="00C414A1" w:rsidP="00D85144">
      <w:pPr>
        <w:pStyle w:val="ListParagraph"/>
        <w:numPr>
          <w:ilvl w:val="0"/>
          <w:numId w:val="29"/>
        </w:numPr>
        <w:ind w:left="2551" w:hanging="425"/>
        <w:rPr>
          <w:b w:val="0"/>
          <w:bCs w:val="0"/>
          <w:rtl/>
        </w:rPr>
      </w:pPr>
      <w:bookmarkStart w:id="633" w:name="_Toc414888030"/>
      <w:bookmarkStart w:id="634" w:name="_Toc451176218"/>
      <w:bookmarkStart w:id="635" w:name="_Toc451180199"/>
      <w:r w:rsidRPr="00E72601">
        <w:rPr>
          <w:b w:val="0"/>
          <w:bCs w:val="0"/>
          <w:rtl/>
        </w:rPr>
        <w:t>للبنك المركزي زيادة أوزان المخاطر عن النسب أعلاه على مستوى كافة البنوك العاملة في المملكة و/ أو على مستوى البنك الواحد.</w:t>
      </w:r>
      <w:bookmarkEnd w:id="633"/>
      <w:bookmarkEnd w:id="634"/>
      <w:bookmarkEnd w:id="635"/>
    </w:p>
    <w:p w:rsidR="00B259A6" w:rsidRPr="00556357" w:rsidRDefault="00230BC7" w:rsidP="00206447">
      <w:pPr>
        <w:spacing w:after="0"/>
        <w:ind w:left="2126" w:hanging="851"/>
        <w:rPr>
          <w:b w:val="0"/>
          <w:bCs w:val="0"/>
          <w:rtl/>
        </w:rPr>
      </w:pPr>
      <w:r>
        <w:rPr>
          <w:rFonts w:hint="cs"/>
          <w:b w:val="0"/>
          <w:bCs w:val="0"/>
          <w:rtl/>
        </w:rPr>
        <w:t>15</w:t>
      </w:r>
      <w:r w:rsidR="00B259A6" w:rsidRPr="00556357">
        <w:rPr>
          <w:b w:val="0"/>
          <w:bCs w:val="0"/>
          <w:rtl/>
        </w:rPr>
        <w:t>.2.2</w:t>
      </w:r>
      <w:r w:rsidR="00E72601">
        <w:rPr>
          <w:rFonts w:hint="cs"/>
          <w:b w:val="0"/>
          <w:bCs w:val="0"/>
          <w:rtl/>
        </w:rPr>
        <w:t>.</w:t>
      </w:r>
      <w:r w:rsidR="00B259A6" w:rsidRPr="00556357">
        <w:rPr>
          <w:b w:val="0"/>
          <w:bCs w:val="0"/>
          <w:rtl/>
        </w:rPr>
        <w:tab/>
        <w:t>الموجودات الأخرى</w:t>
      </w:r>
      <w:r w:rsidR="00C414A1" w:rsidRPr="00556357">
        <w:rPr>
          <w:b w:val="0"/>
          <w:bCs w:val="0"/>
          <w:rtl/>
        </w:rPr>
        <w:t xml:space="preserve"> (</w:t>
      </w:r>
      <w:r w:rsidR="00B259A6" w:rsidRPr="00556357">
        <w:rPr>
          <w:b w:val="0"/>
          <w:bCs w:val="0"/>
          <w:rtl/>
        </w:rPr>
        <w:t xml:space="preserve">البنود التي لم ترد ضمن أي من الفئات أعلاه) </w:t>
      </w:r>
      <w:r w:rsidR="00B259A6" w:rsidRPr="00556357">
        <w:rPr>
          <w:b w:val="0"/>
          <w:bCs w:val="0"/>
        </w:rPr>
        <w:t xml:space="preserve">Other </w:t>
      </w:r>
      <w:r w:rsidR="00C414A1" w:rsidRPr="00556357">
        <w:rPr>
          <w:b w:val="0"/>
          <w:bCs w:val="0"/>
        </w:rPr>
        <w:t>Assets</w:t>
      </w:r>
      <w:r w:rsidR="00C414A1" w:rsidRPr="00556357">
        <w:rPr>
          <w:b w:val="0"/>
          <w:bCs w:val="0"/>
          <w:rtl/>
        </w:rPr>
        <w:t>:</w:t>
      </w:r>
    </w:p>
    <w:p w:rsidR="00C414A1" w:rsidRPr="00E72601" w:rsidRDefault="00C414A1" w:rsidP="00D85144">
      <w:pPr>
        <w:pStyle w:val="ListParagraph"/>
        <w:numPr>
          <w:ilvl w:val="0"/>
          <w:numId w:val="29"/>
        </w:numPr>
        <w:ind w:left="2551" w:hanging="425"/>
        <w:rPr>
          <w:b w:val="0"/>
          <w:bCs w:val="0"/>
          <w:rtl/>
        </w:rPr>
      </w:pPr>
      <w:r w:rsidRPr="00E72601">
        <w:rPr>
          <w:b w:val="0"/>
          <w:bCs w:val="0"/>
          <w:rtl/>
        </w:rPr>
        <w:t xml:space="preserve">تُعطى الموجودات الأخرى التالية وزن مخاطر ترجيحي (صفر%): </w:t>
      </w:r>
      <w:r w:rsidR="00B259A6" w:rsidRPr="00E72601">
        <w:rPr>
          <w:b w:val="0"/>
          <w:bCs w:val="0"/>
          <w:rtl/>
        </w:rPr>
        <w:tab/>
      </w:r>
    </w:p>
    <w:p w:rsidR="00B259A6" w:rsidRPr="00E72601" w:rsidRDefault="00D85144" w:rsidP="00D85144">
      <w:pPr>
        <w:ind w:left="2976" w:hanging="425"/>
        <w:contextualSpacing/>
        <w:rPr>
          <w:b w:val="0"/>
          <w:bCs w:val="0"/>
          <w:rtl/>
        </w:rPr>
      </w:pPr>
      <w:r>
        <w:rPr>
          <w:rFonts w:hint="cs"/>
          <w:b w:val="0"/>
          <w:bCs w:val="0"/>
          <w:rtl/>
        </w:rPr>
        <w:t>أ</w:t>
      </w:r>
      <w:r w:rsidR="00C414A1" w:rsidRPr="00E72601">
        <w:rPr>
          <w:b w:val="0"/>
          <w:bCs w:val="0"/>
          <w:rtl/>
        </w:rPr>
        <w:t>.</w:t>
      </w:r>
      <w:r w:rsidR="00C414A1" w:rsidRPr="00E72601">
        <w:rPr>
          <w:b w:val="0"/>
          <w:bCs w:val="0"/>
          <w:rtl/>
        </w:rPr>
        <w:tab/>
      </w:r>
      <w:r w:rsidR="00B259A6" w:rsidRPr="00E72601">
        <w:rPr>
          <w:b w:val="0"/>
          <w:bCs w:val="0"/>
          <w:rtl/>
        </w:rPr>
        <w:t>النقد وما هو بحكمه المحتفظ به لدى البنك وبغض النظر عن العملة.</w:t>
      </w:r>
    </w:p>
    <w:p w:rsidR="00B259A6" w:rsidRPr="00E72601" w:rsidRDefault="00D85144" w:rsidP="00D85144">
      <w:pPr>
        <w:ind w:left="2976" w:hanging="425"/>
        <w:contextualSpacing/>
        <w:rPr>
          <w:b w:val="0"/>
          <w:bCs w:val="0"/>
          <w:rtl/>
        </w:rPr>
      </w:pPr>
      <w:r>
        <w:rPr>
          <w:rFonts w:hint="cs"/>
          <w:b w:val="0"/>
          <w:bCs w:val="0"/>
          <w:rtl/>
        </w:rPr>
        <w:t>ب</w:t>
      </w:r>
      <w:r w:rsidR="00C414A1" w:rsidRPr="00E72601">
        <w:rPr>
          <w:b w:val="0"/>
          <w:bCs w:val="0"/>
          <w:rtl/>
        </w:rPr>
        <w:t>.</w:t>
      </w:r>
      <w:r w:rsidR="00C414A1" w:rsidRPr="00E72601">
        <w:rPr>
          <w:b w:val="0"/>
          <w:bCs w:val="0"/>
          <w:rtl/>
        </w:rPr>
        <w:tab/>
      </w:r>
      <w:r w:rsidR="00B259A6" w:rsidRPr="00E72601">
        <w:rPr>
          <w:b w:val="0"/>
          <w:bCs w:val="0"/>
          <w:rtl/>
        </w:rPr>
        <w:t>الإيداعات المحتفظ بها لدى الفروع الخارجية (بما في ذلك الإيداعات لدى الشركة الأم والشركات البنكية التي توحد ضمن المجموعة) وبغض النظر عن العملة.</w:t>
      </w:r>
    </w:p>
    <w:p w:rsidR="00B259A6" w:rsidRPr="00E72601" w:rsidRDefault="00D85144" w:rsidP="00D85144">
      <w:pPr>
        <w:ind w:left="2976" w:hanging="425"/>
        <w:contextualSpacing/>
        <w:rPr>
          <w:b w:val="0"/>
          <w:bCs w:val="0"/>
          <w:rtl/>
        </w:rPr>
      </w:pPr>
      <w:r>
        <w:rPr>
          <w:rFonts w:hint="cs"/>
          <w:b w:val="0"/>
          <w:bCs w:val="0"/>
          <w:rtl/>
        </w:rPr>
        <w:t>ج</w:t>
      </w:r>
      <w:r w:rsidR="00C414A1" w:rsidRPr="00E72601">
        <w:rPr>
          <w:b w:val="0"/>
          <w:bCs w:val="0"/>
          <w:rtl/>
        </w:rPr>
        <w:t>.</w:t>
      </w:r>
      <w:r w:rsidR="00C414A1" w:rsidRPr="00E72601">
        <w:rPr>
          <w:b w:val="0"/>
          <w:bCs w:val="0"/>
          <w:rtl/>
        </w:rPr>
        <w:tab/>
      </w:r>
      <w:r w:rsidR="00B259A6" w:rsidRPr="00E72601">
        <w:rPr>
          <w:b w:val="0"/>
          <w:bCs w:val="0"/>
          <w:rtl/>
        </w:rPr>
        <w:t>الاحتياطي النقدي الإلزامي المحتفظ به لدى البنوك المركزية وبغض النظر عن العملة.</w:t>
      </w:r>
    </w:p>
    <w:p w:rsidR="00C414A1" w:rsidRDefault="00D85144" w:rsidP="00D85144">
      <w:pPr>
        <w:ind w:left="2976" w:hanging="425"/>
        <w:contextualSpacing/>
        <w:rPr>
          <w:b w:val="0"/>
          <w:bCs w:val="0"/>
          <w:rtl/>
        </w:rPr>
      </w:pPr>
      <w:r>
        <w:rPr>
          <w:rFonts w:hint="cs"/>
          <w:b w:val="0"/>
          <w:bCs w:val="0"/>
          <w:rtl/>
        </w:rPr>
        <w:t>د</w:t>
      </w:r>
      <w:r w:rsidR="00C414A1" w:rsidRPr="00E72601">
        <w:rPr>
          <w:b w:val="0"/>
          <w:bCs w:val="0"/>
          <w:rtl/>
        </w:rPr>
        <w:t>.</w:t>
      </w:r>
      <w:r w:rsidR="00C414A1" w:rsidRPr="00E72601">
        <w:rPr>
          <w:b w:val="0"/>
          <w:bCs w:val="0"/>
          <w:rtl/>
        </w:rPr>
        <w:tab/>
        <w:t>سبائك الذهب المدرجة ضمن الموجودات الأخرى والمحفوظة بخزينة البنك أو لدى شركات متخصصة.</w:t>
      </w:r>
    </w:p>
    <w:p w:rsidR="00230BC7" w:rsidRDefault="00230BC7" w:rsidP="00D85144">
      <w:pPr>
        <w:ind w:left="2976" w:hanging="425"/>
        <w:contextualSpacing/>
        <w:rPr>
          <w:b w:val="0"/>
          <w:bCs w:val="0"/>
          <w:rtl/>
        </w:rPr>
      </w:pPr>
    </w:p>
    <w:p w:rsidR="00230BC7" w:rsidRPr="00E72601" w:rsidRDefault="00230BC7" w:rsidP="00D85144">
      <w:pPr>
        <w:ind w:left="2976" w:hanging="425"/>
        <w:contextualSpacing/>
        <w:rPr>
          <w:b w:val="0"/>
          <w:bCs w:val="0"/>
          <w:rtl/>
        </w:rPr>
      </w:pPr>
    </w:p>
    <w:p w:rsidR="00C414A1" w:rsidRPr="00E72601" w:rsidRDefault="00B259A6" w:rsidP="00D85144">
      <w:pPr>
        <w:pStyle w:val="ListParagraph"/>
        <w:numPr>
          <w:ilvl w:val="0"/>
          <w:numId w:val="29"/>
        </w:numPr>
        <w:ind w:left="2551" w:hanging="425"/>
        <w:rPr>
          <w:b w:val="0"/>
          <w:bCs w:val="0"/>
          <w:rtl/>
        </w:rPr>
      </w:pPr>
      <w:r w:rsidRPr="00E72601">
        <w:rPr>
          <w:b w:val="0"/>
          <w:bCs w:val="0"/>
          <w:rtl/>
        </w:rPr>
        <w:lastRenderedPageBreak/>
        <w:t xml:space="preserve">تُعطى </w:t>
      </w:r>
      <w:r w:rsidR="00C414A1" w:rsidRPr="00E72601">
        <w:rPr>
          <w:b w:val="0"/>
          <w:bCs w:val="0"/>
          <w:rtl/>
        </w:rPr>
        <w:t>الموجودات الأخرى التالية وزن مخاطر ترجيحي (100%):</w:t>
      </w:r>
    </w:p>
    <w:p w:rsidR="00B259A6" w:rsidRPr="00E72601" w:rsidRDefault="00D85144" w:rsidP="007B7F97">
      <w:pPr>
        <w:ind w:left="2976" w:hanging="425"/>
        <w:contextualSpacing/>
        <w:rPr>
          <w:b w:val="0"/>
          <w:bCs w:val="0"/>
          <w:rtl/>
        </w:rPr>
      </w:pPr>
      <w:r>
        <w:rPr>
          <w:rFonts w:hint="cs"/>
          <w:b w:val="0"/>
          <w:bCs w:val="0"/>
          <w:rtl/>
        </w:rPr>
        <w:t>أ</w:t>
      </w:r>
      <w:r w:rsidR="00C414A1" w:rsidRPr="00E72601">
        <w:rPr>
          <w:b w:val="0"/>
          <w:bCs w:val="0"/>
          <w:rtl/>
        </w:rPr>
        <w:t>.</w:t>
      </w:r>
      <w:r w:rsidR="00C414A1" w:rsidRPr="00E72601">
        <w:rPr>
          <w:b w:val="0"/>
          <w:bCs w:val="0"/>
          <w:rtl/>
        </w:rPr>
        <w:tab/>
      </w:r>
      <w:r w:rsidR="00B259A6" w:rsidRPr="00E72601">
        <w:rPr>
          <w:b w:val="0"/>
          <w:bCs w:val="0"/>
          <w:rtl/>
        </w:rPr>
        <w:t xml:space="preserve">الاستثمارات في </w:t>
      </w:r>
      <w:r w:rsidR="007B7F97">
        <w:rPr>
          <w:rFonts w:hint="cs"/>
          <w:b w:val="0"/>
          <w:bCs w:val="0"/>
          <w:rtl/>
        </w:rPr>
        <w:t>أدوات</w:t>
      </w:r>
      <w:r w:rsidR="00B259A6" w:rsidRPr="00E72601">
        <w:rPr>
          <w:b w:val="0"/>
          <w:bCs w:val="0"/>
          <w:rtl/>
        </w:rPr>
        <w:t xml:space="preserve"> الملكية </w:t>
      </w:r>
      <w:r w:rsidR="007B7F97">
        <w:rPr>
          <w:rFonts w:hint="cs"/>
          <w:b w:val="0"/>
          <w:bCs w:val="0"/>
          <w:rtl/>
        </w:rPr>
        <w:t xml:space="preserve">والمصنفة ضمن المحفظة البنكية </w:t>
      </w:r>
      <w:r w:rsidR="00B259A6" w:rsidRPr="00E72601">
        <w:rPr>
          <w:b w:val="0"/>
          <w:bCs w:val="0"/>
          <w:rtl/>
        </w:rPr>
        <w:t>أو أدوات رأس المال التنظيمي الصادرة عن بنوك أو شركات مالية ما لم تنطبق عليها شروط الطرح من رأس المال التنظيمي.</w:t>
      </w:r>
    </w:p>
    <w:p w:rsidR="00C414A1" w:rsidRPr="00E72601" w:rsidRDefault="00D85144" w:rsidP="00D85144">
      <w:pPr>
        <w:ind w:left="2976" w:hanging="425"/>
        <w:contextualSpacing/>
        <w:rPr>
          <w:b w:val="0"/>
          <w:bCs w:val="0"/>
        </w:rPr>
      </w:pPr>
      <w:r>
        <w:rPr>
          <w:rFonts w:hint="cs"/>
          <w:b w:val="0"/>
          <w:bCs w:val="0"/>
          <w:rtl/>
        </w:rPr>
        <w:t>ب</w:t>
      </w:r>
      <w:r w:rsidR="00C414A1" w:rsidRPr="00E72601">
        <w:rPr>
          <w:b w:val="0"/>
          <w:bCs w:val="0"/>
          <w:rtl/>
        </w:rPr>
        <w:t>.</w:t>
      </w:r>
      <w:r w:rsidR="00C414A1" w:rsidRPr="00E72601">
        <w:rPr>
          <w:b w:val="0"/>
          <w:bCs w:val="0"/>
          <w:rtl/>
        </w:rPr>
        <w:tab/>
        <w:t>كافة الموجودات التي لم ترد ضمن فئة الموجودات الأخرى باستثناء موجودات التسنيد (</w:t>
      </w:r>
      <w:r w:rsidR="00C414A1" w:rsidRPr="00E72601">
        <w:rPr>
          <w:b w:val="0"/>
          <w:bCs w:val="0"/>
        </w:rPr>
        <w:t>Securitization</w:t>
      </w:r>
      <w:r w:rsidR="00C414A1" w:rsidRPr="00E72601">
        <w:rPr>
          <w:b w:val="0"/>
          <w:bCs w:val="0"/>
          <w:rtl/>
        </w:rPr>
        <w:t>).</w:t>
      </w:r>
    </w:p>
    <w:p w:rsidR="009D0E6F" w:rsidRDefault="00C76D5F" w:rsidP="00D85144">
      <w:pPr>
        <w:pStyle w:val="ListParagraph"/>
        <w:numPr>
          <w:ilvl w:val="0"/>
          <w:numId w:val="29"/>
        </w:numPr>
        <w:ind w:left="2551" w:hanging="425"/>
        <w:rPr>
          <w:b w:val="0"/>
          <w:bCs w:val="0"/>
        </w:rPr>
      </w:pPr>
      <w:r>
        <w:rPr>
          <w:b w:val="0"/>
          <w:bCs w:val="0"/>
          <w:rtl/>
        </w:rPr>
        <w:t>تُعطى الشيكات برسم التحصيل و</w:t>
      </w:r>
      <w:r w:rsidR="00B259A6" w:rsidRPr="00E72601">
        <w:rPr>
          <w:b w:val="0"/>
          <w:bCs w:val="0"/>
          <w:rtl/>
        </w:rPr>
        <w:t>النقد بالطريق (وما هو بحكمها) وزن مخاطر ترجيحي (20%).</w:t>
      </w:r>
    </w:p>
    <w:p w:rsidR="00D85144" w:rsidRPr="00206447" w:rsidRDefault="00D85144" w:rsidP="00D85144">
      <w:pPr>
        <w:pStyle w:val="ListParagraph"/>
        <w:ind w:left="2551"/>
        <w:rPr>
          <w:b w:val="0"/>
          <w:bCs w:val="0"/>
          <w:sz w:val="16"/>
          <w:szCs w:val="16"/>
          <w:rtl/>
        </w:rPr>
      </w:pPr>
    </w:p>
    <w:p w:rsidR="00B259A6" w:rsidRPr="00556357" w:rsidRDefault="0054200F" w:rsidP="002F28A0">
      <w:pPr>
        <w:spacing w:before="240" w:after="240"/>
        <w:ind w:left="708" w:hanging="425"/>
        <w:rPr>
          <w:rtl/>
        </w:rPr>
      </w:pPr>
      <w:r>
        <w:rPr>
          <w:rtl/>
        </w:rPr>
        <w:t>3.</w:t>
      </w:r>
      <w:r>
        <w:rPr>
          <w:rFonts w:hint="cs"/>
          <w:rtl/>
        </w:rPr>
        <w:t xml:space="preserve"> </w:t>
      </w:r>
      <w:r w:rsidR="00B259A6" w:rsidRPr="00556357">
        <w:rPr>
          <w:rtl/>
        </w:rPr>
        <w:t xml:space="preserve">البنود خارج الميزانية </w:t>
      </w:r>
      <w:r w:rsidR="00B259A6" w:rsidRPr="00556357">
        <w:t xml:space="preserve">Off – </w:t>
      </w:r>
      <w:r w:rsidR="00F04AE6" w:rsidRPr="00556357">
        <w:t>Balance Sheet Items</w:t>
      </w:r>
      <w:r w:rsidR="00B259A6" w:rsidRPr="00556357">
        <w:t xml:space="preserve"> </w:t>
      </w:r>
    </w:p>
    <w:p w:rsidR="00B259A6" w:rsidRPr="00556357" w:rsidRDefault="00B259A6" w:rsidP="00206447">
      <w:pPr>
        <w:spacing w:after="0"/>
        <w:ind w:left="1275" w:hanging="709"/>
        <w:rPr>
          <w:b w:val="0"/>
          <w:bCs w:val="0"/>
          <w:rtl/>
        </w:rPr>
      </w:pPr>
      <w:r w:rsidRPr="00556357">
        <w:rPr>
          <w:b w:val="0"/>
          <w:bCs w:val="0"/>
          <w:rtl/>
        </w:rPr>
        <w:t>1.3</w:t>
      </w:r>
      <w:r w:rsidR="00E72601">
        <w:rPr>
          <w:rFonts w:hint="cs"/>
          <w:b w:val="0"/>
          <w:bCs w:val="0"/>
          <w:rtl/>
        </w:rPr>
        <w:t>.</w:t>
      </w:r>
      <w:r w:rsidR="00751D28">
        <w:rPr>
          <w:rFonts w:hint="cs"/>
          <w:b w:val="0"/>
          <w:bCs w:val="0"/>
          <w:rtl/>
        </w:rPr>
        <w:tab/>
      </w:r>
      <w:r w:rsidRPr="00556357">
        <w:rPr>
          <w:b w:val="0"/>
          <w:bCs w:val="0"/>
          <w:rtl/>
        </w:rPr>
        <w:t xml:space="preserve">قواعد عامة </w:t>
      </w:r>
      <w:r w:rsidRPr="00556357">
        <w:rPr>
          <w:b w:val="0"/>
          <w:bCs w:val="0"/>
        </w:rPr>
        <w:t>General Rules</w:t>
      </w:r>
      <w:r w:rsidR="00E72601">
        <w:rPr>
          <w:rFonts w:hint="cs"/>
          <w:b w:val="0"/>
          <w:bCs w:val="0"/>
          <w:rtl/>
        </w:rPr>
        <w:t>:</w:t>
      </w:r>
    </w:p>
    <w:p w:rsidR="00B259A6" w:rsidRPr="00556357" w:rsidRDefault="00B259A6" w:rsidP="00D85144">
      <w:pPr>
        <w:ind w:left="2126" w:hanging="851"/>
        <w:rPr>
          <w:b w:val="0"/>
          <w:bCs w:val="0"/>
          <w:rtl/>
        </w:rPr>
      </w:pPr>
      <w:r w:rsidRPr="00556357">
        <w:rPr>
          <w:b w:val="0"/>
          <w:bCs w:val="0"/>
          <w:rtl/>
        </w:rPr>
        <w:t>1.1.3</w:t>
      </w:r>
      <w:r w:rsidR="00E72601">
        <w:rPr>
          <w:rFonts w:hint="cs"/>
          <w:b w:val="0"/>
          <w:bCs w:val="0"/>
          <w:rtl/>
        </w:rPr>
        <w:t>.</w:t>
      </w:r>
      <w:r w:rsidRPr="00556357">
        <w:rPr>
          <w:b w:val="0"/>
          <w:bCs w:val="0"/>
          <w:rtl/>
        </w:rPr>
        <w:tab/>
        <w:t>يتم احتساب القيمة المرجحة بالمخاطر للبنود خارج الميزانية على خطوتين وكما يلي:</w:t>
      </w:r>
    </w:p>
    <w:p w:rsidR="00B259A6" w:rsidRPr="00E72601" w:rsidRDefault="00B259A6" w:rsidP="007B7F97">
      <w:pPr>
        <w:pStyle w:val="ListParagraph"/>
        <w:numPr>
          <w:ilvl w:val="0"/>
          <w:numId w:val="29"/>
        </w:numPr>
        <w:ind w:left="2551" w:hanging="425"/>
        <w:rPr>
          <w:b w:val="0"/>
          <w:bCs w:val="0"/>
          <w:rtl/>
        </w:rPr>
      </w:pPr>
      <w:r w:rsidRPr="00E72601">
        <w:rPr>
          <w:b w:val="0"/>
          <w:bCs w:val="0"/>
          <w:rtl/>
        </w:rPr>
        <w:t>الخطوة الأولى: تحويل القيمة الاسمية للبند إلى معامل ائتماني لبنود داخل الميزانية وذلك من خلال ضربها بمعامل التحويل الائتماني الخاص بها</w:t>
      </w:r>
      <w:r w:rsidR="007B7F97">
        <w:rPr>
          <w:rFonts w:hint="cs"/>
          <w:b w:val="0"/>
          <w:bCs w:val="0"/>
          <w:rtl/>
        </w:rPr>
        <w:t>.</w:t>
      </w:r>
    </w:p>
    <w:p w:rsidR="00B259A6" w:rsidRPr="00E72601" w:rsidRDefault="00B259A6" w:rsidP="00D85144">
      <w:pPr>
        <w:pStyle w:val="ListParagraph"/>
        <w:numPr>
          <w:ilvl w:val="0"/>
          <w:numId w:val="29"/>
        </w:numPr>
        <w:ind w:left="2551" w:hanging="425"/>
        <w:rPr>
          <w:b w:val="0"/>
          <w:bCs w:val="0"/>
          <w:rtl/>
        </w:rPr>
      </w:pPr>
      <w:r w:rsidRPr="00E72601">
        <w:rPr>
          <w:b w:val="0"/>
          <w:bCs w:val="0"/>
          <w:rtl/>
        </w:rPr>
        <w:t>الخطوة الثانية: يتم ضرب الناتج من الخطوة أعلاه بوزن مخاطر ترجيحي مناسب للبند داخل الميزانية وحسب نوع المطالبة.</w:t>
      </w:r>
    </w:p>
    <w:p w:rsidR="00B259A6" w:rsidRPr="00E72601" w:rsidRDefault="00B259A6" w:rsidP="00751D28">
      <w:pPr>
        <w:ind w:left="2126" w:hanging="851"/>
        <w:rPr>
          <w:b w:val="0"/>
          <w:bCs w:val="0"/>
          <w:rtl/>
        </w:rPr>
      </w:pPr>
      <w:r w:rsidRPr="00E72601">
        <w:rPr>
          <w:b w:val="0"/>
          <w:bCs w:val="0"/>
          <w:rtl/>
        </w:rPr>
        <w:t>2.1.3</w:t>
      </w:r>
      <w:r w:rsidR="00E72601" w:rsidRPr="00E72601">
        <w:rPr>
          <w:rFonts w:hint="cs"/>
          <w:b w:val="0"/>
          <w:bCs w:val="0"/>
          <w:rtl/>
        </w:rPr>
        <w:t>.</w:t>
      </w:r>
      <w:r w:rsidRPr="00E72601">
        <w:rPr>
          <w:b w:val="0"/>
          <w:bCs w:val="0"/>
          <w:rtl/>
        </w:rPr>
        <w:tab/>
        <w:t xml:space="preserve">في حال وجود ضمانات مؤهلة فإن أثر الضمان يحتسب قبل الخطوة الأولى أعلاه (أي تطرح من القيمة الاسمية للبند </w:t>
      </w:r>
      <w:r w:rsidR="00E72601">
        <w:rPr>
          <w:b w:val="0"/>
          <w:bCs w:val="0"/>
          <w:rtl/>
        </w:rPr>
        <w:t>ومن ثم تحول إلى معامل ائتماني).</w:t>
      </w:r>
    </w:p>
    <w:p w:rsidR="00B259A6" w:rsidRPr="003E1278" w:rsidRDefault="00B259A6" w:rsidP="002F28A0">
      <w:pPr>
        <w:ind w:left="1275" w:hanging="709"/>
        <w:rPr>
          <w:b w:val="0"/>
          <w:bCs w:val="0"/>
          <w:rtl/>
        </w:rPr>
      </w:pPr>
      <w:r w:rsidRPr="003E1278">
        <w:rPr>
          <w:b w:val="0"/>
          <w:bCs w:val="0"/>
          <w:rtl/>
        </w:rPr>
        <w:t>2.3</w:t>
      </w:r>
      <w:r w:rsidR="00E72601" w:rsidRPr="003E1278">
        <w:rPr>
          <w:rFonts w:hint="cs"/>
          <w:b w:val="0"/>
          <w:bCs w:val="0"/>
          <w:rtl/>
        </w:rPr>
        <w:t>.</w:t>
      </w:r>
      <w:r w:rsidR="00751D28">
        <w:rPr>
          <w:rFonts w:hint="cs"/>
          <w:b w:val="0"/>
          <w:bCs w:val="0"/>
          <w:rtl/>
        </w:rPr>
        <w:tab/>
      </w:r>
      <w:r w:rsidRPr="003E1278">
        <w:rPr>
          <w:b w:val="0"/>
          <w:bCs w:val="0"/>
          <w:rtl/>
        </w:rPr>
        <w:t>أنواع المطالبات/ التعرضات</w:t>
      </w:r>
      <w:r w:rsidR="0054200F" w:rsidRPr="003E1278">
        <w:rPr>
          <w:rFonts w:hint="cs"/>
          <w:b w:val="0"/>
          <w:bCs w:val="0"/>
          <w:rtl/>
        </w:rPr>
        <w:t>:</w:t>
      </w:r>
    </w:p>
    <w:p w:rsidR="00B259A6" w:rsidRPr="00E72601" w:rsidRDefault="00B259A6" w:rsidP="00751D28">
      <w:pPr>
        <w:ind w:left="2126" w:hanging="851"/>
        <w:rPr>
          <w:b w:val="0"/>
          <w:bCs w:val="0"/>
          <w:rtl/>
        </w:rPr>
      </w:pPr>
      <w:r w:rsidRPr="00E72601">
        <w:rPr>
          <w:b w:val="0"/>
          <w:bCs w:val="0"/>
          <w:rtl/>
        </w:rPr>
        <w:t>1.2.3</w:t>
      </w:r>
      <w:r w:rsidR="00E72601">
        <w:rPr>
          <w:rFonts w:hint="cs"/>
          <w:b w:val="0"/>
          <w:bCs w:val="0"/>
          <w:rtl/>
        </w:rPr>
        <w:t>.</w:t>
      </w:r>
      <w:r w:rsidRPr="00E72601">
        <w:rPr>
          <w:b w:val="0"/>
          <w:bCs w:val="0"/>
          <w:rtl/>
        </w:rPr>
        <w:tab/>
        <w:t xml:space="preserve">بدائل الائتمان المباشر </w:t>
      </w:r>
      <w:r w:rsidRPr="00E72601">
        <w:rPr>
          <w:b w:val="0"/>
          <w:bCs w:val="0"/>
        </w:rPr>
        <w:t>Direct Credit Substitutes</w:t>
      </w:r>
    </w:p>
    <w:p w:rsidR="00B259A6" w:rsidRPr="00E72601" w:rsidRDefault="0054200F" w:rsidP="00C76D5F">
      <w:pPr>
        <w:spacing w:after="0"/>
        <w:ind w:left="2126"/>
        <w:rPr>
          <w:b w:val="0"/>
          <w:bCs w:val="0"/>
          <w:rtl/>
          <w:lang w:val="x-none" w:bidi="ar-JO"/>
        </w:rPr>
      </w:pPr>
      <w:r>
        <w:rPr>
          <w:rFonts w:hint="cs"/>
          <w:b w:val="0"/>
          <w:bCs w:val="0"/>
          <w:rtl/>
          <w:lang w:val="x-none" w:bidi="ar-JO"/>
        </w:rPr>
        <w:t xml:space="preserve"> </w:t>
      </w:r>
      <w:r w:rsidR="00B259A6" w:rsidRPr="00E72601">
        <w:rPr>
          <w:b w:val="0"/>
          <w:bCs w:val="0"/>
          <w:rtl/>
          <w:lang w:val="x-none" w:bidi="ar-JO"/>
        </w:rPr>
        <w:t>تُعطى البنود خارج الميزانية التالية معامل تحويل ائتماني (100%):</w:t>
      </w:r>
    </w:p>
    <w:p w:rsidR="00B259A6" w:rsidRPr="00E72601" w:rsidRDefault="00B259A6" w:rsidP="00D85144">
      <w:pPr>
        <w:pStyle w:val="ListParagraph"/>
        <w:numPr>
          <w:ilvl w:val="0"/>
          <w:numId w:val="29"/>
        </w:numPr>
        <w:ind w:left="2551" w:hanging="425"/>
        <w:rPr>
          <w:b w:val="0"/>
          <w:bCs w:val="0"/>
          <w:rtl/>
        </w:rPr>
      </w:pPr>
      <w:r w:rsidRPr="00E72601">
        <w:rPr>
          <w:b w:val="0"/>
          <w:bCs w:val="0"/>
          <w:rtl/>
        </w:rPr>
        <w:t>كفالات الدفع بجميع أنواعها، بما في ذلك كفالات الدفعة المقدمة وما في حكمها.</w:t>
      </w:r>
    </w:p>
    <w:p w:rsidR="00B259A6" w:rsidRPr="00E72601" w:rsidRDefault="00B259A6" w:rsidP="00D85144">
      <w:pPr>
        <w:pStyle w:val="ListParagraph"/>
        <w:numPr>
          <w:ilvl w:val="0"/>
          <w:numId w:val="29"/>
        </w:numPr>
        <w:ind w:left="2551" w:hanging="425"/>
        <w:rPr>
          <w:b w:val="0"/>
          <w:bCs w:val="0"/>
          <w:rtl/>
        </w:rPr>
      </w:pPr>
      <w:r w:rsidRPr="00E72601">
        <w:rPr>
          <w:b w:val="0"/>
          <w:bCs w:val="0"/>
          <w:rtl/>
        </w:rPr>
        <w:t>كفالات الجمارك بجميع أنواعها.</w:t>
      </w:r>
    </w:p>
    <w:p w:rsidR="00B259A6" w:rsidRPr="00E72601" w:rsidRDefault="00B259A6" w:rsidP="00D85144">
      <w:pPr>
        <w:pStyle w:val="ListParagraph"/>
        <w:numPr>
          <w:ilvl w:val="0"/>
          <w:numId w:val="29"/>
        </w:numPr>
        <w:ind w:left="2551" w:hanging="425"/>
        <w:rPr>
          <w:b w:val="0"/>
          <w:bCs w:val="0"/>
          <w:rtl/>
        </w:rPr>
      </w:pPr>
      <w:r w:rsidRPr="00E72601">
        <w:rPr>
          <w:b w:val="0"/>
          <w:bCs w:val="0"/>
          <w:rtl/>
        </w:rPr>
        <w:t>كفالات مزاولة المهنة بجميع أنواعها.</w:t>
      </w:r>
    </w:p>
    <w:p w:rsidR="00B259A6" w:rsidRPr="00E72601" w:rsidRDefault="00B259A6" w:rsidP="00D85144">
      <w:pPr>
        <w:pStyle w:val="ListParagraph"/>
        <w:numPr>
          <w:ilvl w:val="0"/>
          <w:numId w:val="29"/>
        </w:numPr>
        <w:ind w:left="2551" w:hanging="425"/>
        <w:rPr>
          <w:b w:val="0"/>
          <w:bCs w:val="0"/>
          <w:rtl/>
        </w:rPr>
      </w:pPr>
      <w:r w:rsidRPr="00E72601">
        <w:rPr>
          <w:b w:val="0"/>
          <w:bCs w:val="0"/>
          <w:rtl/>
        </w:rPr>
        <w:t>كفالات توريد البضائع بجميع أنواعها (والتي تصدر بناءً على طلب المشتري لصالح مورد البضائع).</w:t>
      </w:r>
    </w:p>
    <w:p w:rsidR="00B259A6" w:rsidRPr="00E72601" w:rsidRDefault="00B259A6" w:rsidP="00D85144">
      <w:pPr>
        <w:pStyle w:val="ListParagraph"/>
        <w:numPr>
          <w:ilvl w:val="0"/>
          <w:numId w:val="29"/>
        </w:numPr>
        <w:ind w:left="2551" w:hanging="425"/>
        <w:rPr>
          <w:b w:val="0"/>
          <w:bCs w:val="0"/>
          <w:rtl/>
        </w:rPr>
      </w:pPr>
      <w:r w:rsidRPr="00E72601">
        <w:rPr>
          <w:b w:val="0"/>
          <w:bCs w:val="0"/>
          <w:rtl/>
        </w:rPr>
        <w:t>كفالات ضمان التسهيلات بجميع أنواعها.</w:t>
      </w:r>
    </w:p>
    <w:p w:rsidR="00B259A6" w:rsidRPr="00E72601" w:rsidRDefault="00B259A6" w:rsidP="00D85144">
      <w:pPr>
        <w:pStyle w:val="ListParagraph"/>
        <w:numPr>
          <w:ilvl w:val="0"/>
          <w:numId w:val="29"/>
        </w:numPr>
        <w:ind w:left="2551" w:hanging="425"/>
        <w:rPr>
          <w:b w:val="0"/>
          <w:bCs w:val="0"/>
          <w:rtl/>
        </w:rPr>
      </w:pPr>
      <w:r w:rsidRPr="00E72601">
        <w:rPr>
          <w:b w:val="0"/>
          <w:bCs w:val="0"/>
          <w:rtl/>
        </w:rPr>
        <w:t>كفالات المحتجزات (</w:t>
      </w:r>
      <w:r w:rsidRPr="00E72601">
        <w:rPr>
          <w:b w:val="0"/>
          <w:bCs w:val="0"/>
        </w:rPr>
        <w:t>Retention Guarantees</w:t>
      </w:r>
      <w:r w:rsidRPr="00E72601">
        <w:rPr>
          <w:b w:val="0"/>
          <w:bCs w:val="0"/>
          <w:rtl/>
        </w:rPr>
        <w:t>).</w:t>
      </w:r>
    </w:p>
    <w:p w:rsidR="00B259A6" w:rsidRPr="00E72601" w:rsidRDefault="00B259A6" w:rsidP="00D85144">
      <w:pPr>
        <w:pStyle w:val="ListParagraph"/>
        <w:numPr>
          <w:ilvl w:val="0"/>
          <w:numId w:val="29"/>
        </w:numPr>
        <w:ind w:left="2551" w:hanging="425"/>
        <w:rPr>
          <w:b w:val="0"/>
          <w:bCs w:val="0"/>
          <w:rtl/>
        </w:rPr>
      </w:pPr>
      <w:r w:rsidRPr="00E72601">
        <w:rPr>
          <w:b w:val="0"/>
          <w:bCs w:val="0"/>
          <w:rtl/>
        </w:rPr>
        <w:lastRenderedPageBreak/>
        <w:t>الاعتمادات المستندية مؤجلة الدفع.</w:t>
      </w:r>
    </w:p>
    <w:p w:rsidR="00B259A6" w:rsidRPr="00E72601" w:rsidRDefault="00B259A6" w:rsidP="00D85144">
      <w:pPr>
        <w:pStyle w:val="ListParagraph"/>
        <w:numPr>
          <w:ilvl w:val="0"/>
          <w:numId w:val="29"/>
        </w:numPr>
        <w:ind w:left="2551" w:hanging="425"/>
        <w:rPr>
          <w:b w:val="0"/>
          <w:bCs w:val="0"/>
          <w:rtl/>
        </w:rPr>
      </w:pPr>
      <w:r w:rsidRPr="00E72601">
        <w:rPr>
          <w:b w:val="0"/>
          <w:bCs w:val="0"/>
          <w:rtl/>
        </w:rPr>
        <w:t>الاعتمادات المستندية بالاطلاع والتي يزيد أجلها عن (180) يوماً.</w:t>
      </w:r>
    </w:p>
    <w:p w:rsidR="00B259A6" w:rsidRPr="00E72601" w:rsidRDefault="00B259A6" w:rsidP="00D85144">
      <w:pPr>
        <w:pStyle w:val="ListParagraph"/>
        <w:numPr>
          <w:ilvl w:val="0"/>
          <w:numId w:val="29"/>
        </w:numPr>
        <w:ind w:left="2551" w:hanging="425"/>
        <w:rPr>
          <w:b w:val="0"/>
          <w:bCs w:val="0"/>
          <w:rtl/>
        </w:rPr>
      </w:pPr>
      <w:r w:rsidRPr="00E72601">
        <w:rPr>
          <w:b w:val="0"/>
          <w:bCs w:val="0"/>
          <w:rtl/>
        </w:rPr>
        <w:t>القبولات المصرفية.</w:t>
      </w:r>
    </w:p>
    <w:p w:rsidR="00B259A6" w:rsidRPr="00E72601" w:rsidRDefault="00B259A6" w:rsidP="00D85144">
      <w:pPr>
        <w:pStyle w:val="ListParagraph"/>
        <w:numPr>
          <w:ilvl w:val="0"/>
          <w:numId w:val="29"/>
        </w:numPr>
        <w:ind w:left="2551" w:hanging="425"/>
        <w:rPr>
          <w:b w:val="0"/>
          <w:bCs w:val="0"/>
          <w:rtl/>
        </w:rPr>
      </w:pPr>
      <w:r w:rsidRPr="00E72601">
        <w:rPr>
          <w:b w:val="0"/>
          <w:bCs w:val="0"/>
          <w:rtl/>
        </w:rPr>
        <w:t>تعزيز الاعتمادات المستندية الواردة ضمن هذه الفئة (بدائل الائتمان المباشر).</w:t>
      </w:r>
    </w:p>
    <w:p w:rsidR="00B259A6" w:rsidRPr="00E72601" w:rsidRDefault="00B259A6" w:rsidP="00D85144">
      <w:pPr>
        <w:pStyle w:val="ListParagraph"/>
        <w:numPr>
          <w:ilvl w:val="0"/>
          <w:numId w:val="29"/>
        </w:numPr>
        <w:ind w:left="2551" w:hanging="425"/>
        <w:rPr>
          <w:b w:val="0"/>
          <w:bCs w:val="0"/>
          <w:rtl/>
        </w:rPr>
      </w:pPr>
      <w:r w:rsidRPr="00E72601">
        <w:rPr>
          <w:b w:val="0"/>
          <w:bCs w:val="0"/>
          <w:rtl/>
        </w:rPr>
        <w:t>تعزيز القبولات المصرفية بجميع أنواعها.</w:t>
      </w:r>
    </w:p>
    <w:p w:rsidR="00B259A6" w:rsidRPr="00E72601" w:rsidRDefault="00B259A6" w:rsidP="00D85144">
      <w:pPr>
        <w:pStyle w:val="ListParagraph"/>
        <w:numPr>
          <w:ilvl w:val="0"/>
          <w:numId w:val="29"/>
        </w:numPr>
        <w:ind w:left="2551" w:hanging="425"/>
        <w:rPr>
          <w:b w:val="0"/>
          <w:bCs w:val="0"/>
          <w:rtl/>
        </w:rPr>
      </w:pPr>
      <w:r w:rsidRPr="00E72601">
        <w:rPr>
          <w:b w:val="0"/>
          <w:bCs w:val="0"/>
          <w:rtl/>
        </w:rPr>
        <w:t xml:space="preserve">توفير الحماية الائتمانية لطرف ثالث بجميع أنواعها </w:t>
      </w:r>
      <w:r w:rsidRPr="00E72601">
        <w:rPr>
          <w:b w:val="0"/>
          <w:bCs w:val="0"/>
        </w:rPr>
        <w:t>Selling Credit Protection</w:t>
      </w:r>
      <w:r w:rsidRPr="00E72601">
        <w:rPr>
          <w:b w:val="0"/>
          <w:bCs w:val="0"/>
          <w:rtl/>
        </w:rPr>
        <w:t>.</w:t>
      </w:r>
    </w:p>
    <w:p w:rsidR="00B259A6" w:rsidRPr="00E72601" w:rsidRDefault="00B259A6" w:rsidP="007B7F97">
      <w:pPr>
        <w:pStyle w:val="ListParagraph"/>
        <w:numPr>
          <w:ilvl w:val="0"/>
          <w:numId w:val="29"/>
        </w:numPr>
        <w:ind w:left="2551" w:hanging="425"/>
        <w:rPr>
          <w:b w:val="0"/>
          <w:bCs w:val="0"/>
          <w:rtl/>
        </w:rPr>
      </w:pPr>
      <w:r w:rsidRPr="00E72601">
        <w:rPr>
          <w:b w:val="0"/>
          <w:bCs w:val="0"/>
          <w:rtl/>
        </w:rPr>
        <w:t>اعتمادات الضمان</w:t>
      </w:r>
      <w:r w:rsidR="00F04AE6" w:rsidRPr="00E72601">
        <w:rPr>
          <w:b w:val="0"/>
          <w:bCs w:val="0"/>
          <w:rtl/>
        </w:rPr>
        <w:t xml:space="preserve"> </w:t>
      </w:r>
      <w:r w:rsidR="00F04AE6" w:rsidRPr="00E72601">
        <w:rPr>
          <w:b w:val="0"/>
          <w:bCs w:val="0"/>
        </w:rPr>
        <w:t>Stand by Letter of Credit</w:t>
      </w:r>
      <w:r w:rsidRPr="00E72601">
        <w:rPr>
          <w:b w:val="0"/>
          <w:bCs w:val="0"/>
          <w:rtl/>
        </w:rPr>
        <w:t xml:space="preserve"> </w:t>
      </w:r>
      <w:r w:rsidR="00F04AE6" w:rsidRPr="00E72601">
        <w:rPr>
          <w:b w:val="0"/>
          <w:bCs w:val="0"/>
          <w:rtl/>
        </w:rPr>
        <w:t>(</w:t>
      </w:r>
      <w:r w:rsidRPr="00E72601">
        <w:rPr>
          <w:b w:val="0"/>
          <w:bCs w:val="0"/>
        </w:rPr>
        <w:t>SBLC</w:t>
      </w:r>
      <w:r w:rsidR="00F04AE6" w:rsidRPr="00E72601">
        <w:rPr>
          <w:b w:val="0"/>
          <w:bCs w:val="0"/>
          <w:rtl/>
        </w:rPr>
        <w:t>)</w:t>
      </w:r>
      <w:r w:rsidR="007B7F97">
        <w:rPr>
          <w:rStyle w:val="FootnoteReference"/>
          <w:b w:val="0"/>
          <w:bCs w:val="0"/>
          <w:rtl/>
        </w:rPr>
        <w:footnoteReference w:id="19"/>
      </w:r>
      <w:r w:rsidRPr="00E72601">
        <w:rPr>
          <w:b w:val="0"/>
          <w:bCs w:val="0"/>
          <w:rtl/>
        </w:rPr>
        <w:t xml:space="preserve"> التي تعمل عمل أي من البنود أعلاه.</w:t>
      </w:r>
    </w:p>
    <w:p w:rsidR="00B259A6" w:rsidRPr="00E72601" w:rsidRDefault="00B259A6" w:rsidP="00D85144">
      <w:pPr>
        <w:pStyle w:val="ListParagraph"/>
        <w:numPr>
          <w:ilvl w:val="0"/>
          <w:numId w:val="29"/>
        </w:numPr>
        <w:ind w:left="2551" w:hanging="425"/>
        <w:rPr>
          <w:b w:val="0"/>
          <w:bCs w:val="0"/>
          <w:rtl/>
        </w:rPr>
      </w:pPr>
      <w:r w:rsidRPr="00E72601">
        <w:rPr>
          <w:b w:val="0"/>
          <w:bCs w:val="0"/>
          <w:rtl/>
        </w:rPr>
        <w:t>أي التزامات أخرى تعامل معاملة الائتمان المباشر وبحيث يشكل التزام البنك بموجبها تعهد بالدفع لطرف ثالث في حال تدهور الوضع الائتماني للعميل الذي صدرت بالنيابة عنه هذه الالتزامات</w:t>
      </w:r>
    </w:p>
    <w:p w:rsidR="00AA5883" w:rsidRPr="00E72601" w:rsidRDefault="00B259A6" w:rsidP="00D85144">
      <w:pPr>
        <w:pStyle w:val="ListParagraph"/>
        <w:numPr>
          <w:ilvl w:val="0"/>
          <w:numId w:val="29"/>
        </w:numPr>
        <w:ind w:left="2551" w:hanging="425"/>
        <w:rPr>
          <w:b w:val="0"/>
          <w:bCs w:val="0"/>
          <w:rtl/>
        </w:rPr>
      </w:pPr>
      <w:r w:rsidRPr="00E72601">
        <w:rPr>
          <w:b w:val="0"/>
          <w:bCs w:val="0"/>
          <w:rtl/>
        </w:rPr>
        <w:t>أي التزامات أخرى يضيفها البنك المركزي الأردني لهذه القائمة.</w:t>
      </w:r>
      <w:r w:rsidR="00AA5883" w:rsidRPr="006D6E07">
        <w:rPr>
          <w:b w:val="0"/>
          <w:bCs w:val="0"/>
          <w:rtl/>
        </w:rPr>
        <w:t xml:space="preserve"> </w:t>
      </w:r>
    </w:p>
    <w:p w:rsidR="00AA5883" w:rsidRPr="006079F0" w:rsidRDefault="00B259A6" w:rsidP="00751D28">
      <w:pPr>
        <w:ind w:left="2126" w:hanging="851"/>
        <w:rPr>
          <w:b w:val="0"/>
          <w:bCs w:val="0"/>
          <w:rtl/>
        </w:rPr>
      </w:pPr>
      <w:r w:rsidRPr="006079F0">
        <w:rPr>
          <w:b w:val="0"/>
          <w:bCs w:val="0"/>
          <w:rtl/>
        </w:rPr>
        <w:t>2.2.3</w:t>
      </w:r>
      <w:r w:rsidR="00E72601" w:rsidRPr="006079F0">
        <w:rPr>
          <w:rFonts w:hint="cs"/>
          <w:b w:val="0"/>
          <w:bCs w:val="0"/>
          <w:rtl/>
        </w:rPr>
        <w:t>.</w:t>
      </w:r>
      <w:r w:rsidRPr="006079F0">
        <w:rPr>
          <w:b w:val="0"/>
          <w:bCs w:val="0"/>
          <w:rtl/>
        </w:rPr>
        <w:tab/>
        <w:t xml:space="preserve">التعهدات المتعلقة بالأداء </w:t>
      </w:r>
      <w:r w:rsidRPr="006079F0">
        <w:rPr>
          <w:b w:val="0"/>
          <w:bCs w:val="0"/>
        </w:rPr>
        <w:t>Performance Related Contingencies</w:t>
      </w:r>
      <w:r w:rsidR="00AA5883" w:rsidRPr="006079F0">
        <w:rPr>
          <w:b w:val="0"/>
          <w:bCs w:val="0"/>
          <w:rtl/>
        </w:rPr>
        <w:t xml:space="preserve"> :</w:t>
      </w:r>
    </w:p>
    <w:p w:rsidR="00E4390B" w:rsidRPr="0062302B" w:rsidRDefault="00E4390B" w:rsidP="00751D28">
      <w:pPr>
        <w:ind w:left="1745" w:firstLine="381"/>
        <w:rPr>
          <w:b w:val="0"/>
          <w:bCs w:val="0"/>
          <w:rtl/>
          <w:lang w:bidi="ar-JO"/>
        </w:rPr>
      </w:pPr>
      <w:r w:rsidRPr="0062302B">
        <w:rPr>
          <w:b w:val="0"/>
          <w:bCs w:val="0"/>
          <w:rtl/>
          <w:lang w:bidi="ar-JO"/>
        </w:rPr>
        <w:t xml:space="preserve">تُعطى التعهدات المتعلقة بالأداء التالية معامل تحويل ائتماني (50%): </w:t>
      </w:r>
    </w:p>
    <w:p w:rsidR="00E4390B" w:rsidRPr="00E4435F" w:rsidRDefault="00E4390B" w:rsidP="00D85144">
      <w:pPr>
        <w:pStyle w:val="ListParagraph"/>
        <w:numPr>
          <w:ilvl w:val="0"/>
          <w:numId w:val="29"/>
        </w:numPr>
        <w:ind w:left="2551" w:hanging="425"/>
        <w:rPr>
          <w:b w:val="0"/>
          <w:bCs w:val="0"/>
        </w:rPr>
      </w:pPr>
      <w:r w:rsidRPr="00E4435F">
        <w:rPr>
          <w:b w:val="0"/>
          <w:bCs w:val="0"/>
          <w:rtl/>
        </w:rPr>
        <w:t>كفالات دخول عطاءات.</w:t>
      </w:r>
    </w:p>
    <w:p w:rsidR="00E4390B" w:rsidRPr="00E4435F" w:rsidRDefault="00E4390B" w:rsidP="00D85144">
      <w:pPr>
        <w:pStyle w:val="ListParagraph"/>
        <w:numPr>
          <w:ilvl w:val="0"/>
          <w:numId w:val="29"/>
        </w:numPr>
        <w:ind w:left="2551" w:hanging="425"/>
        <w:rPr>
          <w:b w:val="0"/>
          <w:bCs w:val="0"/>
        </w:rPr>
      </w:pPr>
      <w:r w:rsidRPr="00E4435F">
        <w:rPr>
          <w:b w:val="0"/>
          <w:bCs w:val="0"/>
          <w:rtl/>
        </w:rPr>
        <w:t xml:space="preserve">كفالات حسن التنفيذ. </w:t>
      </w:r>
    </w:p>
    <w:p w:rsidR="00E4390B" w:rsidRPr="00E4435F" w:rsidRDefault="00E4390B" w:rsidP="00D85144">
      <w:pPr>
        <w:pStyle w:val="ListParagraph"/>
        <w:numPr>
          <w:ilvl w:val="0"/>
          <w:numId w:val="29"/>
        </w:numPr>
        <w:ind w:left="2551" w:hanging="425"/>
        <w:rPr>
          <w:b w:val="0"/>
          <w:bCs w:val="0"/>
        </w:rPr>
      </w:pPr>
      <w:r w:rsidRPr="00E4435F">
        <w:rPr>
          <w:b w:val="0"/>
          <w:bCs w:val="0"/>
          <w:rtl/>
        </w:rPr>
        <w:t xml:space="preserve">كفالات الصيانة. </w:t>
      </w:r>
    </w:p>
    <w:p w:rsidR="00E4390B" w:rsidRPr="00E4435F" w:rsidRDefault="00E4390B" w:rsidP="00D85144">
      <w:pPr>
        <w:pStyle w:val="ListParagraph"/>
        <w:numPr>
          <w:ilvl w:val="0"/>
          <w:numId w:val="29"/>
        </w:numPr>
        <w:ind w:left="2551" w:hanging="425"/>
        <w:rPr>
          <w:b w:val="0"/>
          <w:bCs w:val="0"/>
        </w:rPr>
      </w:pPr>
      <w:r w:rsidRPr="00E4435F">
        <w:rPr>
          <w:b w:val="0"/>
          <w:bCs w:val="0"/>
          <w:rtl/>
        </w:rPr>
        <w:t>كفالات الشحن (وحسب القيمة القصوى للبضاعة).</w:t>
      </w:r>
    </w:p>
    <w:p w:rsidR="00B259A6" w:rsidRPr="00E4435F" w:rsidRDefault="00B259A6" w:rsidP="00D85144">
      <w:pPr>
        <w:pStyle w:val="ListParagraph"/>
        <w:numPr>
          <w:ilvl w:val="0"/>
          <w:numId w:val="29"/>
        </w:numPr>
        <w:ind w:left="2551" w:hanging="425"/>
        <w:rPr>
          <w:b w:val="0"/>
          <w:bCs w:val="0"/>
          <w:rtl/>
        </w:rPr>
      </w:pPr>
      <w:bookmarkStart w:id="636" w:name="_Toc414888031"/>
      <w:bookmarkStart w:id="637" w:name="_Toc451176219"/>
      <w:bookmarkStart w:id="638" w:name="_Toc451180200"/>
      <w:r w:rsidRPr="00E4435F">
        <w:rPr>
          <w:b w:val="0"/>
          <w:bCs w:val="0"/>
          <w:rtl/>
        </w:rPr>
        <w:t>كفالات الالتزام بالتشريعات والقوانين.</w:t>
      </w:r>
      <w:bookmarkEnd w:id="636"/>
      <w:bookmarkEnd w:id="637"/>
      <w:bookmarkEnd w:id="638"/>
    </w:p>
    <w:p w:rsidR="00B259A6" w:rsidRPr="00E4435F" w:rsidRDefault="00B259A6" w:rsidP="00D85144">
      <w:pPr>
        <w:pStyle w:val="ListParagraph"/>
        <w:numPr>
          <w:ilvl w:val="0"/>
          <w:numId w:val="29"/>
        </w:numPr>
        <w:ind w:left="2551" w:hanging="425"/>
        <w:rPr>
          <w:b w:val="0"/>
          <w:bCs w:val="0"/>
          <w:rtl/>
        </w:rPr>
      </w:pPr>
      <w:bookmarkStart w:id="639" w:name="_Toc414888032"/>
      <w:bookmarkStart w:id="640" w:name="_Toc451176220"/>
      <w:bookmarkStart w:id="641" w:name="_Toc451180201"/>
      <w:r w:rsidRPr="00E4435F">
        <w:rPr>
          <w:b w:val="0"/>
          <w:bCs w:val="0"/>
          <w:rtl/>
        </w:rPr>
        <w:t>كفالات وتعهدات الجودة المصنعية (</w:t>
      </w:r>
      <w:r w:rsidRPr="00E4435F">
        <w:rPr>
          <w:b w:val="0"/>
          <w:bCs w:val="0"/>
        </w:rPr>
        <w:t>Warranties</w:t>
      </w:r>
      <w:r w:rsidRPr="00E4435F">
        <w:rPr>
          <w:b w:val="0"/>
          <w:bCs w:val="0"/>
          <w:rtl/>
        </w:rPr>
        <w:t>).</w:t>
      </w:r>
      <w:bookmarkEnd w:id="639"/>
      <w:bookmarkEnd w:id="640"/>
      <w:bookmarkEnd w:id="641"/>
    </w:p>
    <w:p w:rsidR="00B259A6" w:rsidRPr="00E4435F" w:rsidRDefault="00B259A6" w:rsidP="00D85144">
      <w:pPr>
        <w:pStyle w:val="ListParagraph"/>
        <w:numPr>
          <w:ilvl w:val="0"/>
          <w:numId w:val="29"/>
        </w:numPr>
        <w:ind w:left="2551" w:hanging="425"/>
        <w:rPr>
          <w:b w:val="0"/>
          <w:bCs w:val="0"/>
          <w:rtl/>
        </w:rPr>
      </w:pPr>
      <w:bookmarkStart w:id="642" w:name="_Toc414888033"/>
      <w:bookmarkStart w:id="643" w:name="_Toc451176221"/>
      <w:bookmarkStart w:id="644" w:name="_Toc451180202"/>
      <w:r w:rsidRPr="00E4435F">
        <w:rPr>
          <w:b w:val="0"/>
          <w:bCs w:val="0"/>
          <w:rtl/>
        </w:rPr>
        <w:t>كفالات التعويض عن الخسائر (</w:t>
      </w:r>
      <w:r w:rsidRPr="00E4435F">
        <w:rPr>
          <w:b w:val="0"/>
          <w:bCs w:val="0"/>
        </w:rPr>
        <w:t>Indemnities</w:t>
      </w:r>
      <w:r w:rsidRPr="00E4435F">
        <w:rPr>
          <w:b w:val="0"/>
          <w:bCs w:val="0"/>
          <w:rtl/>
        </w:rPr>
        <w:t>).</w:t>
      </w:r>
      <w:bookmarkEnd w:id="642"/>
      <w:bookmarkEnd w:id="643"/>
      <w:bookmarkEnd w:id="644"/>
    </w:p>
    <w:p w:rsidR="00E4435F" w:rsidRPr="0054200F" w:rsidRDefault="00B259A6" w:rsidP="00D85144">
      <w:pPr>
        <w:pStyle w:val="ListParagraph"/>
        <w:numPr>
          <w:ilvl w:val="0"/>
          <w:numId w:val="29"/>
        </w:numPr>
        <w:ind w:left="2551" w:hanging="425"/>
        <w:rPr>
          <w:b w:val="0"/>
          <w:bCs w:val="0"/>
          <w:rtl/>
        </w:rPr>
      </w:pPr>
      <w:bookmarkStart w:id="645" w:name="_Toc414888034"/>
      <w:bookmarkStart w:id="646" w:name="_Toc451176222"/>
      <w:bookmarkStart w:id="647" w:name="_Toc451180203"/>
      <w:r w:rsidRPr="00E4435F">
        <w:rPr>
          <w:b w:val="0"/>
          <w:bCs w:val="0"/>
          <w:rtl/>
        </w:rPr>
        <w:t xml:space="preserve">اعتمادات الضمان </w:t>
      </w:r>
      <w:r w:rsidRPr="00E4435F">
        <w:rPr>
          <w:b w:val="0"/>
          <w:bCs w:val="0"/>
        </w:rPr>
        <w:t>SBLC</w:t>
      </w:r>
      <w:r w:rsidRPr="00E4435F">
        <w:rPr>
          <w:b w:val="0"/>
          <w:bCs w:val="0"/>
          <w:rtl/>
        </w:rPr>
        <w:t xml:space="preserve"> التي تعمل عمل أي من الكفالات أعلاه.</w:t>
      </w:r>
      <w:bookmarkEnd w:id="645"/>
      <w:bookmarkEnd w:id="646"/>
      <w:bookmarkEnd w:id="647"/>
    </w:p>
    <w:p w:rsidR="00B259A6" w:rsidRPr="00E4435F" w:rsidRDefault="00B259A6" w:rsidP="00751D28">
      <w:pPr>
        <w:ind w:left="2126" w:hanging="851"/>
        <w:rPr>
          <w:b w:val="0"/>
          <w:bCs w:val="0"/>
        </w:rPr>
      </w:pPr>
      <w:bookmarkStart w:id="648" w:name="_Toc414888035"/>
      <w:bookmarkStart w:id="649" w:name="_Toc451176223"/>
      <w:bookmarkStart w:id="650" w:name="_Toc451180204"/>
      <w:r w:rsidRPr="00E4435F">
        <w:rPr>
          <w:b w:val="0"/>
          <w:bCs w:val="0"/>
          <w:rtl/>
        </w:rPr>
        <w:t>3.2.3</w:t>
      </w:r>
      <w:r w:rsidR="0062302B">
        <w:rPr>
          <w:rFonts w:hint="cs"/>
          <w:b w:val="0"/>
          <w:bCs w:val="0"/>
          <w:rtl/>
        </w:rPr>
        <w:t>.</w:t>
      </w:r>
      <w:r w:rsidRPr="00E4435F">
        <w:rPr>
          <w:b w:val="0"/>
          <w:bCs w:val="0"/>
          <w:rtl/>
        </w:rPr>
        <w:tab/>
        <w:t>الالتزامات المتعلقة بعمليات الاستيراد والتصدير</w:t>
      </w:r>
      <w:r w:rsidRPr="00E4435F">
        <w:rPr>
          <w:b w:val="0"/>
          <w:bCs w:val="0"/>
        </w:rPr>
        <w:t>Trade Related Contingencies</w:t>
      </w:r>
      <w:r w:rsidR="00E4390B" w:rsidRPr="00E4435F">
        <w:rPr>
          <w:b w:val="0"/>
          <w:bCs w:val="0"/>
          <w:rtl/>
        </w:rPr>
        <w:t xml:space="preserve"> </w:t>
      </w:r>
      <w:r w:rsidR="00E4390B" w:rsidRPr="00E4435F">
        <w:rPr>
          <w:b w:val="0"/>
          <w:bCs w:val="0"/>
        </w:rPr>
        <w:t>:</w:t>
      </w:r>
      <w:bookmarkEnd w:id="648"/>
      <w:bookmarkEnd w:id="649"/>
      <w:bookmarkEnd w:id="650"/>
    </w:p>
    <w:p w:rsidR="00B259A6" w:rsidRPr="0062302B" w:rsidRDefault="002855CE" w:rsidP="00751D28">
      <w:pPr>
        <w:ind w:left="1655" w:firstLine="471"/>
        <w:rPr>
          <w:b w:val="0"/>
          <w:bCs w:val="0"/>
          <w:rtl/>
        </w:rPr>
      </w:pPr>
      <w:bookmarkStart w:id="651" w:name="_Toc414888036"/>
      <w:bookmarkStart w:id="652" w:name="_Toc451176224"/>
      <w:bookmarkStart w:id="653" w:name="_Toc451180205"/>
      <w:r>
        <w:rPr>
          <w:rFonts w:hint="cs"/>
          <w:b w:val="0"/>
          <w:bCs w:val="0"/>
          <w:rtl/>
        </w:rPr>
        <w:t xml:space="preserve"> </w:t>
      </w:r>
      <w:r w:rsidR="00B259A6" w:rsidRPr="0062302B">
        <w:rPr>
          <w:b w:val="0"/>
          <w:bCs w:val="0"/>
          <w:rtl/>
        </w:rPr>
        <w:t>تُعطى البنود خارج الميزانية التالية معامل تحويل ائتماني (20%):</w:t>
      </w:r>
      <w:bookmarkEnd w:id="651"/>
      <w:bookmarkEnd w:id="652"/>
      <w:bookmarkEnd w:id="653"/>
    </w:p>
    <w:p w:rsidR="00B259A6" w:rsidRPr="00E4435F" w:rsidRDefault="00B259A6" w:rsidP="00D85144">
      <w:pPr>
        <w:pStyle w:val="ListParagraph"/>
        <w:numPr>
          <w:ilvl w:val="0"/>
          <w:numId w:val="29"/>
        </w:numPr>
        <w:ind w:left="2551" w:hanging="425"/>
        <w:rPr>
          <w:b w:val="0"/>
          <w:bCs w:val="0"/>
        </w:rPr>
      </w:pPr>
      <w:bookmarkStart w:id="654" w:name="_Toc414888037"/>
      <w:bookmarkStart w:id="655" w:name="_Toc451176225"/>
      <w:bookmarkStart w:id="656" w:name="_Toc451180206"/>
      <w:r w:rsidRPr="00E4435F">
        <w:rPr>
          <w:b w:val="0"/>
          <w:bCs w:val="0"/>
          <w:rtl/>
        </w:rPr>
        <w:lastRenderedPageBreak/>
        <w:t>الاعتمادات المستندية بالاطلاع التي أجلها (180) يوماً فأقل شريطة أن تكون ذاتية التصفية ومتعلقة بنقل بضائع وأن لا تحتوي على أي شرط قد يؤثر سلباً على قيمة البضائع (مثال ذلك: أن تكون البضائع قابلة للتلف أو أن يكون الشحن براً .. الخ).</w:t>
      </w:r>
      <w:bookmarkEnd w:id="654"/>
      <w:bookmarkEnd w:id="655"/>
      <w:bookmarkEnd w:id="656"/>
    </w:p>
    <w:p w:rsidR="00B259A6" w:rsidRPr="00E4435F" w:rsidRDefault="00B259A6" w:rsidP="00D85144">
      <w:pPr>
        <w:pStyle w:val="ListParagraph"/>
        <w:numPr>
          <w:ilvl w:val="0"/>
          <w:numId w:val="29"/>
        </w:numPr>
        <w:ind w:left="2551" w:hanging="425"/>
        <w:rPr>
          <w:b w:val="0"/>
          <w:bCs w:val="0"/>
          <w:rtl/>
        </w:rPr>
      </w:pPr>
      <w:bookmarkStart w:id="657" w:name="_Toc414888038"/>
      <w:bookmarkStart w:id="658" w:name="_Toc451176226"/>
      <w:bookmarkStart w:id="659" w:name="_Toc451180207"/>
      <w:r w:rsidRPr="00E4435F">
        <w:rPr>
          <w:b w:val="0"/>
          <w:bCs w:val="0"/>
          <w:rtl/>
        </w:rPr>
        <w:t xml:space="preserve">اعتمادات الضمان </w:t>
      </w:r>
      <w:r w:rsidRPr="00E4435F">
        <w:rPr>
          <w:b w:val="0"/>
          <w:bCs w:val="0"/>
        </w:rPr>
        <w:t>SBLC</w:t>
      </w:r>
      <w:r w:rsidRPr="00E4435F">
        <w:rPr>
          <w:b w:val="0"/>
          <w:bCs w:val="0"/>
          <w:rtl/>
        </w:rPr>
        <w:t xml:space="preserve"> التي تعمل عمل الاعتمادات المستندية في البند أعلاه.</w:t>
      </w:r>
      <w:bookmarkEnd w:id="657"/>
      <w:bookmarkEnd w:id="658"/>
      <w:bookmarkEnd w:id="659"/>
    </w:p>
    <w:p w:rsidR="0024115F" w:rsidRDefault="00B259A6" w:rsidP="00D85144">
      <w:pPr>
        <w:pStyle w:val="ListParagraph"/>
        <w:numPr>
          <w:ilvl w:val="0"/>
          <w:numId w:val="29"/>
        </w:numPr>
        <w:ind w:left="2551" w:hanging="425"/>
        <w:rPr>
          <w:b w:val="0"/>
          <w:bCs w:val="0"/>
        </w:rPr>
      </w:pPr>
      <w:bookmarkStart w:id="660" w:name="_Toc414888039"/>
      <w:bookmarkStart w:id="661" w:name="_Toc451176227"/>
      <w:bookmarkStart w:id="662" w:name="_Toc451180208"/>
      <w:r w:rsidRPr="00E4435F">
        <w:rPr>
          <w:b w:val="0"/>
          <w:bCs w:val="0"/>
          <w:rtl/>
        </w:rPr>
        <w:t>تعزيز الاعتمادات في البندين أعلاه.</w:t>
      </w:r>
      <w:bookmarkEnd w:id="660"/>
      <w:bookmarkEnd w:id="661"/>
      <w:bookmarkEnd w:id="662"/>
    </w:p>
    <w:p w:rsidR="00E4390B" w:rsidRPr="00E4435F" w:rsidRDefault="00E4390B" w:rsidP="00751D28">
      <w:pPr>
        <w:ind w:left="2126" w:hanging="900"/>
        <w:rPr>
          <w:b w:val="0"/>
          <w:bCs w:val="0"/>
          <w:rtl/>
        </w:rPr>
      </w:pPr>
      <w:r w:rsidRPr="00E4435F">
        <w:rPr>
          <w:b w:val="0"/>
          <w:bCs w:val="0"/>
          <w:rtl/>
        </w:rPr>
        <w:t>4.2.3</w:t>
      </w:r>
      <w:r w:rsidR="0062302B">
        <w:rPr>
          <w:rFonts w:hint="cs"/>
          <w:b w:val="0"/>
          <w:bCs w:val="0"/>
          <w:rtl/>
        </w:rPr>
        <w:t>.</w:t>
      </w:r>
      <w:r w:rsidRPr="00E4435F">
        <w:rPr>
          <w:b w:val="0"/>
          <w:bCs w:val="0"/>
          <w:rtl/>
        </w:rPr>
        <w:tab/>
        <w:t xml:space="preserve">السقوف الائتمانية الملتزم بها </w:t>
      </w:r>
      <w:r w:rsidR="00B259A6" w:rsidRPr="00E4435F">
        <w:rPr>
          <w:b w:val="0"/>
          <w:bCs w:val="0"/>
        </w:rPr>
        <w:t>Credit Commitments</w:t>
      </w:r>
    </w:p>
    <w:p w:rsidR="00B259A6" w:rsidRPr="00E4435F" w:rsidRDefault="00B259A6" w:rsidP="00D85144">
      <w:pPr>
        <w:pStyle w:val="ListParagraph"/>
        <w:numPr>
          <w:ilvl w:val="0"/>
          <w:numId w:val="29"/>
        </w:numPr>
        <w:ind w:left="2551" w:hanging="425"/>
        <w:rPr>
          <w:b w:val="0"/>
          <w:bCs w:val="0"/>
          <w:rtl/>
        </w:rPr>
      </w:pPr>
      <w:r w:rsidRPr="00E4435F">
        <w:rPr>
          <w:b w:val="0"/>
          <w:bCs w:val="0"/>
          <w:rtl/>
        </w:rPr>
        <w:t>تعطى السقوف الائتمانية غير الملزمة معامل تحويل ائتماني (صفر%) بغض النظر عن تاريخ استحقاقها الأصلي (شريطة أن يكون للبنك الحق القانوني بإلغائها في أي وقت دون قيد أو شرط).</w:t>
      </w:r>
    </w:p>
    <w:p w:rsidR="00B259A6" w:rsidRPr="00E4435F" w:rsidRDefault="00B259A6" w:rsidP="00D85144">
      <w:pPr>
        <w:pStyle w:val="ListParagraph"/>
        <w:numPr>
          <w:ilvl w:val="0"/>
          <w:numId w:val="29"/>
        </w:numPr>
        <w:ind w:left="2551" w:hanging="425"/>
        <w:rPr>
          <w:b w:val="0"/>
          <w:bCs w:val="0"/>
          <w:rtl/>
        </w:rPr>
      </w:pPr>
      <w:r w:rsidRPr="00E4435F">
        <w:rPr>
          <w:b w:val="0"/>
          <w:bCs w:val="0"/>
          <w:rtl/>
        </w:rPr>
        <w:t>تعطى السقوف الائتمانية الملزمة معامل تحويل ائتماني (20%) إذا كان تاريخ استحقاقها الأصلي يساوي أو أقل من سنة.</w:t>
      </w:r>
    </w:p>
    <w:p w:rsidR="00B259A6" w:rsidRPr="00E4435F" w:rsidRDefault="00B259A6" w:rsidP="00D85144">
      <w:pPr>
        <w:pStyle w:val="ListParagraph"/>
        <w:numPr>
          <w:ilvl w:val="0"/>
          <w:numId w:val="29"/>
        </w:numPr>
        <w:ind w:left="2551" w:hanging="425"/>
        <w:rPr>
          <w:b w:val="0"/>
          <w:bCs w:val="0"/>
          <w:rtl/>
        </w:rPr>
      </w:pPr>
      <w:r w:rsidRPr="00E4435F">
        <w:rPr>
          <w:b w:val="0"/>
          <w:bCs w:val="0"/>
          <w:rtl/>
        </w:rPr>
        <w:t>تعطى السقوف الائتمانية الملزمة معامل تحويل ائتماني (50%) إذا كان تاريخ استحقاقها الأصلي يزيد عن سنة.</w:t>
      </w:r>
    </w:p>
    <w:p w:rsidR="00B259A6" w:rsidRPr="00E4435F" w:rsidRDefault="00B259A6" w:rsidP="00751D28">
      <w:pPr>
        <w:ind w:left="2126" w:hanging="851"/>
        <w:rPr>
          <w:b w:val="0"/>
          <w:bCs w:val="0"/>
        </w:rPr>
      </w:pPr>
      <w:bookmarkStart w:id="663" w:name="_Toc414888040"/>
      <w:bookmarkStart w:id="664" w:name="_Toc451176228"/>
      <w:bookmarkStart w:id="665" w:name="_Toc451180209"/>
      <w:r w:rsidRPr="00E4435F">
        <w:rPr>
          <w:b w:val="0"/>
          <w:bCs w:val="0"/>
          <w:rtl/>
        </w:rPr>
        <w:t>5.2.3</w:t>
      </w:r>
      <w:r w:rsidR="0062302B">
        <w:rPr>
          <w:rFonts w:hint="cs"/>
          <w:b w:val="0"/>
          <w:bCs w:val="0"/>
          <w:rtl/>
        </w:rPr>
        <w:t>.</w:t>
      </w:r>
      <w:r w:rsidRPr="00E4435F">
        <w:rPr>
          <w:b w:val="0"/>
          <w:bCs w:val="0"/>
          <w:rtl/>
        </w:rPr>
        <w:tab/>
        <w:t xml:space="preserve">البنود الأخرى خارج الميزانية </w:t>
      </w:r>
      <w:r w:rsidRPr="00E4435F">
        <w:rPr>
          <w:b w:val="0"/>
          <w:bCs w:val="0"/>
        </w:rPr>
        <w:t>Other Off-Balance Sheet Items</w:t>
      </w:r>
      <w:bookmarkEnd w:id="663"/>
      <w:bookmarkEnd w:id="664"/>
      <w:bookmarkEnd w:id="665"/>
    </w:p>
    <w:p w:rsidR="00B259A6" w:rsidRPr="0062302B" w:rsidRDefault="00B259A6" w:rsidP="00751D28">
      <w:pPr>
        <w:ind w:left="1745" w:firstLine="381"/>
        <w:rPr>
          <w:b w:val="0"/>
          <w:bCs w:val="0"/>
        </w:rPr>
      </w:pPr>
      <w:bookmarkStart w:id="666" w:name="_Toc414888041"/>
      <w:bookmarkStart w:id="667" w:name="_Toc451176229"/>
      <w:bookmarkStart w:id="668" w:name="_Toc451180210"/>
      <w:r w:rsidRPr="0062302B">
        <w:rPr>
          <w:b w:val="0"/>
          <w:bCs w:val="0"/>
          <w:rtl/>
        </w:rPr>
        <w:t>تُعطى البنود التالية معامل تحويل ائتماني (100%):</w:t>
      </w:r>
      <w:bookmarkEnd w:id="666"/>
      <w:bookmarkEnd w:id="667"/>
      <w:bookmarkEnd w:id="668"/>
    </w:p>
    <w:p w:rsidR="00B259A6" w:rsidRPr="00E4435F" w:rsidRDefault="00B259A6" w:rsidP="00D85144">
      <w:pPr>
        <w:pStyle w:val="ListParagraph"/>
        <w:numPr>
          <w:ilvl w:val="0"/>
          <w:numId w:val="29"/>
        </w:numPr>
        <w:ind w:left="2551" w:hanging="425"/>
        <w:rPr>
          <w:b w:val="0"/>
          <w:bCs w:val="0"/>
          <w:rtl/>
        </w:rPr>
      </w:pPr>
      <w:bookmarkStart w:id="669" w:name="_Toc414888042"/>
      <w:bookmarkStart w:id="670" w:name="_Toc451176230"/>
      <w:bookmarkStart w:id="671" w:name="_Toc451180211"/>
      <w:r w:rsidRPr="00E4435F">
        <w:rPr>
          <w:b w:val="0"/>
          <w:bCs w:val="0"/>
          <w:rtl/>
        </w:rPr>
        <w:t>عمليات إقراض الأوراق المالية و/أو إيداعها كضمانات.</w:t>
      </w:r>
      <w:bookmarkEnd w:id="669"/>
      <w:bookmarkEnd w:id="670"/>
      <w:bookmarkEnd w:id="671"/>
    </w:p>
    <w:p w:rsidR="00B259A6" w:rsidRPr="00E4435F" w:rsidRDefault="00B259A6" w:rsidP="00D85144">
      <w:pPr>
        <w:pStyle w:val="ListParagraph"/>
        <w:numPr>
          <w:ilvl w:val="0"/>
          <w:numId w:val="29"/>
        </w:numPr>
        <w:ind w:left="2551" w:hanging="425"/>
        <w:rPr>
          <w:b w:val="0"/>
          <w:bCs w:val="0"/>
          <w:rtl/>
        </w:rPr>
      </w:pPr>
      <w:bookmarkStart w:id="672" w:name="_Toc414888043"/>
      <w:bookmarkStart w:id="673" w:name="_Toc451176231"/>
      <w:bookmarkStart w:id="674" w:name="_Toc451180212"/>
      <w:r w:rsidRPr="00E4435F">
        <w:rPr>
          <w:b w:val="0"/>
          <w:bCs w:val="0"/>
          <w:rtl/>
        </w:rPr>
        <w:t>اتفاقيات إعادة الشراء ومعكوسها.</w:t>
      </w:r>
      <w:bookmarkEnd w:id="672"/>
      <w:bookmarkEnd w:id="673"/>
      <w:bookmarkEnd w:id="674"/>
    </w:p>
    <w:p w:rsidR="00B259A6" w:rsidRPr="00E4435F" w:rsidRDefault="00B259A6" w:rsidP="00D85144">
      <w:pPr>
        <w:pStyle w:val="ListParagraph"/>
        <w:numPr>
          <w:ilvl w:val="0"/>
          <w:numId w:val="29"/>
        </w:numPr>
        <w:ind w:left="2551" w:hanging="425"/>
        <w:rPr>
          <w:b w:val="0"/>
          <w:bCs w:val="0"/>
          <w:rtl/>
        </w:rPr>
      </w:pPr>
      <w:bookmarkStart w:id="675" w:name="_Toc414888044"/>
      <w:bookmarkStart w:id="676" w:name="_Toc451176232"/>
      <w:bookmarkStart w:id="677" w:name="_Toc451180213"/>
      <w:r w:rsidRPr="00E4435F">
        <w:rPr>
          <w:b w:val="0"/>
          <w:bCs w:val="0"/>
          <w:rtl/>
        </w:rPr>
        <w:t>بيع الأصول مع حق الرجوع (</w:t>
      </w:r>
      <w:r w:rsidRPr="00E4435F">
        <w:rPr>
          <w:b w:val="0"/>
          <w:bCs w:val="0"/>
        </w:rPr>
        <w:t>Assets Sold with Recourse</w:t>
      </w:r>
      <w:r w:rsidRPr="00E4435F">
        <w:rPr>
          <w:b w:val="0"/>
          <w:bCs w:val="0"/>
          <w:rtl/>
        </w:rPr>
        <w:t>).</w:t>
      </w:r>
      <w:bookmarkEnd w:id="675"/>
      <w:bookmarkEnd w:id="676"/>
      <w:bookmarkEnd w:id="677"/>
    </w:p>
    <w:p w:rsidR="00B259A6" w:rsidRPr="00E4435F" w:rsidRDefault="00B259A6" w:rsidP="00D85144">
      <w:pPr>
        <w:pStyle w:val="ListParagraph"/>
        <w:numPr>
          <w:ilvl w:val="0"/>
          <w:numId w:val="29"/>
        </w:numPr>
        <w:ind w:left="2551" w:hanging="425"/>
        <w:rPr>
          <w:b w:val="0"/>
          <w:bCs w:val="0"/>
          <w:rtl/>
        </w:rPr>
      </w:pPr>
      <w:bookmarkStart w:id="678" w:name="_Toc414888045"/>
      <w:bookmarkStart w:id="679" w:name="_Toc451176233"/>
      <w:bookmarkStart w:id="680" w:name="_Toc451180214"/>
      <w:r w:rsidRPr="00E4435F">
        <w:rPr>
          <w:b w:val="0"/>
          <w:bCs w:val="0"/>
          <w:rtl/>
        </w:rPr>
        <w:t>شراء الأصول الآجلة ويشمل الاتفاق على شراء قرض، سند دين أو أي أصل آخر من طرف خارجي في تاريخ مستقبلي.</w:t>
      </w:r>
      <w:bookmarkEnd w:id="678"/>
      <w:bookmarkEnd w:id="679"/>
      <w:bookmarkEnd w:id="680"/>
    </w:p>
    <w:p w:rsidR="00B259A6" w:rsidRPr="00E4435F" w:rsidRDefault="00B259A6" w:rsidP="00D85144">
      <w:pPr>
        <w:pStyle w:val="ListParagraph"/>
        <w:numPr>
          <w:ilvl w:val="0"/>
          <w:numId w:val="29"/>
        </w:numPr>
        <w:ind w:left="2551" w:hanging="425"/>
        <w:rPr>
          <w:b w:val="0"/>
          <w:bCs w:val="0"/>
          <w:rtl/>
        </w:rPr>
      </w:pPr>
      <w:bookmarkStart w:id="681" w:name="_Toc414888046"/>
      <w:bookmarkStart w:id="682" w:name="_Toc451176234"/>
      <w:bookmarkStart w:id="683" w:name="_Toc451180215"/>
      <w:r w:rsidRPr="00E4435F">
        <w:rPr>
          <w:b w:val="0"/>
          <w:bCs w:val="0"/>
          <w:rtl/>
        </w:rPr>
        <w:t>الجزء غير المدفوع من الأسهم و/أو السندات المالية المشتراة والتي تمثل التزاماً على البنك بدفع هذا الجزء في تاريخ مستقبلي.</w:t>
      </w:r>
      <w:bookmarkEnd w:id="681"/>
      <w:bookmarkEnd w:id="682"/>
      <w:bookmarkEnd w:id="683"/>
    </w:p>
    <w:p w:rsidR="00B259A6" w:rsidRPr="00E4435F" w:rsidRDefault="00B259A6" w:rsidP="00D85144">
      <w:pPr>
        <w:pStyle w:val="ListParagraph"/>
        <w:numPr>
          <w:ilvl w:val="0"/>
          <w:numId w:val="29"/>
        </w:numPr>
        <w:ind w:left="2551" w:hanging="425"/>
        <w:rPr>
          <w:b w:val="0"/>
          <w:bCs w:val="0"/>
          <w:rtl/>
        </w:rPr>
      </w:pPr>
      <w:bookmarkStart w:id="684" w:name="_Toc414888047"/>
      <w:bookmarkStart w:id="685" w:name="_Toc451176235"/>
      <w:bookmarkStart w:id="686" w:name="_Toc451180216"/>
      <w:r w:rsidRPr="00E4435F">
        <w:rPr>
          <w:b w:val="0"/>
          <w:bCs w:val="0"/>
          <w:rtl/>
        </w:rPr>
        <w:t>التزام البنك بربط ودائع بتاريخ آجل لدى جهات أخرى.</w:t>
      </w:r>
      <w:bookmarkEnd w:id="684"/>
      <w:bookmarkEnd w:id="685"/>
      <w:bookmarkEnd w:id="686"/>
      <w:r w:rsidRPr="00E4435F">
        <w:rPr>
          <w:b w:val="0"/>
          <w:bCs w:val="0"/>
          <w:rtl/>
        </w:rPr>
        <w:t xml:space="preserve"> </w:t>
      </w:r>
    </w:p>
    <w:p w:rsidR="002855CE" w:rsidRPr="00C76D5F" w:rsidRDefault="00B259A6" w:rsidP="00C76D5F">
      <w:pPr>
        <w:ind w:left="2126"/>
        <w:rPr>
          <w:b w:val="0"/>
          <w:bCs w:val="0"/>
          <w:rtl/>
        </w:rPr>
      </w:pPr>
      <w:bookmarkStart w:id="687" w:name="_Toc414888048"/>
      <w:bookmarkStart w:id="688" w:name="_Toc451176236"/>
      <w:bookmarkStart w:id="689" w:name="_Toc451180217"/>
      <w:r w:rsidRPr="00C76D5F">
        <w:rPr>
          <w:b w:val="0"/>
          <w:bCs w:val="0"/>
          <w:rtl/>
        </w:rPr>
        <w:t>تُعطى التزامات البنك بتغطية و/أو تمويل شراء الجزء غير المكتتب به من إصدارات الأوراق المالية معامل تحويل ائتماني (50%).</w:t>
      </w:r>
      <w:bookmarkEnd w:id="687"/>
      <w:bookmarkEnd w:id="688"/>
      <w:bookmarkEnd w:id="689"/>
    </w:p>
    <w:p w:rsidR="00B259A6" w:rsidRPr="006079F0" w:rsidRDefault="00B259A6" w:rsidP="00585F1F">
      <w:pPr>
        <w:spacing w:before="240" w:after="0"/>
        <w:ind w:left="2126" w:hanging="851"/>
        <w:rPr>
          <w:b w:val="0"/>
          <w:bCs w:val="0"/>
          <w:rtl/>
        </w:rPr>
      </w:pPr>
      <w:bookmarkStart w:id="690" w:name="_Toc414888049"/>
      <w:bookmarkStart w:id="691" w:name="_Toc451176237"/>
      <w:bookmarkStart w:id="692" w:name="_Toc451180218"/>
      <w:r w:rsidRPr="006079F0">
        <w:rPr>
          <w:b w:val="0"/>
          <w:bCs w:val="0"/>
          <w:rtl/>
        </w:rPr>
        <w:t>6.2.3</w:t>
      </w:r>
      <w:r w:rsidR="0062302B">
        <w:rPr>
          <w:rFonts w:hint="cs"/>
          <w:b w:val="0"/>
          <w:bCs w:val="0"/>
          <w:rtl/>
        </w:rPr>
        <w:t>.</w:t>
      </w:r>
      <w:r w:rsidRPr="006079F0">
        <w:rPr>
          <w:b w:val="0"/>
          <w:bCs w:val="0"/>
          <w:rtl/>
        </w:rPr>
        <w:tab/>
        <w:t xml:space="preserve">البنود خارج الميزانية المتعلقة بمخاطر السوق </w:t>
      </w:r>
      <w:r w:rsidRPr="006079F0">
        <w:rPr>
          <w:b w:val="0"/>
          <w:bCs w:val="0"/>
        </w:rPr>
        <w:t xml:space="preserve">Market related Off Balance </w:t>
      </w:r>
      <w:r w:rsidR="00E4390B" w:rsidRPr="006079F0">
        <w:rPr>
          <w:b w:val="0"/>
          <w:bCs w:val="0"/>
        </w:rPr>
        <w:t>Sheet</w:t>
      </w:r>
      <w:r w:rsidRPr="006079F0">
        <w:rPr>
          <w:b w:val="0"/>
          <w:bCs w:val="0"/>
        </w:rPr>
        <w:t xml:space="preserve"> </w:t>
      </w:r>
      <w:r w:rsidR="00E4390B" w:rsidRPr="006079F0">
        <w:rPr>
          <w:b w:val="0"/>
          <w:bCs w:val="0"/>
        </w:rPr>
        <w:t>Items</w:t>
      </w:r>
      <w:bookmarkEnd w:id="690"/>
      <w:bookmarkEnd w:id="691"/>
      <w:bookmarkEnd w:id="692"/>
    </w:p>
    <w:p w:rsidR="0024115F" w:rsidRPr="00E4435F" w:rsidRDefault="00751D28" w:rsidP="00751D28">
      <w:pPr>
        <w:ind w:left="2551" w:hanging="425"/>
        <w:rPr>
          <w:b w:val="0"/>
          <w:bCs w:val="0"/>
        </w:rPr>
      </w:pPr>
      <w:bookmarkStart w:id="693" w:name="_Toc414888050"/>
      <w:bookmarkStart w:id="694" w:name="_Toc451176238"/>
      <w:bookmarkStart w:id="695" w:name="_Toc451180219"/>
      <w:r>
        <w:rPr>
          <w:rFonts w:hint="cs"/>
          <w:b w:val="0"/>
          <w:bCs w:val="0"/>
          <w:rtl/>
        </w:rPr>
        <w:lastRenderedPageBreak/>
        <w:t>-</w:t>
      </w:r>
      <w:r>
        <w:rPr>
          <w:rFonts w:hint="cs"/>
          <w:b w:val="0"/>
          <w:bCs w:val="0"/>
          <w:rtl/>
        </w:rPr>
        <w:tab/>
      </w:r>
      <w:r w:rsidR="00B259A6" w:rsidRPr="00E4435F">
        <w:rPr>
          <w:b w:val="0"/>
          <w:bCs w:val="0"/>
          <w:rtl/>
        </w:rPr>
        <w:t>تُعطى البنود التالية معاملات تحويل ائتماني حسب ما هو موضح في الجدول أدناه و تحتسب بناءً على القيمة الاسمية للعقد:</w:t>
      </w:r>
      <w:bookmarkEnd w:id="693"/>
      <w:bookmarkEnd w:id="694"/>
      <w:bookmarkEnd w:id="695"/>
    </w:p>
    <w:tbl>
      <w:tblPr>
        <w:bidiVisual/>
        <w:tblW w:w="73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992"/>
        <w:gridCol w:w="1134"/>
        <w:gridCol w:w="708"/>
        <w:gridCol w:w="1275"/>
        <w:gridCol w:w="1102"/>
      </w:tblGrid>
      <w:tr w:rsidR="005028A6" w:rsidRPr="005028A6" w:rsidTr="007B7F97">
        <w:trPr>
          <w:cantSplit/>
          <w:trHeight w:hRule="exact" w:val="1428"/>
          <w:jc w:val="right"/>
        </w:trPr>
        <w:tc>
          <w:tcPr>
            <w:tcW w:w="1447" w:type="pct"/>
            <w:shd w:val="clear" w:color="auto" w:fill="auto"/>
            <w:vAlign w:val="center"/>
          </w:tcPr>
          <w:p w:rsidR="00B259A6" w:rsidRPr="005028A6" w:rsidRDefault="006079F0" w:rsidP="005028A6">
            <w:pPr>
              <w:spacing w:after="0"/>
              <w:jc w:val="center"/>
              <w:rPr>
                <w:sz w:val="20"/>
                <w:szCs w:val="20"/>
                <w:rtl/>
              </w:rPr>
            </w:pPr>
            <w:bookmarkStart w:id="696" w:name="_Toc414888051"/>
            <w:bookmarkStart w:id="697" w:name="_Toc451176239"/>
            <w:bookmarkStart w:id="698" w:name="_Toc451180220"/>
            <w:r w:rsidRPr="005028A6">
              <w:rPr>
                <w:sz w:val="20"/>
                <w:szCs w:val="20"/>
                <w:rtl/>
              </w:rPr>
              <w:t>الفترة</w:t>
            </w:r>
            <w:r w:rsidRPr="005028A6">
              <w:rPr>
                <w:rFonts w:hint="cs"/>
                <w:sz w:val="20"/>
                <w:szCs w:val="20"/>
                <w:rtl/>
              </w:rPr>
              <w:t xml:space="preserve"> </w:t>
            </w:r>
            <w:r w:rsidR="00B259A6" w:rsidRPr="005028A6">
              <w:rPr>
                <w:sz w:val="20"/>
                <w:szCs w:val="20"/>
                <w:rtl/>
              </w:rPr>
              <w:t>المتبقية للاستحقاق</w:t>
            </w:r>
            <w:bookmarkEnd w:id="696"/>
            <w:bookmarkEnd w:id="697"/>
            <w:bookmarkEnd w:id="698"/>
          </w:p>
        </w:tc>
        <w:tc>
          <w:tcPr>
            <w:tcW w:w="676" w:type="pct"/>
            <w:shd w:val="clear" w:color="auto" w:fill="auto"/>
            <w:vAlign w:val="center"/>
          </w:tcPr>
          <w:p w:rsidR="00B259A6" w:rsidRPr="005028A6" w:rsidRDefault="00B259A6" w:rsidP="005028A6">
            <w:pPr>
              <w:spacing w:after="0"/>
              <w:jc w:val="center"/>
              <w:rPr>
                <w:sz w:val="20"/>
                <w:szCs w:val="20"/>
                <w:rtl/>
              </w:rPr>
            </w:pPr>
            <w:bookmarkStart w:id="699" w:name="_Toc414888052"/>
            <w:bookmarkStart w:id="700" w:name="_Toc451176240"/>
            <w:bookmarkStart w:id="701" w:name="_Toc451180221"/>
            <w:r w:rsidRPr="005028A6">
              <w:rPr>
                <w:sz w:val="20"/>
                <w:szCs w:val="20"/>
                <w:rtl/>
              </w:rPr>
              <w:t>عقود أسعار الفائدة</w:t>
            </w:r>
            <w:bookmarkEnd w:id="699"/>
            <w:bookmarkEnd w:id="700"/>
            <w:bookmarkEnd w:id="701"/>
          </w:p>
        </w:tc>
        <w:tc>
          <w:tcPr>
            <w:tcW w:w="773" w:type="pct"/>
            <w:shd w:val="clear" w:color="auto" w:fill="auto"/>
            <w:vAlign w:val="center"/>
          </w:tcPr>
          <w:p w:rsidR="00B259A6" w:rsidRPr="005028A6" w:rsidRDefault="00B259A6" w:rsidP="005028A6">
            <w:pPr>
              <w:spacing w:after="0"/>
              <w:jc w:val="center"/>
              <w:rPr>
                <w:sz w:val="20"/>
                <w:szCs w:val="20"/>
                <w:rtl/>
              </w:rPr>
            </w:pPr>
            <w:bookmarkStart w:id="702" w:name="_Toc414888053"/>
            <w:bookmarkStart w:id="703" w:name="_Toc451176241"/>
            <w:bookmarkStart w:id="704" w:name="_Toc451180222"/>
            <w:r w:rsidRPr="005028A6">
              <w:rPr>
                <w:sz w:val="20"/>
                <w:szCs w:val="20"/>
                <w:rtl/>
              </w:rPr>
              <w:t>عقود العملات الأجنبية والذهب</w:t>
            </w:r>
            <w:bookmarkEnd w:id="702"/>
            <w:bookmarkEnd w:id="703"/>
            <w:bookmarkEnd w:id="704"/>
          </w:p>
        </w:tc>
        <w:tc>
          <w:tcPr>
            <w:tcW w:w="483" w:type="pct"/>
            <w:shd w:val="clear" w:color="auto" w:fill="auto"/>
            <w:vAlign w:val="center"/>
          </w:tcPr>
          <w:p w:rsidR="00B259A6" w:rsidRPr="005028A6" w:rsidRDefault="00B259A6" w:rsidP="005028A6">
            <w:pPr>
              <w:spacing w:after="0"/>
              <w:jc w:val="center"/>
              <w:rPr>
                <w:sz w:val="20"/>
                <w:szCs w:val="20"/>
                <w:rtl/>
              </w:rPr>
            </w:pPr>
            <w:bookmarkStart w:id="705" w:name="_Toc414888054"/>
            <w:bookmarkStart w:id="706" w:name="_Toc451176242"/>
            <w:bookmarkStart w:id="707" w:name="_Toc451180223"/>
            <w:r w:rsidRPr="005028A6">
              <w:rPr>
                <w:sz w:val="20"/>
                <w:szCs w:val="20"/>
                <w:rtl/>
              </w:rPr>
              <w:t>عقود أدوات الملكية</w:t>
            </w:r>
            <w:bookmarkEnd w:id="705"/>
            <w:bookmarkEnd w:id="706"/>
            <w:bookmarkEnd w:id="707"/>
          </w:p>
        </w:tc>
        <w:tc>
          <w:tcPr>
            <w:tcW w:w="869" w:type="pct"/>
            <w:shd w:val="clear" w:color="auto" w:fill="auto"/>
            <w:vAlign w:val="center"/>
          </w:tcPr>
          <w:p w:rsidR="00B259A6" w:rsidRPr="005028A6" w:rsidRDefault="00B259A6" w:rsidP="005028A6">
            <w:pPr>
              <w:spacing w:after="0"/>
              <w:jc w:val="center"/>
              <w:rPr>
                <w:sz w:val="20"/>
                <w:szCs w:val="20"/>
                <w:rtl/>
              </w:rPr>
            </w:pPr>
            <w:bookmarkStart w:id="708" w:name="_Toc414888055"/>
            <w:bookmarkStart w:id="709" w:name="_Toc451176243"/>
            <w:bookmarkStart w:id="710" w:name="_Toc451180224"/>
            <w:r w:rsidRPr="005028A6">
              <w:rPr>
                <w:sz w:val="20"/>
                <w:szCs w:val="20"/>
                <w:rtl/>
              </w:rPr>
              <w:t>عقود المعادن الثمينة (باستثناء الذهب)</w:t>
            </w:r>
            <w:bookmarkEnd w:id="708"/>
            <w:bookmarkEnd w:id="709"/>
            <w:bookmarkEnd w:id="710"/>
          </w:p>
        </w:tc>
        <w:tc>
          <w:tcPr>
            <w:tcW w:w="751" w:type="pct"/>
            <w:shd w:val="clear" w:color="auto" w:fill="auto"/>
            <w:vAlign w:val="center"/>
          </w:tcPr>
          <w:p w:rsidR="00B259A6" w:rsidRPr="005028A6" w:rsidRDefault="00B259A6" w:rsidP="005028A6">
            <w:pPr>
              <w:spacing w:after="0"/>
              <w:jc w:val="center"/>
              <w:rPr>
                <w:sz w:val="20"/>
                <w:szCs w:val="20"/>
                <w:rtl/>
              </w:rPr>
            </w:pPr>
            <w:bookmarkStart w:id="711" w:name="_Toc414888056"/>
            <w:bookmarkStart w:id="712" w:name="_Toc451176244"/>
            <w:bookmarkStart w:id="713" w:name="_Toc451180225"/>
            <w:r w:rsidRPr="005028A6">
              <w:rPr>
                <w:sz w:val="20"/>
                <w:szCs w:val="20"/>
                <w:rtl/>
              </w:rPr>
              <w:t>عقود السلع والبضائع الأخرى</w:t>
            </w:r>
            <w:bookmarkEnd w:id="711"/>
            <w:bookmarkEnd w:id="712"/>
            <w:bookmarkEnd w:id="713"/>
          </w:p>
        </w:tc>
      </w:tr>
      <w:tr w:rsidR="002855CE" w:rsidRPr="005028A6" w:rsidTr="007B7F97">
        <w:trPr>
          <w:cantSplit/>
          <w:trHeight w:val="20"/>
          <w:jc w:val="right"/>
        </w:trPr>
        <w:tc>
          <w:tcPr>
            <w:tcW w:w="1447" w:type="pct"/>
            <w:vAlign w:val="center"/>
          </w:tcPr>
          <w:p w:rsidR="00B259A6" w:rsidRPr="005028A6" w:rsidRDefault="00B259A6" w:rsidP="007B7F97">
            <w:pPr>
              <w:jc w:val="center"/>
              <w:rPr>
                <w:b w:val="0"/>
                <w:bCs w:val="0"/>
                <w:sz w:val="20"/>
                <w:szCs w:val="20"/>
                <w:rtl/>
              </w:rPr>
            </w:pPr>
            <w:bookmarkStart w:id="714" w:name="_Toc414888057"/>
            <w:bookmarkStart w:id="715" w:name="_Toc451176245"/>
            <w:bookmarkStart w:id="716" w:name="_Toc451180226"/>
            <w:r w:rsidRPr="005028A6">
              <w:rPr>
                <w:b w:val="0"/>
                <w:bCs w:val="0"/>
                <w:sz w:val="20"/>
                <w:szCs w:val="20"/>
                <w:rtl/>
              </w:rPr>
              <w:t>سنة أو أقل</w:t>
            </w:r>
            <w:bookmarkEnd w:id="714"/>
            <w:bookmarkEnd w:id="715"/>
            <w:bookmarkEnd w:id="716"/>
          </w:p>
        </w:tc>
        <w:tc>
          <w:tcPr>
            <w:tcW w:w="676" w:type="pct"/>
            <w:vAlign w:val="center"/>
          </w:tcPr>
          <w:p w:rsidR="00B259A6" w:rsidRPr="005028A6" w:rsidRDefault="00B259A6" w:rsidP="006079F0">
            <w:pPr>
              <w:jc w:val="center"/>
              <w:rPr>
                <w:sz w:val="20"/>
                <w:szCs w:val="20"/>
                <w:rtl/>
              </w:rPr>
            </w:pPr>
            <w:bookmarkStart w:id="717" w:name="_Toc414888058"/>
            <w:bookmarkStart w:id="718" w:name="_Toc451176246"/>
            <w:bookmarkStart w:id="719" w:name="_Toc451180227"/>
            <w:r w:rsidRPr="005028A6">
              <w:rPr>
                <w:sz w:val="20"/>
                <w:szCs w:val="20"/>
                <w:rtl/>
              </w:rPr>
              <w:t>0.5%</w:t>
            </w:r>
            <w:bookmarkEnd w:id="717"/>
            <w:bookmarkEnd w:id="718"/>
            <w:bookmarkEnd w:id="719"/>
          </w:p>
        </w:tc>
        <w:tc>
          <w:tcPr>
            <w:tcW w:w="773" w:type="pct"/>
            <w:vAlign w:val="center"/>
          </w:tcPr>
          <w:p w:rsidR="00B259A6" w:rsidRPr="005028A6" w:rsidRDefault="00B259A6" w:rsidP="006079F0">
            <w:pPr>
              <w:jc w:val="center"/>
              <w:rPr>
                <w:sz w:val="20"/>
                <w:szCs w:val="20"/>
                <w:rtl/>
              </w:rPr>
            </w:pPr>
            <w:bookmarkStart w:id="720" w:name="_Toc414888059"/>
            <w:bookmarkStart w:id="721" w:name="_Toc451176247"/>
            <w:bookmarkStart w:id="722" w:name="_Toc451180228"/>
            <w:r w:rsidRPr="005028A6">
              <w:rPr>
                <w:sz w:val="20"/>
                <w:szCs w:val="20"/>
                <w:rtl/>
              </w:rPr>
              <w:t>1 %</w:t>
            </w:r>
            <w:bookmarkEnd w:id="720"/>
            <w:bookmarkEnd w:id="721"/>
            <w:bookmarkEnd w:id="722"/>
          </w:p>
        </w:tc>
        <w:tc>
          <w:tcPr>
            <w:tcW w:w="483" w:type="pct"/>
            <w:vAlign w:val="center"/>
          </w:tcPr>
          <w:p w:rsidR="00B259A6" w:rsidRPr="005028A6" w:rsidRDefault="00B259A6" w:rsidP="006079F0">
            <w:pPr>
              <w:jc w:val="center"/>
              <w:rPr>
                <w:sz w:val="20"/>
                <w:szCs w:val="20"/>
                <w:rtl/>
              </w:rPr>
            </w:pPr>
            <w:bookmarkStart w:id="723" w:name="_Toc414888060"/>
            <w:bookmarkStart w:id="724" w:name="_Toc451176248"/>
            <w:bookmarkStart w:id="725" w:name="_Toc451180229"/>
            <w:r w:rsidRPr="005028A6">
              <w:rPr>
                <w:sz w:val="20"/>
                <w:szCs w:val="20"/>
                <w:rtl/>
              </w:rPr>
              <w:t>6 %</w:t>
            </w:r>
            <w:bookmarkEnd w:id="723"/>
            <w:bookmarkEnd w:id="724"/>
            <w:bookmarkEnd w:id="725"/>
          </w:p>
        </w:tc>
        <w:tc>
          <w:tcPr>
            <w:tcW w:w="869" w:type="pct"/>
            <w:vAlign w:val="center"/>
          </w:tcPr>
          <w:p w:rsidR="00B259A6" w:rsidRPr="005028A6" w:rsidRDefault="00B259A6" w:rsidP="006079F0">
            <w:pPr>
              <w:jc w:val="center"/>
              <w:rPr>
                <w:sz w:val="20"/>
                <w:szCs w:val="20"/>
                <w:rtl/>
              </w:rPr>
            </w:pPr>
            <w:bookmarkStart w:id="726" w:name="_Toc414888061"/>
            <w:bookmarkStart w:id="727" w:name="_Toc451176249"/>
            <w:bookmarkStart w:id="728" w:name="_Toc451180230"/>
            <w:r w:rsidRPr="005028A6">
              <w:rPr>
                <w:sz w:val="20"/>
                <w:szCs w:val="20"/>
                <w:rtl/>
              </w:rPr>
              <w:t>7 %</w:t>
            </w:r>
            <w:bookmarkEnd w:id="726"/>
            <w:bookmarkEnd w:id="727"/>
            <w:bookmarkEnd w:id="728"/>
          </w:p>
        </w:tc>
        <w:tc>
          <w:tcPr>
            <w:tcW w:w="751" w:type="pct"/>
            <w:vAlign w:val="center"/>
          </w:tcPr>
          <w:p w:rsidR="00B259A6" w:rsidRPr="005028A6" w:rsidRDefault="00B259A6" w:rsidP="006079F0">
            <w:pPr>
              <w:jc w:val="center"/>
              <w:rPr>
                <w:sz w:val="20"/>
                <w:szCs w:val="20"/>
                <w:rtl/>
              </w:rPr>
            </w:pPr>
            <w:bookmarkStart w:id="729" w:name="_Toc414888062"/>
            <w:bookmarkStart w:id="730" w:name="_Toc451176250"/>
            <w:bookmarkStart w:id="731" w:name="_Toc451180231"/>
            <w:r w:rsidRPr="005028A6">
              <w:rPr>
                <w:sz w:val="20"/>
                <w:szCs w:val="20"/>
                <w:rtl/>
              </w:rPr>
              <w:t>10 %</w:t>
            </w:r>
            <w:bookmarkEnd w:id="729"/>
            <w:bookmarkEnd w:id="730"/>
            <w:bookmarkEnd w:id="731"/>
          </w:p>
        </w:tc>
      </w:tr>
      <w:tr w:rsidR="002855CE" w:rsidRPr="005028A6" w:rsidTr="007B7F97">
        <w:trPr>
          <w:cantSplit/>
          <w:trHeight w:val="499"/>
          <w:jc w:val="right"/>
        </w:trPr>
        <w:tc>
          <w:tcPr>
            <w:tcW w:w="1447" w:type="pct"/>
            <w:vAlign w:val="center"/>
          </w:tcPr>
          <w:p w:rsidR="00B259A6" w:rsidRPr="005028A6" w:rsidRDefault="00B259A6" w:rsidP="007B7F97">
            <w:pPr>
              <w:spacing w:after="0"/>
              <w:jc w:val="center"/>
              <w:rPr>
                <w:b w:val="0"/>
                <w:bCs w:val="0"/>
                <w:sz w:val="20"/>
                <w:szCs w:val="20"/>
                <w:rtl/>
              </w:rPr>
            </w:pPr>
            <w:bookmarkStart w:id="732" w:name="_Toc414888063"/>
            <w:bookmarkStart w:id="733" w:name="_Toc451176251"/>
            <w:bookmarkStart w:id="734" w:name="_Toc451180232"/>
            <w:r w:rsidRPr="005028A6">
              <w:rPr>
                <w:b w:val="0"/>
                <w:bCs w:val="0"/>
                <w:sz w:val="20"/>
                <w:szCs w:val="20"/>
                <w:rtl/>
              </w:rPr>
              <w:t>أكثر من سنة وأقل أو يساوي خمس سنوات</w:t>
            </w:r>
            <w:bookmarkEnd w:id="732"/>
            <w:bookmarkEnd w:id="733"/>
            <w:bookmarkEnd w:id="734"/>
          </w:p>
        </w:tc>
        <w:tc>
          <w:tcPr>
            <w:tcW w:w="676" w:type="pct"/>
            <w:vAlign w:val="center"/>
          </w:tcPr>
          <w:p w:rsidR="00B259A6" w:rsidRPr="005028A6" w:rsidRDefault="00B259A6" w:rsidP="005028A6">
            <w:pPr>
              <w:spacing w:after="0"/>
              <w:jc w:val="center"/>
              <w:rPr>
                <w:sz w:val="20"/>
                <w:szCs w:val="20"/>
                <w:rtl/>
              </w:rPr>
            </w:pPr>
            <w:bookmarkStart w:id="735" w:name="_Toc414888064"/>
            <w:bookmarkStart w:id="736" w:name="_Toc451176252"/>
            <w:bookmarkStart w:id="737" w:name="_Toc451180233"/>
            <w:r w:rsidRPr="005028A6">
              <w:rPr>
                <w:sz w:val="20"/>
                <w:szCs w:val="20"/>
                <w:rtl/>
              </w:rPr>
              <w:t>1 %</w:t>
            </w:r>
            <w:bookmarkEnd w:id="735"/>
            <w:bookmarkEnd w:id="736"/>
            <w:bookmarkEnd w:id="737"/>
          </w:p>
        </w:tc>
        <w:tc>
          <w:tcPr>
            <w:tcW w:w="773" w:type="pct"/>
            <w:vAlign w:val="center"/>
          </w:tcPr>
          <w:p w:rsidR="00B259A6" w:rsidRPr="005028A6" w:rsidRDefault="00B259A6" w:rsidP="005028A6">
            <w:pPr>
              <w:spacing w:after="0"/>
              <w:jc w:val="center"/>
              <w:rPr>
                <w:sz w:val="20"/>
                <w:szCs w:val="20"/>
                <w:rtl/>
              </w:rPr>
            </w:pPr>
            <w:bookmarkStart w:id="738" w:name="_Toc414888065"/>
            <w:bookmarkStart w:id="739" w:name="_Toc451176253"/>
            <w:bookmarkStart w:id="740" w:name="_Toc451180234"/>
            <w:r w:rsidRPr="005028A6">
              <w:rPr>
                <w:sz w:val="20"/>
                <w:szCs w:val="20"/>
                <w:rtl/>
              </w:rPr>
              <w:t>5 %</w:t>
            </w:r>
            <w:bookmarkEnd w:id="738"/>
            <w:bookmarkEnd w:id="739"/>
            <w:bookmarkEnd w:id="740"/>
          </w:p>
        </w:tc>
        <w:tc>
          <w:tcPr>
            <w:tcW w:w="483" w:type="pct"/>
            <w:vAlign w:val="center"/>
          </w:tcPr>
          <w:p w:rsidR="00B259A6" w:rsidRPr="005028A6" w:rsidRDefault="00B259A6" w:rsidP="005028A6">
            <w:pPr>
              <w:spacing w:after="0"/>
              <w:jc w:val="center"/>
              <w:rPr>
                <w:sz w:val="20"/>
                <w:szCs w:val="20"/>
                <w:rtl/>
              </w:rPr>
            </w:pPr>
            <w:bookmarkStart w:id="741" w:name="_Toc414888066"/>
            <w:bookmarkStart w:id="742" w:name="_Toc451176254"/>
            <w:bookmarkStart w:id="743" w:name="_Toc451180235"/>
            <w:r w:rsidRPr="005028A6">
              <w:rPr>
                <w:sz w:val="20"/>
                <w:szCs w:val="20"/>
                <w:rtl/>
              </w:rPr>
              <w:t>8 %</w:t>
            </w:r>
            <w:bookmarkEnd w:id="741"/>
            <w:bookmarkEnd w:id="742"/>
            <w:bookmarkEnd w:id="743"/>
          </w:p>
        </w:tc>
        <w:tc>
          <w:tcPr>
            <w:tcW w:w="869" w:type="pct"/>
            <w:vAlign w:val="center"/>
          </w:tcPr>
          <w:p w:rsidR="00B259A6" w:rsidRPr="005028A6" w:rsidRDefault="00B259A6" w:rsidP="005028A6">
            <w:pPr>
              <w:spacing w:after="0"/>
              <w:jc w:val="center"/>
              <w:rPr>
                <w:sz w:val="20"/>
                <w:szCs w:val="20"/>
                <w:rtl/>
              </w:rPr>
            </w:pPr>
            <w:bookmarkStart w:id="744" w:name="_Toc414888067"/>
            <w:bookmarkStart w:id="745" w:name="_Toc451176255"/>
            <w:bookmarkStart w:id="746" w:name="_Toc451180236"/>
            <w:r w:rsidRPr="005028A6">
              <w:rPr>
                <w:sz w:val="20"/>
                <w:szCs w:val="20"/>
                <w:rtl/>
              </w:rPr>
              <w:t>7 %</w:t>
            </w:r>
            <w:bookmarkEnd w:id="744"/>
            <w:bookmarkEnd w:id="745"/>
            <w:bookmarkEnd w:id="746"/>
          </w:p>
        </w:tc>
        <w:tc>
          <w:tcPr>
            <w:tcW w:w="751" w:type="pct"/>
            <w:vAlign w:val="center"/>
          </w:tcPr>
          <w:p w:rsidR="00B259A6" w:rsidRPr="005028A6" w:rsidRDefault="00B259A6" w:rsidP="005028A6">
            <w:pPr>
              <w:spacing w:after="0"/>
              <w:jc w:val="center"/>
              <w:rPr>
                <w:sz w:val="20"/>
                <w:szCs w:val="20"/>
                <w:rtl/>
              </w:rPr>
            </w:pPr>
            <w:bookmarkStart w:id="747" w:name="_Toc414888068"/>
            <w:bookmarkStart w:id="748" w:name="_Toc451176256"/>
            <w:bookmarkStart w:id="749" w:name="_Toc451180237"/>
            <w:r w:rsidRPr="005028A6">
              <w:rPr>
                <w:sz w:val="20"/>
                <w:szCs w:val="20"/>
                <w:rtl/>
              </w:rPr>
              <w:t>12 %</w:t>
            </w:r>
            <w:bookmarkEnd w:id="747"/>
            <w:bookmarkEnd w:id="748"/>
            <w:bookmarkEnd w:id="749"/>
          </w:p>
        </w:tc>
      </w:tr>
      <w:tr w:rsidR="002855CE" w:rsidRPr="005028A6" w:rsidTr="007B7F97">
        <w:trPr>
          <w:cantSplit/>
          <w:trHeight w:val="20"/>
          <w:jc w:val="right"/>
        </w:trPr>
        <w:tc>
          <w:tcPr>
            <w:tcW w:w="1447" w:type="pct"/>
            <w:vAlign w:val="center"/>
          </w:tcPr>
          <w:p w:rsidR="00B259A6" w:rsidRPr="005028A6" w:rsidRDefault="00B259A6" w:rsidP="007B7F97">
            <w:pPr>
              <w:spacing w:after="0"/>
              <w:jc w:val="center"/>
              <w:rPr>
                <w:b w:val="0"/>
                <w:bCs w:val="0"/>
                <w:sz w:val="20"/>
                <w:szCs w:val="20"/>
                <w:rtl/>
              </w:rPr>
            </w:pPr>
            <w:bookmarkStart w:id="750" w:name="_Toc414888069"/>
            <w:bookmarkStart w:id="751" w:name="_Toc451176257"/>
            <w:bookmarkStart w:id="752" w:name="_Toc451180238"/>
            <w:r w:rsidRPr="005028A6">
              <w:rPr>
                <w:b w:val="0"/>
                <w:bCs w:val="0"/>
                <w:sz w:val="20"/>
                <w:szCs w:val="20"/>
                <w:rtl/>
              </w:rPr>
              <w:t>أكثر من خمس سنوات</w:t>
            </w:r>
            <w:bookmarkEnd w:id="750"/>
            <w:bookmarkEnd w:id="751"/>
            <w:bookmarkEnd w:id="752"/>
          </w:p>
        </w:tc>
        <w:tc>
          <w:tcPr>
            <w:tcW w:w="676" w:type="pct"/>
            <w:vAlign w:val="center"/>
          </w:tcPr>
          <w:p w:rsidR="00B259A6" w:rsidRPr="005028A6" w:rsidRDefault="00B259A6" w:rsidP="005028A6">
            <w:pPr>
              <w:spacing w:after="0"/>
              <w:jc w:val="center"/>
              <w:rPr>
                <w:sz w:val="20"/>
                <w:szCs w:val="20"/>
                <w:rtl/>
              </w:rPr>
            </w:pPr>
            <w:bookmarkStart w:id="753" w:name="_Toc414888070"/>
            <w:bookmarkStart w:id="754" w:name="_Toc451176258"/>
            <w:bookmarkStart w:id="755" w:name="_Toc451180239"/>
            <w:r w:rsidRPr="005028A6">
              <w:rPr>
                <w:sz w:val="20"/>
                <w:szCs w:val="20"/>
                <w:rtl/>
              </w:rPr>
              <w:t>2 %</w:t>
            </w:r>
            <w:bookmarkEnd w:id="753"/>
            <w:bookmarkEnd w:id="754"/>
            <w:bookmarkEnd w:id="755"/>
          </w:p>
        </w:tc>
        <w:tc>
          <w:tcPr>
            <w:tcW w:w="773" w:type="pct"/>
            <w:vAlign w:val="center"/>
          </w:tcPr>
          <w:p w:rsidR="00B259A6" w:rsidRPr="005028A6" w:rsidRDefault="00B259A6" w:rsidP="005028A6">
            <w:pPr>
              <w:spacing w:after="0"/>
              <w:jc w:val="center"/>
              <w:rPr>
                <w:sz w:val="20"/>
                <w:szCs w:val="20"/>
                <w:rtl/>
              </w:rPr>
            </w:pPr>
            <w:bookmarkStart w:id="756" w:name="_Toc414888071"/>
            <w:bookmarkStart w:id="757" w:name="_Toc451176259"/>
            <w:bookmarkStart w:id="758" w:name="_Toc451180240"/>
            <w:r w:rsidRPr="005028A6">
              <w:rPr>
                <w:sz w:val="20"/>
                <w:szCs w:val="20"/>
                <w:rtl/>
              </w:rPr>
              <w:t>7.5 %</w:t>
            </w:r>
            <w:bookmarkEnd w:id="756"/>
            <w:bookmarkEnd w:id="757"/>
            <w:bookmarkEnd w:id="758"/>
          </w:p>
        </w:tc>
        <w:tc>
          <w:tcPr>
            <w:tcW w:w="483" w:type="pct"/>
            <w:vAlign w:val="center"/>
          </w:tcPr>
          <w:p w:rsidR="00B259A6" w:rsidRPr="005028A6" w:rsidRDefault="00B259A6" w:rsidP="005028A6">
            <w:pPr>
              <w:spacing w:after="0"/>
              <w:jc w:val="center"/>
              <w:rPr>
                <w:sz w:val="20"/>
                <w:szCs w:val="20"/>
                <w:rtl/>
              </w:rPr>
            </w:pPr>
            <w:bookmarkStart w:id="759" w:name="_Toc414888072"/>
            <w:bookmarkStart w:id="760" w:name="_Toc451176260"/>
            <w:bookmarkStart w:id="761" w:name="_Toc451180241"/>
            <w:r w:rsidRPr="005028A6">
              <w:rPr>
                <w:sz w:val="20"/>
                <w:szCs w:val="20"/>
                <w:rtl/>
              </w:rPr>
              <w:t>10 %</w:t>
            </w:r>
            <w:bookmarkEnd w:id="759"/>
            <w:bookmarkEnd w:id="760"/>
            <w:bookmarkEnd w:id="761"/>
          </w:p>
        </w:tc>
        <w:tc>
          <w:tcPr>
            <w:tcW w:w="869" w:type="pct"/>
            <w:vAlign w:val="center"/>
          </w:tcPr>
          <w:p w:rsidR="00B259A6" w:rsidRPr="005028A6" w:rsidRDefault="00B259A6" w:rsidP="005028A6">
            <w:pPr>
              <w:spacing w:after="0"/>
              <w:jc w:val="center"/>
              <w:rPr>
                <w:sz w:val="20"/>
                <w:szCs w:val="20"/>
                <w:rtl/>
              </w:rPr>
            </w:pPr>
            <w:bookmarkStart w:id="762" w:name="_Toc414888073"/>
            <w:bookmarkStart w:id="763" w:name="_Toc451176261"/>
            <w:bookmarkStart w:id="764" w:name="_Toc451180242"/>
            <w:r w:rsidRPr="005028A6">
              <w:rPr>
                <w:sz w:val="20"/>
                <w:szCs w:val="20"/>
                <w:rtl/>
              </w:rPr>
              <w:t>8 %</w:t>
            </w:r>
            <w:bookmarkEnd w:id="762"/>
            <w:bookmarkEnd w:id="763"/>
            <w:bookmarkEnd w:id="764"/>
          </w:p>
        </w:tc>
        <w:tc>
          <w:tcPr>
            <w:tcW w:w="751" w:type="pct"/>
            <w:vAlign w:val="center"/>
          </w:tcPr>
          <w:p w:rsidR="00B259A6" w:rsidRPr="005028A6" w:rsidRDefault="00B259A6" w:rsidP="005028A6">
            <w:pPr>
              <w:spacing w:after="0"/>
              <w:jc w:val="center"/>
              <w:rPr>
                <w:sz w:val="20"/>
                <w:szCs w:val="20"/>
                <w:rtl/>
              </w:rPr>
            </w:pPr>
            <w:bookmarkStart w:id="765" w:name="_Toc414888074"/>
            <w:bookmarkStart w:id="766" w:name="_Toc451176262"/>
            <w:bookmarkStart w:id="767" w:name="_Toc451180243"/>
            <w:r w:rsidRPr="005028A6">
              <w:rPr>
                <w:sz w:val="20"/>
                <w:szCs w:val="20"/>
                <w:rtl/>
              </w:rPr>
              <w:t>15 %</w:t>
            </w:r>
            <w:bookmarkEnd w:id="765"/>
            <w:bookmarkEnd w:id="766"/>
            <w:bookmarkEnd w:id="767"/>
          </w:p>
        </w:tc>
      </w:tr>
    </w:tbl>
    <w:p w:rsidR="003848F9" w:rsidRDefault="00B259A6" w:rsidP="00585F1F">
      <w:pPr>
        <w:pStyle w:val="ListParagraph"/>
        <w:numPr>
          <w:ilvl w:val="0"/>
          <w:numId w:val="29"/>
        </w:numPr>
        <w:ind w:left="2551" w:hanging="425"/>
        <w:rPr>
          <w:b w:val="0"/>
          <w:bCs w:val="0"/>
          <w:lang w:bidi="ar-JO"/>
        </w:rPr>
      </w:pPr>
      <w:bookmarkStart w:id="768" w:name="_Toc414888075"/>
      <w:bookmarkStart w:id="769" w:name="_Toc451176263"/>
      <w:bookmarkStart w:id="770" w:name="_Toc451180244"/>
      <w:r w:rsidRPr="00751D28">
        <w:rPr>
          <w:b w:val="0"/>
          <w:bCs w:val="0"/>
          <w:rtl/>
        </w:rPr>
        <w:t xml:space="preserve">لا ينطبق ذلك على العمليات التي تأكد الإخفاق فيها حيث يتم اخذ متطلبات رأس المال </w:t>
      </w:r>
      <w:r w:rsidR="007B7F97">
        <w:rPr>
          <w:rFonts w:hint="cs"/>
          <w:b w:val="0"/>
          <w:bCs w:val="0"/>
          <w:rtl/>
        </w:rPr>
        <w:t>ال</w:t>
      </w:r>
      <w:r w:rsidRPr="00751D28">
        <w:rPr>
          <w:b w:val="0"/>
          <w:bCs w:val="0"/>
          <w:rtl/>
        </w:rPr>
        <w:t>ملائمة لهذه العمليات.</w:t>
      </w:r>
      <w:bookmarkEnd w:id="768"/>
      <w:bookmarkEnd w:id="769"/>
      <w:bookmarkEnd w:id="770"/>
    </w:p>
    <w:p w:rsidR="007121AC" w:rsidRPr="00751D28" w:rsidRDefault="007121AC" w:rsidP="007121AC">
      <w:pPr>
        <w:pStyle w:val="ListParagraph"/>
        <w:ind w:left="2551"/>
        <w:rPr>
          <w:b w:val="0"/>
          <w:bCs w:val="0"/>
          <w:rtl/>
          <w:lang w:bidi="ar-JO"/>
        </w:rPr>
      </w:pPr>
    </w:p>
    <w:p w:rsidR="00B259A6" w:rsidRPr="006D6E07" w:rsidRDefault="003848F9" w:rsidP="00136C4D">
      <w:pPr>
        <w:pStyle w:val="Heading2"/>
        <w:rPr>
          <w:color w:val="FF0000"/>
        </w:rPr>
      </w:pPr>
      <w:bookmarkStart w:id="771" w:name="_Toc451176264"/>
      <w:bookmarkStart w:id="772" w:name="_Toc451180245"/>
      <w:bookmarkStart w:id="773" w:name="_Toc451260331"/>
      <w:r w:rsidRPr="006D6E07">
        <w:rPr>
          <w:rtl/>
        </w:rPr>
        <w:t xml:space="preserve">ثانياً: </w:t>
      </w:r>
      <w:r w:rsidR="00B259A6" w:rsidRPr="006D6E07">
        <w:rPr>
          <w:rtl/>
        </w:rPr>
        <w:t xml:space="preserve">مخففات مخاطر الائتمان </w:t>
      </w:r>
      <w:r w:rsidR="00B259A6" w:rsidRPr="006D6E07">
        <w:t>Credit Risk Mitigations</w:t>
      </w:r>
      <w:bookmarkEnd w:id="771"/>
      <w:bookmarkEnd w:id="772"/>
      <w:bookmarkEnd w:id="773"/>
      <w:r w:rsidR="00B259A6" w:rsidRPr="006D6E07">
        <w:rPr>
          <w:rtl/>
        </w:rPr>
        <w:t xml:space="preserve">  </w:t>
      </w:r>
    </w:p>
    <w:p w:rsidR="00B259A6" w:rsidRPr="006079F0" w:rsidRDefault="003848F9" w:rsidP="002F28A0">
      <w:pPr>
        <w:ind w:left="708" w:hanging="425"/>
        <w:rPr>
          <w:rtl/>
        </w:rPr>
      </w:pPr>
      <w:bookmarkStart w:id="774" w:name="_Toc451176265"/>
      <w:bookmarkStart w:id="775" w:name="_Toc451180246"/>
      <w:r w:rsidRPr="006079F0">
        <w:rPr>
          <w:rtl/>
        </w:rPr>
        <w:t>1.</w:t>
      </w:r>
      <w:r w:rsidR="002855CE">
        <w:rPr>
          <w:rFonts w:hint="cs"/>
          <w:rtl/>
        </w:rPr>
        <w:t xml:space="preserve"> </w:t>
      </w:r>
      <w:r w:rsidR="00B259A6" w:rsidRPr="006079F0">
        <w:rPr>
          <w:rtl/>
        </w:rPr>
        <w:t xml:space="preserve">ملاحظات عامة </w:t>
      </w:r>
      <w:r w:rsidR="00B259A6" w:rsidRPr="006079F0">
        <w:t>General Remarks</w:t>
      </w:r>
      <w:bookmarkEnd w:id="774"/>
      <w:bookmarkEnd w:id="775"/>
    </w:p>
    <w:p w:rsidR="00B259A6" w:rsidRPr="005908D3" w:rsidRDefault="00B259A6" w:rsidP="002F28A0">
      <w:pPr>
        <w:ind w:left="1275" w:hanging="709"/>
        <w:rPr>
          <w:b w:val="0"/>
          <w:bCs w:val="0"/>
          <w:u w:val="single"/>
          <w:rtl/>
        </w:rPr>
      </w:pPr>
      <w:bookmarkStart w:id="776" w:name="_Toc414888078"/>
      <w:bookmarkStart w:id="777" w:name="_Toc451176266"/>
      <w:bookmarkStart w:id="778" w:name="_Toc451180247"/>
      <w:r w:rsidRPr="006079F0">
        <w:rPr>
          <w:b w:val="0"/>
          <w:bCs w:val="0"/>
          <w:rtl/>
        </w:rPr>
        <w:t>1.1</w:t>
      </w:r>
      <w:r w:rsidR="006079F0">
        <w:rPr>
          <w:rFonts w:hint="cs"/>
          <w:b w:val="0"/>
          <w:bCs w:val="0"/>
          <w:rtl/>
        </w:rPr>
        <w:t>.</w:t>
      </w:r>
      <w:r w:rsidRPr="006079F0">
        <w:rPr>
          <w:b w:val="0"/>
          <w:bCs w:val="0"/>
          <w:rtl/>
        </w:rPr>
        <w:tab/>
        <w:t>ينطبق الإطار العام لهذه التعليمات على المطالبات في المحفظة البنكية (</w:t>
      </w:r>
      <w:r w:rsidRPr="006079F0">
        <w:rPr>
          <w:b w:val="0"/>
          <w:bCs w:val="0"/>
        </w:rPr>
        <w:t>Banking Book</w:t>
      </w:r>
      <w:r w:rsidRPr="006079F0">
        <w:rPr>
          <w:b w:val="0"/>
          <w:bCs w:val="0"/>
          <w:rtl/>
        </w:rPr>
        <w:t xml:space="preserve">) </w:t>
      </w:r>
      <w:r w:rsidRPr="005908D3">
        <w:rPr>
          <w:b w:val="0"/>
          <w:bCs w:val="0"/>
          <w:u w:val="single"/>
          <w:rtl/>
        </w:rPr>
        <w:t>ضمن المنهج المعياري فقط.</w:t>
      </w:r>
      <w:bookmarkEnd w:id="776"/>
      <w:bookmarkEnd w:id="777"/>
      <w:bookmarkEnd w:id="778"/>
    </w:p>
    <w:p w:rsidR="00B259A6" w:rsidRPr="006079F0" w:rsidRDefault="00B259A6" w:rsidP="002F28A0">
      <w:pPr>
        <w:ind w:left="1275" w:hanging="709"/>
        <w:rPr>
          <w:b w:val="0"/>
          <w:bCs w:val="0"/>
          <w:rtl/>
        </w:rPr>
      </w:pPr>
      <w:bookmarkStart w:id="779" w:name="_Toc414888079"/>
      <w:bookmarkStart w:id="780" w:name="_Toc451176267"/>
      <w:bookmarkStart w:id="781" w:name="_Toc451180248"/>
      <w:r w:rsidRPr="006079F0">
        <w:rPr>
          <w:b w:val="0"/>
          <w:bCs w:val="0"/>
          <w:rtl/>
        </w:rPr>
        <w:t>2.1</w:t>
      </w:r>
      <w:r w:rsidR="006079F0">
        <w:rPr>
          <w:rFonts w:hint="cs"/>
          <w:b w:val="0"/>
          <w:bCs w:val="0"/>
          <w:rtl/>
        </w:rPr>
        <w:t>.</w:t>
      </w:r>
      <w:r w:rsidRPr="006079F0">
        <w:rPr>
          <w:b w:val="0"/>
          <w:bCs w:val="0"/>
          <w:rtl/>
        </w:rPr>
        <w:tab/>
        <w:t>ينطبق الأسلوب الشامل ضمن هذا الإطار على ما يلي ضمن محفظة المتاجرة (</w:t>
      </w:r>
      <w:r w:rsidR="003848F9" w:rsidRPr="006079F0">
        <w:rPr>
          <w:b w:val="0"/>
          <w:bCs w:val="0"/>
        </w:rPr>
        <w:t>Trading</w:t>
      </w:r>
      <w:r w:rsidRPr="006079F0">
        <w:rPr>
          <w:b w:val="0"/>
          <w:bCs w:val="0"/>
        </w:rPr>
        <w:t xml:space="preserve"> Book</w:t>
      </w:r>
      <w:r w:rsidRPr="006079F0">
        <w:rPr>
          <w:b w:val="0"/>
          <w:bCs w:val="0"/>
          <w:rtl/>
        </w:rPr>
        <w:t>):</w:t>
      </w:r>
      <w:bookmarkEnd w:id="779"/>
      <w:bookmarkEnd w:id="780"/>
      <w:bookmarkEnd w:id="781"/>
    </w:p>
    <w:p w:rsidR="00B259A6" w:rsidRPr="006079F0" w:rsidRDefault="003848F9" w:rsidP="00C06D2A">
      <w:pPr>
        <w:spacing w:after="0"/>
        <w:ind w:left="2126" w:hanging="851"/>
        <w:rPr>
          <w:b w:val="0"/>
          <w:bCs w:val="0"/>
          <w:rtl/>
        </w:rPr>
      </w:pPr>
      <w:bookmarkStart w:id="782" w:name="_Toc414888080"/>
      <w:bookmarkStart w:id="783" w:name="_Toc451176268"/>
      <w:bookmarkStart w:id="784" w:name="_Toc451180249"/>
      <w:r w:rsidRPr="006079F0">
        <w:rPr>
          <w:b w:val="0"/>
          <w:bCs w:val="0"/>
          <w:rtl/>
        </w:rPr>
        <w:t>1.2.1</w:t>
      </w:r>
      <w:r w:rsidR="006079F0">
        <w:rPr>
          <w:rFonts w:hint="cs"/>
          <w:b w:val="0"/>
          <w:bCs w:val="0"/>
          <w:rtl/>
        </w:rPr>
        <w:t>.</w:t>
      </w:r>
      <w:r w:rsidR="00B259A6" w:rsidRPr="006079F0">
        <w:rPr>
          <w:b w:val="0"/>
          <w:bCs w:val="0"/>
          <w:rtl/>
        </w:rPr>
        <w:tab/>
        <w:t>مخاطر الطرف المقابل في المشتقات المالية غير النظامية</w:t>
      </w:r>
      <w:r w:rsidR="0062302B">
        <w:rPr>
          <w:rFonts w:hint="cs"/>
          <w:b w:val="0"/>
          <w:bCs w:val="0"/>
          <w:rtl/>
        </w:rPr>
        <w:t xml:space="preserve"> </w:t>
      </w:r>
      <w:r w:rsidR="00B259A6" w:rsidRPr="006079F0">
        <w:rPr>
          <w:b w:val="0"/>
          <w:bCs w:val="0"/>
          <w:rtl/>
        </w:rPr>
        <w:t>(</w:t>
      </w:r>
      <w:r w:rsidR="00B259A6" w:rsidRPr="006079F0">
        <w:rPr>
          <w:b w:val="0"/>
          <w:bCs w:val="0"/>
        </w:rPr>
        <w:t>OTC Derivatives</w:t>
      </w:r>
      <w:r w:rsidR="00B259A6" w:rsidRPr="006079F0">
        <w:rPr>
          <w:b w:val="0"/>
          <w:bCs w:val="0"/>
          <w:rtl/>
        </w:rPr>
        <w:t>).</w:t>
      </w:r>
      <w:bookmarkEnd w:id="782"/>
      <w:bookmarkEnd w:id="783"/>
      <w:bookmarkEnd w:id="784"/>
    </w:p>
    <w:p w:rsidR="00B259A6" w:rsidRPr="006079F0" w:rsidRDefault="003848F9" w:rsidP="00C06D2A">
      <w:pPr>
        <w:spacing w:after="0"/>
        <w:ind w:left="2126" w:hanging="851"/>
        <w:rPr>
          <w:b w:val="0"/>
          <w:bCs w:val="0"/>
          <w:rtl/>
        </w:rPr>
      </w:pPr>
      <w:bookmarkStart w:id="785" w:name="_Toc414888081"/>
      <w:bookmarkStart w:id="786" w:name="_Toc451176269"/>
      <w:bookmarkStart w:id="787" w:name="_Toc451180250"/>
      <w:r w:rsidRPr="006079F0">
        <w:rPr>
          <w:b w:val="0"/>
          <w:bCs w:val="0"/>
          <w:rtl/>
        </w:rPr>
        <w:t>2.2.1</w:t>
      </w:r>
      <w:r w:rsidR="006079F0">
        <w:rPr>
          <w:rFonts w:hint="cs"/>
          <w:b w:val="0"/>
          <w:bCs w:val="0"/>
          <w:rtl/>
        </w:rPr>
        <w:t>.</w:t>
      </w:r>
      <w:r w:rsidR="00B259A6" w:rsidRPr="006079F0">
        <w:rPr>
          <w:b w:val="0"/>
          <w:bCs w:val="0"/>
          <w:rtl/>
        </w:rPr>
        <w:tab/>
        <w:t>مخاطر الطرف المقابل في اتفاقيات إعادة الشراء بجميع أنواعها.</w:t>
      </w:r>
      <w:bookmarkEnd w:id="785"/>
      <w:bookmarkEnd w:id="786"/>
      <w:bookmarkEnd w:id="787"/>
    </w:p>
    <w:p w:rsidR="00B259A6" w:rsidRPr="006079F0" w:rsidRDefault="00B259A6" w:rsidP="002F28A0">
      <w:pPr>
        <w:ind w:left="1275" w:hanging="709"/>
        <w:rPr>
          <w:b w:val="0"/>
          <w:bCs w:val="0"/>
        </w:rPr>
      </w:pPr>
      <w:bookmarkStart w:id="788" w:name="_Toc414888082"/>
      <w:bookmarkStart w:id="789" w:name="_Toc451176270"/>
      <w:bookmarkStart w:id="790" w:name="_Toc451180251"/>
      <w:r w:rsidRPr="006079F0">
        <w:rPr>
          <w:b w:val="0"/>
          <w:bCs w:val="0"/>
          <w:rtl/>
        </w:rPr>
        <w:t>3.1</w:t>
      </w:r>
      <w:r w:rsidR="006079F0">
        <w:rPr>
          <w:rFonts w:hint="cs"/>
          <w:b w:val="0"/>
          <w:bCs w:val="0"/>
          <w:rtl/>
        </w:rPr>
        <w:t>.</w:t>
      </w:r>
      <w:r w:rsidRPr="006079F0">
        <w:rPr>
          <w:b w:val="0"/>
          <w:bCs w:val="0"/>
          <w:rtl/>
        </w:rPr>
        <w:tab/>
        <w:t>لا ينبغي أن يكون متطلب رأس المال (</w:t>
      </w:r>
      <w:r w:rsidRPr="006079F0">
        <w:rPr>
          <w:b w:val="0"/>
          <w:bCs w:val="0"/>
        </w:rPr>
        <w:t>Capital Charge</w:t>
      </w:r>
      <w:r w:rsidRPr="006079F0">
        <w:rPr>
          <w:b w:val="0"/>
          <w:bCs w:val="0"/>
          <w:rtl/>
        </w:rPr>
        <w:t>) في حال استخدام مخففات مخاطر الائتمان (</w:t>
      </w:r>
      <w:r w:rsidRPr="006079F0">
        <w:rPr>
          <w:b w:val="0"/>
          <w:bCs w:val="0"/>
        </w:rPr>
        <w:t>CRM</w:t>
      </w:r>
      <w:r w:rsidRPr="006079F0">
        <w:rPr>
          <w:b w:val="0"/>
          <w:bCs w:val="0"/>
          <w:rtl/>
        </w:rPr>
        <w:t>) أعلى منه في حال عدم استخدامها.</w:t>
      </w:r>
      <w:bookmarkEnd w:id="788"/>
      <w:bookmarkEnd w:id="789"/>
      <w:bookmarkEnd w:id="790"/>
    </w:p>
    <w:p w:rsidR="00B259A6" w:rsidRPr="006079F0" w:rsidRDefault="00B259A6" w:rsidP="002F28A0">
      <w:pPr>
        <w:ind w:left="1275" w:hanging="709"/>
        <w:rPr>
          <w:b w:val="0"/>
          <w:bCs w:val="0"/>
          <w:rtl/>
        </w:rPr>
      </w:pPr>
      <w:bookmarkStart w:id="791" w:name="_Toc414888083"/>
      <w:bookmarkStart w:id="792" w:name="_Toc451176271"/>
      <w:bookmarkStart w:id="793" w:name="_Toc451180252"/>
      <w:r w:rsidRPr="006079F0">
        <w:rPr>
          <w:b w:val="0"/>
          <w:bCs w:val="0"/>
          <w:rtl/>
        </w:rPr>
        <w:t>4.1</w:t>
      </w:r>
      <w:r w:rsidR="006079F0">
        <w:rPr>
          <w:rFonts w:hint="cs"/>
          <w:b w:val="0"/>
          <w:bCs w:val="0"/>
          <w:rtl/>
        </w:rPr>
        <w:t>.</w:t>
      </w:r>
      <w:r w:rsidRPr="006079F0">
        <w:rPr>
          <w:b w:val="0"/>
          <w:bCs w:val="0"/>
          <w:rtl/>
        </w:rPr>
        <w:tab/>
        <w:t>لا يتم الاعتراف بأثر مخففات مخاطر الائتمان لغايات احتساب رأس المال التنظيمي لتجنب الازدواجية في الحالات التالية:</w:t>
      </w:r>
      <w:bookmarkEnd w:id="791"/>
      <w:bookmarkEnd w:id="792"/>
      <w:bookmarkEnd w:id="793"/>
    </w:p>
    <w:p w:rsidR="00B259A6" w:rsidRPr="006079F0" w:rsidRDefault="003848F9" w:rsidP="00C06D2A">
      <w:pPr>
        <w:ind w:left="2126" w:hanging="851"/>
        <w:rPr>
          <w:b w:val="0"/>
          <w:bCs w:val="0"/>
          <w:rtl/>
        </w:rPr>
      </w:pPr>
      <w:bookmarkStart w:id="794" w:name="_Toc414888084"/>
      <w:bookmarkStart w:id="795" w:name="_Toc451176272"/>
      <w:bookmarkStart w:id="796" w:name="_Toc451180253"/>
      <w:r w:rsidRPr="006079F0">
        <w:rPr>
          <w:b w:val="0"/>
          <w:bCs w:val="0"/>
          <w:rtl/>
        </w:rPr>
        <w:t>1.4.1</w:t>
      </w:r>
      <w:r w:rsidR="004F15B1">
        <w:rPr>
          <w:rFonts w:hint="cs"/>
          <w:b w:val="0"/>
          <w:bCs w:val="0"/>
          <w:rtl/>
        </w:rPr>
        <w:t>.</w:t>
      </w:r>
      <w:r w:rsidR="00B259A6" w:rsidRPr="006079F0">
        <w:rPr>
          <w:b w:val="0"/>
          <w:bCs w:val="0"/>
          <w:rtl/>
        </w:rPr>
        <w:tab/>
        <w:t>إذا كان التصنيف الائتماني للإصدار (</w:t>
      </w:r>
      <w:r w:rsidR="00B259A6" w:rsidRPr="006079F0">
        <w:rPr>
          <w:b w:val="0"/>
          <w:bCs w:val="0"/>
        </w:rPr>
        <w:t>Issue-Specific Rating</w:t>
      </w:r>
      <w:r w:rsidR="00B259A6" w:rsidRPr="006079F0">
        <w:rPr>
          <w:b w:val="0"/>
          <w:bCs w:val="0"/>
          <w:rtl/>
        </w:rPr>
        <w:t>) قد أخذ المخففات بعين الاعتبار عند منح التصنيف.</w:t>
      </w:r>
      <w:bookmarkEnd w:id="794"/>
      <w:bookmarkEnd w:id="795"/>
      <w:bookmarkEnd w:id="796"/>
    </w:p>
    <w:p w:rsidR="00B259A6" w:rsidRPr="006079F0" w:rsidRDefault="003848F9" w:rsidP="00C06D2A">
      <w:pPr>
        <w:ind w:left="2126" w:hanging="851"/>
        <w:rPr>
          <w:b w:val="0"/>
          <w:bCs w:val="0"/>
        </w:rPr>
      </w:pPr>
      <w:bookmarkStart w:id="797" w:name="_Toc414888085"/>
      <w:bookmarkStart w:id="798" w:name="_Toc451176273"/>
      <w:bookmarkStart w:id="799" w:name="_Toc451180254"/>
      <w:r w:rsidRPr="006079F0">
        <w:rPr>
          <w:b w:val="0"/>
          <w:bCs w:val="0"/>
          <w:rtl/>
        </w:rPr>
        <w:t>2.4.1</w:t>
      </w:r>
      <w:r w:rsidR="006079F0">
        <w:rPr>
          <w:rFonts w:hint="cs"/>
          <w:b w:val="0"/>
          <w:bCs w:val="0"/>
          <w:rtl/>
        </w:rPr>
        <w:t>.</w:t>
      </w:r>
      <w:r w:rsidR="00B259A6" w:rsidRPr="006079F0">
        <w:rPr>
          <w:b w:val="0"/>
          <w:bCs w:val="0"/>
          <w:rtl/>
        </w:rPr>
        <w:tab/>
        <w:t>إذا كان التصنيف الائتماني يعكس فقط تصنيف أصل الدين (حيث يجب أن يعكس التصنيف الائتماني كامل التعرض الائتماني).</w:t>
      </w:r>
      <w:bookmarkEnd w:id="797"/>
      <w:bookmarkEnd w:id="798"/>
      <w:bookmarkEnd w:id="799"/>
    </w:p>
    <w:p w:rsidR="00B259A6" w:rsidRPr="006079F0" w:rsidRDefault="00B259A6" w:rsidP="002F28A0">
      <w:pPr>
        <w:ind w:left="1275" w:hanging="709"/>
        <w:rPr>
          <w:b w:val="0"/>
          <w:bCs w:val="0"/>
          <w:rtl/>
        </w:rPr>
      </w:pPr>
      <w:bookmarkStart w:id="800" w:name="_Toc414888086"/>
      <w:bookmarkStart w:id="801" w:name="_Toc451176274"/>
      <w:bookmarkStart w:id="802" w:name="_Toc451180255"/>
      <w:r w:rsidRPr="006079F0">
        <w:rPr>
          <w:b w:val="0"/>
          <w:bCs w:val="0"/>
          <w:rtl/>
        </w:rPr>
        <w:lastRenderedPageBreak/>
        <w:t>5.1</w:t>
      </w:r>
      <w:r w:rsidR="006079F0">
        <w:rPr>
          <w:rFonts w:hint="cs"/>
          <w:b w:val="0"/>
          <w:bCs w:val="0"/>
          <w:rtl/>
        </w:rPr>
        <w:t>.</w:t>
      </w:r>
      <w:r w:rsidRPr="006079F0">
        <w:rPr>
          <w:b w:val="0"/>
          <w:bCs w:val="0"/>
          <w:rtl/>
        </w:rPr>
        <w:tab/>
        <w:t>إن استخدام مخففات مخاطر الائتمان يزيد التعرض لبعض المخاطر الأخرى (مثال ذلك: المخاطر القانونية، مخاطر التشغيل، مخاطر السيولة ومخاطر السوق) وعليه فإنه يتوجب أن يتوفر لدى البنك المتطلبات التالية كحد أدنى:</w:t>
      </w:r>
      <w:bookmarkEnd w:id="800"/>
      <w:bookmarkEnd w:id="801"/>
      <w:bookmarkEnd w:id="802"/>
    </w:p>
    <w:p w:rsidR="00B259A6" w:rsidRPr="006079F0" w:rsidRDefault="003848F9" w:rsidP="00C06D2A">
      <w:pPr>
        <w:ind w:left="2126" w:hanging="851"/>
        <w:rPr>
          <w:b w:val="0"/>
          <w:bCs w:val="0"/>
          <w:rtl/>
        </w:rPr>
      </w:pPr>
      <w:bookmarkStart w:id="803" w:name="_Toc414888087"/>
      <w:bookmarkStart w:id="804" w:name="_Toc451176275"/>
      <w:bookmarkStart w:id="805" w:name="_Toc451180256"/>
      <w:r w:rsidRPr="006079F0">
        <w:rPr>
          <w:b w:val="0"/>
          <w:bCs w:val="0"/>
          <w:rtl/>
        </w:rPr>
        <w:t>1.5.1</w:t>
      </w:r>
      <w:r w:rsidR="006079F0">
        <w:rPr>
          <w:rFonts w:hint="cs"/>
          <w:b w:val="0"/>
          <w:bCs w:val="0"/>
          <w:rtl/>
        </w:rPr>
        <w:t>.</w:t>
      </w:r>
      <w:r w:rsidR="00B259A6" w:rsidRPr="006079F0">
        <w:rPr>
          <w:b w:val="0"/>
          <w:bCs w:val="0"/>
          <w:rtl/>
        </w:rPr>
        <w:tab/>
        <w:t>وضع استراتيجية لإدارة مخففات مخاطر الائتمان.</w:t>
      </w:r>
      <w:bookmarkEnd w:id="803"/>
      <w:bookmarkEnd w:id="804"/>
      <w:bookmarkEnd w:id="805"/>
    </w:p>
    <w:p w:rsidR="00B259A6" w:rsidRPr="006079F0" w:rsidRDefault="003848F9" w:rsidP="00C06D2A">
      <w:pPr>
        <w:ind w:left="2126" w:hanging="851"/>
        <w:rPr>
          <w:b w:val="0"/>
          <w:bCs w:val="0"/>
          <w:rtl/>
        </w:rPr>
      </w:pPr>
      <w:bookmarkStart w:id="806" w:name="_Toc414888088"/>
      <w:bookmarkStart w:id="807" w:name="_Toc451176276"/>
      <w:bookmarkStart w:id="808" w:name="_Toc451180257"/>
      <w:r w:rsidRPr="006079F0">
        <w:rPr>
          <w:b w:val="0"/>
          <w:bCs w:val="0"/>
          <w:rtl/>
        </w:rPr>
        <w:t>2.5.1</w:t>
      </w:r>
      <w:r w:rsidR="006079F0">
        <w:rPr>
          <w:rFonts w:hint="cs"/>
          <w:b w:val="0"/>
          <w:bCs w:val="0"/>
          <w:rtl/>
        </w:rPr>
        <w:t>.</w:t>
      </w:r>
      <w:r w:rsidR="00B259A6" w:rsidRPr="006079F0">
        <w:rPr>
          <w:b w:val="0"/>
          <w:bCs w:val="0"/>
          <w:rtl/>
        </w:rPr>
        <w:tab/>
        <w:t>تحديد علاقة مخففات مخاطر الائتمان مع الائتمان المتعلق به.</w:t>
      </w:r>
      <w:bookmarkEnd w:id="806"/>
      <w:bookmarkEnd w:id="807"/>
      <w:bookmarkEnd w:id="808"/>
    </w:p>
    <w:p w:rsidR="00B259A6" w:rsidRPr="006079F0" w:rsidRDefault="003848F9" w:rsidP="00C06D2A">
      <w:pPr>
        <w:ind w:left="2126" w:hanging="851"/>
        <w:rPr>
          <w:b w:val="0"/>
          <w:bCs w:val="0"/>
          <w:rtl/>
        </w:rPr>
      </w:pPr>
      <w:bookmarkStart w:id="809" w:name="_Toc414888089"/>
      <w:bookmarkStart w:id="810" w:name="_Toc451176277"/>
      <w:bookmarkStart w:id="811" w:name="_Toc451180258"/>
      <w:r w:rsidRPr="006079F0">
        <w:rPr>
          <w:b w:val="0"/>
          <w:bCs w:val="0"/>
          <w:rtl/>
        </w:rPr>
        <w:t>3.5.1</w:t>
      </w:r>
      <w:r w:rsidR="00B259A6" w:rsidRPr="006079F0">
        <w:rPr>
          <w:b w:val="0"/>
          <w:bCs w:val="0"/>
          <w:rtl/>
        </w:rPr>
        <w:tab/>
        <w:t>إجراء تقييم دوري ينسجم مع طبيعة المخفف.</w:t>
      </w:r>
      <w:bookmarkEnd w:id="809"/>
      <w:bookmarkEnd w:id="810"/>
      <w:bookmarkEnd w:id="811"/>
    </w:p>
    <w:p w:rsidR="00B259A6" w:rsidRPr="006079F0" w:rsidRDefault="003848F9" w:rsidP="00C06D2A">
      <w:pPr>
        <w:ind w:left="2126" w:hanging="851"/>
        <w:rPr>
          <w:b w:val="0"/>
          <w:bCs w:val="0"/>
          <w:rtl/>
        </w:rPr>
      </w:pPr>
      <w:bookmarkStart w:id="812" w:name="_Toc414888090"/>
      <w:bookmarkStart w:id="813" w:name="_Toc451176278"/>
      <w:bookmarkStart w:id="814" w:name="_Toc451180259"/>
      <w:r w:rsidRPr="006079F0">
        <w:rPr>
          <w:b w:val="0"/>
          <w:bCs w:val="0"/>
          <w:rtl/>
        </w:rPr>
        <w:t>4.5.1</w:t>
      </w:r>
      <w:r w:rsidR="006079F0">
        <w:rPr>
          <w:rFonts w:hint="cs"/>
          <w:b w:val="0"/>
          <w:bCs w:val="0"/>
          <w:rtl/>
        </w:rPr>
        <w:t>.</w:t>
      </w:r>
      <w:r w:rsidR="00B259A6" w:rsidRPr="006079F0">
        <w:rPr>
          <w:b w:val="0"/>
          <w:bCs w:val="0"/>
          <w:rtl/>
        </w:rPr>
        <w:tab/>
        <w:t>وجود أنظمة آلية لإدارة ومتابعة هذه المخففات.</w:t>
      </w:r>
      <w:bookmarkEnd w:id="812"/>
      <w:bookmarkEnd w:id="813"/>
      <w:bookmarkEnd w:id="814"/>
    </w:p>
    <w:p w:rsidR="00B259A6" w:rsidRPr="006079F0" w:rsidRDefault="003848F9" w:rsidP="00C06D2A">
      <w:pPr>
        <w:ind w:left="2126" w:hanging="851"/>
        <w:rPr>
          <w:b w:val="0"/>
          <w:bCs w:val="0"/>
          <w:rtl/>
        </w:rPr>
      </w:pPr>
      <w:bookmarkStart w:id="815" w:name="_Toc414888091"/>
      <w:bookmarkStart w:id="816" w:name="_Toc451176279"/>
      <w:bookmarkStart w:id="817" w:name="_Toc451180260"/>
      <w:r w:rsidRPr="006079F0">
        <w:rPr>
          <w:b w:val="0"/>
          <w:bCs w:val="0"/>
          <w:rtl/>
        </w:rPr>
        <w:t>5.5.1</w:t>
      </w:r>
      <w:r w:rsidR="006079F0">
        <w:rPr>
          <w:rFonts w:hint="cs"/>
          <w:b w:val="0"/>
          <w:bCs w:val="0"/>
          <w:rtl/>
        </w:rPr>
        <w:t>.</w:t>
      </w:r>
      <w:r w:rsidR="00B259A6" w:rsidRPr="006079F0">
        <w:rPr>
          <w:b w:val="0"/>
          <w:bCs w:val="0"/>
          <w:rtl/>
        </w:rPr>
        <w:tab/>
        <w:t>إدارة ومتابعة التركزات الناتجة عن استخدام هذه المخففات وأثرها على الوضع الكلي لمخاطر الائتمان لدى البنك.</w:t>
      </w:r>
      <w:bookmarkEnd w:id="815"/>
      <w:bookmarkEnd w:id="816"/>
      <w:bookmarkEnd w:id="817"/>
    </w:p>
    <w:p w:rsidR="00B259A6" w:rsidRPr="006079F0" w:rsidRDefault="003848F9" w:rsidP="00C06D2A">
      <w:pPr>
        <w:ind w:left="2126" w:hanging="851"/>
        <w:rPr>
          <w:b w:val="0"/>
          <w:bCs w:val="0"/>
        </w:rPr>
      </w:pPr>
      <w:bookmarkStart w:id="818" w:name="_Toc414888092"/>
      <w:bookmarkStart w:id="819" w:name="_Toc451176280"/>
      <w:bookmarkStart w:id="820" w:name="_Toc451180261"/>
      <w:r w:rsidRPr="006079F0">
        <w:rPr>
          <w:b w:val="0"/>
          <w:bCs w:val="0"/>
          <w:rtl/>
        </w:rPr>
        <w:t>6.5.1</w:t>
      </w:r>
      <w:r w:rsidR="006079F0">
        <w:rPr>
          <w:rFonts w:hint="cs"/>
          <w:b w:val="0"/>
          <w:bCs w:val="0"/>
          <w:rtl/>
        </w:rPr>
        <w:t>.</w:t>
      </w:r>
      <w:r w:rsidR="00B259A6" w:rsidRPr="006079F0">
        <w:rPr>
          <w:b w:val="0"/>
          <w:bCs w:val="0"/>
          <w:rtl/>
        </w:rPr>
        <w:tab/>
        <w:t>متطلبات الإفصاح عن مخففات مخاطر الائتمان ضمن الدعامة الثالثة (انضباط السوق).</w:t>
      </w:r>
      <w:bookmarkEnd w:id="818"/>
      <w:bookmarkEnd w:id="819"/>
      <w:bookmarkEnd w:id="820"/>
    </w:p>
    <w:p w:rsidR="00B259A6" w:rsidRPr="006079F0" w:rsidRDefault="00B259A6" w:rsidP="002F28A0">
      <w:pPr>
        <w:ind w:left="1275" w:hanging="709"/>
        <w:rPr>
          <w:b w:val="0"/>
          <w:bCs w:val="0"/>
          <w:rtl/>
        </w:rPr>
      </w:pPr>
      <w:bookmarkStart w:id="821" w:name="_Toc414888093"/>
      <w:bookmarkStart w:id="822" w:name="_Toc451176281"/>
      <w:bookmarkStart w:id="823" w:name="_Toc451180262"/>
      <w:r w:rsidRPr="006079F0">
        <w:rPr>
          <w:b w:val="0"/>
          <w:bCs w:val="0"/>
          <w:rtl/>
        </w:rPr>
        <w:t>6.1</w:t>
      </w:r>
      <w:r w:rsidR="006079F0">
        <w:rPr>
          <w:rFonts w:hint="cs"/>
          <w:b w:val="0"/>
          <w:bCs w:val="0"/>
          <w:rtl/>
        </w:rPr>
        <w:t>.</w:t>
      </w:r>
      <w:r w:rsidRPr="006079F0">
        <w:rPr>
          <w:b w:val="0"/>
          <w:bCs w:val="0"/>
          <w:rtl/>
        </w:rPr>
        <w:tab/>
        <w:t>في حال عدم قناعة البنك المركزي الأردني بكفاية المتطلبات أعلاه سيتم اتخاذ أي مما يلي:</w:t>
      </w:r>
      <w:bookmarkEnd w:id="821"/>
      <w:bookmarkEnd w:id="822"/>
      <w:bookmarkEnd w:id="823"/>
    </w:p>
    <w:p w:rsidR="00B259A6" w:rsidRPr="006079F0" w:rsidRDefault="003848F9" w:rsidP="00C06D2A">
      <w:pPr>
        <w:ind w:left="2126" w:hanging="851"/>
        <w:rPr>
          <w:b w:val="0"/>
          <w:bCs w:val="0"/>
          <w:rtl/>
        </w:rPr>
      </w:pPr>
      <w:bookmarkStart w:id="824" w:name="_Toc414888094"/>
      <w:bookmarkStart w:id="825" w:name="_Toc451176282"/>
      <w:bookmarkStart w:id="826" w:name="_Toc451180263"/>
      <w:r w:rsidRPr="006079F0">
        <w:rPr>
          <w:b w:val="0"/>
          <w:bCs w:val="0"/>
          <w:rtl/>
        </w:rPr>
        <w:t>1.6.1</w:t>
      </w:r>
      <w:r w:rsidR="006079F0">
        <w:rPr>
          <w:rFonts w:hint="cs"/>
          <w:b w:val="0"/>
          <w:bCs w:val="0"/>
          <w:rtl/>
        </w:rPr>
        <w:t>.</w:t>
      </w:r>
      <w:r w:rsidR="00B259A6" w:rsidRPr="006079F0">
        <w:rPr>
          <w:b w:val="0"/>
          <w:bCs w:val="0"/>
          <w:rtl/>
        </w:rPr>
        <w:tab/>
        <w:t>عدم الاعتراف بأثر مخففات مخاطر الائتمان.</w:t>
      </w:r>
      <w:bookmarkEnd w:id="824"/>
      <w:bookmarkEnd w:id="825"/>
      <w:bookmarkEnd w:id="826"/>
    </w:p>
    <w:p w:rsidR="00B259A6" w:rsidRPr="006079F0" w:rsidRDefault="003848F9" w:rsidP="00DC1993">
      <w:pPr>
        <w:ind w:left="2126" w:hanging="851"/>
        <w:rPr>
          <w:b w:val="0"/>
          <w:bCs w:val="0"/>
          <w:rtl/>
        </w:rPr>
      </w:pPr>
      <w:bookmarkStart w:id="827" w:name="_Toc414888095"/>
      <w:bookmarkStart w:id="828" w:name="_Toc451176283"/>
      <w:bookmarkStart w:id="829" w:name="_Toc451180264"/>
      <w:r w:rsidRPr="006079F0">
        <w:rPr>
          <w:b w:val="0"/>
          <w:bCs w:val="0"/>
          <w:rtl/>
        </w:rPr>
        <w:t>2.6.1</w:t>
      </w:r>
      <w:r w:rsidR="006079F0">
        <w:rPr>
          <w:rFonts w:hint="cs"/>
          <w:b w:val="0"/>
          <w:bCs w:val="0"/>
          <w:rtl/>
        </w:rPr>
        <w:t>.</w:t>
      </w:r>
      <w:r w:rsidR="00B259A6" w:rsidRPr="006079F0">
        <w:rPr>
          <w:b w:val="0"/>
          <w:bCs w:val="0"/>
          <w:rtl/>
        </w:rPr>
        <w:tab/>
        <w:t xml:space="preserve">زيادة الحد الأدنى لمتطلبات رأس المال التنظيمي وفقاً لما </w:t>
      </w:r>
      <w:r w:rsidRPr="006079F0">
        <w:rPr>
          <w:b w:val="0"/>
          <w:bCs w:val="0"/>
          <w:rtl/>
        </w:rPr>
        <w:t xml:space="preserve">ورد </w:t>
      </w:r>
      <w:r w:rsidR="0062302B">
        <w:rPr>
          <w:b w:val="0"/>
          <w:bCs w:val="0"/>
          <w:rtl/>
        </w:rPr>
        <w:t xml:space="preserve">ضمن </w:t>
      </w:r>
      <w:r w:rsidR="00DC1993">
        <w:rPr>
          <w:rFonts w:hint="cs"/>
          <w:b w:val="0"/>
          <w:bCs w:val="0"/>
          <w:rtl/>
        </w:rPr>
        <w:t>الارشادات المتعلقة</w:t>
      </w:r>
      <w:r w:rsidR="0062302B">
        <w:rPr>
          <w:b w:val="0"/>
          <w:bCs w:val="0"/>
          <w:rtl/>
        </w:rPr>
        <w:t xml:space="preserve"> </w:t>
      </w:r>
      <w:r w:rsidR="00DC1993">
        <w:rPr>
          <w:rFonts w:hint="cs"/>
          <w:b w:val="0"/>
          <w:bCs w:val="0"/>
          <w:rtl/>
        </w:rPr>
        <w:t>ب</w:t>
      </w:r>
      <w:r w:rsidR="0062302B">
        <w:rPr>
          <w:b w:val="0"/>
          <w:bCs w:val="0"/>
          <w:rtl/>
        </w:rPr>
        <w:t>الدعامة الثانية (</w:t>
      </w:r>
      <w:r w:rsidR="00B259A6" w:rsidRPr="006079F0">
        <w:rPr>
          <w:b w:val="0"/>
          <w:bCs w:val="0"/>
          <w:rtl/>
        </w:rPr>
        <w:t>المراجعة الإشرافية)</w:t>
      </w:r>
      <w:r w:rsidR="00DC1993">
        <w:rPr>
          <w:rFonts w:hint="cs"/>
          <w:b w:val="0"/>
          <w:bCs w:val="0"/>
          <w:rtl/>
        </w:rPr>
        <w:t xml:space="preserve"> الصادرة بموجب التعميم رقم (10/1533) تاريخ 3/2/20</w:t>
      </w:r>
      <w:bookmarkEnd w:id="827"/>
      <w:bookmarkEnd w:id="828"/>
      <w:bookmarkEnd w:id="829"/>
      <w:r w:rsidR="00DC1993">
        <w:rPr>
          <w:rFonts w:hint="cs"/>
          <w:b w:val="0"/>
          <w:bCs w:val="0"/>
          <w:rtl/>
        </w:rPr>
        <w:t>10.</w:t>
      </w:r>
    </w:p>
    <w:p w:rsidR="00B259A6" w:rsidRPr="006079F0" w:rsidRDefault="003848F9" w:rsidP="00811F95">
      <w:pPr>
        <w:spacing w:before="240"/>
        <w:ind w:left="708" w:hanging="425"/>
        <w:rPr>
          <w:rtl/>
        </w:rPr>
      </w:pPr>
      <w:bookmarkStart w:id="830" w:name="_Toc451176284"/>
      <w:bookmarkStart w:id="831" w:name="_Toc451180265"/>
      <w:r w:rsidRPr="006079F0">
        <w:rPr>
          <w:rtl/>
        </w:rPr>
        <w:t>2.</w:t>
      </w:r>
      <w:r w:rsidR="0020743F">
        <w:rPr>
          <w:rFonts w:hint="cs"/>
          <w:rtl/>
        </w:rPr>
        <w:t xml:space="preserve"> </w:t>
      </w:r>
      <w:r w:rsidR="00B259A6" w:rsidRPr="006079F0">
        <w:rPr>
          <w:rtl/>
        </w:rPr>
        <w:t xml:space="preserve">التأكد القانوني </w:t>
      </w:r>
      <w:r w:rsidR="00B259A6" w:rsidRPr="006079F0">
        <w:t>Legal certainty</w:t>
      </w:r>
      <w:bookmarkEnd w:id="830"/>
      <w:bookmarkEnd w:id="831"/>
    </w:p>
    <w:p w:rsidR="00B259A6" w:rsidRPr="006079F0" w:rsidRDefault="00B259A6" w:rsidP="002F28A0">
      <w:pPr>
        <w:ind w:left="1275" w:hanging="709"/>
        <w:rPr>
          <w:b w:val="0"/>
          <w:bCs w:val="0"/>
          <w:rtl/>
        </w:rPr>
      </w:pPr>
      <w:bookmarkStart w:id="832" w:name="_Toc414888097"/>
      <w:bookmarkStart w:id="833" w:name="_Toc451176285"/>
      <w:bookmarkStart w:id="834" w:name="_Toc451180266"/>
      <w:r w:rsidRPr="006079F0">
        <w:rPr>
          <w:b w:val="0"/>
          <w:bCs w:val="0"/>
          <w:rtl/>
        </w:rPr>
        <w:t>1.2</w:t>
      </w:r>
      <w:r w:rsidR="006079F0">
        <w:rPr>
          <w:rFonts w:hint="cs"/>
          <w:b w:val="0"/>
          <w:bCs w:val="0"/>
          <w:rtl/>
        </w:rPr>
        <w:t>.</w:t>
      </w:r>
      <w:r w:rsidRPr="006079F0">
        <w:rPr>
          <w:b w:val="0"/>
          <w:bCs w:val="0"/>
          <w:rtl/>
        </w:rPr>
        <w:tab/>
        <w:t>حتى يتم الاعتراف بأثر مخففات مخاطر الائتمان يجب تحقق المعايير التالية كحد أدنى:</w:t>
      </w:r>
      <w:bookmarkEnd w:id="832"/>
      <w:bookmarkEnd w:id="833"/>
      <w:bookmarkEnd w:id="834"/>
    </w:p>
    <w:p w:rsidR="00B259A6" w:rsidRPr="006079F0" w:rsidRDefault="00B259A6" w:rsidP="00C06D2A">
      <w:pPr>
        <w:ind w:left="2126" w:hanging="851"/>
        <w:rPr>
          <w:b w:val="0"/>
          <w:bCs w:val="0"/>
          <w:rtl/>
        </w:rPr>
      </w:pPr>
      <w:bookmarkStart w:id="835" w:name="_Toc414888098"/>
      <w:bookmarkStart w:id="836" w:name="_Toc451176286"/>
      <w:bookmarkStart w:id="837" w:name="_Toc451180267"/>
      <w:r w:rsidRPr="006079F0">
        <w:rPr>
          <w:b w:val="0"/>
          <w:bCs w:val="0"/>
          <w:rtl/>
        </w:rPr>
        <w:t>1.1.2</w:t>
      </w:r>
      <w:r w:rsidR="006079F0">
        <w:rPr>
          <w:rFonts w:hint="cs"/>
          <w:b w:val="0"/>
          <w:bCs w:val="0"/>
          <w:rtl/>
        </w:rPr>
        <w:t>.</w:t>
      </w:r>
      <w:r w:rsidRPr="006079F0">
        <w:rPr>
          <w:b w:val="0"/>
          <w:bCs w:val="0"/>
          <w:rtl/>
        </w:rPr>
        <w:tab/>
        <w:t>أن تكون جميع المستندات القانونية المستخدمة في توثيق التسهيلات الائتمانية المغطاة بضمانات و/أو التقاص في البنود داخل الميزانية و/أو الكفالات والمشتقات الائتمانية ملزمة لجميع الأطراف وقابلة للتنفيذ قانونياً لدى جميع المحاكم القانونية المختصة.</w:t>
      </w:r>
      <w:bookmarkEnd w:id="835"/>
      <w:bookmarkEnd w:id="836"/>
      <w:bookmarkEnd w:id="837"/>
    </w:p>
    <w:p w:rsidR="00B259A6" w:rsidRPr="006079F0" w:rsidRDefault="00B259A6" w:rsidP="00C06D2A">
      <w:pPr>
        <w:ind w:left="2126" w:hanging="851"/>
        <w:rPr>
          <w:b w:val="0"/>
          <w:bCs w:val="0"/>
          <w:rtl/>
          <w:lang w:bidi="ar-JO"/>
        </w:rPr>
      </w:pPr>
      <w:bookmarkStart w:id="838" w:name="_Toc414888099"/>
      <w:bookmarkStart w:id="839" w:name="_Toc451176287"/>
      <w:bookmarkStart w:id="840" w:name="_Toc451180268"/>
      <w:r w:rsidRPr="006079F0">
        <w:rPr>
          <w:b w:val="0"/>
          <w:bCs w:val="0"/>
          <w:rtl/>
        </w:rPr>
        <w:t>2.1.2</w:t>
      </w:r>
      <w:r w:rsidR="0024115F">
        <w:rPr>
          <w:rFonts w:hint="cs"/>
          <w:b w:val="0"/>
          <w:bCs w:val="0"/>
          <w:rtl/>
        </w:rPr>
        <w:t>.</w:t>
      </w:r>
      <w:r w:rsidRPr="006079F0">
        <w:rPr>
          <w:b w:val="0"/>
          <w:bCs w:val="0"/>
          <w:rtl/>
        </w:rPr>
        <w:tab/>
        <w:t>إجراء المراجعة القانونية الدورية اللازمة للتأكد من استمرارية صلاحية هذه المعايير ومن استمرار قابلية المستندات للتنفيذ.</w:t>
      </w:r>
      <w:bookmarkEnd w:id="838"/>
      <w:bookmarkEnd w:id="839"/>
      <w:bookmarkEnd w:id="840"/>
    </w:p>
    <w:p w:rsidR="00B259A6" w:rsidRPr="006079F0" w:rsidRDefault="00B259A6" w:rsidP="002F28A0">
      <w:pPr>
        <w:ind w:left="1275" w:hanging="709"/>
        <w:rPr>
          <w:b w:val="0"/>
          <w:bCs w:val="0"/>
        </w:rPr>
      </w:pPr>
      <w:bookmarkStart w:id="841" w:name="_Toc414888100"/>
      <w:bookmarkStart w:id="842" w:name="_Toc451176288"/>
      <w:bookmarkStart w:id="843" w:name="_Toc451180269"/>
      <w:r w:rsidRPr="006079F0">
        <w:rPr>
          <w:b w:val="0"/>
          <w:bCs w:val="0"/>
          <w:rtl/>
        </w:rPr>
        <w:t>2.2</w:t>
      </w:r>
      <w:r w:rsidR="0024115F">
        <w:rPr>
          <w:rFonts w:hint="cs"/>
          <w:b w:val="0"/>
          <w:bCs w:val="0"/>
          <w:rtl/>
        </w:rPr>
        <w:t>.</w:t>
      </w:r>
      <w:r w:rsidRPr="006079F0">
        <w:rPr>
          <w:b w:val="0"/>
          <w:bCs w:val="0"/>
          <w:rtl/>
        </w:rPr>
        <w:tab/>
        <w:t xml:space="preserve">الإطار العام والحد الأدنى من الشروط </w:t>
      </w:r>
      <w:r w:rsidRPr="006079F0">
        <w:rPr>
          <w:b w:val="0"/>
          <w:bCs w:val="0"/>
        </w:rPr>
        <w:t xml:space="preserve">Overall Framework and </w:t>
      </w:r>
      <w:r w:rsidR="003848F9" w:rsidRPr="006079F0">
        <w:rPr>
          <w:b w:val="0"/>
          <w:bCs w:val="0"/>
        </w:rPr>
        <w:t>Minimum</w:t>
      </w:r>
      <w:r w:rsidRPr="006079F0">
        <w:rPr>
          <w:b w:val="0"/>
          <w:bCs w:val="0"/>
        </w:rPr>
        <w:t xml:space="preserve"> </w:t>
      </w:r>
      <w:r w:rsidR="003848F9" w:rsidRPr="006079F0">
        <w:rPr>
          <w:b w:val="0"/>
          <w:bCs w:val="0"/>
        </w:rPr>
        <w:t>Conditions</w:t>
      </w:r>
      <w:bookmarkEnd w:id="841"/>
      <w:bookmarkEnd w:id="842"/>
      <w:bookmarkEnd w:id="843"/>
    </w:p>
    <w:p w:rsidR="00B259A6" w:rsidRPr="006079F0" w:rsidRDefault="00B259A6" w:rsidP="00C06D2A">
      <w:pPr>
        <w:ind w:left="2126" w:hanging="851"/>
        <w:rPr>
          <w:b w:val="0"/>
          <w:bCs w:val="0"/>
          <w:rtl/>
        </w:rPr>
      </w:pPr>
      <w:bookmarkStart w:id="844" w:name="_Toc414888101"/>
      <w:bookmarkStart w:id="845" w:name="_Toc451176289"/>
      <w:bookmarkStart w:id="846" w:name="_Toc451180270"/>
      <w:r w:rsidRPr="006079F0">
        <w:rPr>
          <w:b w:val="0"/>
          <w:bCs w:val="0"/>
          <w:rtl/>
        </w:rPr>
        <w:lastRenderedPageBreak/>
        <w:t>1.2.2</w:t>
      </w:r>
      <w:r w:rsidR="0024115F">
        <w:rPr>
          <w:rFonts w:hint="cs"/>
          <w:b w:val="0"/>
          <w:bCs w:val="0"/>
          <w:rtl/>
        </w:rPr>
        <w:t>.</w:t>
      </w:r>
      <w:r w:rsidRPr="006079F0">
        <w:rPr>
          <w:b w:val="0"/>
          <w:bCs w:val="0"/>
          <w:rtl/>
        </w:rPr>
        <w:tab/>
        <w:t>للبنوك استخدام أي من الأسلوبين البسيط أو الشامل لمعالجة مخففات مخاطر الائتمان وحسب ما يلي:</w:t>
      </w:r>
      <w:bookmarkEnd w:id="844"/>
      <w:bookmarkEnd w:id="845"/>
      <w:bookmarkEnd w:id="846"/>
    </w:p>
    <w:p w:rsidR="00B259A6" w:rsidRPr="0062302B" w:rsidRDefault="00B259A6" w:rsidP="00D85144">
      <w:pPr>
        <w:pStyle w:val="ListParagraph"/>
        <w:numPr>
          <w:ilvl w:val="0"/>
          <w:numId w:val="29"/>
        </w:numPr>
        <w:ind w:left="2551" w:hanging="425"/>
        <w:rPr>
          <w:b w:val="0"/>
          <w:bCs w:val="0"/>
          <w:rtl/>
        </w:rPr>
      </w:pPr>
      <w:bookmarkStart w:id="847" w:name="_Toc414888102"/>
      <w:bookmarkStart w:id="848" w:name="_Toc451176290"/>
      <w:bookmarkStart w:id="849" w:name="_Toc451180271"/>
      <w:r w:rsidRPr="0062302B">
        <w:rPr>
          <w:b w:val="0"/>
          <w:bCs w:val="0"/>
          <w:rtl/>
        </w:rPr>
        <w:t>تطبيق أحد الأسلوبين البسيط أو الشامل فيما يتعلق بالمحفظة البنكية وبحيث لا يتم الجمع بينهما.</w:t>
      </w:r>
      <w:bookmarkEnd w:id="847"/>
      <w:bookmarkEnd w:id="848"/>
      <w:bookmarkEnd w:id="849"/>
    </w:p>
    <w:p w:rsidR="00B259A6" w:rsidRPr="0062302B" w:rsidRDefault="00B259A6" w:rsidP="00D85144">
      <w:pPr>
        <w:pStyle w:val="ListParagraph"/>
        <w:numPr>
          <w:ilvl w:val="0"/>
          <w:numId w:val="29"/>
        </w:numPr>
        <w:ind w:left="2551" w:hanging="425"/>
        <w:rPr>
          <w:b w:val="0"/>
          <w:bCs w:val="0"/>
          <w:rtl/>
        </w:rPr>
      </w:pPr>
      <w:bookmarkStart w:id="850" w:name="_Toc414888103"/>
      <w:bookmarkStart w:id="851" w:name="_Toc451176291"/>
      <w:bookmarkStart w:id="852" w:name="_Toc451180272"/>
      <w:r w:rsidRPr="0062302B">
        <w:rPr>
          <w:b w:val="0"/>
          <w:bCs w:val="0"/>
          <w:rtl/>
        </w:rPr>
        <w:t>تطبيق الأسلوب الشامل فقط فيما يتعلق بمحفظة المتاجرة.</w:t>
      </w:r>
      <w:bookmarkEnd w:id="850"/>
      <w:bookmarkEnd w:id="851"/>
      <w:bookmarkEnd w:id="852"/>
    </w:p>
    <w:p w:rsidR="00B259A6" w:rsidRPr="0062302B" w:rsidRDefault="00B259A6" w:rsidP="00D85144">
      <w:pPr>
        <w:pStyle w:val="ListParagraph"/>
        <w:numPr>
          <w:ilvl w:val="0"/>
          <w:numId w:val="29"/>
        </w:numPr>
        <w:ind w:left="2551" w:hanging="425"/>
        <w:rPr>
          <w:b w:val="0"/>
          <w:bCs w:val="0"/>
          <w:rtl/>
        </w:rPr>
      </w:pPr>
      <w:bookmarkStart w:id="853" w:name="_Toc414888104"/>
      <w:bookmarkStart w:id="854" w:name="_Toc451176292"/>
      <w:bookmarkStart w:id="855" w:name="_Toc451180273"/>
      <w:r w:rsidRPr="0062302B">
        <w:rPr>
          <w:b w:val="0"/>
          <w:bCs w:val="0"/>
          <w:rtl/>
        </w:rPr>
        <w:t>استخدام التغطية الجزئية في كلا الأسلوبين.</w:t>
      </w:r>
      <w:bookmarkEnd w:id="853"/>
      <w:bookmarkEnd w:id="854"/>
      <w:bookmarkEnd w:id="855"/>
    </w:p>
    <w:p w:rsidR="00B259A6" w:rsidRPr="0062302B" w:rsidRDefault="00B259A6" w:rsidP="00D85144">
      <w:pPr>
        <w:pStyle w:val="ListParagraph"/>
        <w:numPr>
          <w:ilvl w:val="0"/>
          <w:numId w:val="29"/>
        </w:numPr>
        <w:ind w:left="2551" w:hanging="425"/>
        <w:rPr>
          <w:b w:val="0"/>
          <w:bCs w:val="0"/>
        </w:rPr>
      </w:pPr>
      <w:bookmarkStart w:id="856" w:name="_Toc414888105"/>
      <w:bookmarkStart w:id="857" w:name="_Toc451176293"/>
      <w:bookmarkStart w:id="858" w:name="_Toc451180274"/>
      <w:r w:rsidRPr="0062302B">
        <w:rPr>
          <w:b w:val="0"/>
          <w:bCs w:val="0"/>
          <w:rtl/>
        </w:rPr>
        <w:t>لا يؤخذ الضمان بعين الاعتبار إذا سبق تاريخ استحقاقه تاريخ استحقاق الائتمان المغطى عند استخدام الأسلوب البسيط (</w:t>
      </w:r>
      <w:r w:rsidRPr="0062302B">
        <w:rPr>
          <w:b w:val="0"/>
          <w:bCs w:val="0"/>
        </w:rPr>
        <w:t>Maturity Mismatch</w:t>
      </w:r>
      <w:r w:rsidRPr="0062302B">
        <w:rPr>
          <w:b w:val="0"/>
          <w:bCs w:val="0"/>
          <w:rtl/>
        </w:rPr>
        <w:t>).</w:t>
      </w:r>
      <w:bookmarkEnd w:id="856"/>
      <w:bookmarkEnd w:id="857"/>
      <w:bookmarkEnd w:id="858"/>
    </w:p>
    <w:p w:rsidR="00B259A6" w:rsidRPr="0062302B" w:rsidRDefault="00B259A6" w:rsidP="00C06D2A">
      <w:pPr>
        <w:ind w:left="2126" w:hanging="851"/>
        <w:rPr>
          <w:b w:val="0"/>
          <w:bCs w:val="0"/>
          <w:rtl/>
        </w:rPr>
      </w:pPr>
      <w:bookmarkStart w:id="859" w:name="_Toc414888106"/>
      <w:bookmarkStart w:id="860" w:name="_Toc451176294"/>
      <w:bookmarkStart w:id="861" w:name="_Toc451180275"/>
      <w:r w:rsidRPr="0062302B">
        <w:rPr>
          <w:b w:val="0"/>
          <w:bCs w:val="0"/>
          <w:rtl/>
        </w:rPr>
        <w:t>2.2.2</w:t>
      </w:r>
      <w:r w:rsidR="0062302B" w:rsidRPr="0062302B">
        <w:rPr>
          <w:rFonts w:hint="cs"/>
          <w:b w:val="0"/>
          <w:bCs w:val="0"/>
          <w:rtl/>
        </w:rPr>
        <w:t>.</w:t>
      </w:r>
      <w:r w:rsidRPr="0062302B">
        <w:rPr>
          <w:b w:val="0"/>
          <w:bCs w:val="0"/>
          <w:rtl/>
        </w:rPr>
        <w:tab/>
        <w:t>بالإضافة لمتطلبات التأكد القانوني أعلاه يجب أن تضمن الآلية القانونية للبنك حق تسييل و/أو امتلاك و/أو حيازة الأصل ضمن إطار زمني معقول وذلك في حال تعثر العميل أو إعساره و/أو إفلاسه أو إخلاله بأي من الشروط المتفق عليها بعقد الائتمان (أو في حال إعسار الحافظ الأمين إذا كان الضمان مودع لديه).</w:t>
      </w:r>
      <w:bookmarkEnd w:id="859"/>
      <w:bookmarkEnd w:id="860"/>
      <w:bookmarkEnd w:id="861"/>
    </w:p>
    <w:p w:rsidR="00B259A6" w:rsidRPr="0062302B" w:rsidRDefault="00B259A6" w:rsidP="00C06D2A">
      <w:pPr>
        <w:ind w:left="2126"/>
        <w:rPr>
          <w:b w:val="0"/>
          <w:bCs w:val="0"/>
          <w:rtl/>
        </w:rPr>
      </w:pPr>
      <w:bookmarkStart w:id="862" w:name="_Toc414888107"/>
      <w:bookmarkStart w:id="863" w:name="_Toc451176295"/>
      <w:bookmarkStart w:id="864" w:name="_Toc451180276"/>
      <w:r w:rsidRPr="0062302B">
        <w:rPr>
          <w:b w:val="0"/>
          <w:bCs w:val="0"/>
          <w:rtl/>
        </w:rPr>
        <w:t>يجب على البنك اتخاذ كافة الخطوات الضرورية لتحقيق كافة متطلبات التأكد القانوني بما يضمن حقه في الحصول على الضمان والتنفيذ عليه، مثال ذلك</w:t>
      </w:r>
      <w:r w:rsidR="00DC1993">
        <w:rPr>
          <w:rFonts w:hint="cs"/>
          <w:b w:val="0"/>
          <w:bCs w:val="0"/>
          <w:rtl/>
        </w:rPr>
        <w:br/>
      </w:r>
      <w:r w:rsidRPr="0062302B">
        <w:rPr>
          <w:b w:val="0"/>
          <w:bCs w:val="0"/>
          <w:rtl/>
        </w:rPr>
        <w:t>" التأشير بالرهن القانوني على الأصل المرهون لدى الجهات المختصة، بمعنى آخر عدم وضع التسهيلات قيد التنفيذ قبل استكمال كافة المتطلبات القانونية المتعلقة بالضمان".</w:t>
      </w:r>
      <w:bookmarkEnd w:id="862"/>
      <w:bookmarkEnd w:id="863"/>
      <w:bookmarkEnd w:id="864"/>
    </w:p>
    <w:p w:rsidR="00B259A6" w:rsidRPr="0062302B" w:rsidRDefault="00B259A6" w:rsidP="00C06D2A">
      <w:pPr>
        <w:ind w:left="2126" w:hanging="851"/>
        <w:rPr>
          <w:b w:val="0"/>
          <w:bCs w:val="0"/>
        </w:rPr>
      </w:pPr>
      <w:bookmarkStart w:id="865" w:name="_Toc414888108"/>
      <w:bookmarkStart w:id="866" w:name="_Toc451176296"/>
      <w:bookmarkStart w:id="867" w:name="_Toc451180277"/>
      <w:r w:rsidRPr="0062302B">
        <w:rPr>
          <w:b w:val="0"/>
          <w:bCs w:val="0"/>
          <w:rtl/>
        </w:rPr>
        <w:t>3.2.2</w:t>
      </w:r>
      <w:r w:rsidR="0062302B" w:rsidRPr="0062302B">
        <w:rPr>
          <w:rFonts w:hint="cs"/>
          <w:b w:val="0"/>
          <w:bCs w:val="0"/>
          <w:rtl/>
        </w:rPr>
        <w:t>.</w:t>
      </w:r>
      <w:r w:rsidRPr="0062302B">
        <w:rPr>
          <w:b w:val="0"/>
          <w:bCs w:val="0"/>
          <w:rtl/>
        </w:rPr>
        <w:tab/>
        <w:t>يجب أن لا يكون هناك معامل ارتباط إيجابي مرتفع بين قيمة الضمان والوضع الائتماني للطرف الآخر، على سبيل المثال: "رهن أوراق مالية صادرة عن الطرف المقابل أو أحد الشركات ذات الصلة به".</w:t>
      </w:r>
      <w:bookmarkEnd w:id="865"/>
      <w:bookmarkEnd w:id="866"/>
      <w:bookmarkEnd w:id="867"/>
    </w:p>
    <w:p w:rsidR="00B259A6" w:rsidRPr="0062302B" w:rsidRDefault="00B259A6" w:rsidP="00C06D2A">
      <w:pPr>
        <w:ind w:left="2126" w:hanging="851"/>
        <w:rPr>
          <w:b w:val="0"/>
          <w:bCs w:val="0"/>
        </w:rPr>
      </w:pPr>
      <w:bookmarkStart w:id="868" w:name="_Toc414888109"/>
      <w:bookmarkStart w:id="869" w:name="_Toc451176297"/>
      <w:bookmarkStart w:id="870" w:name="_Toc451180278"/>
      <w:r w:rsidRPr="0062302B">
        <w:rPr>
          <w:b w:val="0"/>
          <w:bCs w:val="0"/>
          <w:rtl/>
        </w:rPr>
        <w:t>4.2.2</w:t>
      </w:r>
      <w:r w:rsidR="0062302B" w:rsidRPr="0062302B">
        <w:rPr>
          <w:rFonts w:hint="cs"/>
          <w:b w:val="0"/>
          <w:bCs w:val="0"/>
          <w:rtl/>
        </w:rPr>
        <w:t>.</w:t>
      </w:r>
      <w:r w:rsidRPr="0062302B">
        <w:rPr>
          <w:b w:val="0"/>
          <w:bCs w:val="0"/>
          <w:rtl/>
        </w:rPr>
        <w:tab/>
        <w:t>يجب على البنك وضع إجراءات عمل ملائمة تكفل تسييل الضمان بالوقت الملائم وبشكل فوري والتأكد من أن كافة الشروط القانونية اللازمة لإعلان إخفاق الطرف المقابل و/أو تسييل الضمان تم أخذها بعين الاعتبار.</w:t>
      </w:r>
      <w:bookmarkEnd w:id="868"/>
      <w:bookmarkEnd w:id="869"/>
      <w:bookmarkEnd w:id="870"/>
    </w:p>
    <w:p w:rsidR="00B259A6" w:rsidRPr="0062302B" w:rsidRDefault="00B259A6" w:rsidP="00C06D2A">
      <w:pPr>
        <w:ind w:left="2126" w:hanging="851"/>
        <w:rPr>
          <w:b w:val="0"/>
          <w:bCs w:val="0"/>
        </w:rPr>
      </w:pPr>
      <w:bookmarkStart w:id="871" w:name="_Toc414888110"/>
      <w:bookmarkStart w:id="872" w:name="_Toc451176298"/>
      <w:bookmarkStart w:id="873" w:name="_Toc451180279"/>
      <w:r w:rsidRPr="0062302B">
        <w:rPr>
          <w:b w:val="0"/>
          <w:bCs w:val="0"/>
          <w:rtl/>
        </w:rPr>
        <w:t>5.2.2</w:t>
      </w:r>
      <w:r w:rsidR="0062302B" w:rsidRPr="0062302B">
        <w:rPr>
          <w:rFonts w:hint="cs"/>
          <w:b w:val="0"/>
          <w:bCs w:val="0"/>
          <w:rtl/>
        </w:rPr>
        <w:t>.</w:t>
      </w:r>
      <w:r w:rsidRPr="0062302B">
        <w:rPr>
          <w:b w:val="0"/>
          <w:bCs w:val="0"/>
          <w:rtl/>
        </w:rPr>
        <w:tab/>
        <w:t>يجب على البنك اتخاذ خطوات ملائمة للتأكد من أن الحافظ الأمين (في حال وجوده) يقوم بفصل الضمانة عن الأصول الخاصة به.</w:t>
      </w:r>
      <w:bookmarkEnd w:id="871"/>
      <w:bookmarkEnd w:id="872"/>
      <w:bookmarkEnd w:id="873"/>
    </w:p>
    <w:p w:rsidR="00B259A6" w:rsidRPr="0062302B" w:rsidRDefault="00B259A6" w:rsidP="00C06D2A">
      <w:pPr>
        <w:ind w:left="2126" w:hanging="851"/>
        <w:rPr>
          <w:b w:val="0"/>
          <w:bCs w:val="0"/>
        </w:rPr>
      </w:pPr>
      <w:bookmarkStart w:id="874" w:name="_Toc414888111"/>
      <w:bookmarkStart w:id="875" w:name="_Toc451176299"/>
      <w:bookmarkStart w:id="876" w:name="_Toc451180280"/>
      <w:r w:rsidRPr="0062302B">
        <w:rPr>
          <w:b w:val="0"/>
          <w:bCs w:val="0"/>
          <w:rtl/>
        </w:rPr>
        <w:t>6.2.2</w:t>
      </w:r>
      <w:r w:rsidR="0062302B" w:rsidRPr="0062302B">
        <w:rPr>
          <w:rFonts w:hint="cs"/>
          <w:b w:val="0"/>
          <w:bCs w:val="0"/>
          <w:rtl/>
        </w:rPr>
        <w:t>.</w:t>
      </w:r>
      <w:r w:rsidRPr="0062302B">
        <w:rPr>
          <w:b w:val="0"/>
          <w:bCs w:val="0"/>
          <w:rtl/>
        </w:rPr>
        <w:tab/>
        <w:t>تنطبق متطلبات رأس المال على البنك في كلا طرفي العمليات المضمونة: مثال ذلك عمليات اتفاقيات إعادة الشراء ومعكوسها، وعمليات إقراض واقتراض السندات وأي إقراض/ اقتراض آخر مشابه.</w:t>
      </w:r>
      <w:bookmarkEnd w:id="874"/>
      <w:bookmarkEnd w:id="875"/>
      <w:bookmarkEnd w:id="876"/>
    </w:p>
    <w:p w:rsidR="0062302B" w:rsidRPr="0062302B" w:rsidRDefault="00B259A6" w:rsidP="00C06D2A">
      <w:pPr>
        <w:ind w:left="2126" w:hanging="851"/>
        <w:rPr>
          <w:b w:val="0"/>
          <w:bCs w:val="0"/>
          <w:rtl/>
        </w:rPr>
      </w:pPr>
      <w:bookmarkStart w:id="877" w:name="_Toc414888112"/>
      <w:bookmarkStart w:id="878" w:name="_Toc451176300"/>
      <w:bookmarkStart w:id="879" w:name="_Toc451180281"/>
      <w:r w:rsidRPr="0062302B">
        <w:rPr>
          <w:b w:val="0"/>
          <w:bCs w:val="0"/>
          <w:rtl/>
        </w:rPr>
        <w:lastRenderedPageBreak/>
        <w:t>7.2.2</w:t>
      </w:r>
      <w:r w:rsidR="0062302B" w:rsidRPr="0062302B">
        <w:rPr>
          <w:rFonts w:hint="cs"/>
          <w:b w:val="0"/>
          <w:bCs w:val="0"/>
          <w:rtl/>
        </w:rPr>
        <w:t>.</w:t>
      </w:r>
      <w:r w:rsidRPr="0062302B">
        <w:rPr>
          <w:b w:val="0"/>
          <w:bCs w:val="0"/>
          <w:rtl/>
        </w:rPr>
        <w:tab/>
        <w:t>يجب على البنك احتساب متطلبات رأس المال في العمليات التي يكون ضامناً بها لالتزامات أحد طرفي اتفاقية إعادة الشراء كما لو كان طرفاً فيها.</w:t>
      </w:r>
      <w:bookmarkEnd w:id="877"/>
      <w:bookmarkEnd w:id="878"/>
      <w:bookmarkEnd w:id="879"/>
    </w:p>
    <w:p w:rsidR="00B259A6" w:rsidRPr="0062302B" w:rsidRDefault="002855CE" w:rsidP="00811F95">
      <w:pPr>
        <w:spacing w:before="240" w:after="0"/>
        <w:ind w:left="708" w:hanging="425"/>
        <w:rPr>
          <w:rtl/>
        </w:rPr>
      </w:pPr>
      <w:bookmarkStart w:id="880" w:name="_Toc451176301"/>
      <w:bookmarkStart w:id="881" w:name="_Toc451180282"/>
      <w:r>
        <w:rPr>
          <w:rtl/>
        </w:rPr>
        <w:t>3.</w:t>
      </w:r>
      <w:r>
        <w:rPr>
          <w:rFonts w:hint="cs"/>
          <w:rtl/>
        </w:rPr>
        <w:t xml:space="preserve"> </w:t>
      </w:r>
      <w:r w:rsidR="00B259A6" w:rsidRPr="0062302B">
        <w:rPr>
          <w:rtl/>
        </w:rPr>
        <w:t xml:space="preserve">تقنيات مخففات مخاطر الائتمان </w:t>
      </w:r>
      <w:r w:rsidR="00B259A6" w:rsidRPr="0062302B">
        <w:t>Credit Risk Mitigation Techniques</w:t>
      </w:r>
      <w:bookmarkEnd w:id="880"/>
      <w:bookmarkEnd w:id="881"/>
    </w:p>
    <w:p w:rsidR="00B259A6" w:rsidRPr="0062302B" w:rsidRDefault="00B259A6" w:rsidP="002F28A0">
      <w:pPr>
        <w:ind w:left="1275" w:hanging="709"/>
        <w:rPr>
          <w:b w:val="0"/>
          <w:bCs w:val="0"/>
        </w:rPr>
      </w:pPr>
      <w:bookmarkStart w:id="882" w:name="_Toc414888114"/>
      <w:bookmarkStart w:id="883" w:name="_Toc451176302"/>
      <w:bookmarkStart w:id="884" w:name="_Toc451180283"/>
      <w:r w:rsidRPr="0062302B">
        <w:rPr>
          <w:b w:val="0"/>
          <w:bCs w:val="0"/>
          <w:rtl/>
        </w:rPr>
        <w:t>1.3</w:t>
      </w:r>
      <w:r w:rsidR="0062302B">
        <w:rPr>
          <w:rFonts w:hint="cs"/>
          <w:b w:val="0"/>
          <w:bCs w:val="0"/>
          <w:rtl/>
        </w:rPr>
        <w:t>.</w:t>
      </w:r>
      <w:r w:rsidRPr="0062302B">
        <w:rPr>
          <w:b w:val="0"/>
          <w:bCs w:val="0"/>
          <w:rtl/>
        </w:rPr>
        <w:tab/>
        <w:t>التعرضات المغطاة بضمانات</w:t>
      </w:r>
      <w:r w:rsidRPr="0062302B">
        <w:rPr>
          <w:b w:val="0"/>
          <w:bCs w:val="0"/>
        </w:rPr>
        <w:t xml:space="preserve"> Collateralized Exposures :</w:t>
      </w:r>
      <w:bookmarkEnd w:id="882"/>
      <w:bookmarkEnd w:id="883"/>
      <w:bookmarkEnd w:id="884"/>
    </w:p>
    <w:p w:rsidR="00B259A6" w:rsidRPr="0062302B" w:rsidRDefault="00B259A6" w:rsidP="00C06D2A">
      <w:pPr>
        <w:ind w:left="2126" w:hanging="851"/>
        <w:rPr>
          <w:b w:val="0"/>
          <w:bCs w:val="0"/>
        </w:rPr>
      </w:pPr>
      <w:bookmarkStart w:id="885" w:name="_Toc414888115"/>
      <w:bookmarkStart w:id="886" w:name="_Toc451176303"/>
      <w:bookmarkStart w:id="887" w:name="_Toc451180284"/>
      <w:r w:rsidRPr="0062302B">
        <w:rPr>
          <w:b w:val="0"/>
          <w:bCs w:val="0"/>
          <w:rtl/>
        </w:rPr>
        <w:t>1.1.3</w:t>
      </w:r>
      <w:r w:rsidR="0062302B">
        <w:rPr>
          <w:rFonts w:hint="cs"/>
          <w:b w:val="0"/>
          <w:bCs w:val="0"/>
          <w:rtl/>
        </w:rPr>
        <w:t>.</w:t>
      </w:r>
      <w:r w:rsidRPr="0062302B">
        <w:rPr>
          <w:b w:val="0"/>
          <w:bCs w:val="0"/>
          <w:rtl/>
        </w:rPr>
        <w:tab/>
        <w:t>التسهيلات الائتمانية المغطاة بضمانات هي أي تعرض ائتماني قائم أو محتمل ومغطى كلياً أو جزئياً بضمانات مقدمة من الطرف المقابل أو من طرف ثالث بالنيابة عنه.</w:t>
      </w:r>
      <w:bookmarkEnd w:id="885"/>
      <w:bookmarkEnd w:id="886"/>
      <w:bookmarkEnd w:id="887"/>
    </w:p>
    <w:p w:rsidR="00DC20B9" w:rsidRPr="0062302B" w:rsidRDefault="00B259A6" w:rsidP="00C06D2A">
      <w:pPr>
        <w:ind w:left="2126" w:hanging="851"/>
        <w:rPr>
          <w:b w:val="0"/>
          <w:bCs w:val="0"/>
          <w:rtl/>
        </w:rPr>
      </w:pPr>
      <w:bookmarkStart w:id="888" w:name="_Toc414888116"/>
      <w:bookmarkStart w:id="889" w:name="_Toc451176304"/>
      <w:bookmarkStart w:id="890" w:name="_Toc451180285"/>
      <w:r w:rsidRPr="0062302B">
        <w:rPr>
          <w:b w:val="0"/>
          <w:bCs w:val="0"/>
          <w:rtl/>
        </w:rPr>
        <w:t>2.1.3</w:t>
      </w:r>
      <w:r w:rsidR="0062302B">
        <w:rPr>
          <w:rFonts w:hint="cs"/>
          <w:b w:val="0"/>
          <w:bCs w:val="0"/>
          <w:rtl/>
        </w:rPr>
        <w:t>.</w:t>
      </w:r>
      <w:r w:rsidRPr="0062302B">
        <w:rPr>
          <w:b w:val="0"/>
          <w:bCs w:val="0"/>
          <w:rtl/>
        </w:rPr>
        <w:tab/>
        <w:t>يسمح للبنوك استخدام الضمانات المالية المؤهلة الواردة ضمن البند رقم (4) أدناه لتخفيض التعرضات الائتمانية للطرف المقابل عند احتساب متطلبات رأس المال.</w:t>
      </w:r>
      <w:bookmarkEnd w:id="888"/>
      <w:bookmarkEnd w:id="889"/>
      <w:bookmarkEnd w:id="890"/>
    </w:p>
    <w:p w:rsidR="00B259A6" w:rsidRPr="0062302B" w:rsidRDefault="0020743F" w:rsidP="00811F95">
      <w:pPr>
        <w:spacing w:before="240" w:after="0"/>
        <w:ind w:left="708" w:hanging="425"/>
      </w:pPr>
      <w:bookmarkStart w:id="891" w:name="_Toc451176305"/>
      <w:bookmarkStart w:id="892" w:name="_Toc451180286"/>
      <w:r>
        <w:rPr>
          <w:rtl/>
        </w:rPr>
        <w:t>4.</w:t>
      </w:r>
      <w:r>
        <w:rPr>
          <w:rFonts w:hint="cs"/>
          <w:rtl/>
        </w:rPr>
        <w:t xml:space="preserve"> </w:t>
      </w:r>
      <w:r w:rsidR="00B259A6" w:rsidRPr="0062302B">
        <w:rPr>
          <w:rtl/>
        </w:rPr>
        <w:t xml:space="preserve">الضمانات </w:t>
      </w:r>
      <w:r w:rsidR="00B259A6" w:rsidRPr="0062302B">
        <w:t>Collaterals</w:t>
      </w:r>
      <w:bookmarkEnd w:id="891"/>
      <w:bookmarkEnd w:id="892"/>
      <w:r w:rsidR="0062302B" w:rsidRPr="0062302B">
        <w:tab/>
      </w:r>
    </w:p>
    <w:p w:rsidR="00B259A6" w:rsidRPr="0062302B" w:rsidRDefault="00B259A6" w:rsidP="002F28A0">
      <w:pPr>
        <w:ind w:left="1275" w:hanging="709"/>
        <w:rPr>
          <w:b w:val="0"/>
          <w:bCs w:val="0"/>
          <w:rtl/>
        </w:rPr>
      </w:pPr>
      <w:bookmarkStart w:id="893" w:name="_Toc414888118"/>
      <w:bookmarkStart w:id="894" w:name="_Toc451176306"/>
      <w:bookmarkStart w:id="895" w:name="_Toc451180287"/>
      <w:r w:rsidRPr="0062302B">
        <w:rPr>
          <w:b w:val="0"/>
          <w:bCs w:val="0"/>
          <w:rtl/>
        </w:rPr>
        <w:t>1.4</w:t>
      </w:r>
      <w:r w:rsidR="0062302B">
        <w:rPr>
          <w:rFonts w:hint="cs"/>
          <w:b w:val="0"/>
          <w:bCs w:val="0"/>
          <w:rtl/>
        </w:rPr>
        <w:t>.</w:t>
      </w:r>
      <w:r w:rsidRPr="0062302B">
        <w:rPr>
          <w:b w:val="0"/>
          <w:bCs w:val="0"/>
          <w:rtl/>
        </w:rPr>
        <w:tab/>
        <w:t xml:space="preserve">الضمانات المالية المؤهلة: </w:t>
      </w:r>
      <w:r w:rsidRPr="0062302B">
        <w:rPr>
          <w:b w:val="0"/>
          <w:bCs w:val="0"/>
        </w:rPr>
        <w:t>Eligible financial collaterals</w:t>
      </w:r>
      <w:bookmarkEnd w:id="893"/>
      <w:bookmarkEnd w:id="894"/>
      <w:bookmarkEnd w:id="895"/>
    </w:p>
    <w:p w:rsidR="00B259A6" w:rsidRPr="0062302B" w:rsidRDefault="00B259A6" w:rsidP="00C06D2A">
      <w:pPr>
        <w:ind w:left="2126" w:hanging="851"/>
        <w:rPr>
          <w:b w:val="0"/>
          <w:bCs w:val="0"/>
          <w:rtl/>
        </w:rPr>
      </w:pPr>
      <w:bookmarkStart w:id="896" w:name="_Toc414888119"/>
      <w:bookmarkStart w:id="897" w:name="_Toc451176307"/>
      <w:bookmarkStart w:id="898" w:name="_Toc451180288"/>
      <w:r w:rsidRPr="0062302B">
        <w:rPr>
          <w:b w:val="0"/>
          <w:bCs w:val="0"/>
          <w:rtl/>
        </w:rPr>
        <w:t>1.1.4</w:t>
      </w:r>
      <w:r w:rsidR="0062302B">
        <w:rPr>
          <w:rFonts w:hint="cs"/>
          <w:b w:val="0"/>
          <w:bCs w:val="0"/>
          <w:rtl/>
        </w:rPr>
        <w:t>.</w:t>
      </w:r>
      <w:r w:rsidRPr="0062302B">
        <w:rPr>
          <w:b w:val="0"/>
          <w:bCs w:val="0"/>
          <w:rtl/>
        </w:rPr>
        <w:tab/>
        <w:t>يعترف بالضمانات التالية عند استخدام الأسلوب البسيط:</w:t>
      </w:r>
      <w:bookmarkEnd w:id="896"/>
      <w:bookmarkEnd w:id="897"/>
      <w:bookmarkEnd w:id="898"/>
    </w:p>
    <w:p w:rsidR="00B259A6" w:rsidRPr="0062302B" w:rsidRDefault="00B259A6" w:rsidP="00D85144">
      <w:pPr>
        <w:pStyle w:val="ListParagraph"/>
        <w:numPr>
          <w:ilvl w:val="0"/>
          <w:numId w:val="29"/>
        </w:numPr>
        <w:ind w:left="2551" w:hanging="425"/>
        <w:rPr>
          <w:b w:val="0"/>
          <w:bCs w:val="0"/>
          <w:rtl/>
        </w:rPr>
      </w:pPr>
      <w:bookmarkStart w:id="899" w:name="_Toc414888120"/>
      <w:bookmarkStart w:id="900" w:name="_Toc451176308"/>
      <w:bookmarkStart w:id="901" w:name="_Toc451180289"/>
      <w:r w:rsidRPr="0062302B">
        <w:rPr>
          <w:b w:val="0"/>
          <w:bCs w:val="0"/>
          <w:rtl/>
        </w:rPr>
        <w:t>الودائع النقدية (وتشمل شهادات الإيداع وما هو بحكمها الصادرة عن البنك المقرض) المرهونة أصولياً لصالح البنك المقرض. في حال كون الضمانة النقدية موجودة لدى بنك آخر فإنه يشترط ما يلي لمنحها نفس الوزن الترجيحي للبنك الموجودة لديه:</w:t>
      </w:r>
      <w:bookmarkEnd w:id="899"/>
      <w:bookmarkEnd w:id="900"/>
      <w:bookmarkEnd w:id="901"/>
    </w:p>
    <w:p w:rsidR="00B259A6" w:rsidRPr="0062302B" w:rsidRDefault="00C06D2A" w:rsidP="00C06D2A">
      <w:pPr>
        <w:ind w:left="2976" w:hanging="425"/>
        <w:contextualSpacing/>
        <w:rPr>
          <w:b w:val="0"/>
          <w:bCs w:val="0"/>
          <w:rtl/>
        </w:rPr>
      </w:pPr>
      <w:bookmarkStart w:id="902" w:name="_Toc414888121"/>
      <w:bookmarkStart w:id="903" w:name="_Toc451176309"/>
      <w:bookmarkStart w:id="904" w:name="_Toc451180290"/>
      <w:r>
        <w:rPr>
          <w:rFonts w:hint="cs"/>
          <w:b w:val="0"/>
          <w:bCs w:val="0"/>
          <w:rtl/>
        </w:rPr>
        <w:t>أ</w:t>
      </w:r>
      <w:r w:rsidR="0062302B">
        <w:rPr>
          <w:rFonts w:hint="cs"/>
          <w:b w:val="0"/>
          <w:bCs w:val="0"/>
          <w:rtl/>
        </w:rPr>
        <w:t>.</w:t>
      </w:r>
      <w:r w:rsidR="00B259A6" w:rsidRPr="0062302B">
        <w:rPr>
          <w:b w:val="0"/>
          <w:bCs w:val="0"/>
          <w:rtl/>
        </w:rPr>
        <w:tab/>
        <w:t>أن يكون عليها مؤشر واضح وصريح بالرهن لصالح البنك المقرض.</w:t>
      </w:r>
      <w:bookmarkEnd w:id="902"/>
      <w:bookmarkEnd w:id="903"/>
      <w:bookmarkEnd w:id="904"/>
    </w:p>
    <w:p w:rsidR="00B259A6" w:rsidRPr="0062302B" w:rsidRDefault="00C06D2A" w:rsidP="00C06D2A">
      <w:pPr>
        <w:ind w:left="2976" w:hanging="425"/>
        <w:contextualSpacing/>
        <w:rPr>
          <w:b w:val="0"/>
          <w:bCs w:val="0"/>
          <w:rtl/>
        </w:rPr>
      </w:pPr>
      <w:bookmarkStart w:id="905" w:name="_Toc414888122"/>
      <w:bookmarkStart w:id="906" w:name="_Toc451176310"/>
      <w:bookmarkStart w:id="907" w:name="_Toc451180291"/>
      <w:r>
        <w:rPr>
          <w:rFonts w:hint="cs"/>
          <w:b w:val="0"/>
          <w:bCs w:val="0"/>
          <w:rtl/>
        </w:rPr>
        <w:t>ب</w:t>
      </w:r>
      <w:r w:rsidR="0062302B">
        <w:rPr>
          <w:rFonts w:hint="cs"/>
          <w:b w:val="0"/>
          <w:bCs w:val="0"/>
          <w:rtl/>
        </w:rPr>
        <w:t>.</w:t>
      </w:r>
      <w:r w:rsidR="00B259A6" w:rsidRPr="0062302B">
        <w:rPr>
          <w:b w:val="0"/>
          <w:bCs w:val="0"/>
          <w:rtl/>
        </w:rPr>
        <w:tab/>
        <w:t>أن يكون للبنك المقرض الحق بطلب تحويلها دون قيد أو شرط.</w:t>
      </w:r>
      <w:bookmarkEnd w:id="905"/>
      <w:bookmarkEnd w:id="906"/>
      <w:bookmarkEnd w:id="907"/>
    </w:p>
    <w:p w:rsidR="00B259A6" w:rsidRPr="0062302B" w:rsidRDefault="00C06D2A" w:rsidP="00C06D2A">
      <w:pPr>
        <w:ind w:left="2976" w:hanging="425"/>
        <w:rPr>
          <w:b w:val="0"/>
          <w:bCs w:val="0"/>
          <w:rtl/>
        </w:rPr>
      </w:pPr>
      <w:bookmarkStart w:id="908" w:name="_Toc414888123"/>
      <w:bookmarkStart w:id="909" w:name="_Toc451176311"/>
      <w:bookmarkStart w:id="910" w:name="_Toc451180292"/>
      <w:r>
        <w:rPr>
          <w:rFonts w:hint="cs"/>
          <w:b w:val="0"/>
          <w:bCs w:val="0"/>
          <w:rtl/>
        </w:rPr>
        <w:t>ج</w:t>
      </w:r>
      <w:r w:rsidR="00B259A6" w:rsidRPr="0062302B">
        <w:rPr>
          <w:b w:val="0"/>
          <w:bCs w:val="0"/>
          <w:rtl/>
        </w:rPr>
        <w:t>.</w:t>
      </w:r>
      <w:r w:rsidR="00B259A6" w:rsidRPr="0062302B">
        <w:rPr>
          <w:b w:val="0"/>
          <w:bCs w:val="0"/>
          <w:rtl/>
        </w:rPr>
        <w:tab/>
        <w:t>أن يكون هذا الحق غير قابل للنقض.</w:t>
      </w:r>
      <w:bookmarkEnd w:id="908"/>
      <w:bookmarkEnd w:id="909"/>
      <w:bookmarkEnd w:id="910"/>
    </w:p>
    <w:p w:rsidR="00B259A6" w:rsidRPr="0062302B" w:rsidRDefault="00B259A6" w:rsidP="00D85144">
      <w:pPr>
        <w:pStyle w:val="ListParagraph"/>
        <w:numPr>
          <w:ilvl w:val="0"/>
          <w:numId w:val="29"/>
        </w:numPr>
        <w:ind w:left="2551" w:hanging="425"/>
        <w:rPr>
          <w:b w:val="0"/>
          <w:bCs w:val="0"/>
          <w:rtl/>
        </w:rPr>
      </w:pPr>
      <w:bookmarkStart w:id="911" w:name="_Toc414888124"/>
      <w:bookmarkStart w:id="912" w:name="_Toc451176312"/>
      <w:bookmarkStart w:id="913" w:name="_Toc451180293"/>
      <w:r w:rsidRPr="0062302B">
        <w:rPr>
          <w:b w:val="0"/>
          <w:bCs w:val="0"/>
          <w:rtl/>
        </w:rPr>
        <w:t>ودائع الذهب ( حسابات الودائع التي تكون عملتها الذهب).</w:t>
      </w:r>
      <w:bookmarkEnd w:id="911"/>
      <w:bookmarkEnd w:id="912"/>
      <w:bookmarkEnd w:id="913"/>
    </w:p>
    <w:p w:rsidR="00B259A6" w:rsidRPr="0062302B" w:rsidRDefault="00B259A6" w:rsidP="00D85144">
      <w:pPr>
        <w:pStyle w:val="ListParagraph"/>
        <w:numPr>
          <w:ilvl w:val="0"/>
          <w:numId w:val="29"/>
        </w:numPr>
        <w:ind w:left="2551" w:hanging="425"/>
        <w:rPr>
          <w:b w:val="0"/>
          <w:bCs w:val="0"/>
          <w:rtl/>
        </w:rPr>
      </w:pPr>
      <w:bookmarkStart w:id="914" w:name="_Toc414888125"/>
      <w:bookmarkStart w:id="915" w:name="_Toc451176313"/>
      <w:bookmarkStart w:id="916" w:name="_Toc451180294"/>
      <w:r w:rsidRPr="0062302B">
        <w:rPr>
          <w:b w:val="0"/>
          <w:bCs w:val="0"/>
          <w:rtl/>
        </w:rPr>
        <w:t>سندات الدين المصنفة من قبل مؤسسات تصنيف ائتماني معترف بها والتي لا يقل تصنيفها عن:</w:t>
      </w:r>
      <w:bookmarkEnd w:id="914"/>
      <w:bookmarkEnd w:id="915"/>
      <w:bookmarkEnd w:id="916"/>
    </w:p>
    <w:p w:rsidR="00B259A6" w:rsidRPr="0062302B" w:rsidRDefault="00C06D2A" w:rsidP="00C06D2A">
      <w:pPr>
        <w:ind w:left="2976" w:hanging="425"/>
        <w:rPr>
          <w:b w:val="0"/>
          <w:bCs w:val="0"/>
          <w:rtl/>
        </w:rPr>
      </w:pPr>
      <w:bookmarkStart w:id="917" w:name="_Toc414888126"/>
      <w:bookmarkStart w:id="918" w:name="_Toc451176314"/>
      <w:bookmarkStart w:id="919" w:name="_Toc451180295"/>
      <w:r>
        <w:rPr>
          <w:rFonts w:hint="cs"/>
          <w:b w:val="0"/>
          <w:bCs w:val="0"/>
          <w:rtl/>
        </w:rPr>
        <w:t>أ</w:t>
      </w:r>
      <w:r w:rsidR="00B259A6" w:rsidRPr="0062302B">
        <w:rPr>
          <w:b w:val="0"/>
          <w:bCs w:val="0"/>
          <w:rtl/>
        </w:rPr>
        <w:t>.</w:t>
      </w:r>
      <w:r w:rsidR="00B259A6" w:rsidRPr="0062302B">
        <w:rPr>
          <w:b w:val="0"/>
          <w:bCs w:val="0"/>
          <w:rtl/>
        </w:rPr>
        <w:tab/>
      </w:r>
      <w:r w:rsidR="00B259A6" w:rsidRPr="0062302B">
        <w:rPr>
          <w:b w:val="0"/>
          <w:bCs w:val="0"/>
        </w:rPr>
        <w:t>BB-</w:t>
      </w:r>
      <w:r w:rsidR="00B259A6" w:rsidRPr="0062302B">
        <w:rPr>
          <w:b w:val="0"/>
          <w:bCs w:val="0"/>
          <w:rtl/>
        </w:rPr>
        <w:t xml:space="preserve"> إذا صدرت من قبل حكومات أو منشآت وشركات القطاع العام التي تعامل معاملة الحكومة.</w:t>
      </w:r>
      <w:bookmarkEnd w:id="917"/>
      <w:bookmarkEnd w:id="918"/>
      <w:bookmarkEnd w:id="919"/>
    </w:p>
    <w:p w:rsidR="00B259A6" w:rsidRPr="0062302B" w:rsidRDefault="00C06D2A" w:rsidP="00C06D2A">
      <w:pPr>
        <w:ind w:left="2976" w:hanging="425"/>
        <w:contextualSpacing/>
        <w:rPr>
          <w:b w:val="0"/>
          <w:bCs w:val="0"/>
          <w:rtl/>
        </w:rPr>
      </w:pPr>
      <w:bookmarkStart w:id="920" w:name="_Toc414888127"/>
      <w:bookmarkStart w:id="921" w:name="_Toc451176315"/>
      <w:bookmarkStart w:id="922" w:name="_Toc451180296"/>
      <w:r>
        <w:rPr>
          <w:rFonts w:hint="cs"/>
          <w:b w:val="0"/>
          <w:bCs w:val="0"/>
          <w:rtl/>
        </w:rPr>
        <w:t>ب</w:t>
      </w:r>
      <w:r w:rsidR="00B259A6" w:rsidRPr="0062302B">
        <w:rPr>
          <w:b w:val="0"/>
          <w:bCs w:val="0"/>
          <w:rtl/>
        </w:rPr>
        <w:t>.</w:t>
      </w:r>
      <w:r w:rsidR="00B259A6" w:rsidRPr="0062302B">
        <w:rPr>
          <w:b w:val="0"/>
          <w:bCs w:val="0"/>
          <w:rtl/>
        </w:rPr>
        <w:tab/>
      </w:r>
      <w:r w:rsidR="00B259A6" w:rsidRPr="0062302B">
        <w:rPr>
          <w:b w:val="0"/>
          <w:bCs w:val="0"/>
        </w:rPr>
        <w:t>BBB-</w:t>
      </w:r>
      <w:r w:rsidR="00B259A6" w:rsidRPr="0062302B">
        <w:rPr>
          <w:b w:val="0"/>
          <w:bCs w:val="0"/>
          <w:rtl/>
        </w:rPr>
        <w:t xml:space="preserve"> إذا كانت صادرة عن جهات أخرى (بما في ذلك البنوك </w:t>
      </w:r>
      <w:r w:rsidR="00FA7888" w:rsidRPr="0062302B">
        <w:rPr>
          <w:b w:val="0"/>
          <w:bCs w:val="0"/>
          <w:rtl/>
        </w:rPr>
        <w:t xml:space="preserve"> والشركات </w:t>
      </w:r>
      <w:r w:rsidR="00B259A6" w:rsidRPr="0062302B">
        <w:rPr>
          <w:b w:val="0"/>
          <w:bCs w:val="0"/>
          <w:rtl/>
        </w:rPr>
        <w:t>المالية ) أو</w:t>
      </w:r>
      <w:bookmarkEnd w:id="920"/>
      <w:bookmarkEnd w:id="921"/>
      <w:bookmarkEnd w:id="922"/>
    </w:p>
    <w:p w:rsidR="00B259A6" w:rsidRPr="0062302B" w:rsidRDefault="00C06D2A" w:rsidP="00C06D2A">
      <w:pPr>
        <w:ind w:left="2976" w:hanging="425"/>
        <w:contextualSpacing/>
        <w:rPr>
          <w:b w:val="0"/>
          <w:bCs w:val="0"/>
          <w:rtl/>
        </w:rPr>
      </w:pPr>
      <w:bookmarkStart w:id="923" w:name="_Toc414888128"/>
      <w:bookmarkStart w:id="924" w:name="_Toc451176316"/>
      <w:bookmarkStart w:id="925" w:name="_Toc451180297"/>
      <w:r>
        <w:rPr>
          <w:rFonts w:hint="cs"/>
          <w:b w:val="0"/>
          <w:bCs w:val="0"/>
          <w:rtl/>
        </w:rPr>
        <w:t>ج</w:t>
      </w:r>
      <w:r w:rsidR="00B259A6" w:rsidRPr="0062302B">
        <w:rPr>
          <w:b w:val="0"/>
          <w:bCs w:val="0"/>
          <w:rtl/>
        </w:rPr>
        <w:t>.</w:t>
      </w:r>
      <w:r w:rsidR="00B259A6" w:rsidRPr="0062302B">
        <w:rPr>
          <w:b w:val="0"/>
          <w:bCs w:val="0"/>
          <w:rtl/>
        </w:rPr>
        <w:tab/>
      </w:r>
      <w:r w:rsidR="00B259A6" w:rsidRPr="0062302B">
        <w:rPr>
          <w:b w:val="0"/>
          <w:bCs w:val="0"/>
        </w:rPr>
        <w:t>A-3/P-3</w:t>
      </w:r>
      <w:r w:rsidR="00B259A6" w:rsidRPr="0062302B">
        <w:rPr>
          <w:b w:val="0"/>
          <w:bCs w:val="0"/>
          <w:rtl/>
        </w:rPr>
        <w:t xml:space="preserve">  لسندات الدين قصيرة الأجل.</w:t>
      </w:r>
      <w:bookmarkEnd w:id="923"/>
      <w:bookmarkEnd w:id="924"/>
      <w:bookmarkEnd w:id="925"/>
    </w:p>
    <w:p w:rsidR="00B259A6" w:rsidRPr="0062302B" w:rsidRDefault="00B259A6" w:rsidP="00D85144">
      <w:pPr>
        <w:pStyle w:val="ListParagraph"/>
        <w:numPr>
          <w:ilvl w:val="0"/>
          <w:numId w:val="29"/>
        </w:numPr>
        <w:ind w:left="2551" w:hanging="425"/>
        <w:rPr>
          <w:b w:val="0"/>
          <w:bCs w:val="0"/>
          <w:rtl/>
        </w:rPr>
      </w:pPr>
      <w:bookmarkStart w:id="926" w:name="_Toc414888129"/>
      <w:bookmarkStart w:id="927" w:name="_Toc451176317"/>
      <w:bookmarkStart w:id="928" w:name="_Toc451180298"/>
      <w:r w:rsidRPr="0062302B">
        <w:rPr>
          <w:b w:val="0"/>
          <w:bCs w:val="0"/>
          <w:rtl/>
        </w:rPr>
        <w:lastRenderedPageBreak/>
        <w:t>سندات الدين غير المصنفة من قبل جهة تصنيف معترف بها والتي تحقق كافة الشروط التالية:</w:t>
      </w:r>
      <w:bookmarkEnd w:id="926"/>
      <w:bookmarkEnd w:id="927"/>
      <w:bookmarkEnd w:id="928"/>
    </w:p>
    <w:p w:rsidR="00B259A6" w:rsidRPr="0062302B" w:rsidRDefault="00C06D2A" w:rsidP="00C06D2A">
      <w:pPr>
        <w:ind w:left="2976" w:hanging="425"/>
        <w:rPr>
          <w:b w:val="0"/>
          <w:bCs w:val="0"/>
          <w:rtl/>
        </w:rPr>
      </w:pPr>
      <w:bookmarkStart w:id="929" w:name="_Toc414888130"/>
      <w:bookmarkStart w:id="930" w:name="_Toc451176318"/>
      <w:bookmarkStart w:id="931" w:name="_Toc451180299"/>
      <w:r>
        <w:rPr>
          <w:rFonts w:hint="cs"/>
          <w:b w:val="0"/>
          <w:bCs w:val="0"/>
          <w:rtl/>
        </w:rPr>
        <w:t>أ</w:t>
      </w:r>
      <w:r w:rsidR="00C51591">
        <w:rPr>
          <w:rFonts w:hint="cs"/>
          <w:b w:val="0"/>
          <w:bCs w:val="0"/>
          <w:rtl/>
        </w:rPr>
        <w:t>.</w:t>
      </w:r>
      <w:r w:rsidR="00B259A6" w:rsidRPr="0062302B">
        <w:rPr>
          <w:b w:val="0"/>
          <w:bCs w:val="0"/>
          <w:rtl/>
        </w:rPr>
        <w:tab/>
        <w:t>صادرة عن بنك.</w:t>
      </w:r>
      <w:bookmarkEnd w:id="929"/>
      <w:bookmarkEnd w:id="930"/>
      <w:bookmarkEnd w:id="931"/>
    </w:p>
    <w:p w:rsidR="00B259A6" w:rsidRPr="0062302B" w:rsidRDefault="00C06D2A" w:rsidP="00C06D2A">
      <w:pPr>
        <w:ind w:left="2976" w:hanging="425"/>
        <w:rPr>
          <w:b w:val="0"/>
          <w:bCs w:val="0"/>
          <w:rtl/>
        </w:rPr>
      </w:pPr>
      <w:bookmarkStart w:id="932" w:name="_Toc414888131"/>
      <w:bookmarkStart w:id="933" w:name="_Toc451176319"/>
      <w:bookmarkStart w:id="934" w:name="_Toc451180300"/>
      <w:r>
        <w:rPr>
          <w:rFonts w:hint="cs"/>
          <w:b w:val="0"/>
          <w:bCs w:val="0"/>
          <w:rtl/>
        </w:rPr>
        <w:t>ب</w:t>
      </w:r>
      <w:r w:rsidR="007B3C24">
        <w:rPr>
          <w:rFonts w:hint="cs"/>
          <w:b w:val="0"/>
          <w:bCs w:val="0"/>
          <w:rtl/>
        </w:rPr>
        <w:t>.</w:t>
      </w:r>
      <w:r w:rsidR="00B259A6" w:rsidRPr="0062302B">
        <w:rPr>
          <w:b w:val="0"/>
          <w:bCs w:val="0"/>
          <w:rtl/>
        </w:rPr>
        <w:tab/>
        <w:t>مدرجة في سوق مالي معترف به.</w:t>
      </w:r>
      <w:bookmarkEnd w:id="932"/>
      <w:bookmarkEnd w:id="933"/>
      <w:bookmarkEnd w:id="934"/>
    </w:p>
    <w:p w:rsidR="00B259A6" w:rsidRPr="0062302B" w:rsidRDefault="00C06D2A" w:rsidP="00C06D2A">
      <w:pPr>
        <w:ind w:left="2976" w:hanging="425"/>
        <w:contextualSpacing/>
        <w:rPr>
          <w:b w:val="0"/>
          <w:bCs w:val="0"/>
          <w:rtl/>
        </w:rPr>
      </w:pPr>
      <w:bookmarkStart w:id="935" w:name="_Toc414888132"/>
      <w:bookmarkStart w:id="936" w:name="_Toc451176320"/>
      <w:bookmarkStart w:id="937" w:name="_Toc451180301"/>
      <w:r>
        <w:rPr>
          <w:rFonts w:hint="cs"/>
          <w:b w:val="0"/>
          <w:bCs w:val="0"/>
          <w:rtl/>
        </w:rPr>
        <w:t>ج</w:t>
      </w:r>
      <w:r w:rsidR="00B259A6" w:rsidRPr="0062302B">
        <w:rPr>
          <w:b w:val="0"/>
          <w:bCs w:val="0"/>
          <w:rtl/>
        </w:rPr>
        <w:t>.</w:t>
      </w:r>
      <w:r w:rsidR="00B259A6" w:rsidRPr="0062302B">
        <w:rPr>
          <w:b w:val="0"/>
          <w:bCs w:val="0"/>
          <w:rtl/>
        </w:rPr>
        <w:tab/>
        <w:t>مصنفة كدين له أولوية سداد (</w:t>
      </w:r>
      <w:r w:rsidR="00AE73E0" w:rsidRPr="0062302B">
        <w:rPr>
          <w:b w:val="0"/>
          <w:bCs w:val="0"/>
        </w:rPr>
        <w:t>Senior</w:t>
      </w:r>
      <w:r w:rsidR="00B259A6" w:rsidRPr="0062302B">
        <w:rPr>
          <w:b w:val="0"/>
          <w:bCs w:val="0"/>
          <w:rtl/>
        </w:rPr>
        <w:t>).</w:t>
      </w:r>
      <w:bookmarkEnd w:id="935"/>
      <w:bookmarkEnd w:id="936"/>
      <w:bookmarkEnd w:id="937"/>
    </w:p>
    <w:p w:rsidR="00B259A6" w:rsidRPr="0062302B" w:rsidRDefault="00C06D2A" w:rsidP="00C06D2A">
      <w:pPr>
        <w:ind w:left="2976" w:hanging="425"/>
        <w:contextualSpacing/>
        <w:rPr>
          <w:b w:val="0"/>
          <w:bCs w:val="0"/>
          <w:rtl/>
        </w:rPr>
      </w:pPr>
      <w:bookmarkStart w:id="938" w:name="_Toc414888133"/>
      <w:bookmarkStart w:id="939" w:name="_Toc451176321"/>
      <w:bookmarkStart w:id="940" w:name="_Toc451180302"/>
      <w:r>
        <w:rPr>
          <w:rFonts w:hint="cs"/>
          <w:b w:val="0"/>
          <w:bCs w:val="0"/>
          <w:rtl/>
        </w:rPr>
        <w:t>د</w:t>
      </w:r>
      <w:r w:rsidR="00B259A6" w:rsidRPr="0062302B">
        <w:rPr>
          <w:b w:val="0"/>
          <w:bCs w:val="0"/>
          <w:rtl/>
        </w:rPr>
        <w:t>.</w:t>
      </w:r>
      <w:r w:rsidR="00B259A6" w:rsidRPr="0062302B">
        <w:rPr>
          <w:b w:val="0"/>
          <w:bCs w:val="0"/>
          <w:rtl/>
        </w:rPr>
        <w:tab/>
        <w:t xml:space="preserve">جميع السندات المصنفة ذات نفس درجة الأولوية الصادرة عن نفس البنك لا يقل تصنيفها عن </w:t>
      </w:r>
      <w:r w:rsidR="00B259A6" w:rsidRPr="0062302B">
        <w:rPr>
          <w:b w:val="0"/>
          <w:bCs w:val="0"/>
        </w:rPr>
        <w:t>BBB-</w:t>
      </w:r>
      <w:r w:rsidR="00B259A6" w:rsidRPr="0062302B">
        <w:rPr>
          <w:b w:val="0"/>
          <w:bCs w:val="0"/>
          <w:rtl/>
        </w:rPr>
        <w:t xml:space="preserve"> أو </w:t>
      </w:r>
      <w:r w:rsidR="00B259A6" w:rsidRPr="0062302B">
        <w:rPr>
          <w:b w:val="0"/>
          <w:bCs w:val="0"/>
        </w:rPr>
        <w:t>A-3/P-3</w:t>
      </w:r>
      <w:r w:rsidR="00B259A6" w:rsidRPr="0062302B">
        <w:rPr>
          <w:b w:val="0"/>
          <w:bCs w:val="0"/>
          <w:rtl/>
        </w:rPr>
        <w:t xml:space="preserve"> من قبل مؤسسات تصنيف خارجي معترف بها.</w:t>
      </w:r>
      <w:bookmarkEnd w:id="938"/>
      <w:bookmarkEnd w:id="939"/>
      <w:bookmarkEnd w:id="940"/>
    </w:p>
    <w:p w:rsidR="00B259A6" w:rsidRPr="0062302B" w:rsidRDefault="00C06D2A" w:rsidP="00C06D2A">
      <w:pPr>
        <w:ind w:left="2976" w:hanging="425"/>
        <w:contextualSpacing/>
        <w:rPr>
          <w:b w:val="0"/>
          <w:bCs w:val="0"/>
          <w:rtl/>
        </w:rPr>
      </w:pPr>
      <w:bookmarkStart w:id="941" w:name="_Toc414888134"/>
      <w:bookmarkStart w:id="942" w:name="_Toc451176322"/>
      <w:bookmarkStart w:id="943" w:name="_Toc451180303"/>
      <w:r>
        <w:rPr>
          <w:rFonts w:hint="cs"/>
          <w:b w:val="0"/>
          <w:bCs w:val="0"/>
          <w:rtl/>
        </w:rPr>
        <w:t>ه</w:t>
      </w:r>
      <w:r w:rsidR="00B259A6" w:rsidRPr="0062302B">
        <w:rPr>
          <w:b w:val="0"/>
          <w:bCs w:val="0"/>
          <w:rtl/>
        </w:rPr>
        <w:t>.</w:t>
      </w:r>
      <w:r w:rsidR="00B259A6" w:rsidRPr="0062302B">
        <w:rPr>
          <w:b w:val="0"/>
          <w:bCs w:val="0"/>
          <w:rtl/>
        </w:rPr>
        <w:tab/>
        <w:t xml:space="preserve">أن لا يوجد لدى البنك المرهون لصالحه السندات أي معلومات تبرر تصنيف مثل هذه السندات بأقل من </w:t>
      </w:r>
      <w:r w:rsidR="00B259A6" w:rsidRPr="0062302B">
        <w:rPr>
          <w:b w:val="0"/>
          <w:bCs w:val="0"/>
        </w:rPr>
        <w:t>BBB-</w:t>
      </w:r>
      <w:r w:rsidR="00B259A6" w:rsidRPr="0062302B">
        <w:rPr>
          <w:b w:val="0"/>
          <w:bCs w:val="0"/>
          <w:rtl/>
        </w:rPr>
        <w:t xml:space="preserve"> أو </w:t>
      </w:r>
      <w:r w:rsidR="00B259A6" w:rsidRPr="0062302B">
        <w:rPr>
          <w:b w:val="0"/>
          <w:bCs w:val="0"/>
        </w:rPr>
        <w:t>A-3/P-3</w:t>
      </w:r>
      <w:r w:rsidR="00B259A6" w:rsidRPr="0062302B">
        <w:rPr>
          <w:b w:val="0"/>
          <w:bCs w:val="0"/>
          <w:rtl/>
        </w:rPr>
        <w:t>.</w:t>
      </w:r>
      <w:bookmarkEnd w:id="941"/>
      <w:bookmarkEnd w:id="942"/>
      <w:bookmarkEnd w:id="943"/>
    </w:p>
    <w:p w:rsidR="00B259A6" w:rsidRPr="0062302B" w:rsidRDefault="00C06D2A" w:rsidP="00C06D2A">
      <w:pPr>
        <w:ind w:left="2976" w:hanging="425"/>
        <w:contextualSpacing/>
        <w:rPr>
          <w:b w:val="0"/>
          <w:bCs w:val="0"/>
          <w:rtl/>
        </w:rPr>
      </w:pPr>
      <w:bookmarkStart w:id="944" w:name="_Toc414888135"/>
      <w:bookmarkStart w:id="945" w:name="_Toc451176323"/>
      <w:bookmarkStart w:id="946" w:name="_Toc451180304"/>
      <w:r>
        <w:rPr>
          <w:rFonts w:hint="cs"/>
          <w:b w:val="0"/>
          <w:bCs w:val="0"/>
          <w:rtl/>
        </w:rPr>
        <w:t>و</w:t>
      </w:r>
      <w:r w:rsidR="00B259A6" w:rsidRPr="0062302B">
        <w:rPr>
          <w:b w:val="0"/>
          <w:bCs w:val="0"/>
          <w:rtl/>
        </w:rPr>
        <w:t>.</w:t>
      </w:r>
      <w:r w:rsidR="00B259A6" w:rsidRPr="0062302B">
        <w:rPr>
          <w:b w:val="0"/>
          <w:bCs w:val="0"/>
          <w:rtl/>
        </w:rPr>
        <w:tab/>
        <w:t>أن تتوفر لدى البنك المركزي القناعة بكفاية السيولة السوقية للسند.</w:t>
      </w:r>
      <w:bookmarkEnd w:id="944"/>
      <w:bookmarkEnd w:id="945"/>
      <w:bookmarkEnd w:id="946"/>
    </w:p>
    <w:p w:rsidR="00B259A6" w:rsidRPr="0062302B" w:rsidRDefault="00B259A6" w:rsidP="00D85144">
      <w:pPr>
        <w:pStyle w:val="ListParagraph"/>
        <w:numPr>
          <w:ilvl w:val="0"/>
          <w:numId w:val="29"/>
        </w:numPr>
        <w:ind w:left="2551" w:hanging="425"/>
        <w:rPr>
          <w:b w:val="0"/>
          <w:bCs w:val="0"/>
          <w:rtl/>
        </w:rPr>
      </w:pPr>
      <w:bookmarkStart w:id="947" w:name="_Toc414888136"/>
      <w:bookmarkStart w:id="948" w:name="_Toc451176324"/>
      <w:bookmarkStart w:id="949" w:name="_Toc451180305"/>
      <w:r w:rsidRPr="0062302B">
        <w:rPr>
          <w:b w:val="0"/>
          <w:bCs w:val="0"/>
          <w:rtl/>
        </w:rPr>
        <w:t>الأسهم المتداولة ( بما فيها السندات القابلة للتحويل لأسهم) والمدرجة ضمن مؤشر رئيسي للسوق (</w:t>
      </w:r>
      <w:r w:rsidRPr="0062302B">
        <w:rPr>
          <w:b w:val="0"/>
          <w:bCs w:val="0"/>
        </w:rPr>
        <w:t>Main Index</w:t>
      </w:r>
      <w:r w:rsidRPr="0062302B">
        <w:rPr>
          <w:b w:val="0"/>
          <w:bCs w:val="0"/>
          <w:rtl/>
        </w:rPr>
        <w:t>).</w:t>
      </w:r>
      <w:bookmarkEnd w:id="947"/>
      <w:bookmarkEnd w:id="948"/>
      <w:bookmarkEnd w:id="949"/>
    </w:p>
    <w:p w:rsidR="00B259A6" w:rsidRPr="0062302B" w:rsidRDefault="00B259A6" w:rsidP="00D85144">
      <w:pPr>
        <w:pStyle w:val="ListParagraph"/>
        <w:numPr>
          <w:ilvl w:val="0"/>
          <w:numId w:val="29"/>
        </w:numPr>
        <w:ind w:left="2551" w:hanging="425"/>
        <w:rPr>
          <w:b w:val="0"/>
          <w:bCs w:val="0"/>
          <w:rtl/>
        </w:rPr>
      </w:pPr>
      <w:bookmarkStart w:id="950" w:name="_Toc414888137"/>
      <w:bookmarkStart w:id="951" w:name="_Toc451176325"/>
      <w:bookmarkStart w:id="952" w:name="_Toc451180306"/>
      <w:r w:rsidRPr="0062302B">
        <w:rPr>
          <w:b w:val="0"/>
          <w:bCs w:val="0"/>
          <w:rtl/>
        </w:rPr>
        <w:t>صناديق الاستثمار المشترك وما هو بحكمها على أن يكون:</w:t>
      </w:r>
      <w:bookmarkEnd w:id="950"/>
      <w:bookmarkEnd w:id="951"/>
      <w:bookmarkEnd w:id="952"/>
    </w:p>
    <w:p w:rsidR="00B259A6" w:rsidRPr="0062302B" w:rsidRDefault="00C06D2A" w:rsidP="00C06D2A">
      <w:pPr>
        <w:ind w:left="2976" w:hanging="425"/>
        <w:contextualSpacing/>
        <w:rPr>
          <w:b w:val="0"/>
          <w:bCs w:val="0"/>
          <w:rtl/>
        </w:rPr>
      </w:pPr>
      <w:bookmarkStart w:id="953" w:name="_Toc414888138"/>
      <w:bookmarkStart w:id="954" w:name="_Toc451176326"/>
      <w:bookmarkStart w:id="955" w:name="_Toc451180307"/>
      <w:r>
        <w:rPr>
          <w:rFonts w:hint="cs"/>
          <w:b w:val="0"/>
          <w:bCs w:val="0"/>
          <w:rtl/>
        </w:rPr>
        <w:t>أ</w:t>
      </w:r>
      <w:r w:rsidR="00C51591">
        <w:rPr>
          <w:rFonts w:hint="cs"/>
          <w:b w:val="0"/>
          <w:bCs w:val="0"/>
          <w:rtl/>
        </w:rPr>
        <w:t>.</w:t>
      </w:r>
      <w:r w:rsidR="00B259A6" w:rsidRPr="0062302B">
        <w:rPr>
          <w:b w:val="0"/>
          <w:bCs w:val="0"/>
          <w:rtl/>
        </w:rPr>
        <w:tab/>
        <w:t>لها سعر وحدة متداول يومياً بالسوق.</w:t>
      </w:r>
      <w:bookmarkEnd w:id="953"/>
      <w:bookmarkEnd w:id="954"/>
      <w:bookmarkEnd w:id="955"/>
    </w:p>
    <w:p w:rsidR="00B259A6" w:rsidRPr="0062302B" w:rsidRDefault="00C06D2A" w:rsidP="00C06D2A">
      <w:pPr>
        <w:ind w:left="2976" w:hanging="425"/>
        <w:contextualSpacing/>
        <w:rPr>
          <w:b w:val="0"/>
          <w:bCs w:val="0"/>
          <w:rtl/>
        </w:rPr>
      </w:pPr>
      <w:bookmarkStart w:id="956" w:name="_Toc414888139"/>
      <w:bookmarkStart w:id="957" w:name="_Toc451176327"/>
      <w:bookmarkStart w:id="958" w:name="_Toc451180308"/>
      <w:r>
        <w:rPr>
          <w:rFonts w:hint="cs"/>
          <w:b w:val="0"/>
          <w:bCs w:val="0"/>
          <w:rtl/>
        </w:rPr>
        <w:t>ب</w:t>
      </w:r>
      <w:r w:rsidR="00B259A6" w:rsidRPr="0062302B">
        <w:rPr>
          <w:b w:val="0"/>
          <w:bCs w:val="0"/>
          <w:rtl/>
        </w:rPr>
        <w:t>.</w:t>
      </w:r>
      <w:r w:rsidR="00B259A6" w:rsidRPr="0062302B">
        <w:rPr>
          <w:b w:val="0"/>
          <w:bCs w:val="0"/>
          <w:rtl/>
        </w:rPr>
        <w:tab/>
        <w:t>كافة استثمارات الصندوق محصورة في الضمانات المذكورة أعلاه.</w:t>
      </w:r>
      <w:bookmarkEnd w:id="956"/>
      <w:bookmarkEnd w:id="957"/>
      <w:bookmarkEnd w:id="958"/>
    </w:p>
    <w:p w:rsidR="00B259A6" w:rsidRPr="0062302B" w:rsidRDefault="00B259A6" w:rsidP="00206447">
      <w:pPr>
        <w:spacing w:after="0"/>
        <w:ind w:left="2126" w:hanging="851"/>
        <w:rPr>
          <w:b w:val="0"/>
          <w:bCs w:val="0"/>
          <w:rtl/>
        </w:rPr>
      </w:pPr>
      <w:bookmarkStart w:id="959" w:name="_Toc414888140"/>
      <w:bookmarkStart w:id="960" w:name="_Toc451176328"/>
      <w:bookmarkStart w:id="961" w:name="_Toc451180309"/>
      <w:r w:rsidRPr="0062302B">
        <w:rPr>
          <w:b w:val="0"/>
          <w:bCs w:val="0"/>
          <w:rtl/>
        </w:rPr>
        <w:t>2.1.4</w:t>
      </w:r>
      <w:r w:rsidR="00D50680">
        <w:rPr>
          <w:rFonts w:hint="cs"/>
          <w:b w:val="0"/>
          <w:bCs w:val="0"/>
          <w:rtl/>
        </w:rPr>
        <w:t>.</w:t>
      </w:r>
      <w:r w:rsidRPr="0062302B">
        <w:rPr>
          <w:b w:val="0"/>
          <w:bCs w:val="0"/>
          <w:rtl/>
        </w:rPr>
        <w:tab/>
        <w:t>يعترف بالضمانات التالية عند استخدام الأسلوب الشامل:</w:t>
      </w:r>
      <w:bookmarkEnd w:id="959"/>
      <w:bookmarkEnd w:id="960"/>
      <w:bookmarkEnd w:id="961"/>
    </w:p>
    <w:p w:rsidR="00B259A6" w:rsidRPr="0062302B" w:rsidRDefault="00B259A6" w:rsidP="00D85144">
      <w:pPr>
        <w:pStyle w:val="ListParagraph"/>
        <w:numPr>
          <w:ilvl w:val="0"/>
          <w:numId w:val="29"/>
        </w:numPr>
        <w:ind w:left="2551" w:hanging="425"/>
        <w:rPr>
          <w:b w:val="0"/>
          <w:bCs w:val="0"/>
          <w:rtl/>
        </w:rPr>
      </w:pPr>
      <w:bookmarkStart w:id="962" w:name="_Toc414888141"/>
      <w:bookmarkStart w:id="963" w:name="_Toc451176329"/>
      <w:bookmarkStart w:id="964" w:name="_Toc451180310"/>
      <w:r w:rsidRPr="0062302B">
        <w:rPr>
          <w:b w:val="0"/>
          <w:bCs w:val="0"/>
          <w:rtl/>
        </w:rPr>
        <w:t>جميع الضمانات الواردة ضمن الأسلوب البسيط.</w:t>
      </w:r>
      <w:bookmarkEnd w:id="962"/>
      <w:bookmarkEnd w:id="963"/>
      <w:bookmarkEnd w:id="964"/>
    </w:p>
    <w:p w:rsidR="00B259A6" w:rsidRPr="0062302B" w:rsidRDefault="00B259A6" w:rsidP="00D85144">
      <w:pPr>
        <w:pStyle w:val="ListParagraph"/>
        <w:numPr>
          <w:ilvl w:val="0"/>
          <w:numId w:val="29"/>
        </w:numPr>
        <w:ind w:left="2551" w:hanging="425"/>
        <w:rPr>
          <w:b w:val="0"/>
          <w:bCs w:val="0"/>
          <w:rtl/>
        </w:rPr>
      </w:pPr>
      <w:bookmarkStart w:id="965" w:name="_Toc414888142"/>
      <w:bookmarkStart w:id="966" w:name="_Toc451176330"/>
      <w:bookmarkStart w:id="967" w:name="_Toc451180311"/>
      <w:r w:rsidRPr="0062302B">
        <w:rPr>
          <w:b w:val="0"/>
          <w:bCs w:val="0"/>
          <w:rtl/>
        </w:rPr>
        <w:t>الأسهم المتداولة (بما فيها السندات القابلة للتحويل لأسهم) غير المدرجة بالمؤشر الرئيسي للسوق ولكنها متداولة في سوق مالي معترف به.</w:t>
      </w:r>
      <w:bookmarkEnd w:id="965"/>
      <w:bookmarkEnd w:id="966"/>
      <w:bookmarkEnd w:id="967"/>
    </w:p>
    <w:p w:rsidR="0020743F" w:rsidRPr="0020743F" w:rsidRDefault="00B259A6" w:rsidP="00D85144">
      <w:pPr>
        <w:pStyle w:val="ListParagraph"/>
        <w:numPr>
          <w:ilvl w:val="0"/>
          <w:numId w:val="29"/>
        </w:numPr>
        <w:ind w:left="2551" w:hanging="425"/>
        <w:rPr>
          <w:b w:val="0"/>
          <w:bCs w:val="0"/>
          <w:rtl/>
        </w:rPr>
      </w:pPr>
      <w:bookmarkStart w:id="968" w:name="_Toc414888143"/>
      <w:bookmarkStart w:id="969" w:name="_Toc451176331"/>
      <w:bookmarkStart w:id="970" w:name="_Toc451180312"/>
      <w:r w:rsidRPr="0062302B">
        <w:rPr>
          <w:b w:val="0"/>
          <w:bCs w:val="0"/>
          <w:rtl/>
        </w:rPr>
        <w:t>صناديق الاستثمار المشترك التي تحتوي على الأسهم الواردة في البند أعلاه.</w:t>
      </w:r>
      <w:bookmarkEnd w:id="968"/>
      <w:bookmarkEnd w:id="969"/>
      <w:bookmarkEnd w:id="970"/>
    </w:p>
    <w:p w:rsidR="00B259A6" w:rsidRPr="007B3C24" w:rsidRDefault="0020743F" w:rsidP="00811F95">
      <w:pPr>
        <w:spacing w:before="240"/>
        <w:ind w:left="708" w:hanging="425"/>
        <w:rPr>
          <w:rtl/>
        </w:rPr>
      </w:pPr>
      <w:bookmarkStart w:id="971" w:name="_Toc451176332"/>
      <w:bookmarkStart w:id="972" w:name="_Toc451180313"/>
      <w:r>
        <w:rPr>
          <w:rtl/>
        </w:rPr>
        <w:t xml:space="preserve">5. </w:t>
      </w:r>
      <w:r w:rsidR="00B259A6" w:rsidRPr="007B3C24">
        <w:rPr>
          <w:rtl/>
        </w:rPr>
        <w:t xml:space="preserve">الأسلوب البسيط </w:t>
      </w:r>
      <w:r w:rsidR="00B259A6" w:rsidRPr="007B3C24">
        <w:t>Simple Approach</w:t>
      </w:r>
      <w:bookmarkEnd w:id="971"/>
      <w:bookmarkEnd w:id="972"/>
    </w:p>
    <w:p w:rsidR="00B259A6" w:rsidRPr="00DC20B9" w:rsidRDefault="00B259A6" w:rsidP="00DC20B9">
      <w:pPr>
        <w:ind w:left="395" w:firstLine="10"/>
        <w:contextualSpacing/>
        <w:rPr>
          <w:b w:val="0"/>
          <w:bCs w:val="0"/>
          <w:rtl/>
        </w:rPr>
      </w:pPr>
      <w:bookmarkStart w:id="973" w:name="_Toc414888145"/>
      <w:bookmarkStart w:id="974" w:name="_Toc451176333"/>
      <w:bookmarkStart w:id="975" w:name="_Toc451180314"/>
      <w:r w:rsidRPr="0062302B">
        <w:rPr>
          <w:b w:val="0"/>
          <w:bCs w:val="0"/>
          <w:rtl/>
        </w:rPr>
        <w:t>عند استخدام الأسلوب البسيط يتم الاستعاضة عن الوزن الترجيحي للطرف المقابل بالوزن الترجيحي الخاص بالضمان (سواءً كانت التغطية جزئية أو كلية).</w:t>
      </w:r>
      <w:bookmarkEnd w:id="973"/>
      <w:bookmarkEnd w:id="974"/>
      <w:bookmarkEnd w:id="975"/>
      <w:r w:rsidRPr="007B3C24">
        <w:rPr>
          <w:rtl/>
        </w:rPr>
        <w:tab/>
      </w:r>
    </w:p>
    <w:p w:rsidR="00B259A6" w:rsidRPr="007B3C24" w:rsidRDefault="0020743F" w:rsidP="00C06D2A">
      <w:pPr>
        <w:spacing w:before="240"/>
        <w:ind w:left="708" w:hanging="425"/>
      </w:pPr>
      <w:bookmarkStart w:id="976" w:name="_Toc451176334"/>
      <w:bookmarkStart w:id="977" w:name="_Toc451180315"/>
      <w:r>
        <w:rPr>
          <w:rtl/>
        </w:rPr>
        <w:t>6.</w:t>
      </w:r>
      <w:r>
        <w:rPr>
          <w:rFonts w:hint="cs"/>
          <w:rtl/>
        </w:rPr>
        <w:t xml:space="preserve"> </w:t>
      </w:r>
      <w:r w:rsidR="00B259A6" w:rsidRPr="007B3C24">
        <w:rPr>
          <w:rtl/>
        </w:rPr>
        <w:t xml:space="preserve">الحد الأدنى للشروط الواجب توفرها في الضمانات </w:t>
      </w:r>
      <w:r w:rsidR="00B259A6" w:rsidRPr="007B3C24">
        <w:t>Minimum conditions</w:t>
      </w:r>
      <w:bookmarkEnd w:id="976"/>
      <w:bookmarkEnd w:id="977"/>
    </w:p>
    <w:p w:rsidR="00B259A6" w:rsidRPr="0062302B" w:rsidRDefault="00B259A6" w:rsidP="002F28A0">
      <w:pPr>
        <w:ind w:left="1275" w:hanging="709"/>
        <w:rPr>
          <w:b w:val="0"/>
          <w:bCs w:val="0"/>
          <w:rtl/>
        </w:rPr>
      </w:pPr>
      <w:bookmarkStart w:id="978" w:name="_Toc414888147"/>
      <w:bookmarkStart w:id="979" w:name="_Toc451176335"/>
      <w:bookmarkStart w:id="980" w:name="_Toc451180316"/>
      <w:r w:rsidRPr="0062302B">
        <w:rPr>
          <w:b w:val="0"/>
          <w:bCs w:val="0"/>
          <w:rtl/>
        </w:rPr>
        <w:t>1.6</w:t>
      </w:r>
      <w:r w:rsidR="007B3C24">
        <w:rPr>
          <w:rFonts w:hint="cs"/>
          <w:b w:val="0"/>
          <w:bCs w:val="0"/>
          <w:rtl/>
        </w:rPr>
        <w:t>.</w:t>
      </w:r>
      <w:r w:rsidRPr="0062302B">
        <w:rPr>
          <w:b w:val="0"/>
          <w:bCs w:val="0"/>
          <w:rtl/>
        </w:rPr>
        <w:tab/>
        <w:t>أن لا تقل مدة الرهن عن عمر المطالبة الائتمانية.</w:t>
      </w:r>
      <w:bookmarkEnd w:id="978"/>
      <w:bookmarkEnd w:id="979"/>
      <w:bookmarkEnd w:id="980"/>
    </w:p>
    <w:p w:rsidR="00B259A6" w:rsidRPr="0062302B" w:rsidRDefault="00B259A6" w:rsidP="002F28A0">
      <w:pPr>
        <w:ind w:left="1275" w:hanging="709"/>
        <w:rPr>
          <w:b w:val="0"/>
          <w:bCs w:val="0"/>
          <w:rtl/>
        </w:rPr>
      </w:pPr>
      <w:bookmarkStart w:id="981" w:name="_Toc414888148"/>
      <w:bookmarkStart w:id="982" w:name="_Toc451176336"/>
      <w:bookmarkStart w:id="983" w:name="_Toc451180317"/>
      <w:r w:rsidRPr="0062302B">
        <w:rPr>
          <w:b w:val="0"/>
          <w:bCs w:val="0"/>
          <w:rtl/>
        </w:rPr>
        <w:t>2.6</w:t>
      </w:r>
      <w:r w:rsidR="007B3C24">
        <w:rPr>
          <w:rFonts w:hint="cs"/>
          <w:b w:val="0"/>
          <w:bCs w:val="0"/>
          <w:rtl/>
        </w:rPr>
        <w:t>.</w:t>
      </w:r>
      <w:r w:rsidRPr="0062302B">
        <w:rPr>
          <w:b w:val="0"/>
          <w:bCs w:val="0"/>
          <w:rtl/>
        </w:rPr>
        <w:tab/>
        <w:t>أن يتم إعادة تقييمها حسب سعر السوق بحد أقصى كل ستة أشهر.</w:t>
      </w:r>
      <w:bookmarkEnd w:id="981"/>
      <w:bookmarkEnd w:id="982"/>
      <w:bookmarkEnd w:id="983"/>
    </w:p>
    <w:p w:rsidR="00B259A6" w:rsidRPr="0062302B" w:rsidRDefault="00B259A6" w:rsidP="002F28A0">
      <w:pPr>
        <w:ind w:left="1275" w:hanging="709"/>
        <w:rPr>
          <w:b w:val="0"/>
          <w:bCs w:val="0"/>
          <w:rtl/>
        </w:rPr>
      </w:pPr>
      <w:bookmarkStart w:id="984" w:name="_Toc414888149"/>
      <w:bookmarkStart w:id="985" w:name="_Toc451176337"/>
      <w:bookmarkStart w:id="986" w:name="_Toc451180318"/>
      <w:r w:rsidRPr="0062302B">
        <w:rPr>
          <w:b w:val="0"/>
          <w:bCs w:val="0"/>
          <w:rtl/>
        </w:rPr>
        <w:lastRenderedPageBreak/>
        <w:t>3.6</w:t>
      </w:r>
      <w:r w:rsidR="007B3C24">
        <w:rPr>
          <w:rFonts w:hint="cs"/>
          <w:b w:val="0"/>
          <w:bCs w:val="0"/>
          <w:rtl/>
        </w:rPr>
        <w:t>.</w:t>
      </w:r>
      <w:r w:rsidRPr="0062302B">
        <w:rPr>
          <w:b w:val="0"/>
          <w:bCs w:val="0"/>
          <w:rtl/>
        </w:rPr>
        <w:tab/>
        <w:t>في حال التغطية الجزئية، تقسم المطالبة إلى جزئين، جزء مغطى يُعطى وزن المخاطر الترجيحي الخاص بالضمان، وجزء غير مغطى يُعطى وزن المخاطر الترجيحي للطرف المقابل.</w:t>
      </w:r>
      <w:bookmarkEnd w:id="984"/>
      <w:bookmarkEnd w:id="985"/>
      <w:bookmarkEnd w:id="986"/>
    </w:p>
    <w:p w:rsidR="00D50680" w:rsidRDefault="00B259A6" w:rsidP="00DC1993">
      <w:pPr>
        <w:ind w:left="1275" w:hanging="709"/>
        <w:rPr>
          <w:b w:val="0"/>
          <w:bCs w:val="0"/>
          <w:rtl/>
        </w:rPr>
      </w:pPr>
      <w:bookmarkStart w:id="987" w:name="_Toc414888150"/>
      <w:bookmarkStart w:id="988" w:name="_Toc451176338"/>
      <w:bookmarkStart w:id="989" w:name="_Toc451180319"/>
      <w:r w:rsidRPr="0062302B">
        <w:rPr>
          <w:b w:val="0"/>
          <w:bCs w:val="0"/>
          <w:rtl/>
        </w:rPr>
        <w:t>4.6</w:t>
      </w:r>
      <w:r w:rsidR="007B3C24">
        <w:rPr>
          <w:rFonts w:hint="cs"/>
          <w:b w:val="0"/>
          <w:bCs w:val="0"/>
          <w:rtl/>
        </w:rPr>
        <w:t>.</w:t>
      </w:r>
      <w:r w:rsidRPr="0062302B">
        <w:rPr>
          <w:b w:val="0"/>
          <w:bCs w:val="0"/>
          <w:rtl/>
        </w:rPr>
        <w:tab/>
        <w:t xml:space="preserve">يخضع الجزء المغطى بضمان مؤهل لوزن مخاطر ترجيحي حده الأدنى (20%)، أخذا بالاعتبار الاستثناءات الواردة </w:t>
      </w:r>
      <w:r w:rsidR="00DC1993">
        <w:rPr>
          <w:rFonts w:hint="cs"/>
          <w:b w:val="0"/>
          <w:bCs w:val="0"/>
          <w:rtl/>
        </w:rPr>
        <w:t>في البند (7) أدناه</w:t>
      </w:r>
      <w:r w:rsidRPr="0062302B">
        <w:rPr>
          <w:b w:val="0"/>
          <w:bCs w:val="0"/>
          <w:rtl/>
        </w:rPr>
        <w:t>.</w:t>
      </w:r>
      <w:bookmarkEnd w:id="987"/>
      <w:bookmarkEnd w:id="988"/>
      <w:bookmarkEnd w:id="989"/>
    </w:p>
    <w:p w:rsidR="00B259A6" w:rsidRPr="007B3C24" w:rsidRDefault="0020743F" w:rsidP="00811F95">
      <w:pPr>
        <w:spacing w:before="240"/>
        <w:ind w:left="708" w:hanging="425"/>
      </w:pPr>
      <w:bookmarkStart w:id="990" w:name="_Toc451176339"/>
      <w:bookmarkStart w:id="991" w:name="_Toc451180320"/>
      <w:r>
        <w:rPr>
          <w:rtl/>
        </w:rPr>
        <w:t>7.</w:t>
      </w:r>
      <w:r>
        <w:rPr>
          <w:rFonts w:hint="cs"/>
          <w:rtl/>
        </w:rPr>
        <w:t xml:space="preserve"> </w:t>
      </w:r>
      <w:r w:rsidR="00B259A6" w:rsidRPr="007B3C24">
        <w:rPr>
          <w:rtl/>
        </w:rPr>
        <w:t xml:space="preserve">استثناءات الحد الأدنى لوزن المخاطر </w:t>
      </w:r>
      <w:r w:rsidR="00B259A6" w:rsidRPr="007B3C24">
        <w:t>Exceptions to the Risk Weight Floor</w:t>
      </w:r>
      <w:r w:rsidR="00B9753F" w:rsidRPr="007B3C24">
        <w:rPr>
          <w:rtl/>
        </w:rPr>
        <w:t>:</w:t>
      </w:r>
      <w:bookmarkEnd w:id="990"/>
      <w:bookmarkEnd w:id="991"/>
    </w:p>
    <w:p w:rsidR="00B259A6" w:rsidRPr="0062302B" w:rsidRDefault="00B259A6" w:rsidP="002F28A0">
      <w:pPr>
        <w:ind w:left="1275" w:hanging="709"/>
        <w:rPr>
          <w:b w:val="0"/>
          <w:bCs w:val="0"/>
        </w:rPr>
      </w:pPr>
      <w:bookmarkStart w:id="992" w:name="_Toc414888152"/>
      <w:bookmarkStart w:id="993" w:name="_Toc451176340"/>
      <w:bookmarkStart w:id="994" w:name="_Toc451180321"/>
      <w:r w:rsidRPr="0062302B">
        <w:rPr>
          <w:b w:val="0"/>
          <w:bCs w:val="0"/>
          <w:rtl/>
        </w:rPr>
        <w:t>1.7</w:t>
      </w:r>
      <w:r w:rsidR="007B3C24">
        <w:rPr>
          <w:rFonts w:hint="cs"/>
          <w:b w:val="0"/>
          <w:bCs w:val="0"/>
          <w:rtl/>
        </w:rPr>
        <w:t>.</w:t>
      </w:r>
      <w:r w:rsidRPr="0062302B">
        <w:rPr>
          <w:b w:val="0"/>
          <w:bCs w:val="0"/>
          <w:rtl/>
        </w:rPr>
        <w:tab/>
        <w:t>تُعطى العمليات التي تنطبق عليها المعايير المبينة ضمن الفقرة المتعلقة بشروط احتساب نسبة اقتطاع (صفر%) والتي تتم مع المشاركين الرئيسيين في السوق وزن مخاطر ترجيحي (صفر%).</w:t>
      </w:r>
      <w:bookmarkEnd w:id="992"/>
      <w:bookmarkEnd w:id="993"/>
      <w:bookmarkEnd w:id="994"/>
    </w:p>
    <w:p w:rsidR="00B259A6" w:rsidRPr="0062302B" w:rsidRDefault="00B259A6" w:rsidP="002F28A0">
      <w:pPr>
        <w:ind w:left="1275" w:hanging="709"/>
        <w:rPr>
          <w:b w:val="0"/>
          <w:bCs w:val="0"/>
          <w:rtl/>
        </w:rPr>
      </w:pPr>
      <w:bookmarkStart w:id="995" w:name="_Toc414888153"/>
      <w:bookmarkStart w:id="996" w:name="_Toc451176341"/>
      <w:bookmarkStart w:id="997" w:name="_Toc451180322"/>
      <w:r w:rsidRPr="0062302B">
        <w:rPr>
          <w:b w:val="0"/>
          <w:bCs w:val="0"/>
          <w:rtl/>
        </w:rPr>
        <w:t>2.7</w:t>
      </w:r>
      <w:r w:rsidR="00D50680">
        <w:rPr>
          <w:rFonts w:hint="cs"/>
          <w:b w:val="0"/>
          <w:bCs w:val="0"/>
          <w:rtl/>
        </w:rPr>
        <w:t>.</w:t>
      </w:r>
      <w:r w:rsidRPr="0062302B">
        <w:rPr>
          <w:b w:val="0"/>
          <w:bCs w:val="0"/>
          <w:rtl/>
        </w:rPr>
        <w:tab/>
        <w:t>تُعطى العمليات التي تنطبق عليها المعايير المبينة ضمن الفقرة المتعلقة بشروط احتساب نسبة اقتطاع (صفر%) والتي تتم مع المشاركين غير الرئيسيين في السوق وزن مخاطر ترجيحي(10%).</w:t>
      </w:r>
      <w:bookmarkEnd w:id="995"/>
      <w:bookmarkEnd w:id="996"/>
      <w:bookmarkEnd w:id="997"/>
    </w:p>
    <w:p w:rsidR="00B259A6" w:rsidRPr="0062302B" w:rsidRDefault="00B259A6" w:rsidP="002F28A0">
      <w:pPr>
        <w:ind w:left="1275" w:hanging="709"/>
        <w:rPr>
          <w:b w:val="0"/>
          <w:bCs w:val="0"/>
          <w:rtl/>
        </w:rPr>
      </w:pPr>
      <w:bookmarkStart w:id="998" w:name="_Toc414888154"/>
      <w:bookmarkStart w:id="999" w:name="_Toc451176342"/>
      <w:bookmarkStart w:id="1000" w:name="_Toc451180323"/>
      <w:r w:rsidRPr="0062302B">
        <w:rPr>
          <w:b w:val="0"/>
          <w:bCs w:val="0"/>
          <w:rtl/>
        </w:rPr>
        <w:t>3.7</w:t>
      </w:r>
      <w:r w:rsidR="00D50680">
        <w:rPr>
          <w:rFonts w:hint="cs"/>
          <w:b w:val="0"/>
          <w:bCs w:val="0"/>
          <w:rtl/>
        </w:rPr>
        <w:t>.</w:t>
      </w:r>
      <w:r w:rsidRPr="0062302B">
        <w:rPr>
          <w:b w:val="0"/>
          <w:bCs w:val="0"/>
          <w:rtl/>
        </w:rPr>
        <w:tab/>
        <w:t>يمكن إعطاء وزن مخاطر ترجيحي(صفر %) للمطالبات المضمونة شريطة أن يكون التعرض الائتماني والضمان بنفس العملة و:</w:t>
      </w:r>
      <w:bookmarkEnd w:id="998"/>
      <w:bookmarkEnd w:id="999"/>
      <w:bookmarkEnd w:id="1000"/>
      <w:r w:rsidRPr="0062302B">
        <w:rPr>
          <w:b w:val="0"/>
          <w:bCs w:val="0"/>
          <w:rtl/>
        </w:rPr>
        <w:t xml:space="preserve"> </w:t>
      </w:r>
    </w:p>
    <w:p w:rsidR="00B259A6" w:rsidRPr="0062302B" w:rsidRDefault="00B259A6" w:rsidP="00C06D2A">
      <w:pPr>
        <w:ind w:left="2126" w:hanging="851"/>
        <w:contextualSpacing/>
        <w:rPr>
          <w:b w:val="0"/>
          <w:bCs w:val="0"/>
        </w:rPr>
      </w:pPr>
      <w:bookmarkStart w:id="1001" w:name="_Toc414888155"/>
      <w:bookmarkStart w:id="1002" w:name="_Toc451176343"/>
      <w:bookmarkStart w:id="1003" w:name="_Toc451180324"/>
      <w:r w:rsidRPr="0062302B">
        <w:rPr>
          <w:b w:val="0"/>
          <w:bCs w:val="0"/>
          <w:rtl/>
        </w:rPr>
        <w:t>1.3.7</w:t>
      </w:r>
      <w:r w:rsidR="00D50680">
        <w:rPr>
          <w:rFonts w:hint="cs"/>
          <w:b w:val="0"/>
          <w:bCs w:val="0"/>
          <w:rtl/>
        </w:rPr>
        <w:t>.</w:t>
      </w:r>
      <w:r w:rsidRPr="0062302B">
        <w:rPr>
          <w:b w:val="0"/>
          <w:bCs w:val="0"/>
          <w:rtl/>
        </w:rPr>
        <w:tab/>
        <w:t>الضمان عبارة عن ضمان نقدي أو ما هو بحكمه.</w:t>
      </w:r>
      <w:bookmarkEnd w:id="1001"/>
      <w:bookmarkEnd w:id="1002"/>
      <w:bookmarkEnd w:id="1003"/>
    </w:p>
    <w:p w:rsidR="00B259A6" w:rsidRPr="0062302B" w:rsidRDefault="00B259A6" w:rsidP="00C06D2A">
      <w:pPr>
        <w:ind w:left="2126" w:hanging="851"/>
        <w:contextualSpacing/>
        <w:rPr>
          <w:b w:val="0"/>
          <w:bCs w:val="0"/>
          <w:rtl/>
        </w:rPr>
      </w:pPr>
      <w:bookmarkStart w:id="1004" w:name="_Toc414888156"/>
      <w:bookmarkStart w:id="1005" w:name="_Toc451176344"/>
      <w:bookmarkStart w:id="1006" w:name="_Toc451180325"/>
      <w:r w:rsidRPr="0062302B">
        <w:rPr>
          <w:b w:val="0"/>
          <w:bCs w:val="0"/>
          <w:rtl/>
        </w:rPr>
        <w:t>2.3.7</w:t>
      </w:r>
      <w:r w:rsidR="00D50680">
        <w:rPr>
          <w:rFonts w:hint="cs"/>
          <w:b w:val="0"/>
          <w:bCs w:val="0"/>
          <w:rtl/>
        </w:rPr>
        <w:t>.</w:t>
      </w:r>
      <w:r w:rsidRPr="0062302B">
        <w:rPr>
          <w:b w:val="0"/>
          <w:bCs w:val="0"/>
          <w:rtl/>
        </w:rPr>
        <w:tab/>
        <w:t>الضمان عبا</w:t>
      </w:r>
      <w:r w:rsidR="00B9753F" w:rsidRPr="0062302B">
        <w:rPr>
          <w:b w:val="0"/>
          <w:bCs w:val="0"/>
          <w:rtl/>
        </w:rPr>
        <w:t>رة عن سندات صادرة عن الحكومة و/</w:t>
      </w:r>
      <w:r w:rsidRPr="0062302B">
        <w:rPr>
          <w:b w:val="0"/>
          <w:bCs w:val="0"/>
          <w:rtl/>
        </w:rPr>
        <w:t>أو مؤسسات القطاع العام المؤهلة لوزن مخاطر ترجيحي (صفر%)، وان تكون القيمة السوقية لهذه السندات مخصومة بنسبة (20%).</w:t>
      </w:r>
      <w:bookmarkEnd w:id="1004"/>
      <w:bookmarkEnd w:id="1005"/>
      <w:bookmarkEnd w:id="1006"/>
    </w:p>
    <w:p w:rsidR="00B259A6" w:rsidRPr="0062302B" w:rsidRDefault="00B259A6" w:rsidP="00C06D2A">
      <w:pPr>
        <w:ind w:left="2126" w:hanging="851"/>
        <w:contextualSpacing/>
        <w:rPr>
          <w:b w:val="0"/>
          <w:bCs w:val="0"/>
          <w:rtl/>
        </w:rPr>
      </w:pPr>
      <w:bookmarkStart w:id="1007" w:name="_Toc414888157"/>
      <w:bookmarkStart w:id="1008" w:name="_Toc451176345"/>
      <w:bookmarkStart w:id="1009" w:name="_Toc451180326"/>
      <w:r w:rsidRPr="0062302B">
        <w:rPr>
          <w:b w:val="0"/>
          <w:bCs w:val="0"/>
          <w:rtl/>
        </w:rPr>
        <w:t>3.3.7</w:t>
      </w:r>
      <w:r w:rsidR="00D50680">
        <w:rPr>
          <w:rFonts w:hint="cs"/>
          <w:b w:val="0"/>
          <w:bCs w:val="0"/>
          <w:rtl/>
        </w:rPr>
        <w:t>.</w:t>
      </w:r>
      <w:r w:rsidRPr="0062302B">
        <w:rPr>
          <w:b w:val="0"/>
          <w:bCs w:val="0"/>
          <w:rtl/>
        </w:rPr>
        <w:tab/>
        <w:t>في حال كان الضمان عبارة عن ضمان نقدي وكان بعملة مختلفة عن عملة التعرض الائتماني، عندها يتم إخضاع الضمان النقدي لنسبة خصم مقدارها (8%).</w:t>
      </w:r>
      <w:bookmarkEnd w:id="1007"/>
      <w:bookmarkEnd w:id="1008"/>
      <w:bookmarkEnd w:id="1009"/>
      <w:r w:rsidRPr="0062302B">
        <w:rPr>
          <w:b w:val="0"/>
          <w:bCs w:val="0"/>
          <w:rtl/>
        </w:rPr>
        <w:t xml:space="preserve"> </w:t>
      </w:r>
    </w:p>
    <w:p w:rsidR="00B259A6" w:rsidRPr="0062302B" w:rsidRDefault="00B259A6" w:rsidP="002F28A0">
      <w:pPr>
        <w:ind w:left="1275" w:hanging="709"/>
        <w:rPr>
          <w:b w:val="0"/>
          <w:bCs w:val="0"/>
          <w:rtl/>
        </w:rPr>
      </w:pPr>
      <w:bookmarkStart w:id="1010" w:name="_Toc414888158"/>
      <w:bookmarkStart w:id="1011" w:name="_Toc451176346"/>
      <w:bookmarkStart w:id="1012" w:name="_Toc451180327"/>
      <w:r w:rsidRPr="0062302B">
        <w:rPr>
          <w:b w:val="0"/>
          <w:bCs w:val="0"/>
          <w:rtl/>
        </w:rPr>
        <w:t>4.7</w:t>
      </w:r>
      <w:r w:rsidR="00D50680">
        <w:rPr>
          <w:rFonts w:hint="cs"/>
          <w:b w:val="0"/>
          <w:bCs w:val="0"/>
          <w:rtl/>
        </w:rPr>
        <w:t>.</w:t>
      </w:r>
      <w:r w:rsidRPr="0062302B">
        <w:rPr>
          <w:b w:val="0"/>
          <w:bCs w:val="0"/>
          <w:rtl/>
        </w:rPr>
        <w:tab/>
        <w:t xml:space="preserve">تُعطى المشتقات المالية غير النظامية </w:t>
      </w:r>
      <w:r w:rsidRPr="0062302B">
        <w:rPr>
          <w:b w:val="0"/>
          <w:bCs w:val="0"/>
        </w:rPr>
        <w:t>OTC</w:t>
      </w:r>
      <w:r w:rsidRPr="0062302B">
        <w:rPr>
          <w:b w:val="0"/>
          <w:bCs w:val="0"/>
          <w:rtl/>
        </w:rPr>
        <w:t xml:space="preserve"> وزن مخاطر ترجيحي (صفر%) إذا انطبق عليها الآتي:-</w:t>
      </w:r>
      <w:bookmarkEnd w:id="1010"/>
      <w:bookmarkEnd w:id="1011"/>
      <w:bookmarkEnd w:id="1012"/>
    </w:p>
    <w:p w:rsidR="00B259A6" w:rsidRPr="0062302B" w:rsidRDefault="00B259A6" w:rsidP="00C06D2A">
      <w:pPr>
        <w:ind w:left="2126" w:hanging="851"/>
        <w:contextualSpacing/>
        <w:rPr>
          <w:b w:val="0"/>
          <w:bCs w:val="0"/>
        </w:rPr>
      </w:pPr>
      <w:bookmarkStart w:id="1013" w:name="_Toc414888159"/>
      <w:bookmarkStart w:id="1014" w:name="_Toc451176347"/>
      <w:bookmarkStart w:id="1015" w:name="_Toc451180328"/>
      <w:r w:rsidRPr="0062302B">
        <w:rPr>
          <w:b w:val="0"/>
          <w:bCs w:val="0"/>
          <w:rtl/>
        </w:rPr>
        <w:t>1.4.7</w:t>
      </w:r>
      <w:r w:rsidR="00D50680">
        <w:rPr>
          <w:rFonts w:hint="cs"/>
          <w:b w:val="0"/>
          <w:bCs w:val="0"/>
          <w:rtl/>
        </w:rPr>
        <w:t>.</w:t>
      </w:r>
      <w:r w:rsidRPr="0062302B">
        <w:rPr>
          <w:b w:val="0"/>
          <w:bCs w:val="0"/>
          <w:rtl/>
        </w:rPr>
        <w:tab/>
        <w:t>أن تقيم يومياً حسب سعر السوق</w:t>
      </w:r>
      <w:bookmarkEnd w:id="1013"/>
      <w:bookmarkEnd w:id="1014"/>
      <w:bookmarkEnd w:id="1015"/>
    </w:p>
    <w:p w:rsidR="00B259A6" w:rsidRDefault="00B259A6" w:rsidP="00C06D2A">
      <w:pPr>
        <w:ind w:left="2126" w:hanging="851"/>
        <w:rPr>
          <w:b w:val="0"/>
          <w:bCs w:val="0"/>
          <w:rtl/>
        </w:rPr>
      </w:pPr>
      <w:bookmarkStart w:id="1016" w:name="_Toc414888160"/>
      <w:bookmarkStart w:id="1017" w:name="_Toc451176348"/>
      <w:bookmarkStart w:id="1018" w:name="_Toc451180329"/>
      <w:r w:rsidRPr="0062302B">
        <w:rPr>
          <w:b w:val="0"/>
          <w:bCs w:val="0"/>
          <w:rtl/>
        </w:rPr>
        <w:t>2.4.7</w:t>
      </w:r>
      <w:r w:rsidR="00D50680">
        <w:rPr>
          <w:rFonts w:hint="cs"/>
          <w:b w:val="0"/>
          <w:bCs w:val="0"/>
          <w:rtl/>
        </w:rPr>
        <w:t>.</w:t>
      </w:r>
      <w:r w:rsidRPr="0062302B">
        <w:rPr>
          <w:b w:val="0"/>
          <w:bCs w:val="0"/>
          <w:rtl/>
        </w:rPr>
        <w:tab/>
        <w:t>أن تكون مغطاة بتأمين نقدي بنفس العملة</w:t>
      </w:r>
      <w:bookmarkEnd w:id="1016"/>
      <w:bookmarkEnd w:id="1017"/>
      <w:bookmarkEnd w:id="1018"/>
    </w:p>
    <w:p w:rsidR="00B259A6" w:rsidRPr="00D50680" w:rsidRDefault="0020743F" w:rsidP="00206447">
      <w:pPr>
        <w:spacing w:after="0"/>
        <w:ind w:left="708" w:hanging="425"/>
        <w:rPr>
          <w:rtl/>
        </w:rPr>
      </w:pPr>
      <w:bookmarkStart w:id="1019" w:name="_Toc451176349"/>
      <w:bookmarkStart w:id="1020" w:name="_Toc451180330"/>
      <w:r>
        <w:rPr>
          <w:rtl/>
        </w:rPr>
        <w:t>8.</w:t>
      </w:r>
      <w:r w:rsidR="00C51591">
        <w:rPr>
          <w:rFonts w:hint="cs"/>
          <w:rtl/>
        </w:rPr>
        <w:t xml:space="preserve"> </w:t>
      </w:r>
      <w:r w:rsidR="00B259A6" w:rsidRPr="00D50680">
        <w:rPr>
          <w:rtl/>
        </w:rPr>
        <w:t>عمليات المشتقات المالية غير النظامية المغطاة بضمانات</w:t>
      </w:r>
      <w:r w:rsidR="00B9753F" w:rsidRPr="00D50680">
        <w:rPr>
          <w:rtl/>
        </w:rPr>
        <w:br/>
      </w:r>
      <w:r w:rsidR="00B259A6" w:rsidRPr="00D50680">
        <w:t xml:space="preserve">Collateralized OTC </w:t>
      </w:r>
      <w:r w:rsidR="00B9753F" w:rsidRPr="00D50680">
        <w:t>D</w:t>
      </w:r>
      <w:r w:rsidR="00B259A6" w:rsidRPr="00D50680">
        <w:t xml:space="preserve">erivatives </w:t>
      </w:r>
      <w:r w:rsidR="00B9753F" w:rsidRPr="00D50680">
        <w:t>T</w:t>
      </w:r>
      <w:r w:rsidR="00B259A6" w:rsidRPr="00D50680">
        <w:t>ransactions</w:t>
      </w:r>
      <w:r w:rsidR="00B9753F" w:rsidRPr="00D50680">
        <w:rPr>
          <w:rtl/>
        </w:rPr>
        <w:t>:</w:t>
      </w:r>
      <w:bookmarkEnd w:id="1019"/>
      <w:bookmarkEnd w:id="1020"/>
    </w:p>
    <w:p w:rsidR="00B259A6" w:rsidRDefault="00B259A6" w:rsidP="002F28A0">
      <w:pPr>
        <w:ind w:left="1275" w:hanging="709"/>
        <w:rPr>
          <w:b w:val="0"/>
          <w:bCs w:val="0"/>
          <w:rtl/>
        </w:rPr>
      </w:pPr>
      <w:bookmarkStart w:id="1021" w:name="_Toc414888162"/>
      <w:bookmarkStart w:id="1022" w:name="_Toc451176350"/>
      <w:bookmarkStart w:id="1023" w:name="_Toc451180331"/>
      <w:r w:rsidRPr="0062302B">
        <w:rPr>
          <w:b w:val="0"/>
          <w:bCs w:val="0"/>
          <w:rtl/>
        </w:rPr>
        <w:t>1.8</w:t>
      </w:r>
      <w:r w:rsidR="00D50680">
        <w:rPr>
          <w:rFonts w:hint="cs"/>
          <w:b w:val="0"/>
          <w:bCs w:val="0"/>
          <w:rtl/>
        </w:rPr>
        <w:t>.</w:t>
      </w:r>
      <w:r w:rsidRPr="0062302B">
        <w:rPr>
          <w:b w:val="0"/>
          <w:bCs w:val="0"/>
          <w:rtl/>
        </w:rPr>
        <w:tab/>
        <w:t>تستخدم المعادلة التالية ضمن طريقة القيمة الحالية للتعرض (</w:t>
      </w:r>
      <w:r w:rsidRPr="0062302B">
        <w:rPr>
          <w:b w:val="0"/>
          <w:bCs w:val="0"/>
        </w:rPr>
        <w:t>Current Exposure Method</w:t>
      </w:r>
      <w:r w:rsidRPr="0062302B">
        <w:rPr>
          <w:b w:val="0"/>
          <w:bCs w:val="0"/>
          <w:rtl/>
        </w:rPr>
        <w:t>) لاحتساب متطلبات رأس المال لمواجهة مخاطر الائتمان لمثل هذه العقود:</w:t>
      </w:r>
      <w:bookmarkEnd w:id="1021"/>
      <w:bookmarkEnd w:id="1022"/>
      <w:bookmarkEnd w:id="1023"/>
    </w:p>
    <w:tbl>
      <w:tblPr>
        <w:tblStyle w:val="TableGrid"/>
        <w:bidiVisual/>
        <w:tblW w:w="0" w:type="auto"/>
        <w:jc w:val="center"/>
        <w:tblLook w:val="04A0" w:firstRow="1" w:lastRow="0" w:firstColumn="1" w:lastColumn="0" w:noHBand="0" w:noVBand="1"/>
      </w:tblPr>
      <w:tblGrid>
        <w:gridCol w:w="6421"/>
      </w:tblGrid>
      <w:tr w:rsidR="00D50680" w:rsidRPr="00D50680" w:rsidTr="00D50680">
        <w:trPr>
          <w:jc w:val="center"/>
        </w:trPr>
        <w:tc>
          <w:tcPr>
            <w:tcW w:w="0" w:type="auto"/>
          </w:tcPr>
          <w:p w:rsidR="00D50680" w:rsidRPr="00D50680" w:rsidRDefault="00D50680" w:rsidP="00D50680">
            <w:pPr>
              <w:jc w:val="center"/>
              <w:rPr>
                <w:b w:val="0"/>
                <w:bCs w:val="0"/>
                <w:rtl/>
                <w:lang w:bidi="ar-JO"/>
              </w:rPr>
            </w:pPr>
            <w:bookmarkStart w:id="1024" w:name="_Toc414888163"/>
            <w:bookmarkStart w:id="1025" w:name="_Toc451176351"/>
            <w:bookmarkStart w:id="1026" w:name="_Toc451180332"/>
            <w:r w:rsidRPr="00D50680">
              <w:rPr>
                <w:b w:val="0"/>
                <w:bCs w:val="0"/>
              </w:rPr>
              <w:t xml:space="preserve">Counter party charge = </w:t>
            </w:r>
            <w:r w:rsidR="00DC1993">
              <w:rPr>
                <w:b w:val="0"/>
                <w:bCs w:val="0"/>
              </w:rPr>
              <w:t>(</w:t>
            </w:r>
            <w:r w:rsidRPr="00D50680">
              <w:rPr>
                <w:b w:val="0"/>
                <w:bCs w:val="0"/>
              </w:rPr>
              <w:t>(RC + add-on) - C</w:t>
            </w:r>
            <w:r w:rsidRPr="00DC1993">
              <w:rPr>
                <w:b w:val="0"/>
                <w:bCs w:val="0"/>
                <w:sz w:val="18"/>
                <w:szCs w:val="18"/>
              </w:rPr>
              <w:t>A</w:t>
            </w:r>
            <w:r w:rsidRPr="00D50680">
              <w:rPr>
                <w:b w:val="0"/>
                <w:bCs w:val="0"/>
              </w:rPr>
              <w:t>) * rw * 12%</w:t>
            </w:r>
            <w:bookmarkEnd w:id="1024"/>
            <w:bookmarkEnd w:id="1025"/>
            <w:bookmarkEnd w:id="1026"/>
          </w:p>
        </w:tc>
      </w:tr>
    </w:tbl>
    <w:p w:rsidR="00B259A6" w:rsidRPr="00D50680" w:rsidRDefault="00B259A6" w:rsidP="0020743F">
      <w:pPr>
        <w:ind w:left="2465" w:hanging="1440"/>
        <w:contextualSpacing/>
        <w:rPr>
          <w:b w:val="0"/>
          <w:bCs w:val="0"/>
          <w:rtl/>
        </w:rPr>
      </w:pPr>
      <w:bookmarkStart w:id="1027" w:name="_Toc414888164"/>
      <w:bookmarkStart w:id="1028" w:name="_Toc451176352"/>
      <w:bookmarkStart w:id="1029" w:name="_Toc451180333"/>
      <w:r w:rsidRPr="00D50680">
        <w:rPr>
          <w:b w:val="0"/>
          <w:bCs w:val="0"/>
          <w:rtl/>
        </w:rPr>
        <w:lastRenderedPageBreak/>
        <w:t>حيث:</w:t>
      </w:r>
      <w:bookmarkEnd w:id="1027"/>
      <w:bookmarkEnd w:id="1028"/>
      <w:bookmarkEnd w:id="1029"/>
    </w:p>
    <w:p w:rsidR="00B259A6" w:rsidRPr="00D50680" w:rsidRDefault="00C51591" w:rsidP="0020743F">
      <w:pPr>
        <w:ind w:left="2465" w:hanging="1080"/>
        <w:contextualSpacing/>
        <w:rPr>
          <w:b w:val="0"/>
          <w:bCs w:val="0"/>
          <w:rtl/>
        </w:rPr>
      </w:pPr>
      <w:bookmarkStart w:id="1030" w:name="_Toc414888165"/>
      <w:bookmarkStart w:id="1031" w:name="_Toc451176353"/>
      <w:bookmarkStart w:id="1032" w:name="_Toc451180334"/>
      <w:r>
        <w:rPr>
          <w:rFonts w:hint="cs"/>
          <w:b w:val="0"/>
          <w:bCs w:val="0"/>
          <w:rtl/>
        </w:rPr>
        <w:t xml:space="preserve">    </w:t>
      </w:r>
      <w:r w:rsidR="00B259A6" w:rsidRPr="00D50680">
        <w:rPr>
          <w:b w:val="0"/>
          <w:bCs w:val="0"/>
        </w:rPr>
        <w:t>RC</w:t>
      </w:r>
      <w:r w:rsidR="00B259A6" w:rsidRPr="00D50680">
        <w:rPr>
          <w:b w:val="0"/>
          <w:bCs w:val="0"/>
          <w:rtl/>
        </w:rPr>
        <w:t>:</w:t>
      </w:r>
      <w:r w:rsidR="00B259A6" w:rsidRPr="00D50680">
        <w:rPr>
          <w:b w:val="0"/>
          <w:bCs w:val="0"/>
          <w:rtl/>
        </w:rPr>
        <w:tab/>
        <w:t>كلفة الإحلال (</w:t>
      </w:r>
      <w:r w:rsidR="00B259A6" w:rsidRPr="00D50680">
        <w:rPr>
          <w:b w:val="0"/>
          <w:bCs w:val="0"/>
        </w:rPr>
        <w:t>Replacement Cost</w:t>
      </w:r>
      <w:r w:rsidR="00B259A6" w:rsidRPr="00D50680">
        <w:rPr>
          <w:b w:val="0"/>
          <w:bCs w:val="0"/>
          <w:rtl/>
        </w:rPr>
        <w:t>)</w:t>
      </w:r>
      <w:bookmarkEnd w:id="1030"/>
      <w:bookmarkEnd w:id="1031"/>
      <w:bookmarkEnd w:id="1032"/>
    </w:p>
    <w:p w:rsidR="00B259A6" w:rsidRPr="00D50680" w:rsidRDefault="00B259A6" w:rsidP="0020743F">
      <w:pPr>
        <w:ind w:left="2465" w:hanging="1080"/>
        <w:contextualSpacing/>
        <w:rPr>
          <w:b w:val="0"/>
          <w:bCs w:val="0"/>
          <w:rtl/>
        </w:rPr>
      </w:pPr>
      <w:bookmarkStart w:id="1033" w:name="_Toc414888166"/>
      <w:bookmarkStart w:id="1034" w:name="_Toc451176354"/>
      <w:bookmarkStart w:id="1035" w:name="_Toc451180335"/>
      <w:r w:rsidRPr="00D50680">
        <w:rPr>
          <w:b w:val="0"/>
          <w:bCs w:val="0"/>
        </w:rPr>
        <w:t>Add-on</w:t>
      </w:r>
      <w:r w:rsidRPr="00D50680">
        <w:rPr>
          <w:b w:val="0"/>
          <w:bCs w:val="0"/>
          <w:rtl/>
        </w:rPr>
        <w:t>:</w:t>
      </w:r>
      <w:r w:rsidR="00D50680">
        <w:rPr>
          <w:rFonts w:hint="cs"/>
          <w:b w:val="0"/>
          <w:bCs w:val="0"/>
          <w:rtl/>
        </w:rPr>
        <w:t xml:space="preserve"> </w:t>
      </w:r>
      <w:r w:rsidRPr="00D50680">
        <w:rPr>
          <w:b w:val="0"/>
          <w:bCs w:val="0"/>
          <w:rtl/>
        </w:rPr>
        <w:tab/>
        <w:t>قيمة التعرض المستقبلي المحتمل</w:t>
      </w:r>
      <w:bookmarkEnd w:id="1033"/>
      <w:bookmarkEnd w:id="1034"/>
      <w:bookmarkEnd w:id="1035"/>
    </w:p>
    <w:p w:rsidR="00B259A6" w:rsidRPr="00D50680" w:rsidRDefault="00C51591" w:rsidP="0020743F">
      <w:pPr>
        <w:ind w:left="2465" w:hanging="1080"/>
        <w:contextualSpacing/>
        <w:rPr>
          <w:b w:val="0"/>
          <w:bCs w:val="0"/>
          <w:rtl/>
        </w:rPr>
      </w:pPr>
      <w:bookmarkStart w:id="1036" w:name="_Toc414888167"/>
      <w:bookmarkStart w:id="1037" w:name="_Toc451176355"/>
      <w:bookmarkStart w:id="1038" w:name="_Toc451180336"/>
      <w:r>
        <w:rPr>
          <w:rFonts w:hint="cs"/>
          <w:b w:val="0"/>
          <w:bCs w:val="0"/>
          <w:rtl/>
        </w:rPr>
        <w:t xml:space="preserve">      </w:t>
      </w:r>
      <w:r w:rsidR="00B259A6" w:rsidRPr="00D50680">
        <w:rPr>
          <w:b w:val="0"/>
          <w:bCs w:val="0"/>
        </w:rPr>
        <w:t>C</w:t>
      </w:r>
      <w:r w:rsidR="00B259A6" w:rsidRPr="00DC1993">
        <w:rPr>
          <w:b w:val="0"/>
          <w:bCs w:val="0"/>
          <w:sz w:val="18"/>
          <w:szCs w:val="18"/>
        </w:rPr>
        <w:t>A</w:t>
      </w:r>
      <w:r w:rsidR="00B259A6" w:rsidRPr="00D50680">
        <w:rPr>
          <w:b w:val="0"/>
          <w:bCs w:val="0"/>
          <w:rtl/>
        </w:rPr>
        <w:t>:</w:t>
      </w:r>
      <w:r w:rsidR="00B259A6" w:rsidRPr="00D50680">
        <w:rPr>
          <w:b w:val="0"/>
          <w:bCs w:val="0"/>
          <w:rtl/>
        </w:rPr>
        <w:tab/>
        <w:t xml:space="preserve">قيمة الضمان معدلة بالتذبذب ضمن </w:t>
      </w:r>
      <w:r w:rsidR="00D50680" w:rsidRPr="00D50680">
        <w:rPr>
          <w:rFonts w:hint="cs"/>
          <w:b w:val="0"/>
          <w:bCs w:val="0"/>
          <w:rtl/>
        </w:rPr>
        <w:t>الأسلوب</w:t>
      </w:r>
      <w:r w:rsidR="00B259A6" w:rsidRPr="00D50680">
        <w:rPr>
          <w:b w:val="0"/>
          <w:bCs w:val="0"/>
          <w:rtl/>
        </w:rPr>
        <w:t xml:space="preserve"> الشامل</w:t>
      </w:r>
      <w:bookmarkEnd w:id="1036"/>
      <w:bookmarkEnd w:id="1037"/>
      <w:bookmarkEnd w:id="1038"/>
    </w:p>
    <w:p w:rsidR="00B259A6" w:rsidRPr="00D50680" w:rsidRDefault="00C51591" w:rsidP="0020743F">
      <w:pPr>
        <w:spacing w:after="240"/>
        <w:ind w:left="2462" w:hanging="1080"/>
        <w:rPr>
          <w:b w:val="0"/>
          <w:bCs w:val="0"/>
          <w:rtl/>
        </w:rPr>
      </w:pPr>
      <w:bookmarkStart w:id="1039" w:name="_Toc414888168"/>
      <w:bookmarkStart w:id="1040" w:name="_Toc451176356"/>
      <w:bookmarkStart w:id="1041" w:name="_Toc451180337"/>
      <w:r>
        <w:rPr>
          <w:rFonts w:hint="cs"/>
          <w:b w:val="0"/>
          <w:bCs w:val="0"/>
          <w:rtl/>
        </w:rPr>
        <w:t xml:space="preserve">       </w:t>
      </w:r>
      <w:r w:rsidR="00B259A6" w:rsidRPr="00D50680">
        <w:rPr>
          <w:b w:val="0"/>
          <w:bCs w:val="0"/>
        </w:rPr>
        <w:t>rw</w:t>
      </w:r>
      <w:r w:rsidR="00B259A6" w:rsidRPr="00D50680">
        <w:rPr>
          <w:b w:val="0"/>
          <w:bCs w:val="0"/>
          <w:rtl/>
        </w:rPr>
        <w:t>:</w:t>
      </w:r>
      <w:r w:rsidR="00B259A6" w:rsidRPr="00D50680">
        <w:rPr>
          <w:b w:val="0"/>
          <w:bCs w:val="0"/>
          <w:rtl/>
        </w:rPr>
        <w:tab/>
        <w:t>وزن المخاطر الترجيحي للطرف المقابل</w:t>
      </w:r>
      <w:bookmarkEnd w:id="1039"/>
      <w:bookmarkEnd w:id="1040"/>
      <w:bookmarkEnd w:id="1041"/>
    </w:p>
    <w:p w:rsidR="00B259A6" w:rsidRPr="00C77C11" w:rsidRDefault="00B259A6" w:rsidP="002F28A0">
      <w:pPr>
        <w:ind w:left="1275" w:hanging="709"/>
        <w:rPr>
          <w:b w:val="0"/>
          <w:bCs w:val="0"/>
        </w:rPr>
      </w:pPr>
      <w:bookmarkStart w:id="1042" w:name="_Toc414888169"/>
      <w:bookmarkStart w:id="1043" w:name="_Toc451176357"/>
      <w:bookmarkStart w:id="1044" w:name="_Toc451180338"/>
      <w:r w:rsidRPr="00D50680">
        <w:rPr>
          <w:b w:val="0"/>
          <w:bCs w:val="0"/>
          <w:rtl/>
        </w:rPr>
        <w:t>2.8</w:t>
      </w:r>
      <w:r w:rsidR="0020743F">
        <w:rPr>
          <w:rFonts w:hint="cs"/>
          <w:b w:val="0"/>
          <w:bCs w:val="0"/>
          <w:rtl/>
        </w:rPr>
        <w:t>.</w:t>
      </w:r>
      <w:r w:rsidRPr="00D50680">
        <w:rPr>
          <w:b w:val="0"/>
          <w:bCs w:val="0"/>
          <w:rtl/>
        </w:rPr>
        <w:tab/>
        <w:t xml:space="preserve">في حال وجود اتفاقيات تقاص ثنائية </w:t>
      </w:r>
      <w:r w:rsidRPr="00D50680">
        <w:rPr>
          <w:b w:val="0"/>
          <w:bCs w:val="0"/>
        </w:rPr>
        <w:t>(Bilateral Netting Contracts)</w:t>
      </w:r>
      <w:r w:rsidRPr="00D50680">
        <w:rPr>
          <w:b w:val="0"/>
          <w:bCs w:val="0"/>
          <w:rtl/>
        </w:rPr>
        <w:t xml:space="preserve"> تستبدل كلفة الإحلال بصافي كلفة الإحلال، وقيمة التعرض المستقبلي بصافي قيمة التعرض المستقبلي، وفي حال اختلاف العملة يجب استخدام نسبة اقتطاع فرق العملة.</w:t>
      </w:r>
      <w:bookmarkEnd w:id="1042"/>
      <w:bookmarkEnd w:id="1043"/>
      <w:bookmarkEnd w:id="1044"/>
    </w:p>
    <w:p w:rsidR="00B259A6" w:rsidRPr="00C77C11" w:rsidRDefault="0020743F" w:rsidP="00811F95">
      <w:pPr>
        <w:spacing w:before="240" w:after="240" w:line="276" w:lineRule="auto"/>
        <w:ind w:left="708" w:hanging="425"/>
        <w:rPr>
          <w:rtl/>
        </w:rPr>
      </w:pPr>
      <w:bookmarkStart w:id="1045" w:name="_Toc451176358"/>
      <w:bookmarkStart w:id="1046" w:name="_Toc451180339"/>
      <w:r>
        <w:rPr>
          <w:rtl/>
        </w:rPr>
        <w:t>9.</w:t>
      </w:r>
      <w:r>
        <w:rPr>
          <w:rFonts w:hint="cs"/>
          <w:rtl/>
        </w:rPr>
        <w:t xml:space="preserve"> </w:t>
      </w:r>
      <w:r w:rsidR="00B259A6" w:rsidRPr="00C77C11">
        <w:rPr>
          <w:rtl/>
        </w:rPr>
        <w:t xml:space="preserve">الأسلوب الشامل </w:t>
      </w:r>
      <w:r w:rsidR="00B259A6" w:rsidRPr="00C77C11">
        <w:t>Comprehensive Approach</w:t>
      </w:r>
      <w:bookmarkEnd w:id="1045"/>
      <w:bookmarkEnd w:id="1046"/>
    </w:p>
    <w:p w:rsidR="00B259A6" w:rsidRPr="00C77C11" w:rsidRDefault="00B259A6" w:rsidP="002F28A0">
      <w:pPr>
        <w:ind w:left="1275" w:hanging="709"/>
        <w:rPr>
          <w:b w:val="0"/>
          <w:bCs w:val="0"/>
        </w:rPr>
      </w:pPr>
      <w:bookmarkStart w:id="1047" w:name="_Toc414888171"/>
      <w:bookmarkStart w:id="1048" w:name="_Toc451176359"/>
      <w:bookmarkStart w:id="1049" w:name="_Toc451180340"/>
      <w:r w:rsidRPr="00C77C11">
        <w:rPr>
          <w:b w:val="0"/>
          <w:bCs w:val="0"/>
          <w:rtl/>
        </w:rPr>
        <w:t>1.9</w:t>
      </w:r>
      <w:r w:rsidR="00C77C11">
        <w:rPr>
          <w:rFonts w:hint="cs"/>
          <w:b w:val="0"/>
          <w:bCs w:val="0"/>
          <w:rtl/>
        </w:rPr>
        <w:t>.</w:t>
      </w:r>
      <w:r w:rsidRPr="00C77C11">
        <w:rPr>
          <w:b w:val="0"/>
          <w:bCs w:val="0"/>
          <w:rtl/>
        </w:rPr>
        <w:tab/>
        <w:t>عند استخدام الأسلوب الشامل لعكس أثر الضمانات المؤهلة، على البنوك تعديل قيمة التعرض الائتماني باستخدام نسب الاقتطاع (</w:t>
      </w:r>
      <w:r w:rsidRPr="00C77C11">
        <w:rPr>
          <w:b w:val="0"/>
          <w:bCs w:val="0"/>
        </w:rPr>
        <w:t>Haircuts</w:t>
      </w:r>
      <w:r w:rsidRPr="00C77C11">
        <w:rPr>
          <w:b w:val="0"/>
          <w:bCs w:val="0"/>
          <w:rtl/>
        </w:rPr>
        <w:t>)، وبحيث يتم تعديل التعرض الائتماني صعوداً وقيمة الضمان هبوطاً ليعكس التذبذب بالقيمة السوقية لكل منهما.</w:t>
      </w:r>
      <w:bookmarkEnd w:id="1047"/>
      <w:bookmarkEnd w:id="1048"/>
      <w:bookmarkEnd w:id="1049"/>
    </w:p>
    <w:p w:rsidR="00B259A6" w:rsidRPr="00C77C11" w:rsidRDefault="00B259A6" w:rsidP="00C06D2A">
      <w:pPr>
        <w:ind w:left="1275" w:hanging="709"/>
        <w:rPr>
          <w:b w:val="0"/>
          <w:bCs w:val="0"/>
        </w:rPr>
      </w:pPr>
      <w:bookmarkStart w:id="1050" w:name="_Toc414888172"/>
      <w:bookmarkStart w:id="1051" w:name="_Toc451176360"/>
      <w:bookmarkStart w:id="1052" w:name="_Toc451180341"/>
      <w:r w:rsidRPr="00C77C11">
        <w:rPr>
          <w:b w:val="0"/>
          <w:bCs w:val="0"/>
          <w:rtl/>
        </w:rPr>
        <w:t>2.9</w:t>
      </w:r>
      <w:r w:rsidR="00C77C11">
        <w:rPr>
          <w:rFonts w:hint="cs"/>
          <w:b w:val="0"/>
          <w:bCs w:val="0"/>
          <w:rtl/>
        </w:rPr>
        <w:t>.</w:t>
      </w:r>
      <w:r w:rsidRPr="00C77C11">
        <w:rPr>
          <w:b w:val="0"/>
          <w:bCs w:val="0"/>
          <w:rtl/>
        </w:rPr>
        <w:tab/>
        <w:t>في حال اختلاف عملة الضمانة عن عملة التعرض الائتماني يتم احتساب تخفيض إضافي لقيمة الضمانة وذلك لعكس أثر تذبذب أسعار الصرف.</w:t>
      </w:r>
      <w:bookmarkEnd w:id="1050"/>
      <w:bookmarkEnd w:id="1051"/>
      <w:bookmarkEnd w:id="1052"/>
    </w:p>
    <w:p w:rsidR="00B259A6" w:rsidRPr="00C77C11" w:rsidRDefault="00B259A6" w:rsidP="00C06D2A">
      <w:pPr>
        <w:spacing w:after="0"/>
        <w:ind w:left="1275" w:hanging="709"/>
        <w:rPr>
          <w:b w:val="0"/>
          <w:bCs w:val="0"/>
        </w:rPr>
      </w:pPr>
      <w:bookmarkStart w:id="1053" w:name="_Toc414888173"/>
      <w:bookmarkStart w:id="1054" w:name="_Toc451176361"/>
      <w:bookmarkStart w:id="1055" w:name="_Toc451180342"/>
      <w:r w:rsidRPr="00C77C11">
        <w:rPr>
          <w:b w:val="0"/>
          <w:bCs w:val="0"/>
          <w:rtl/>
        </w:rPr>
        <w:t>3.9</w:t>
      </w:r>
      <w:r w:rsidR="00C77C11">
        <w:rPr>
          <w:rFonts w:hint="cs"/>
          <w:b w:val="0"/>
          <w:bCs w:val="0"/>
          <w:rtl/>
        </w:rPr>
        <w:t>.</w:t>
      </w:r>
      <w:r w:rsidRPr="00C77C11">
        <w:rPr>
          <w:b w:val="0"/>
          <w:bCs w:val="0"/>
          <w:rtl/>
        </w:rPr>
        <w:tab/>
      </w:r>
      <w:r w:rsidR="00C51591">
        <w:rPr>
          <w:rFonts w:hint="cs"/>
          <w:b w:val="0"/>
          <w:bCs w:val="0"/>
          <w:rtl/>
        </w:rPr>
        <w:t xml:space="preserve"> </w:t>
      </w:r>
      <w:r w:rsidRPr="00C77C11">
        <w:rPr>
          <w:b w:val="0"/>
          <w:bCs w:val="0"/>
          <w:rtl/>
        </w:rPr>
        <w:t>إذا كانت القيمة المعدلة للتعرض الائتماني أكبر من القيمة المعدلة للضمانة (متضمنة تعديل مخاطر أسعار الصرف) فإن الفرق بين القيمتين يخضع لمتطلبات رأس المال بما يتناسب مع وزن المخاطر الترجيحي للطرف المقابل (وحسب ما هو موضح ضمن منهجية احتساب متطلبات رأس المال ضمن الأسلوب الشامل).</w:t>
      </w:r>
      <w:bookmarkEnd w:id="1053"/>
      <w:bookmarkEnd w:id="1054"/>
      <w:bookmarkEnd w:id="1055"/>
      <w:r w:rsidRPr="00C77C11">
        <w:rPr>
          <w:b w:val="0"/>
          <w:bCs w:val="0"/>
          <w:rtl/>
        </w:rPr>
        <w:tab/>
      </w:r>
    </w:p>
    <w:p w:rsidR="00B259A6" w:rsidRPr="00C77C11" w:rsidRDefault="00B259A6" w:rsidP="00C06D2A">
      <w:pPr>
        <w:spacing w:after="0"/>
        <w:ind w:left="1275" w:hanging="709"/>
        <w:rPr>
          <w:b w:val="0"/>
          <w:bCs w:val="0"/>
          <w:rtl/>
        </w:rPr>
      </w:pPr>
      <w:bookmarkStart w:id="1056" w:name="_Toc414888174"/>
      <w:bookmarkStart w:id="1057" w:name="_Toc451176362"/>
      <w:bookmarkStart w:id="1058" w:name="_Toc451180343"/>
      <w:r w:rsidRPr="00C77C11">
        <w:rPr>
          <w:b w:val="0"/>
          <w:bCs w:val="0"/>
          <w:rtl/>
        </w:rPr>
        <w:t>4.9</w:t>
      </w:r>
      <w:r w:rsidR="00C77C11">
        <w:rPr>
          <w:rFonts w:hint="cs"/>
          <w:b w:val="0"/>
          <w:bCs w:val="0"/>
          <w:rtl/>
        </w:rPr>
        <w:t>.</w:t>
      </w:r>
      <w:r w:rsidRPr="00C77C11">
        <w:rPr>
          <w:b w:val="0"/>
          <w:bCs w:val="0"/>
          <w:rtl/>
        </w:rPr>
        <w:tab/>
      </w:r>
      <w:r w:rsidR="00C51591">
        <w:rPr>
          <w:rFonts w:hint="cs"/>
          <w:b w:val="0"/>
          <w:bCs w:val="0"/>
          <w:rtl/>
        </w:rPr>
        <w:t xml:space="preserve"> </w:t>
      </w:r>
      <w:r w:rsidRPr="00C77C11">
        <w:rPr>
          <w:b w:val="0"/>
          <w:bCs w:val="0"/>
          <w:rtl/>
        </w:rPr>
        <w:t>يجب على البنك استخدام نسب الاقتطاع المعيارية المبينة في جدول نسب الاقتطاع الواردة أدناه.</w:t>
      </w:r>
      <w:bookmarkEnd w:id="1056"/>
      <w:bookmarkEnd w:id="1057"/>
      <w:bookmarkEnd w:id="1058"/>
    </w:p>
    <w:p w:rsidR="00B259A6" w:rsidRPr="00C77C11" w:rsidRDefault="00B259A6" w:rsidP="00C06D2A">
      <w:pPr>
        <w:spacing w:after="0"/>
        <w:ind w:left="1275" w:hanging="709"/>
        <w:rPr>
          <w:b w:val="0"/>
          <w:bCs w:val="0"/>
          <w:rtl/>
        </w:rPr>
      </w:pPr>
      <w:bookmarkStart w:id="1059" w:name="_Toc414888175"/>
      <w:bookmarkStart w:id="1060" w:name="_Toc451176363"/>
      <w:bookmarkStart w:id="1061" w:name="_Toc451180344"/>
      <w:r w:rsidRPr="00C77C11">
        <w:rPr>
          <w:b w:val="0"/>
          <w:bCs w:val="0"/>
          <w:rtl/>
        </w:rPr>
        <w:t>5.9</w:t>
      </w:r>
      <w:r w:rsidR="00C77C11">
        <w:rPr>
          <w:rFonts w:hint="cs"/>
          <w:b w:val="0"/>
          <w:bCs w:val="0"/>
          <w:rtl/>
        </w:rPr>
        <w:t>.</w:t>
      </w:r>
      <w:r w:rsidRPr="00C77C11">
        <w:rPr>
          <w:b w:val="0"/>
          <w:bCs w:val="0"/>
          <w:rtl/>
        </w:rPr>
        <w:tab/>
        <w:t>يعتمد حجم كل نسبة اقتطاع على العوامل التالية:</w:t>
      </w:r>
      <w:bookmarkEnd w:id="1059"/>
      <w:bookmarkEnd w:id="1060"/>
      <w:bookmarkEnd w:id="1061"/>
    </w:p>
    <w:p w:rsidR="00B259A6" w:rsidRPr="00C77C11" w:rsidRDefault="00B259A6" w:rsidP="00C06D2A">
      <w:pPr>
        <w:ind w:left="2126" w:hanging="851"/>
        <w:contextualSpacing/>
        <w:rPr>
          <w:b w:val="0"/>
          <w:bCs w:val="0"/>
          <w:rtl/>
        </w:rPr>
      </w:pPr>
      <w:bookmarkStart w:id="1062" w:name="_Toc414888176"/>
      <w:bookmarkStart w:id="1063" w:name="_Toc451176364"/>
      <w:bookmarkStart w:id="1064" w:name="_Toc451180345"/>
      <w:r w:rsidRPr="00C77C11">
        <w:rPr>
          <w:b w:val="0"/>
          <w:bCs w:val="0"/>
          <w:rtl/>
        </w:rPr>
        <w:t>1.5.9</w:t>
      </w:r>
      <w:r w:rsidR="00C77C11">
        <w:rPr>
          <w:rFonts w:hint="cs"/>
          <w:b w:val="0"/>
          <w:bCs w:val="0"/>
          <w:rtl/>
        </w:rPr>
        <w:t>.</w:t>
      </w:r>
      <w:r w:rsidR="00C06D2A">
        <w:rPr>
          <w:rFonts w:hint="cs"/>
          <w:b w:val="0"/>
          <w:bCs w:val="0"/>
          <w:rtl/>
        </w:rPr>
        <w:tab/>
      </w:r>
      <w:r w:rsidRPr="00C77C11">
        <w:rPr>
          <w:b w:val="0"/>
          <w:bCs w:val="0"/>
          <w:rtl/>
        </w:rPr>
        <w:t>نوع الأداة.</w:t>
      </w:r>
      <w:bookmarkEnd w:id="1062"/>
      <w:bookmarkEnd w:id="1063"/>
      <w:bookmarkEnd w:id="1064"/>
    </w:p>
    <w:p w:rsidR="00B259A6" w:rsidRPr="00C77C11" w:rsidRDefault="00B259A6" w:rsidP="00C06D2A">
      <w:pPr>
        <w:ind w:left="2126" w:hanging="851"/>
        <w:contextualSpacing/>
        <w:rPr>
          <w:b w:val="0"/>
          <w:bCs w:val="0"/>
        </w:rPr>
      </w:pPr>
      <w:bookmarkStart w:id="1065" w:name="_Toc414888177"/>
      <w:bookmarkStart w:id="1066" w:name="_Toc451176365"/>
      <w:bookmarkStart w:id="1067" w:name="_Toc451180346"/>
      <w:r w:rsidRPr="00C77C11">
        <w:rPr>
          <w:b w:val="0"/>
          <w:bCs w:val="0"/>
          <w:rtl/>
        </w:rPr>
        <w:t>2.5.9</w:t>
      </w:r>
      <w:r w:rsidR="00C77C11">
        <w:rPr>
          <w:rFonts w:hint="cs"/>
          <w:b w:val="0"/>
          <w:bCs w:val="0"/>
          <w:rtl/>
        </w:rPr>
        <w:t>.</w:t>
      </w:r>
      <w:r w:rsidR="00C06D2A">
        <w:rPr>
          <w:rFonts w:hint="cs"/>
          <w:b w:val="0"/>
          <w:bCs w:val="0"/>
          <w:rtl/>
        </w:rPr>
        <w:tab/>
      </w:r>
      <w:r w:rsidRPr="00C77C11">
        <w:rPr>
          <w:b w:val="0"/>
          <w:bCs w:val="0"/>
          <w:rtl/>
        </w:rPr>
        <w:t>نوع العملة.</w:t>
      </w:r>
      <w:bookmarkEnd w:id="1065"/>
      <w:bookmarkEnd w:id="1066"/>
      <w:bookmarkEnd w:id="1067"/>
    </w:p>
    <w:p w:rsidR="00B259A6" w:rsidRPr="00C77C11" w:rsidRDefault="00B259A6" w:rsidP="00C06D2A">
      <w:pPr>
        <w:ind w:left="2126" w:hanging="851"/>
        <w:contextualSpacing/>
        <w:rPr>
          <w:b w:val="0"/>
          <w:bCs w:val="0"/>
          <w:rtl/>
        </w:rPr>
      </w:pPr>
      <w:bookmarkStart w:id="1068" w:name="_Toc414888178"/>
      <w:bookmarkStart w:id="1069" w:name="_Toc451176366"/>
      <w:bookmarkStart w:id="1070" w:name="_Toc451180347"/>
      <w:r w:rsidRPr="00C77C11">
        <w:rPr>
          <w:b w:val="0"/>
          <w:bCs w:val="0"/>
          <w:rtl/>
        </w:rPr>
        <w:t>3.5.9</w:t>
      </w:r>
      <w:r w:rsidR="00C77C11">
        <w:rPr>
          <w:rFonts w:hint="cs"/>
          <w:b w:val="0"/>
          <w:bCs w:val="0"/>
          <w:rtl/>
        </w:rPr>
        <w:t>.</w:t>
      </w:r>
      <w:r w:rsidR="00C06D2A">
        <w:rPr>
          <w:rFonts w:hint="cs"/>
          <w:b w:val="0"/>
          <w:bCs w:val="0"/>
          <w:rtl/>
        </w:rPr>
        <w:tab/>
      </w:r>
      <w:r w:rsidRPr="00C77C11">
        <w:rPr>
          <w:b w:val="0"/>
          <w:bCs w:val="0"/>
          <w:rtl/>
        </w:rPr>
        <w:t>دورية إعادة التقييم.</w:t>
      </w:r>
      <w:bookmarkEnd w:id="1068"/>
      <w:bookmarkEnd w:id="1069"/>
      <w:bookmarkEnd w:id="1070"/>
    </w:p>
    <w:p w:rsidR="00B259A6" w:rsidRPr="00C77C11" w:rsidRDefault="00B259A6" w:rsidP="00C06D2A">
      <w:pPr>
        <w:ind w:left="2126" w:hanging="851"/>
        <w:rPr>
          <w:b w:val="0"/>
          <w:bCs w:val="0"/>
        </w:rPr>
      </w:pPr>
      <w:bookmarkStart w:id="1071" w:name="_Toc414888179"/>
      <w:bookmarkStart w:id="1072" w:name="_Toc451176367"/>
      <w:bookmarkStart w:id="1073" w:name="_Toc451180348"/>
      <w:r w:rsidRPr="00C77C11">
        <w:rPr>
          <w:b w:val="0"/>
          <w:bCs w:val="0"/>
          <w:rtl/>
        </w:rPr>
        <w:t>4.5.9</w:t>
      </w:r>
      <w:r w:rsidR="00C77C11">
        <w:rPr>
          <w:rFonts w:hint="cs"/>
          <w:b w:val="0"/>
          <w:bCs w:val="0"/>
          <w:rtl/>
        </w:rPr>
        <w:t>.</w:t>
      </w:r>
      <w:r w:rsidR="00C06D2A">
        <w:rPr>
          <w:rFonts w:hint="cs"/>
          <w:b w:val="0"/>
          <w:bCs w:val="0"/>
          <w:rtl/>
        </w:rPr>
        <w:tab/>
      </w:r>
      <w:r w:rsidRPr="00C77C11">
        <w:rPr>
          <w:b w:val="0"/>
          <w:bCs w:val="0"/>
          <w:rtl/>
        </w:rPr>
        <w:t>خضوعها لمتطلبات تعديل الهامش اليومية (</w:t>
      </w:r>
      <w:r w:rsidRPr="00C77C11">
        <w:rPr>
          <w:b w:val="0"/>
          <w:bCs w:val="0"/>
        </w:rPr>
        <w:t xml:space="preserve"> (Remargining</w:t>
      </w:r>
      <w:r w:rsidRPr="00C77C11">
        <w:rPr>
          <w:b w:val="0"/>
          <w:bCs w:val="0"/>
          <w:rtl/>
        </w:rPr>
        <w:t>.</w:t>
      </w:r>
      <w:bookmarkEnd w:id="1071"/>
      <w:bookmarkEnd w:id="1072"/>
      <w:bookmarkEnd w:id="1073"/>
    </w:p>
    <w:p w:rsidR="00B259A6" w:rsidRPr="00C77C11" w:rsidRDefault="00B9753F" w:rsidP="002F28A0">
      <w:pPr>
        <w:ind w:left="1275" w:hanging="709"/>
        <w:rPr>
          <w:b w:val="0"/>
          <w:bCs w:val="0"/>
          <w:rtl/>
        </w:rPr>
      </w:pPr>
      <w:bookmarkStart w:id="1074" w:name="_Toc414888180"/>
      <w:bookmarkStart w:id="1075" w:name="_Toc451176368"/>
      <w:bookmarkStart w:id="1076" w:name="_Toc451180349"/>
      <w:r w:rsidRPr="00C77C11">
        <w:rPr>
          <w:b w:val="0"/>
          <w:bCs w:val="0"/>
          <w:rtl/>
        </w:rPr>
        <w:t>6.9</w:t>
      </w:r>
      <w:r w:rsidR="00C77C11">
        <w:rPr>
          <w:rFonts w:hint="cs"/>
          <w:b w:val="0"/>
          <w:bCs w:val="0"/>
          <w:rtl/>
        </w:rPr>
        <w:t>.</w:t>
      </w:r>
      <w:r w:rsidR="00B259A6" w:rsidRPr="00C77C11">
        <w:rPr>
          <w:b w:val="0"/>
          <w:bCs w:val="0"/>
          <w:rtl/>
        </w:rPr>
        <w:tab/>
        <w:t>يحق للبنك استخدام نسبة اقتطاع (صفر%) فيما يتعلق ببعض أنواع اتفاقيات إعادة الشراء خصوصاً تلك المتعلقة بالسندات الحكومية وبما ينسجم مع شروط احتساب نسبة اقتطاع (صفر%) المبينة لاحقاً.</w:t>
      </w:r>
      <w:bookmarkEnd w:id="1074"/>
      <w:bookmarkEnd w:id="1075"/>
      <w:bookmarkEnd w:id="1076"/>
    </w:p>
    <w:p w:rsidR="00B259A6" w:rsidRPr="00C77C11" w:rsidRDefault="00B9753F" w:rsidP="002F28A0">
      <w:pPr>
        <w:ind w:left="1275" w:hanging="709"/>
        <w:rPr>
          <w:b w:val="0"/>
          <w:bCs w:val="0"/>
        </w:rPr>
      </w:pPr>
      <w:bookmarkStart w:id="1077" w:name="_Toc414888181"/>
      <w:bookmarkStart w:id="1078" w:name="_Toc451176369"/>
      <w:bookmarkStart w:id="1079" w:name="_Toc451180350"/>
      <w:r w:rsidRPr="00C77C11">
        <w:rPr>
          <w:b w:val="0"/>
          <w:bCs w:val="0"/>
          <w:rtl/>
        </w:rPr>
        <w:lastRenderedPageBreak/>
        <w:t>7.9</w:t>
      </w:r>
      <w:r w:rsidR="00C77C11">
        <w:rPr>
          <w:rFonts w:hint="cs"/>
          <w:b w:val="0"/>
          <w:bCs w:val="0"/>
          <w:rtl/>
        </w:rPr>
        <w:t>.</w:t>
      </w:r>
      <w:r w:rsidR="00B259A6" w:rsidRPr="00C77C11">
        <w:rPr>
          <w:b w:val="0"/>
          <w:bCs w:val="0"/>
          <w:rtl/>
        </w:rPr>
        <w:tab/>
        <w:t xml:space="preserve">يمكن الاعتراف بأثر اتفاقيات التقاص التي تأخذ شكل اتفاقيات إعادة الشراء </w:t>
      </w:r>
      <w:r w:rsidR="00B259A6" w:rsidRPr="00C77C11">
        <w:rPr>
          <w:b w:val="0"/>
          <w:bCs w:val="0"/>
        </w:rPr>
        <w:t>Repo-style</w:t>
      </w:r>
      <w:r w:rsidR="00B259A6" w:rsidRPr="00C77C11">
        <w:rPr>
          <w:b w:val="0"/>
          <w:bCs w:val="0"/>
          <w:rtl/>
        </w:rPr>
        <w:t xml:space="preserve"> شريطة مراعاة الشروط الواردة ضمن الفقرة </w:t>
      </w:r>
      <w:r w:rsidR="00C76D5F">
        <w:rPr>
          <w:rFonts w:hint="cs"/>
          <w:b w:val="0"/>
          <w:bCs w:val="0"/>
          <w:rtl/>
        </w:rPr>
        <w:t xml:space="preserve">رقم (13) </w:t>
      </w:r>
      <w:r w:rsidR="00B259A6" w:rsidRPr="00C77C11">
        <w:rPr>
          <w:b w:val="0"/>
          <w:bCs w:val="0"/>
          <w:rtl/>
        </w:rPr>
        <w:t xml:space="preserve">الخاصة بمعالجة العمليات ضمن اتفاقيات إعادة الشراء التي تخضع لاتفاقيات التقاص الرئيسية </w:t>
      </w:r>
      <w:r w:rsidR="00B259A6" w:rsidRPr="00C77C11">
        <w:rPr>
          <w:b w:val="0"/>
          <w:bCs w:val="0"/>
        </w:rPr>
        <w:t>(Treatment of Repo-style Transactions covered under Master Netting Agreements)</w:t>
      </w:r>
      <w:bookmarkEnd w:id="1077"/>
      <w:bookmarkEnd w:id="1078"/>
      <w:bookmarkEnd w:id="1079"/>
    </w:p>
    <w:p w:rsidR="00B259A6" w:rsidRPr="00C77C11" w:rsidRDefault="0020743F" w:rsidP="00811F95">
      <w:pPr>
        <w:spacing w:before="240" w:after="0" w:line="276" w:lineRule="auto"/>
        <w:ind w:left="708" w:hanging="425"/>
      </w:pPr>
      <w:bookmarkStart w:id="1080" w:name="_Toc451176370"/>
      <w:bookmarkStart w:id="1081" w:name="_Toc451180351"/>
      <w:r>
        <w:rPr>
          <w:rtl/>
        </w:rPr>
        <w:t>10.</w:t>
      </w:r>
      <w:r>
        <w:rPr>
          <w:rFonts w:hint="cs"/>
          <w:rtl/>
        </w:rPr>
        <w:t xml:space="preserve"> </w:t>
      </w:r>
      <w:r w:rsidR="00B259A6" w:rsidRPr="00C77C11">
        <w:rPr>
          <w:rtl/>
        </w:rPr>
        <w:t xml:space="preserve">احتساب متطلبات رأس المال ضمن الأسلوب الشامل </w:t>
      </w:r>
      <w:r w:rsidR="00B259A6" w:rsidRPr="00C77C11">
        <w:t>Calculation of capital requirements</w:t>
      </w:r>
      <w:bookmarkEnd w:id="1080"/>
      <w:bookmarkEnd w:id="1081"/>
      <w:r w:rsidR="00C77C11">
        <w:rPr>
          <w:rFonts w:hint="cs"/>
          <w:rtl/>
        </w:rPr>
        <w:t>:</w:t>
      </w:r>
    </w:p>
    <w:p w:rsidR="00B259A6" w:rsidRDefault="00B259A6" w:rsidP="002F28A0">
      <w:pPr>
        <w:ind w:left="1275" w:hanging="709"/>
        <w:rPr>
          <w:b w:val="0"/>
          <w:bCs w:val="0"/>
          <w:rtl/>
        </w:rPr>
      </w:pPr>
      <w:bookmarkStart w:id="1082" w:name="_Toc414888183"/>
      <w:bookmarkStart w:id="1083" w:name="_Toc451176371"/>
      <w:bookmarkStart w:id="1084" w:name="_Toc451180352"/>
      <w:r w:rsidRPr="00C77C11">
        <w:rPr>
          <w:b w:val="0"/>
          <w:bCs w:val="0"/>
          <w:rtl/>
        </w:rPr>
        <w:t>1.10</w:t>
      </w:r>
      <w:r w:rsidR="00C77C11">
        <w:rPr>
          <w:rFonts w:hint="cs"/>
          <w:b w:val="0"/>
          <w:bCs w:val="0"/>
          <w:rtl/>
        </w:rPr>
        <w:t>.</w:t>
      </w:r>
      <w:r w:rsidR="0036451D">
        <w:rPr>
          <w:b w:val="0"/>
          <w:bCs w:val="0"/>
        </w:rPr>
        <w:t xml:space="preserve"> </w:t>
      </w:r>
      <w:r w:rsidRPr="00C77C11">
        <w:rPr>
          <w:b w:val="0"/>
          <w:bCs w:val="0"/>
          <w:rtl/>
        </w:rPr>
        <w:t>تطبق المعادلة التالية عند احتساب التعرض الائتماني (</w:t>
      </w:r>
      <w:r w:rsidRPr="00C77C11">
        <w:rPr>
          <w:b w:val="0"/>
          <w:bCs w:val="0"/>
        </w:rPr>
        <w:t>Exposure</w:t>
      </w:r>
      <w:r w:rsidRPr="00C77C11">
        <w:rPr>
          <w:b w:val="0"/>
          <w:bCs w:val="0"/>
          <w:rtl/>
        </w:rPr>
        <w:t>) المغطى بضمانة مؤهلة:</w:t>
      </w:r>
      <w:bookmarkEnd w:id="1082"/>
      <w:bookmarkEnd w:id="1083"/>
      <w:bookmarkEnd w:id="1084"/>
    </w:p>
    <w:tbl>
      <w:tblPr>
        <w:tblStyle w:val="TableGrid"/>
        <w:bidiVisual/>
        <w:tblW w:w="0" w:type="auto"/>
        <w:jc w:val="center"/>
        <w:tblLook w:val="04A0" w:firstRow="1" w:lastRow="0" w:firstColumn="1" w:lastColumn="0" w:noHBand="0" w:noVBand="1"/>
      </w:tblPr>
      <w:tblGrid>
        <w:gridCol w:w="5186"/>
      </w:tblGrid>
      <w:tr w:rsidR="00C77C11" w:rsidRPr="00C77C11" w:rsidTr="00C77C11">
        <w:trPr>
          <w:jc w:val="center"/>
        </w:trPr>
        <w:tc>
          <w:tcPr>
            <w:tcW w:w="0" w:type="auto"/>
          </w:tcPr>
          <w:p w:rsidR="00C77C11" w:rsidRPr="00C77C11" w:rsidRDefault="00C77C11" w:rsidP="00C77C11">
            <w:pPr>
              <w:rPr>
                <w:b w:val="0"/>
                <w:bCs w:val="0"/>
                <w:rtl/>
                <w:lang w:bidi="ar-JO"/>
              </w:rPr>
            </w:pPr>
            <w:bookmarkStart w:id="1085" w:name="_Toc414888184"/>
            <w:bookmarkStart w:id="1086" w:name="_Toc451176372"/>
            <w:bookmarkStart w:id="1087" w:name="_Toc451180353"/>
            <w:r w:rsidRPr="00C77C11">
              <w:rPr>
                <w:b w:val="0"/>
                <w:bCs w:val="0"/>
              </w:rPr>
              <w:t>E</w:t>
            </w:r>
            <w:r w:rsidRPr="00C77C11">
              <w:rPr>
                <w:b w:val="0"/>
                <w:bCs w:val="0"/>
                <w:vertAlign w:val="superscript"/>
              </w:rPr>
              <w:t>*</w:t>
            </w:r>
            <w:r w:rsidRPr="00C77C11">
              <w:rPr>
                <w:b w:val="0"/>
                <w:bCs w:val="0"/>
              </w:rPr>
              <w:t>=max {0, [E*(1 + He) – C * (1 – Hc – Hfx)]}</w:t>
            </w:r>
            <w:bookmarkEnd w:id="1085"/>
            <w:bookmarkEnd w:id="1086"/>
            <w:bookmarkEnd w:id="1087"/>
          </w:p>
        </w:tc>
      </w:tr>
    </w:tbl>
    <w:p w:rsidR="00B259A6" w:rsidRPr="0064620F" w:rsidRDefault="00B259A6" w:rsidP="0064620F">
      <w:pPr>
        <w:ind w:left="1115" w:hanging="270"/>
        <w:rPr>
          <w:b w:val="0"/>
          <w:bCs w:val="0"/>
          <w:rtl/>
        </w:rPr>
      </w:pPr>
      <w:bookmarkStart w:id="1088" w:name="_Toc414888185"/>
      <w:bookmarkStart w:id="1089" w:name="_Toc451176373"/>
      <w:bookmarkStart w:id="1090" w:name="_Toc451180354"/>
      <w:r w:rsidRPr="0064620F">
        <w:rPr>
          <w:b w:val="0"/>
          <w:bCs w:val="0"/>
          <w:rtl/>
        </w:rPr>
        <w:t>حيث:</w:t>
      </w:r>
      <w:bookmarkEnd w:id="1088"/>
      <w:bookmarkEnd w:id="1089"/>
      <w:bookmarkEnd w:id="1090"/>
    </w:p>
    <w:tbl>
      <w:tblPr>
        <w:tblW w:w="7538" w:type="dxa"/>
        <w:jc w:val="center"/>
        <w:tblLook w:val="04A0" w:firstRow="1" w:lastRow="0" w:firstColumn="1" w:lastColumn="0" w:noHBand="0" w:noVBand="1"/>
      </w:tblPr>
      <w:tblGrid>
        <w:gridCol w:w="6658"/>
        <w:gridCol w:w="880"/>
      </w:tblGrid>
      <w:tr w:rsidR="0035613D" w:rsidRPr="0035613D" w:rsidTr="00811F95">
        <w:trPr>
          <w:trHeight w:val="432"/>
          <w:jc w:val="center"/>
        </w:trPr>
        <w:tc>
          <w:tcPr>
            <w:tcW w:w="6658"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091" w:name="_Toc451176374"/>
            <w:bookmarkStart w:id="1092" w:name="_Toc451180355"/>
            <w:bookmarkStart w:id="1093" w:name="RANGE!A1"/>
            <w:r w:rsidRPr="0035613D">
              <w:rPr>
                <w:rFonts w:eastAsia="Times New Roman" w:hint="cs"/>
                <w:b w:val="0"/>
                <w:bCs w:val="0"/>
                <w:color w:val="000000"/>
                <w:rtl/>
              </w:rPr>
              <w:t>قيمة التعرض الائتماني (</w:t>
            </w:r>
            <w:r w:rsidRPr="0035613D">
              <w:rPr>
                <w:rFonts w:eastAsia="Times New Roman" w:hint="cs"/>
                <w:b w:val="0"/>
                <w:bCs w:val="0"/>
                <w:color w:val="000000"/>
              </w:rPr>
              <w:t>Exposure</w:t>
            </w:r>
            <w:r w:rsidRPr="0035613D">
              <w:rPr>
                <w:rFonts w:eastAsia="Times New Roman" w:hint="cs"/>
                <w:b w:val="0"/>
                <w:bCs w:val="0"/>
                <w:color w:val="000000"/>
                <w:rtl/>
              </w:rPr>
              <w:t>) بعد احتساب أثر الضمان</w:t>
            </w:r>
            <w:bookmarkEnd w:id="1091"/>
            <w:bookmarkEnd w:id="1092"/>
            <w:bookmarkEnd w:id="1093"/>
          </w:p>
        </w:tc>
        <w:tc>
          <w:tcPr>
            <w:tcW w:w="880"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094" w:name="_Toc451176375"/>
            <w:bookmarkStart w:id="1095" w:name="_Toc451180356"/>
            <w:bookmarkStart w:id="1096" w:name="RANGE!B1"/>
            <w:r>
              <w:rPr>
                <w:rFonts w:eastAsia="Times New Roman"/>
                <w:b w:val="0"/>
                <w:bCs w:val="0"/>
                <w:color w:val="000000"/>
              </w:rPr>
              <w:t>:</w:t>
            </w:r>
            <w:r w:rsidRPr="0035613D">
              <w:rPr>
                <w:rFonts w:eastAsia="Times New Roman"/>
                <w:b w:val="0"/>
                <w:bCs w:val="0"/>
                <w:color w:val="000000"/>
              </w:rPr>
              <w:t>E*</w:t>
            </w:r>
            <w:bookmarkEnd w:id="1094"/>
            <w:bookmarkEnd w:id="1095"/>
            <w:bookmarkEnd w:id="1096"/>
          </w:p>
        </w:tc>
      </w:tr>
      <w:tr w:rsidR="0035613D" w:rsidRPr="0035613D" w:rsidTr="00811F95">
        <w:trPr>
          <w:trHeight w:val="432"/>
          <w:jc w:val="center"/>
        </w:trPr>
        <w:tc>
          <w:tcPr>
            <w:tcW w:w="6658" w:type="dxa"/>
            <w:shd w:val="clear" w:color="auto" w:fill="auto"/>
            <w:noWrap/>
            <w:vAlign w:val="center"/>
            <w:hideMark/>
          </w:tcPr>
          <w:p w:rsidR="0035613D" w:rsidRPr="0035613D" w:rsidRDefault="0035613D" w:rsidP="0035613D">
            <w:pPr>
              <w:spacing w:after="0"/>
              <w:jc w:val="left"/>
              <w:rPr>
                <w:rFonts w:eastAsia="Times New Roman"/>
                <w:b w:val="0"/>
                <w:bCs w:val="0"/>
                <w:color w:val="000000"/>
                <w:rtl/>
              </w:rPr>
            </w:pPr>
            <w:bookmarkStart w:id="1097" w:name="_Toc451176376"/>
            <w:bookmarkStart w:id="1098" w:name="_Toc451180357"/>
            <w:bookmarkStart w:id="1099" w:name="RANGE!A2"/>
            <w:r w:rsidRPr="0035613D">
              <w:rPr>
                <w:rFonts w:eastAsia="Times New Roman" w:hint="cs"/>
                <w:b w:val="0"/>
                <w:bCs w:val="0"/>
                <w:color w:val="000000"/>
                <w:rtl/>
              </w:rPr>
              <w:t>قيمة التعرض الائتماني (</w:t>
            </w:r>
            <w:r w:rsidRPr="0035613D">
              <w:rPr>
                <w:rFonts w:eastAsia="Times New Roman" w:hint="cs"/>
                <w:b w:val="0"/>
                <w:bCs w:val="0"/>
                <w:color w:val="000000"/>
              </w:rPr>
              <w:t>Exposure</w:t>
            </w:r>
            <w:r w:rsidRPr="0035613D">
              <w:rPr>
                <w:rFonts w:eastAsia="Times New Roman" w:hint="cs"/>
                <w:b w:val="0"/>
                <w:bCs w:val="0"/>
                <w:color w:val="000000"/>
                <w:rtl/>
              </w:rPr>
              <w:t>) قبل احتساب أثر الضمان</w:t>
            </w:r>
            <w:bookmarkEnd w:id="1097"/>
            <w:bookmarkEnd w:id="1098"/>
            <w:bookmarkEnd w:id="1099"/>
          </w:p>
        </w:tc>
        <w:tc>
          <w:tcPr>
            <w:tcW w:w="880"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00" w:name="_Toc451176377"/>
            <w:bookmarkStart w:id="1101" w:name="_Toc451180358"/>
            <w:bookmarkStart w:id="1102" w:name="RANGE!B2"/>
            <w:r w:rsidRPr="0035613D">
              <w:rPr>
                <w:rFonts w:eastAsia="Times New Roman"/>
                <w:b w:val="0"/>
                <w:bCs w:val="0"/>
                <w:color w:val="000000"/>
              </w:rPr>
              <w:t>E</w:t>
            </w:r>
            <w:r w:rsidRPr="0035613D">
              <w:rPr>
                <w:rFonts w:eastAsia="Times New Roman"/>
                <w:b w:val="0"/>
                <w:bCs w:val="0"/>
                <w:color w:val="000000"/>
                <w:rtl/>
              </w:rPr>
              <w:t>:</w:t>
            </w:r>
            <w:bookmarkEnd w:id="1100"/>
            <w:bookmarkEnd w:id="1101"/>
            <w:bookmarkEnd w:id="1102"/>
          </w:p>
        </w:tc>
      </w:tr>
      <w:tr w:rsidR="0035613D" w:rsidRPr="0035613D" w:rsidTr="00811F95">
        <w:trPr>
          <w:trHeight w:val="432"/>
          <w:jc w:val="center"/>
        </w:trPr>
        <w:tc>
          <w:tcPr>
            <w:tcW w:w="6658"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03" w:name="_Toc451176378"/>
            <w:bookmarkStart w:id="1104" w:name="_Toc451180359"/>
            <w:bookmarkStart w:id="1105" w:name="RANGE!A3"/>
            <w:r w:rsidRPr="0035613D">
              <w:rPr>
                <w:rFonts w:eastAsia="Times New Roman" w:hint="cs"/>
                <w:b w:val="0"/>
                <w:bCs w:val="0"/>
                <w:color w:val="000000"/>
                <w:rtl/>
              </w:rPr>
              <w:t>نسبة الاقتطاع المستخدمة لرفع قيمة التعرض الائتماني (</w:t>
            </w:r>
            <w:r w:rsidRPr="0035613D">
              <w:rPr>
                <w:rFonts w:eastAsia="Times New Roman" w:hint="cs"/>
                <w:b w:val="0"/>
                <w:bCs w:val="0"/>
                <w:color w:val="000000"/>
              </w:rPr>
              <w:t>Exposure</w:t>
            </w:r>
            <w:r w:rsidRPr="0035613D">
              <w:rPr>
                <w:rFonts w:eastAsia="Times New Roman" w:hint="cs"/>
                <w:b w:val="0"/>
                <w:bCs w:val="0"/>
                <w:color w:val="000000"/>
                <w:rtl/>
              </w:rPr>
              <w:t>)</w:t>
            </w:r>
            <w:bookmarkEnd w:id="1103"/>
            <w:bookmarkEnd w:id="1104"/>
            <w:bookmarkEnd w:id="1105"/>
          </w:p>
        </w:tc>
        <w:tc>
          <w:tcPr>
            <w:tcW w:w="880"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06" w:name="_Toc451176379"/>
            <w:bookmarkStart w:id="1107" w:name="_Toc451180360"/>
            <w:bookmarkStart w:id="1108" w:name="RANGE!B3"/>
            <w:r w:rsidRPr="0035613D">
              <w:rPr>
                <w:rFonts w:eastAsia="Times New Roman"/>
                <w:b w:val="0"/>
                <w:bCs w:val="0"/>
                <w:color w:val="000000"/>
              </w:rPr>
              <w:t>He</w:t>
            </w:r>
            <w:r w:rsidRPr="0035613D">
              <w:rPr>
                <w:rFonts w:eastAsia="Times New Roman"/>
                <w:b w:val="0"/>
                <w:bCs w:val="0"/>
                <w:color w:val="000000"/>
                <w:rtl/>
              </w:rPr>
              <w:t>:</w:t>
            </w:r>
            <w:bookmarkEnd w:id="1106"/>
            <w:bookmarkEnd w:id="1107"/>
            <w:bookmarkEnd w:id="1108"/>
          </w:p>
        </w:tc>
      </w:tr>
      <w:tr w:rsidR="0035613D" w:rsidRPr="0035613D" w:rsidTr="00811F95">
        <w:trPr>
          <w:trHeight w:val="432"/>
          <w:jc w:val="center"/>
        </w:trPr>
        <w:tc>
          <w:tcPr>
            <w:tcW w:w="6658"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09" w:name="_Toc451176380"/>
            <w:bookmarkStart w:id="1110" w:name="_Toc451180361"/>
            <w:bookmarkStart w:id="1111" w:name="RANGE!A4"/>
            <w:r w:rsidRPr="0035613D">
              <w:rPr>
                <w:rFonts w:eastAsia="Times New Roman" w:hint="cs"/>
                <w:b w:val="0"/>
                <w:bCs w:val="0"/>
                <w:color w:val="000000"/>
                <w:rtl/>
              </w:rPr>
              <w:t>القيمة السوقية للضمان المقدم</w:t>
            </w:r>
            <w:bookmarkEnd w:id="1109"/>
            <w:bookmarkEnd w:id="1110"/>
            <w:bookmarkEnd w:id="1111"/>
          </w:p>
        </w:tc>
        <w:tc>
          <w:tcPr>
            <w:tcW w:w="880"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12" w:name="_Toc451176381"/>
            <w:bookmarkStart w:id="1113" w:name="_Toc451180362"/>
            <w:bookmarkStart w:id="1114" w:name="RANGE!B4"/>
            <w:r>
              <w:rPr>
                <w:rFonts w:eastAsia="Times New Roman"/>
                <w:b w:val="0"/>
                <w:bCs w:val="0"/>
                <w:color w:val="000000"/>
              </w:rPr>
              <w:t>:</w:t>
            </w:r>
            <w:r w:rsidRPr="0035613D">
              <w:rPr>
                <w:rFonts w:eastAsia="Times New Roman"/>
                <w:b w:val="0"/>
                <w:bCs w:val="0"/>
                <w:color w:val="000000"/>
              </w:rPr>
              <w:t>C</w:t>
            </w:r>
            <w:bookmarkEnd w:id="1112"/>
            <w:bookmarkEnd w:id="1113"/>
            <w:bookmarkEnd w:id="1114"/>
          </w:p>
        </w:tc>
      </w:tr>
      <w:tr w:rsidR="0035613D" w:rsidRPr="0035613D" w:rsidTr="00811F95">
        <w:trPr>
          <w:trHeight w:val="432"/>
          <w:jc w:val="center"/>
        </w:trPr>
        <w:tc>
          <w:tcPr>
            <w:tcW w:w="6658"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15" w:name="_Toc451176382"/>
            <w:bookmarkStart w:id="1116" w:name="_Toc451180363"/>
            <w:bookmarkStart w:id="1117" w:name="RANGE!A5"/>
            <w:r w:rsidRPr="0035613D">
              <w:rPr>
                <w:rFonts w:eastAsia="Times New Roman" w:hint="cs"/>
                <w:b w:val="0"/>
                <w:bCs w:val="0"/>
                <w:color w:val="000000"/>
                <w:rtl/>
              </w:rPr>
              <w:t>نسبة الاقتطاع المستخدمة لتخفيض قيمة الضمان</w:t>
            </w:r>
            <w:bookmarkEnd w:id="1115"/>
            <w:bookmarkEnd w:id="1116"/>
            <w:bookmarkEnd w:id="1117"/>
          </w:p>
        </w:tc>
        <w:tc>
          <w:tcPr>
            <w:tcW w:w="880"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18" w:name="_Toc451176383"/>
            <w:bookmarkStart w:id="1119" w:name="_Toc451180364"/>
            <w:bookmarkStart w:id="1120" w:name="RANGE!B5"/>
            <w:r w:rsidRPr="0035613D">
              <w:rPr>
                <w:rFonts w:eastAsia="Times New Roman"/>
                <w:b w:val="0"/>
                <w:bCs w:val="0"/>
                <w:color w:val="000000"/>
              </w:rPr>
              <w:t>Hc</w:t>
            </w:r>
            <w:r w:rsidRPr="0035613D">
              <w:rPr>
                <w:rFonts w:eastAsia="Times New Roman"/>
                <w:b w:val="0"/>
                <w:bCs w:val="0"/>
                <w:color w:val="000000"/>
                <w:rtl/>
              </w:rPr>
              <w:t>:</w:t>
            </w:r>
            <w:bookmarkEnd w:id="1118"/>
            <w:bookmarkEnd w:id="1119"/>
            <w:bookmarkEnd w:id="1120"/>
          </w:p>
        </w:tc>
      </w:tr>
      <w:tr w:rsidR="0035613D" w:rsidRPr="0035613D" w:rsidTr="00811F95">
        <w:trPr>
          <w:trHeight w:val="432"/>
          <w:jc w:val="center"/>
        </w:trPr>
        <w:tc>
          <w:tcPr>
            <w:tcW w:w="6658" w:type="dxa"/>
            <w:shd w:val="clear" w:color="auto" w:fill="auto"/>
            <w:noWrap/>
            <w:vAlign w:val="center"/>
            <w:hideMark/>
          </w:tcPr>
          <w:p w:rsidR="0035613D" w:rsidRPr="0035613D" w:rsidRDefault="0035613D" w:rsidP="00811F95">
            <w:pPr>
              <w:spacing w:after="0"/>
              <w:jc w:val="left"/>
              <w:rPr>
                <w:rFonts w:eastAsia="Times New Roman"/>
                <w:b w:val="0"/>
                <w:bCs w:val="0"/>
                <w:color w:val="000000"/>
              </w:rPr>
            </w:pPr>
            <w:bookmarkStart w:id="1121" w:name="_Toc451176384"/>
            <w:bookmarkStart w:id="1122" w:name="_Toc451180365"/>
            <w:bookmarkStart w:id="1123" w:name="RANGE!A6"/>
            <w:r w:rsidRPr="0035613D">
              <w:rPr>
                <w:rFonts w:eastAsia="Times New Roman" w:hint="cs"/>
                <w:b w:val="0"/>
                <w:bCs w:val="0"/>
                <w:color w:val="000000"/>
                <w:rtl/>
              </w:rPr>
              <w:t>نسبة الاقتطاع المستخدمة لتخفيض قيمة الضمان بفرق العملة في حال</w:t>
            </w:r>
            <w:r w:rsidR="00811F95">
              <w:rPr>
                <w:rFonts w:eastAsia="Times New Roman" w:hint="cs"/>
                <w:b w:val="0"/>
                <w:bCs w:val="0"/>
                <w:color w:val="000000"/>
                <w:rtl/>
              </w:rPr>
              <w:t xml:space="preserve"> وجوده</w:t>
            </w:r>
            <w:r w:rsidRPr="0035613D">
              <w:rPr>
                <w:rFonts w:eastAsia="Times New Roman" w:hint="cs"/>
                <w:b w:val="0"/>
                <w:bCs w:val="0"/>
                <w:color w:val="000000"/>
                <w:rtl/>
              </w:rPr>
              <w:t xml:space="preserve"> </w:t>
            </w:r>
            <w:bookmarkEnd w:id="1121"/>
            <w:bookmarkEnd w:id="1122"/>
            <w:bookmarkEnd w:id="1123"/>
          </w:p>
        </w:tc>
        <w:tc>
          <w:tcPr>
            <w:tcW w:w="880" w:type="dxa"/>
            <w:shd w:val="clear" w:color="auto" w:fill="auto"/>
            <w:noWrap/>
            <w:vAlign w:val="center"/>
            <w:hideMark/>
          </w:tcPr>
          <w:p w:rsidR="0035613D" w:rsidRPr="0035613D" w:rsidRDefault="0035613D" w:rsidP="0035613D">
            <w:pPr>
              <w:spacing w:after="0"/>
              <w:jc w:val="left"/>
              <w:rPr>
                <w:rFonts w:eastAsia="Times New Roman"/>
                <w:b w:val="0"/>
                <w:bCs w:val="0"/>
                <w:color w:val="000000"/>
              </w:rPr>
            </w:pPr>
            <w:bookmarkStart w:id="1124" w:name="_Toc451176385"/>
            <w:bookmarkStart w:id="1125" w:name="_Toc451180366"/>
            <w:bookmarkStart w:id="1126" w:name="RANGE!B6"/>
            <w:r w:rsidRPr="0035613D">
              <w:rPr>
                <w:rFonts w:eastAsia="Times New Roman"/>
                <w:b w:val="0"/>
                <w:bCs w:val="0"/>
                <w:color w:val="000000"/>
              </w:rPr>
              <w:t>Hfx</w:t>
            </w:r>
            <w:r w:rsidRPr="0035613D">
              <w:rPr>
                <w:rFonts w:eastAsia="Times New Roman"/>
                <w:b w:val="0"/>
                <w:bCs w:val="0"/>
                <w:color w:val="000000"/>
                <w:rtl/>
              </w:rPr>
              <w:t>:</w:t>
            </w:r>
            <w:bookmarkEnd w:id="1124"/>
            <w:bookmarkEnd w:id="1125"/>
            <w:bookmarkEnd w:id="1126"/>
          </w:p>
        </w:tc>
      </w:tr>
    </w:tbl>
    <w:p w:rsidR="0053072E" w:rsidRPr="008F60C0" w:rsidRDefault="00B259A6" w:rsidP="002F28A0">
      <w:pPr>
        <w:ind w:left="1275" w:hanging="709"/>
        <w:rPr>
          <w:b w:val="0"/>
          <w:bCs w:val="0"/>
          <w:rtl/>
        </w:rPr>
      </w:pPr>
      <w:bookmarkStart w:id="1127" w:name="_Toc414888198"/>
      <w:bookmarkStart w:id="1128" w:name="_Toc451176386"/>
      <w:bookmarkStart w:id="1129" w:name="_Toc451180367"/>
      <w:r w:rsidRPr="00C77C11">
        <w:rPr>
          <w:b w:val="0"/>
          <w:bCs w:val="0"/>
          <w:rtl/>
        </w:rPr>
        <w:t>2.10</w:t>
      </w:r>
      <w:r w:rsidR="00C77C11" w:rsidRPr="00C77C11">
        <w:rPr>
          <w:rFonts w:hint="cs"/>
          <w:b w:val="0"/>
          <w:bCs w:val="0"/>
          <w:rtl/>
        </w:rPr>
        <w:t>.</w:t>
      </w:r>
      <w:r w:rsidRPr="00C77C11">
        <w:rPr>
          <w:b w:val="0"/>
          <w:bCs w:val="0"/>
          <w:rtl/>
        </w:rPr>
        <w:tab/>
        <w:t>تحتسب قيمة الموجودات المرجحة بالمخاطر وفقاً للمعادلة التالية وبحيث تضرب قيمة التعرض الائتماني بعد احتساب أثر الضمان (</w:t>
      </w:r>
      <w:r w:rsidRPr="00C77C11">
        <w:rPr>
          <w:b w:val="0"/>
          <w:bCs w:val="0"/>
        </w:rPr>
        <w:t>E*</w:t>
      </w:r>
      <w:r w:rsidRPr="00C77C11">
        <w:rPr>
          <w:b w:val="0"/>
          <w:bCs w:val="0"/>
          <w:rtl/>
        </w:rPr>
        <w:t>) بوزن المخاطر الترجيحي للطرف المقابل:</w:t>
      </w:r>
      <w:bookmarkEnd w:id="1127"/>
      <w:bookmarkEnd w:id="1128"/>
      <w:bookmarkEnd w:id="1129"/>
    </w:p>
    <w:tbl>
      <w:tblPr>
        <w:tblStyle w:val="TableGrid"/>
        <w:bidiVisual/>
        <w:tblW w:w="0" w:type="auto"/>
        <w:jc w:val="center"/>
        <w:tblLook w:val="04A0" w:firstRow="1" w:lastRow="0" w:firstColumn="1" w:lastColumn="0" w:noHBand="0" w:noVBand="1"/>
      </w:tblPr>
      <w:tblGrid>
        <w:gridCol w:w="3600"/>
      </w:tblGrid>
      <w:tr w:rsidR="008F60C0" w:rsidTr="008677AB">
        <w:trPr>
          <w:trHeight w:val="144"/>
          <w:jc w:val="center"/>
        </w:trPr>
        <w:tc>
          <w:tcPr>
            <w:tcW w:w="3600" w:type="dxa"/>
            <w:vAlign w:val="center"/>
          </w:tcPr>
          <w:p w:rsidR="008F60C0" w:rsidRPr="008F60C0" w:rsidRDefault="008F60C0" w:rsidP="008677AB">
            <w:pPr>
              <w:jc w:val="center"/>
              <w:rPr>
                <w:b w:val="0"/>
                <w:bCs w:val="0"/>
                <w:rtl/>
                <w:lang w:bidi="ar-JO"/>
              </w:rPr>
            </w:pPr>
            <w:bookmarkStart w:id="1130" w:name="_Toc414888199"/>
            <w:bookmarkStart w:id="1131" w:name="_Toc451176387"/>
            <w:bookmarkStart w:id="1132" w:name="_Toc451180368"/>
            <w:r w:rsidRPr="008F60C0">
              <w:rPr>
                <w:b w:val="0"/>
                <w:bCs w:val="0"/>
                <w:lang w:val="es-ES" w:eastAsia="es-ES"/>
              </w:rPr>
              <w:t>RWA = E</w:t>
            </w:r>
            <w:r w:rsidRPr="008F60C0">
              <w:rPr>
                <w:b w:val="0"/>
                <w:bCs w:val="0"/>
                <w:vertAlign w:val="superscript"/>
                <w:lang w:val="es-ES" w:eastAsia="es-ES"/>
              </w:rPr>
              <w:t>*</w:t>
            </w:r>
            <w:r w:rsidRPr="008F60C0">
              <w:rPr>
                <w:b w:val="0"/>
                <w:bCs w:val="0"/>
                <w:lang w:val="es-ES" w:eastAsia="es-ES"/>
              </w:rPr>
              <w:t xml:space="preserve"> * RW</w:t>
            </w:r>
            <w:bookmarkEnd w:id="1130"/>
            <w:bookmarkEnd w:id="1131"/>
            <w:bookmarkEnd w:id="1132"/>
          </w:p>
        </w:tc>
      </w:tr>
    </w:tbl>
    <w:p w:rsidR="0053072E" w:rsidRPr="008F60C0" w:rsidRDefault="00B259A6" w:rsidP="002F28A0">
      <w:pPr>
        <w:ind w:left="1275" w:hanging="709"/>
        <w:rPr>
          <w:b w:val="0"/>
          <w:bCs w:val="0"/>
          <w:rtl/>
        </w:rPr>
      </w:pPr>
      <w:bookmarkStart w:id="1133" w:name="_Toc414888200"/>
      <w:bookmarkStart w:id="1134" w:name="_Toc451176388"/>
      <w:bookmarkStart w:id="1135" w:name="_Toc451180369"/>
      <w:r w:rsidRPr="008F60C0">
        <w:rPr>
          <w:b w:val="0"/>
          <w:bCs w:val="0"/>
          <w:rtl/>
        </w:rPr>
        <w:t>3.10</w:t>
      </w:r>
      <w:r w:rsidR="008F60C0">
        <w:rPr>
          <w:rFonts w:hint="cs"/>
          <w:b w:val="0"/>
          <w:bCs w:val="0"/>
          <w:rtl/>
        </w:rPr>
        <w:t>.</w:t>
      </w:r>
      <w:r w:rsidRPr="008F60C0">
        <w:rPr>
          <w:b w:val="0"/>
          <w:bCs w:val="0"/>
          <w:rtl/>
        </w:rPr>
        <w:tab/>
        <w:t>في حال اختلاف الآجال بين التعرض الائتماني والضمانة المقدمة تطبق التعليمات الواردة في فقرة اختلاف الآجال أدناه.</w:t>
      </w:r>
      <w:bookmarkEnd w:id="1133"/>
      <w:bookmarkEnd w:id="1134"/>
      <w:bookmarkEnd w:id="1135"/>
    </w:p>
    <w:p w:rsidR="00792126" w:rsidRPr="008F60C0" w:rsidRDefault="008F60C0" w:rsidP="00F96D49">
      <w:pPr>
        <w:ind w:left="1275" w:hanging="709"/>
        <w:rPr>
          <w:b w:val="0"/>
          <w:bCs w:val="0"/>
          <w:rtl/>
        </w:rPr>
      </w:pPr>
      <w:bookmarkStart w:id="1136" w:name="_Toc414888201"/>
      <w:bookmarkStart w:id="1137" w:name="_Toc451176389"/>
      <w:bookmarkStart w:id="1138" w:name="_Toc451180370"/>
      <w:r w:rsidRPr="008F60C0">
        <w:rPr>
          <w:b w:val="0"/>
          <w:bCs w:val="0"/>
          <w:rtl/>
        </w:rPr>
        <w:t>4.</w:t>
      </w:r>
      <w:r>
        <w:rPr>
          <w:b w:val="0"/>
          <w:bCs w:val="0"/>
          <w:rtl/>
        </w:rPr>
        <w:t>10</w:t>
      </w:r>
      <w:r>
        <w:rPr>
          <w:rFonts w:hint="cs"/>
          <w:b w:val="0"/>
          <w:bCs w:val="0"/>
          <w:rtl/>
        </w:rPr>
        <w:t>.</w:t>
      </w:r>
      <w:r>
        <w:rPr>
          <w:b w:val="0"/>
          <w:bCs w:val="0"/>
          <w:rtl/>
        </w:rPr>
        <w:tab/>
      </w:r>
      <w:r w:rsidR="00B259A6" w:rsidRPr="008F60C0">
        <w:rPr>
          <w:b w:val="0"/>
          <w:bCs w:val="0"/>
          <w:rtl/>
        </w:rPr>
        <w:t>في حال وجود أكثر من ضمان مؤهل مقابل التعرض الائتماني فإنه يتم احتساب نسبة اقتطاع موحدة بحيث تعكس القيمة المرجحة لكل ضمان وحسب العملة في حال اختلاف نوع العملة ووفقاً للمعادلة التالية:</w:t>
      </w:r>
      <w:bookmarkEnd w:id="1136"/>
      <w:bookmarkEnd w:id="1137"/>
      <w:bookmarkEnd w:id="1138"/>
      <w:r w:rsidR="00F96D49">
        <w:rPr>
          <w:rFonts w:hint="cs"/>
          <w:b w:val="0"/>
          <w:bCs w:val="0"/>
          <w:rtl/>
        </w:rPr>
        <w:t xml:space="preserve">             </w:t>
      </w:r>
      <m:oMath>
        <m:r>
          <m:rPr>
            <m:sty m:val="bi"/>
          </m:rPr>
          <w:rPr>
            <w:rFonts w:ascii="Cambria Math" w:eastAsia="Cambria Math" w:hAnsi="Cambria Math" w:cs="Cambria Math"/>
          </w:rPr>
          <m:t>H=</m:t>
        </m:r>
        <m:nary>
          <m:naryPr>
            <m:chr m:val="∑"/>
            <m:grow m:val="1"/>
            <m:ctrlPr>
              <w:rPr>
                <w:rFonts w:ascii="Cambria Math" w:hAnsi="Cambria Math"/>
                <w:bCs w:val="0"/>
              </w:rPr>
            </m:ctrlPr>
          </m:naryPr>
          <m:sub>
            <m:r>
              <m:rPr>
                <m:sty m:val="bi"/>
              </m:rPr>
              <w:rPr>
                <w:rFonts w:ascii="Cambria Math" w:hAnsi="Cambria Math"/>
              </w:rPr>
              <m:t>i</m:t>
            </m:r>
          </m:sub>
          <m:sup/>
          <m:e>
            <m:r>
              <m:rPr>
                <m:sty m:val="bi"/>
              </m:rPr>
              <w:rPr>
                <w:rFonts w:ascii="Cambria Math" w:hAnsi="Cambria Math"/>
              </w:rPr>
              <m:t>a Hi</m:t>
            </m:r>
          </m:e>
        </m:nary>
      </m:oMath>
    </w:p>
    <w:p w:rsidR="00B259A6" w:rsidRDefault="0064620F" w:rsidP="00C77C11">
      <w:pPr>
        <w:rPr>
          <w:b w:val="0"/>
          <w:bCs w:val="0"/>
        </w:rPr>
      </w:pPr>
      <w:bookmarkStart w:id="1139" w:name="_Toc414888203"/>
      <w:bookmarkStart w:id="1140" w:name="_Toc451176391"/>
      <w:bookmarkStart w:id="1141" w:name="_Toc451180372"/>
      <w:r>
        <w:rPr>
          <w:b w:val="0"/>
          <w:bCs w:val="0"/>
        </w:rPr>
        <w:t xml:space="preserve">             </w:t>
      </w:r>
      <w:r w:rsidR="00B259A6" w:rsidRPr="008F60C0">
        <w:rPr>
          <w:b w:val="0"/>
          <w:bCs w:val="0"/>
          <w:rtl/>
        </w:rPr>
        <w:t>حيث:</w:t>
      </w:r>
      <w:bookmarkEnd w:id="1139"/>
      <w:bookmarkEnd w:id="1140"/>
      <w:bookmarkEnd w:id="1141"/>
    </w:p>
    <w:tbl>
      <w:tblPr>
        <w:tblStyle w:val="TableGrid"/>
        <w:tblW w:w="4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6"/>
        <w:gridCol w:w="606"/>
      </w:tblGrid>
      <w:tr w:rsidR="0064620F" w:rsidRPr="0064620F" w:rsidTr="00F96D49">
        <w:trPr>
          <w:trHeight w:val="387"/>
          <w:jc w:val="center"/>
        </w:trPr>
        <w:tc>
          <w:tcPr>
            <w:tcW w:w="4086" w:type="dxa"/>
            <w:hideMark/>
          </w:tcPr>
          <w:p w:rsidR="0064620F" w:rsidRPr="0064620F" w:rsidRDefault="0064620F" w:rsidP="0064620F">
            <w:pPr>
              <w:spacing w:after="0"/>
              <w:rPr>
                <w:rFonts w:eastAsia="Times New Roman"/>
                <w:b w:val="0"/>
                <w:bCs w:val="0"/>
                <w:color w:val="000000"/>
              </w:rPr>
            </w:pPr>
            <w:r w:rsidRPr="0064620F">
              <w:rPr>
                <w:rFonts w:eastAsia="Times New Roman" w:hint="cs"/>
                <w:b w:val="0"/>
                <w:bCs w:val="0"/>
                <w:color w:val="000000"/>
                <w:rtl/>
              </w:rPr>
              <w:t>نسبة الاقتطاع الموحدة</w:t>
            </w:r>
          </w:p>
        </w:tc>
        <w:tc>
          <w:tcPr>
            <w:tcW w:w="606" w:type="dxa"/>
            <w:hideMark/>
          </w:tcPr>
          <w:p w:rsidR="0064620F" w:rsidRPr="0064620F" w:rsidRDefault="0064620F" w:rsidP="0064620F">
            <w:pPr>
              <w:bidi w:val="0"/>
              <w:spacing w:after="0"/>
              <w:rPr>
                <w:rFonts w:eastAsia="Times New Roman"/>
                <w:b w:val="0"/>
                <w:bCs w:val="0"/>
                <w:color w:val="000000"/>
              </w:rPr>
            </w:pPr>
            <w:r>
              <w:rPr>
                <w:rFonts w:eastAsia="Times New Roman"/>
                <w:b w:val="0"/>
                <w:bCs w:val="0"/>
                <w:color w:val="000000"/>
              </w:rPr>
              <w:t>:</w:t>
            </w:r>
            <w:r w:rsidRPr="0064620F">
              <w:rPr>
                <w:rFonts w:eastAsia="Times New Roman"/>
                <w:b w:val="0"/>
                <w:bCs w:val="0"/>
                <w:color w:val="000000"/>
              </w:rPr>
              <w:t>H</w:t>
            </w:r>
          </w:p>
        </w:tc>
      </w:tr>
      <w:tr w:rsidR="0064620F" w:rsidRPr="0064620F" w:rsidTr="00F96D49">
        <w:trPr>
          <w:trHeight w:val="387"/>
          <w:jc w:val="center"/>
        </w:trPr>
        <w:tc>
          <w:tcPr>
            <w:tcW w:w="4086" w:type="dxa"/>
            <w:hideMark/>
          </w:tcPr>
          <w:p w:rsidR="0064620F" w:rsidRPr="0064620F" w:rsidRDefault="0064620F" w:rsidP="0064620F">
            <w:pPr>
              <w:spacing w:after="0"/>
              <w:rPr>
                <w:rFonts w:eastAsia="Times New Roman"/>
                <w:b w:val="0"/>
                <w:bCs w:val="0"/>
                <w:color w:val="000000"/>
              </w:rPr>
            </w:pPr>
            <w:r w:rsidRPr="0064620F">
              <w:rPr>
                <w:rFonts w:eastAsia="Times New Roman" w:hint="cs"/>
                <w:b w:val="0"/>
                <w:bCs w:val="0"/>
                <w:color w:val="000000"/>
                <w:rtl/>
              </w:rPr>
              <w:t>الوزن الترجيحي بالنسبة للقيمة الكلية</w:t>
            </w:r>
          </w:p>
        </w:tc>
        <w:tc>
          <w:tcPr>
            <w:tcW w:w="606" w:type="dxa"/>
            <w:hideMark/>
          </w:tcPr>
          <w:p w:rsidR="0064620F" w:rsidRPr="0064620F" w:rsidRDefault="0064620F" w:rsidP="0064620F">
            <w:pPr>
              <w:bidi w:val="0"/>
              <w:spacing w:after="0"/>
              <w:rPr>
                <w:rFonts w:eastAsia="Times New Roman"/>
                <w:b w:val="0"/>
                <w:bCs w:val="0"/>
                <w:color w:val="000000"/>
              </w:rPr>
            </w:pPr>
            <w:r>
              <w:rPr>
                <w:rFonts w:eastAsia="Times New Roman"/>
                <w:b w:val="0"/>
                <w:bCs w:val="0"/>
                <w:color w:val="000000"/>
              </w:rPr>
              <w:t>:</w:t>
            </w:r>
            <w:r w:rsidRPr="0064620F">
              <w:rPr>
                <w:rFonts w:eastAsia="Times New Roman"/>
                <w:b w:val="0"/>
                <w:bCs w:val="0"/>
                <w:color w:val="000000"/>
              </w:rPr>
              <w:t>ai</w:t>
            </w:r>
          </w:p>
        </w:tc>
      </w:tr>
      <w:tr w:rsidR="0064620F" w:rsidRPr="0064620F" w:rsidTr="00F96D49">
        <w:trPr>
          <w:trHeight w:val="387"/>
          <w:jc w:val="center"/>
        </w:trPr>
        <w:tc>
          <w:tcPr>
            <w:tcW w:w="4086" w:type="dxa"/>
            <w:hideMark/>
          </w:tcPr>
          <w:p w:rsidR="00206447" w:rsidRDefault="0064620F" w:rsidP="00F96D49">
            <w:pPr>
              <w:spacing w:after="0"/>
              <w:rPr>
                <w:rFonts w:eastAsia="Times New Roman"/>
                <w:b w:val="0"/>
                <w:bCs w:val="0"/>
                <w:color w:val="000000"/>
                <w:rtl/>
              </w:rPr>
            </w:pPr>
            <w:r w:rsidRPr="0064620F">
              <w:rPr>
                <w:rFonts w:eastAsia="Times New Roman" w:hint="cs"/>
                <w:b w:val="0"/>
                <w:bCs w:val="0"/>
                <w:color w:val="000000"/>
                <w:rtl/>
              </w:rPr>
              <w:t>نسبة الاقتطاع لذلك الضمان</w:t>
            </w:r>
          </w:p>
          <w:p w:rsidR="00206447" w:rsidRPr="0064620F" w:rsidRDefault="00206447" w:rsidP="00C51591">
            <w:pPr>
              <w:spacing w:after="0"/>
              <w:rPr>
                <w:rFonts w:eastAsia="Times New Roman"/>
                <w:b w:val="0"/>
                <w:bCs w:val="0"/>
                <w:color w:val="000000"/>
              </w:rPr>
            </w:pPr>
          </w:p>
        </w:tc>
        <w:tc>
          <w:tcPr>
            <w:tcW w:w="606" w:type="dxa"/>
            <w:hideMark/>
          </w:tcPr>
          <w:p w:rsidR="0064620F" w:rsidRPr="0064620F" w:rsidRDefault="0064620F" w:rsidP="0064620F">
            <w:pPr>
              <w:bidi w:val="0"/>
              <w:spacing w:after="0"/>
              <w:rPr>
                <w:rFonts w:eastAsia="Times New Roman"/>
                <w:b w:val="0"/>
                <w:bCs w:val="0"/>
                <w:color w:val="000000"/>
              </w:rPr>
            </w:pPr>
            <w:r>
              <w:rPr>
                <w:rFonts w:eastAsia="Times New Roman"/>
                <w:b w:val="0"/>
                <w:bCs w:val="0"/>
                <w:color w:val="000000"/>
              </w:rPr>
              <w:t>:</w:t>
            </w:r>
            <w:r w:rsidRPr="0064620F">
              <w:rPr>
                <w:rFonts w:eastAsia="Times New Roman"/>
                <w:b w:val="0"/>
                <w:bCs w:val="0"/>
                <w:color w:val="000000"/>
              </w:rPr>
              <w:t>Hi</w:t>
            </w:r>
          </w:p>
        </w:tc>
      </w:tr>
    </w:tbl>
    <w:p w:rsidR="00B259A6" w:rsidRPr="001F6DA7" w:rsidRDefault="00C51591" w:rsidP="002F28A0">
      <w:pPr>
        <w:spacing w:before="240" w:after="240" w:line="276" w:lineRule="auto"/>
        <w:ind w:left="708" w:hanging="425"/>
      </w:pPr>
      <w:bookmarkStart w:id="1142" w:name="_Toc451176398"/>
      <w:bookmarkStart w:id="1143" w:name="_Toc451180379"/>
      <w:r>
        <w:rPr>
          <w:rFonts w:hint="cs"/>
          <w:rtl/>
        </w:rPr>
        <w:lastRenderedPageBreak/>
        <w:t>11</w:t>
      </w:r>
      <w:r w:rsidR="0064620F">
        <w:rPr>
          <w:rtl/>
        </w:rPr>
        <w:t>.</w:t>
      </w:r>
      <w:r w:rsidR="0064620F">
        <w:t xml:space="preserve"> </w:t>
      </w:r>
      <w:r w:rsidR="00B259A6" w:rsidRPr="001F6DA7">
        <w:rPr>
          <w:rtl/>
        </w:rPr>
        <w:t xml:space="preserve">نسب الاقتطاع المعيارية </w:t>
      </w:r>
      <w:r w:rsidR="00B259A6" w:rsidRPr="001F6DA7">
        <w:t>Standard Supervisory Haircuts</w:t>
      </w:r>
      <w:bookmarkEnd w:id="1142"/>
      <w:bookmarkEnd w:id="1143"/>
    </w:p>
    <w:p w:rsidR="00B259A6" w:rsidRDefault="00B259A6" w:rsidP="002F28A0">
      <w:pPr>
        <w:ind w:left="1275" w:hanging="709"/>
        <w:rPr>
          <w:b w:val="0"/>
          <w:bCs w:val="0"/>
          <w:rtl/>
        </w:rPr>
      </w:pPr>
      <w:bookmarkStart w:id="1144" w:name="_Toc414888211"/>
      <w:bookmarkStart w:id="1145" w:name="_Toc451176399"/>
      <w:bookmarkStart w:id="1146" w:name="_Toc451180380"/>
      <w:r w:rsidRPr="008F60C0">
        <w:rPr>
          <w:b w:val="0"/>
          <w:bCs w:val="0"/>
          <w:rtl/>
        </w:rPr>
        <w:t>1.11</w:t>
      </w:r>
      <w:r w:rsidR="001F6DA7">
        <w:rPr>
          <w:rFonts w:hint="cs"/>
          <w:b w:val="0"/>
          <w:bCs w:val="0"/>
          <w:rtl/>
        </w:rPr>
        <w:t>.</w:t>
      </w:r>
      <w:r w:rsidRPr="008F60C0">
        <w:rPr>
          <w:b w:val="0"/>
          <w:bCs w:val="0"/>
          <w:rtl/>
        </w:rPr>
        <w:tab/>
        <w:t xml:space="preserve">يبين الجدول التالي نسب </w:t>
      </w:r>
      <w:r w:rsidRPr="00C77C11">
        <w:rPr>
          <w:b w:val="0"/>
          <w:bCs w:val="0"/>
          <w:rtl/>
        </w:rPr>
        <w:t>الاقتطاع</w:t>
      </w:r>
      <w:r w:rsidRPr="008F60C0">
        <w:rPr>
          <w:b w:val="0"/>
          <w:bCs w:val="0"/>
          <w:rtl/>
        </w:rPr>
        <w:t xml:space="preserve"> المعيارية المعتمدة من قبل البنك المركزي الأردني وتخضع للتعديل حسب ما يراه البنك المركزي مناسباً:</w:t>
      </w:r>
      <w:bookmarkEnd w:id="1144"/>
      <w:bookmarkEnd w:id="1145"/>
      <w:bookmarkEnd w:id="1146"/>
    </w:p>
    <w:tbl>
      <w:tblPr>
        <w:bidiVisual/>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2340"/>
        <w:gridCol w:w="1584"/>
        <w:gridCol w:w="18"/>
        <w:gridCol w:w="1577"/>
        <w:gridCol w:w="18"/>
      </w:tblGrid>
      <w:tr w:rsidR="00B259A6" w:rsidRPr="00811F95" w:rsidTr="001F6DA7">
        <w:trPr>
          <w:trHeight w:val="864"/>
          <w:jc w:val="center"/>
        </w:trPr>
        <w:tc>
          <w:tcPr>
            <w:tcW w:w="3293" w:type="dxa"/>
            <w:shd w:val="clear" w:color="auto" w:fill="E0E0E0"/>
            <w:vAlign w:val="center"/>
          </w:tcPr>
          <w:p w:rsidR="00B259A6" w:rsidRPr="00811F95" w:rsidRDefault="00B259A6" w:rsidP="001F6DA7">
            <w:pPr>
              <w:jc w:val="center"/>
              <w:rPr>
                <w:sz w:val="24"/>
                <w:szCs w:val="24"/>
                <w:rtl/>
              </w:rPr>
            </w:pPr>
            <w:bookmarkStart w:id="1147" w:name="_Toc414888212"/>
            <w:bookmarkStart w:id="1148" w:name="_Toc451176400"/>
            <w:bookmarkStart w:id="1149" w:name="_Toc451180381"/>
            <w:r w:rsidRPr="00811F95">
              <w:rPr>
                <w:sz w:val="24"/>
                <w:szCs w:val="24"/>
                <w:rtl/>
              </w:rPr>
              <w:t>التصنيف الائتماني لسندات الدين</w:t>
            </w:r>
            <w:bookmarkEnd w:id="1147"/>
            <w:bookmarkEnd w:id="1148"/>
            <w:bookmarkEnd w:id="1149"/>
          </w:p>
        </w:tc>
        <w:tc>
          <w:tcPr>
            <w:tcW w:w="2340" w:type="dxa"/>
            <w:shd w:val="clear" w:color="auto" w:fill="E0E0E0"/>
            <w:vAlign w:val="center"/>
          </w:tcPr>
          <w:p w:rsidR="00B259A6" w:rsidRPr="00811F95" w:rsidRDefault="00B259A6" w:rsidP="001F6DA7">
            <w:pPr>
              <w:jc w:val="center"/>
              <w:rPr>
                <w:sz w:val="24"/>
                <w:szCs w:val="24"/>
                <w:rtl/>
              </w:rPr>
            </w:pPr>
            <w:bookmarkStart w:id="1150" w:name="_Toc414888213"/>
            <w:bookmarkStart w:id="1151" w:name="_Toc451176401"/>
            <w:bookmarkStart w:id="1152" w:name="_Toc451180382"/>
            <w:r w:rsidRPr="00811F95">
              <w:rPr>
                <w:sz w:val="24"/>
                <w:szCs w:val="24"/>
                <w:rtl/>
              </w:rPr>
              <w:t>الفترة الزمنية المتبقية للاستحقاق</w:t>
            </w:r>
            <w:bookmarkEnd w:id="1150"/>
            <w:bookmarkEnd w:id="1151"/>
            <w:bookmarkEnd w:id="1152"/>
          </w:p>
        </w:tc>
        <w:tc>
          <w:tcPr>
            <w:tcW w:w="1602" w:type="dxa"/>
            <w:gridSpan w:val="2"/>
            <w:shd w:val="clear" w:color="auto" w:fill="E0E0E0"/>
            <w:vAlign w:val="center"/>
          </w:tcPr>
          <w:p w:rsidR="00B259A6" w:rsidRPr="00811F95" w:rsidRDefault="00B259A6" w:rsidP="001F6DA7">
            <w:pPr>
              <w:jc w:val="center"/>
              <w:rPr>
                <w:sz w:val="24"/>
                <w:szCs w:val="24"/>
                <w:rtl/>
              </w:rPr>
            </w:pPr>
            <w:bookmarkStart w:id="1153" w:name="_Toc414888214"/>
            <w:bookmarkStart w:id="1154" w:name="_Toc451176402"/>
            <w:bookmarkStart w:id="1155" w:name="_Toc451180383"/>
            <w:r w:rsidRPr="00811F95">
              <w:rPr>
                <w:sz w:val="24"/>
                <w:szCs w:val="24"/>
                <w:rtl/>
              </w:rPr>
              <w:t>صادرة عن حكومات*</w:t>
            </w:r>
            <w:bookmarkEnd w:id="1153"/>
            <w:bookmarkEnd w:id="1154"/>
            <w:bookmarkEnd w:id="1155"/>
          </w:p>
        </w:tc>
        <w:tc>
          <w:tcPr>
            <w:tcW w:w="1595" w:type="dxa"/>
            <w:gridSpan w:val="2"/>
            <w:shd w:val="clear" w:color="auto" w:fill="E0E0E0"/>
            <w:vAlign w:val="center"/>
          </w:tcPr>
          <w:p w:rsidR="00B259A6" w:rsidRPr="00811F95" w:rsidRDefault="00B259A6" w:rsidP="001F6DA7">
            <w:pPr>
              <w:jc w:val="center"/>
              <w:rPr>
                <w:sz w:val="24"/>
                <w:szCs w:val="24"/>
                <w:rtl/>
              </w:rPr>
            </w:pPr>
            <w:bookmarkStart w:id="1156" w:name="_Toc414888215"/>
            <w:bookmarkStart w:id="1157" w:name="_Toc451176403"/>
            <w:bookmarkStart w:id="1158" w:name="_Toc451180384"/>
            <w:r w:rsidRPr="00811F95">
              <w:rPr>
                <w:sz w:val="24"/>
                <w:szCs w:val="24"/>
                <w:rtl/>
              </w:rPr>
              <w:t>صادرة عن جهات أخرى</w:t>
            </w:r>
            <w:bookmarkEnd w:id="1156"/>
            <w:bookmarkEnd w:id="1157"/>
            <w:bookmarkEnd w:id="1158"/>
          </w:p>
        </w:tc>
      </w:tr>
      <w:tr w:rsidR="00B259A6" w:rsidRPr="00811F95" w:rsidTr="001F6DA7">
        <w:trPr>
          <w:cantSplit/>
          <w:jc w:val="center"/>
        </w:trPr>
        <w:tc>
          <w:tcPr>
            <w:tcW w:w="3293" w:type="dxa"/>
            <w:vMerge w:val="restart"/>
            <w:vAlign w:val="center"/>
          </w:tcPr>
          <w:p w:rsidR="00B259A6" w:rsidRPr="00811F95" w:rsidRDefault="00B259A6" w:rsidP="0016569E">
            <w:pPr>
              <w:spacing w:after="0"/>
              <w:jc w:val="center"/>
              <w:rPr>
                <w:b w:val="0"/>
                <w:bCs w:val="0"/>
                <w:sz w:val="24"/>
                <w:szCs w:val="24"/>
              </w:rPr>
            </w:pPr>
          </w:p>
          <w:p w:rsidR="00B259A6" w:rsidRPr="00811F95" w:rsidRDefault="00B259A6" w:rsidP="0016569E">
            <w:pPr>
              <w:spacing w:after="0"/>
              <w:jc w:val="center"/>
              <w:rPr>
                <w:b w:val="0"/>
                <w:bCs w:val="0"/>
                <w:sz w:val="24"/>
                <w:szCs w:val="24"/>
              </w:rPr>
            </w:pPr>
          </w:p>
          <w:p w:rsidR="00B259A6" w:rsidRPr="00811F95" w:rsidRDefault="00B259A6" w:rsidP="0016569E">
            <w:pPr>
              <w:spacing w:after="0"/>
              <w:jc w:val="center"/>
              <w:rPr>
                <w:b w:val="0"/>
                <w:bCs w:val="0"/>
                <w:sz w:val="24"/>
                <w:szCs w:val="24"/>
              </w:rPr>
            </w:pPr>
            <w:bookmarkStart w:id="1159" w:name="_Toc414888216"/>
            <w:bookmarkStart w:id="1160" w:name="_Toc451176404"/>
            <w:bookmarkStart w:id="1161" w:name="_Toc451180385"/>
            <w:r w:rsidRPr="00811F95">
              <w:rPr>
                <w:b w:val="0"/>
                <w:bCs w:val="0"/>
                <w:sz w:val="24"/>
                <w:szCs w:val="24"/>
              </w:rPr>
              <w:t>AAA to AA-/A-1</w:t>
            </w:r>
            <w:bookmarkEnd w:id="1159"/>
            <w:bookmarkEnd w:id="1160"/>
            <w:bookmarkEnd w:id="1161"/>
          </w:p>
          <w:p w:rsidR="00B259A6" w:rsidRPr="00811F95" w:rsidRDefault="00B259A6" w:rsidP="0016569E">
            <w:pPr>
              <w:spacing w:after="0"/>
              <w:jc w:val="center"/>
              <w:rPr>
                <w:b w:val="0"/>
                <w:bCs w:val="0"/>
                <w:sz w:val="24"/>
                <w:szCs w:val="24"/>
              </w:rPr>
            </w:pPr>
          </w:p>
        </w:tc>
        <w:tc>
          <w:tcPr>
            <w:tcW w:w="2340" w:type="dxa"/>
            <w:vAlign w:val="center"/>
          </w:tcPr>
          <w:p w:rsidR="00B259A6" w:rsidRPr="00811F95" w:rsidRDefault="00B259A6" w:rsidP="0016569E">
            <w:pPr>
              <w:spacing w:after="0"/>
              <w:jc w:val="center"/>
              <w:rPr>
                <w:b w:val="0"/>
                <w:bCs w:val="0"/>
                <w:sz w:val="24"/>
                <w:szCs w:val="24"/>
              </w:rPr>
            </w:pPr>
            <w:bookmarkStart w:id="1162" w:name="_Toc414888217"/>
            <w:bookmarkStart w:id="1163" w:name="_Toc451176405"/>
            <w:bookmarkStart w:id="1164" w:name="_Toc451180386"/>
            <w:r w:rsidRPr="00811F95">
              <w:rPr>
                <w:b w:val="0"/>
                <w:bCs w:val="0"/>
                <w:sz w:val="24"/>
                <w:szCs w:val="24"/>
                <w:rtl/>
              </w:rPr>
              <w:t>أقل من أو تساوي سنة</w:t>
            </w:r>
            <w:bookmarkEnd w:id="1162"/>
            <w:bookmarkEnd w:id="1163"/>
            <w:bookmarkEnd w:id="1164"/>
          </w:p>
        </w:tc>
        <w:tc>
          <w:tcPr>
            <w:tcW w:w="1602" w:type="dxa"/>
            <w:gridSpan w:val="2"/>
            <w:vAlign w:val="center"/>
          </w:tcPr>
          <w:p w:rsidR="00B259A6" w:rsidRPr="00811F95" w:rsidRDefault="00B259A6" w:rsidP="0016569E">
            <w:pPr>
              <w:spacing w:after="0"/>
              <w:jc w:val="center"/>
              <w:rPr>
                <w:b w:val="0"/>
                <w:bCs w:val="0"/>
                <w:sz w:val="24"/>
                <w:szCs w:val="24"/>
                <w:rtl/>
              </w:rPr>
            </w:pPr>
            <w:bookmarkStart w:id="1165" w:name="_Toc414888218"/>
            <w:bookmarkStart w:id="1166" w:name="_Toc451176406"/>
            <w:bookmarkStart w:id="1167" w:name="_Toc451180387"/>
            <w:r w:rsidRPr="00811F95">
              <w:rPr>
                <w:b w:val="0"/>
                <w:bCs w:val="0"/>
                <w:sz w:val="24"/>
                <w:szCs w:val="24"/>
                <w:rtl/>
              </w:rPr>
              <w:t>0.5</w:t>
            </w:r>
            <w:r w:rsidRPr="00811F95">
              <w:rPr>
                <w:b w:val="0"/>
                <w:bCs w:val="0"/>
                <w:sz w:val="24"/>
                <w:szCs w:val="24"/>
              </w:rPr>
              <w:t>%</w:t>
            </w:r>
            <w:bookmarkEnd w:id="1165"/>
            <w:bookmarkEnd w:id="1166"/>
            <w:bookmarkEnd w:id="1167"/>
          </w:p>
        </w:tc>
        <w:tc>
          <w:tcPr>
            <w:tcW w:w="1595" w:type="dxa"/>
            <w:gridSpan w:val="2"/>
            <w:vAlign w:val="center"/>
          </w:tcPr>
          <w:p w:rsidR="00B259A6" w:rsidRPr="00811F95" w:rsidRDefault="00B259A6" w:rsidP="0016569E">
            <w:pPr>
              <w:spacing w:after="0"/>
              <w:jc w:val="center"/>
              <w:rPr>
                <w:b w:val="0"/>
                <w:bCs w:val="0"/>
                <w:sz w:val="24"/>
                <w:szCs w:val="24"/>
                <w:rtl/>
              </w:rPr>
            </w:pPr>
            <w:bookmarkStart w:id="1168" w:name="_Toc414888219"/>
            <w:bookmarkStart w:id="1169" w:name="_Toc451176407"/>
            <w:bookmarkStart w:id="1170" w:name="_Toc451180388"/>
            <w:r w:rsidRPr="00811F95">
              <w:rPr>
                <w:b w:val="0"/>
                <w:bCs w:val="0"/>
                <w:sz w:val="24"/>
                <w:szCs w:val="24"/>
                <w:rtl/>
              </w:rPr>
              <w:t>1</w:t>
            </w:r>
            <w:r w:rsidRPr="00811F95">
              <w:rPr>
                <w:b w:val="0"/>
                <w:bCs w:val="0"/>
                <w:sz w:val="24"/>
                <w:szCs w:val="24"/>
              </w:rPr>
              <w:t>%</w:t>
            </w:r>
            <w:bookmarkEnd w:id="1168"/>
            <w:bookmarkEnd w:id="1169"/>
            <w:bookmarkEnd w:id="1170"/>
          </w:p>
        </w:tc>
      </w:tr>
      <w:tr w:rsidR="00B259A6" w:rsidRPr="00811F95" w:rsidTr="001F6DA7">
        <w:trPr>
          <w:cantSplit/>
          <w:jc w:val="center"/>
        </w:trPr>
        <w:tc>
          <w:tcPr>
            <w:tcW w:w="3293" w:type="dxa"/>
            <w:vMerge/>
          </w:tcPr>
          <w:p w:rsidR="00B259A6" w:rsidRPr="00811F95" w:rsidRDefault="00B259A6" w:rsidP="0016569E">
            <w:pPr>
              <w:spacing w:after="0"/>
              <w:rPr>
                <w:b w:val="0"/>
                <w:bCs w:val="0"/>
                <w:sz w:val="24"/>
                <w:szCs w:val="24"/>
                <w:rtl/>
              </w:rPr>
            </w:pPr>
          </w:p>
        </w:tc>
        <w:tc>
          <w:tcPr>
            <w:tcW w:w="2340" w:type="dxa"/>
            <w:vAlign w:val="center"/>
          </w:tcPr>
          <w:p w:rsidR="00B259A6" w:rsidRPr="00811F95" w:rsidRDefault="00B259A6" w:rsidP="0016569E">
            <w:pPr>
              <w:spacing w:after="0"/>
              <w:jc w:val="center"/>
              <w:rPr>
                <w:b w:val="0"/>
                <w:bCs w:val="0"/>
                <w:sz w:val="24"/>
                <w:szCs w:val="24"/>
                <w:rtl/>
              </w:rPr>
            </w:pPr>
            <w:bookmarkStart w:id="1171" w:name="_Toc414888220"/>
            <w:bookmarkStart w:id="1172" w:name="_Toc451176408"/>
            <w:bookmarkStart w:id="1173" w:name="_Toc451180389"/>
            <w:r w:rsidRPr="00811F95">
              <w:rPr>
                <w:b w:val="0"/>
                <w:bCs w:val="0"/>
                <w:sz w:val="24"/>
                <w:szCs w:val="24"/>
                <w:rtl/>
              </w:rPr>
              <w:t>أكثر من سنة وأقل من أو تساوي 5 سنوات</w:t>
            </w:r>
            <w:bookmarkEnd w:id="1171"/>
            <w:bookmarkEnd w:id="1172"/>
            <w:bookmarkEnd w:id="1173"/>
          </w:p>
        </w:tc>
        <w:tc>
          <w:tcPr>
            <w:tcW w:w="1602" w:type="dxa"/>
            <w:gridSpan w:val="2"/>
            <w:vAlign w:val="center"/>
          </w:tcPr>
          <w:p w:rsidR="00B259A6" w:rsidRPr="00811F95" w:rsidRDefault="00B259A6" w:rsidP="0016569E">
            <w:pPr>
              <w:spacing w:after="0"/>
              <w:jc w:val="center"/>
              <w:rPr>
                <w:b w:val="0"/>
                <w:bCs w:val="0"/>
                <w:sz w:val="24"/>
                <w:szCs w:val="24"/>
                <w:rtl/>
              </w:rPr>
            </w:pPr>
            <w:bookmarkStart w:id="1174" w:name="_Toc414888221"/>
            <w:bookmarkStart w:id="1175" w:name="_Toc451176409"/>
            <w:bookmarkStart w:id="1176" w:name="_Toc451180390"/>
            <w:r w:rsidRPr="00811F95">
              <w:rPr>
                <w:b w:val="0"/>
                <w:bCs w:val="0"/>
                <w:sz w:val="24"/>
                <w:szCs w:val="24"/>
                <w:rtl/>
              </w:rPr>
              <w:t>2</w:t>
            </w:r>
            <w:r w:rsidRPr="00811F95">
              <w:rPr>
                <w:b w:val="0"/>
                <w:bCs w:val="0"/>
                <w:sz w:val="24"/>
                <w:szCs w:val="24"/>
              </w:rPr>
              <w:t>%</w:t>
            </w:r>
            <w:bookmarkEnd w:id="1174"/>
            <w:bookmarkEnd w:id="1175"/>
            <w:bookmarkEnd w:id="1176"/>
          </w:p>
        </w:tc>
        <w:tc>
          <w:tcPr>
            <w:tcW w:w="1595" w:type="dxa"/>
            <w:gridSpan w:val="2"/>
            <w:vAlign w:val="center"/>
          </w:tcPr>
          <w:p w:rsidR="00B259A6" w:rsidRPr="00811F95" w:rsidRDefault="00B259A6" w:rsidP="0016569E">
            <w:pPr>
              <w:spacing w:after="0"/>
              <w:jc w:val="center"/>
              <w:rPr>
                <w:b w:val="0"/>
                <w:bCs w:val="0"/>
                <w:sz w:val="24"/>
                <w:szCs w:val="24"/>
                <w:rtl/>
              </w:rPr>
            </w:pPr>
            <w:bookmarkStart w:id="1177" w:name="_Toc414888222"/>
            <w:bookmarkStart w:id="1178" w:name="_Toc451176410"/>
            <w:bookmarkStart w:id="1179" w:name="_Toc451180391"/>
            <w:r w:rsidRPr="00811F95">
              <w:rPr>
                <w:b w:val="0"/>
                <w:bCs w:val="0"/>
                <w:sz w:val="24"/>
                <w:szCs w:val="24"/>
                <w:rtl/>
              </w:rPr>
              <w:t>4</w:t>
            </w:r>
            <w:r w:rsidRPr="00811F95">
              <w:rPr>
                <w:b w:val="0"/>
                <w:bCs w:val="0"/>
                <w:sz w:val="24"/>
                <w:szCs w:val="24"/>
              </w:rPr>
              <w:t>%</w:t>
            </w:r>
            <w:bookmarkEnd w:id="1177"/>
            <w:bookmarkEnd w:id="1178"/>
            <w:bookmarkEnd w:id="1179"/>
          </w:p>
        </w:tc>
      </w:tr>
      <w:tr w:rsidR="00B259A6" w:rsidRPr="00811F95" w:rsidTr="001F6DA7">
        <w:trPr>
          <w:cantSplit/>
          <w:jc w:val="center"/>
        </w:trPr>
        <w:tc>
          <w:tcPr>
            <w:tcW w:w="3293" w:type="dxa"/>
            <w:vMerge/>
          </w:tcPr>
          <w:p w:rsidR="00B259A6" w:rsidRPr="00811F95" w:rsidRDefault="00B259A6" w:rsidP="0016569E">
            <w:pPr>
              <w:spacing w:after="0"/>
              <w:rPr>
                <w:b w:val="0"/>
                <w:bCs w:val="0"/>
                <w:sz w:val="24"/>
                <w:szCs w:val="24"/>
                <w:rtl/>
              </w:rPr>
            </w:pPr>
          </w:p>
        </w:tc>
        <w:tc>
          <w:tcPr>
            <w:tcW w:w="2340" w:type="dxa"/>
            <w:vAlign w:val="center"/>
          </w:tcPr>
          <w:p w:rsidR="00B259A6" w:rsidRPr="00811F95" w:rsidRDefault="00B259A6" w:rsidP="0016569E">
            <w:pPr>
              <w:spacing w:after="0"/>
              <w:jc w:val="center"/>
              <w:rPr>
                <w:b w:val="0"/>
                <w:bCs w:val="0"/>
                <w:sz w:val="24"/>
                <w:szCs w:val="24"/>
                <w:rtl/>
              </w:rPr>
            </w:pPr>
            <w:bookmarkStart w:id="1180" w:name="_Toc414888223"/>
            <w:bookmarkStart w:id="1181" w:name="_Toc451176411"/>
            <w:bookmarkStart w:id="1182" w:name="_Toc451180392"/>
            <w:r w:rsidRPr="00811F95">
              <w:rPr>
                <w:b w:val="0"/>
                <w:bCs w:val="0"/>
                <w:sz w:val="24"/>
                <w:szCs w:val="24"/>
                <w:rtl/>
              </w:rPr>
              <w:t>أكثر من 5 سنوات</w:t>
            </w:r>
            <w:bookmarkEnd w:id="1180"/>
            <w:bookmarkEnd w:id="1181"/>
            <w:bookmarkEnd w:id="1182"/>
          </w:p>
        </w:tc>
        <w:tc>
          <w:tcPr>
            <w:tcW w:w="1602" w:type="dxa"/>
            <w:gridSpan w:val="2"/>
            <w:vAlign w:val="center"/>
          </w:tcPr>
          <w:p w:rsidR="00B259A6" w:rsidRPr="00811F95" w:rsidRDefault="00B259A6" w:rsidP="0016569E">
            <w:pPr>
              <w:spacing w:after="0"/>
              <w:jc w:val="center"/>
              <w:rPr>
                <w:b w:val="0"/>
                <w:bCs w:val="0"/>
                <w:sz w:val="24"/>
                <w:szCs w:val="24"/>
                <w:rtl/>
              </w:rPr>
            </w:pPr>
            <w:bookmarkStart w:id="1183" w:name="_Toc414888224"/>
            <w:bookmarkStart w:id="1184" w:name="_Toc451176412"/>
            <w:bookmarkStart w:id="1185" w:name="_Toc451180393"/>
            <w:r w:rsidRPr="00811F95">
              <w:rPr>
                <w:b w:val="0"/>
                <w:bCs w:val="0"/>
                <w:sz w:val="24"/>
                <w:szCs w:val="24"/>
                <w:rtl/>
              </w:rPr>
              <w:t>4</w:t>
            </w:r>
            <w:r w:rsidRPr="00811F95">
              <w:rPr>
                <w:b w:val="0"/>
                <w:bCs w:val="0"/>
                <w:sz w:val="24"/>
                <w:szCs w:val="24"/>
              </w:rPr>
              <w:t>%</w:t>
            </w:r>
            <w:bookmarkEnd w:id="1183"/>
            <w:bookmarkEnd w:id="1184"/>
            <w:bookmarkEnd w:id="1185"/>
          </w:p>
        </w:tc>
        <w:tc>
          <w:tcPr>
            <w:tcW w:w="1595" w:type="dxa"/>
            <w:gridSpan w:val="2"/>
            <w:vAlign w:val="center"/>
          </w:tcPr>
          <w:p w:rsidR="00B259A6" w:rsidRPr="00811F95" w:rsidRDefault="00B259A6" w:rsidP="0016569E">
            <w:pPr>
              <w:spacing w:after="0"/>
              <w:jc w:val="center"/>
              <w:rPr>
                <w:b w:val="0"/>
                <w:bCs w:val="0"/>
                <w:sz w:val="24"/>
                <w:szCs w:val="24"/>
                <w:rtl/>
              </w:rPr>
            </w:pPr>
            <w:bookmarkStart w:id="1186" w:name="_Toc414888225"/>
            <w:bookmarkStart w:id="1187" w:name="_Toc451176413"/>
            <w:bookmarkStart w:id="1188" w:name="_Toc451180394"/>
            <w:r w:rsidRPr="00811F95">
              <w:rPr>
                <w:b w:val="0"/>
                <w:bCs w:val="0"/>
                <w:sz w:val="24"/>
                <w:szCs w:val="24"/>
                <w:rtl/>
              </w:rPr>
              <w:t>8</w:t>
            </w:r>
            <w:r w:rsidRPr="00811F95">
              <w:rPr>
                <w:b w:val="0"/>
                <w:bCs w:val="0"/>
                <w:sz w:val="24"/>
                <w:szCs w:val="24"/>
              </w:rPr>
              <w:t>%</w:t>
            </w:r>
            <w:bookmarkEnd w:id="1186"/>
            <w:bookmarkEnd w:id="1187"/>
            <w:bookmarkEnd w:id="1188"/>
          </w:p>
        </w:tc>
      </w:tr>
      <w:tr w:rsidR="00B259A6" w:rsidRPr="00811F95" w:rsidTr="001F6DA7">
        <w:trPr>
          <w:cantSplit/>
          <w:jc w:val="center"/>
        </w:trPr>
        <w:tc>
          <w:tcPr>
            <w:tcW w:w="3293" w:type="dxa"/>
            <w:vMerge w:val="restart"/>
          </w:tcPr>
          <w:p w:rsidR="00B259A6" w:rsidRPr="0016569E" w:rsidRDefault="00B259A6" w:rsidP="0016569E">
            <w:pPr>
              <w:spacing w:after="0"/>
              <w:rPr>
                <w:b w:val="0"/>
                <w:bCs w:val="0"/>
                <w:sz w:val="22"/>
                <w:szCs w:val="22"/>
                <w:rtl/>
                <w:lang w:val="en-GB"/>
              </w:rPr>
            </w:pPr>
            <w:bookmarkStart w:id="1189" w:name="_Toc414888226"/>
            <w:bookmarkStart w:id="1190" w:name="_Toc451176414"/>
            <w:bookmarkStart w:id="1191" w:name="_Toc451180395"/>
            <w:r w:rsidRPr="0016569E">
              <w:rPr>
                <w:b w:val="0"/>
                <w:bCs w:val="0"/>
                <w:sz w:val="22"/>
                <w:szCs w:val="22"/>
                <w:rtl/>
                <w:lang w:val="en-GB"/>
              </w:rPr>
              <w:t xml:space="preserve">(1) </w:t>
            </w:r>
            <w:r w:rsidRPr="0016569E">
              <w:rPr>
                <w:b w:val="0"/>
                <w:bCs w:val="0"/>
                <w:sz w:val="22"/>
                <w:szCs w:val="22"/>
              </w:rPr>
              <w:t>BBB-/ A-2/A-3/P-3</w:t>
            </w:r>
            <w:r w:rsidRPr="0016569E">
              <w:rPr>
                <w:b w:val="0"/>
                <w:bCs w:val="0"/>
                <w:sz w:val="22"/>
                <w:szCs w:val="22"/>
                <w:rtl/>
                <w:lang w:val="en-GB"/>
              </w:rPr>
              <w:t xml:space="preserve"> </w:t>
            </w:r>
            <w:r w:rsidRPr="0016569E">
              <w:rPr>
                <w:b w:val="0"/>
                <w:bCs w:val="0"/>
                <w:sz w:val="22"/>
                <w:szCs w:val="22"/>
              </w:rPr>
              <w:t xml:space="preserve"> to</w:t>
            </w:r>
            <w:bookmarkEnd w:id="1189"/>
            <w:bookmarkEnd w:id="1190"/>
            <w:bookmarkEnd w:id="1191"/>
            <w:r w:rsidR="001F6DA7" w:rsidRPr="0016569E">
              <w:rPr>
                <w:b w:val="0"/>
                <w:bCs w:val="0"/>
                <w:sz w:val="22"/>
                <w:szCs w:val="22"/>
              </w:rPr>
              <w:t xml:space="preserve"> A+</w:t>
            </w:r>
          </w:p>
          <w:p w:rsidR="00B259A6" w:rsidRPr="00811F95" w:rsidRDefault="00B259A6" w:rsidP="0016569E">
            <w:pPr>
              <w:spacing w:after="0"/>
              <w:rPr>
                <w:b w:val="0"/>
                <w:bCs w:val="0"/>
                <w:sz w:val="24"/>
                <w:szCs w:val="24"/>
              </w:rPr>
            </w:pPr>
            <w:bookmarkStart w:id="1192" w:name="_Toc414888227"/>
            <w:bookmarkStart w:id="1193" w:name="_Toc451176415"/>
            <w:bookmarkStart w:id="1194" w:name="_Toc451180396"/>
            <w:r w:rsidRPr="0016569E">
              <w:rPr>
                <w:b w:val="0"/>
                <w:bCs w:val="0"/>
                <w:sz w:val="22"/>
                <w:szCs w:val="22"/>
                <w:rtl/>
              </w:rPr>
              <w:t>(2) غير مصنفة وصادرة عن بنوك مؤهلة</w:t>
            </w:r>
            <w:bookmarkEnd w:id="1192"/>
            <w:bookmarkEnd w:id="1193"/>
            <w:bookmarkEnd w:id="1194"/>
            <w:r w:rsidR="0016569E" w:rsidRPr="0016569E">
              <w:rPr>
                <w:rFonts w:hint="cs"/>
                <w:b w:val="0"/>
                <w:bCs w:val="0"/>
                <w:sz w:val="22"/>
                <w:szCs w:val="22"/>
                <w:rtl/>
              </w:rPr>
              <w:t xml:space="preserve"> </w:t>
            </w:r>
            <w:bookmarkStart w:id="1195" w:name="_Toc414888228"/>
            <w:bookmarkStart w:id="1196" w:name="_Toc451176416"/>
            <w:bookmarkStart w:id="1197" w:name="_Toc451180397"/>
            <w:r w:rsidRPr="0016569E">
              <w:rPr>
                <w:b w:val="0"/>
                <w:bCs w:val="0"/>
                <w:sz w:val="22"/>
                <w:szCs w:val="22"/>
                <w:rtl/>
              </w:rPr>
              <w:t xml:space="preserve">لا تقل إصدارتها الأخرى عن </w:t>
            </w:r>
            <w:r w:rsidRPr="0016569E">
              <w:rPr>
                <w:b w:val="0"/>
                <w:bCs w:val="0"/>
                <w:sz w:val="22"/>
                <w:szCs w:val="22"/>
              </w:rPr>
              <w:t>BBB-</w:t>
            </w:r>
            <w:bookmarkEnd w:id="1195"/>
            <w:bookmarkEnd w:id="1196"/>
            <w:bookmarkEnd w:id="1197"/>
          </w:p>
        </w:tc>
        <w:tc>
          <w:tcPr>
            <w:tcW w:w="2340" w:type="dxa"/>
            <w:vAlign w:val="center"/>
          </w:tcPr>
          <w:p w:rsidR="00B259A6" w:rsidRPr="00811F95" w:rsidRDefault="00B259A6" w:rsidP="0016569E">
            <w:pPr>
              <w:spacing w:after="0"/>
              <w:jc w:val="center"/>
              <w:rPr>
                <w:b w:val="0"/>
                <w:bCs w:val="0"/>
                <w:sz w:val="24"/>
                <w:szCs w:val="24"/>
              </w:rPr>
            </w:pPr>
            <w:bookmarkStart w:id="1198" w:name="_Toc414888229"/>
            <w:bookmarkStart w:id="1199" w:name="_Toc451176417"/>
            <w:bookmarkStart w:id="1200" w:name="_Toc451180398"/>
            <w:r w:rsidRPr="00811F95">
              <w:rPr>
                <w:b w:val="0"/>
                <w:bCs w:val="0"/>
                <w:sz w:val="24"/>
                <w:szCs w:val="24"/>
                <w:rtl/>
              </w:rPr>
              <w:t>أقل من أو تساوي سنة</w:t>
            </w:r>
            <w:bookmarkEnd w:id="1198"/>
            <w:bookmarkEnd w:id="1199"/>
            <w:bookmarkEnd w:id="1200"/>
          </w:p>
        </w:tc>
        <w:tc>
          <w:tcPr>
            <w:tcW w:w="1602" w:type="dxa"/>
            <w:gridSpan w:val="2"/>
            <w:vAlign w:val="center"/>
          </w:tcPr>
          <w:p w:rsidR="00B259A6" w:rsidRPr="00811F95" w:rsidRDefault="00B259A6" w:rsidP="0016569E">
            <w:pPr>
              <w:spacing w:after="0"/>
              <w:jc w:val="center"/>
              <w:rPr>
                <w:b w:val="0"/>
                <w:bCs w:val="0"/>
                <w:sz w:val="24"/>
                <w:szCs w:val="24"/>
                <w:rtl/>
              </w:rPr>
            </w:pPr>
            <w:bookmarkStart w:id="1201" w:name="_Toc414888230"/>
            <w:bookmarkStart w:id="1202" w:name="_Toc451176418"/>
            <w:bookmarkStart w:id="1203" w:name="_Toc451180399"/>
            <w:r w:rsidRPr="00811F95">
              <w:rPr>
                <w:b w:val="0"/>
                <w:bCs w:val="0"/>
                <w:sz w:val="24"/>
                <w:szCs w:val="24"/>
                <w:rtl/>
              </w:rPr>
              <w:t>1</w:t>
            </w:r>
            <w:r w:rsidRPr="00811F95">
              <w:rPr>
                <w:b w:val="0"/>
                <w:bCs w:val="0"/>
                <w:sz w:val="24"/>
                <w:szCs w:val="24"/>
              </w:rPr>
              <w:t>%</w:t>
            </w:r>
            <w:bookmarkEnd w:id="1201"/>
            <w:bookmarkEnd w:id="1202"/>
            <w:bookmarkEnd w:id="1203"/>
          </w:p>
        </w:tc>
        <w:tc>
          <w:tcPr>
            <w:tcW w:w="1595" w:type="dxa"/>
            <w:gridSpan w:val="2"/>
            <w:vAlign w:val="center"/>
          </w:tcPr>
          <w:p w:rsidR="00B259A6" w:rsidRPr="00811F95" w:rsidRDefault="00B259A6" w:rsidP="0016569E">
            <w:pPr>
              <w:spacing w:after="0"/>
              <w:jc w:val="center"/>
              <w:rPr>
                <w:b w:val="0"/>
                <w:bCs w:val="0"/>
                <w:sz w:val="24"/>
                <w:szCs w:val="24"/>
                <w:rtl/>
              </w:rPr>
            </w:pPr>
            <w:bookmarkStart w:id="1204" w:name="_Toc414888231"/>
            <w:bookmarkStart w:id="1205" w:name="_Toc451176419"/>
            <w:bookmarkStart w:id="1206" w:name="_Toc451180400"/>
            <w:r w:rsidRPr="00811F95">
              <w:rPr>
                <w:b w:val="0"/>
                <w:bCs w:val="0"/>
                <w:sz w:val="24"/>
                <w:szCs w:val="24"/>
                <w:rtl/>
              </w:rPr>
              <w:t>2</w:t>
            </w:r>
            <w:r w:rsidRPr="00811F95">
              <w:rPr>
                <w:b w:val="0"/>
                <w:bCs w:val="0"/>
                <w:sz w:val="24"/>
                <w:szCs w:val="24"/>
              </w:rPr>
              <w:t>%</w:t>
            </w:r>
            <w:bookmarkEnd w:id="1204"/>
            <w:bookmarkEnd w:id="1205"/>
            <w:bookmarkEnd w:id="1206"/>
          </w:p>
        </w:tc>
      </w:tr>
      <w:tr w:rsidR="00B259A6" w:rsidRPr="00811F95" w:rsidTr="0016569E">
        <w:trPr>
          <w:cantSplit/>
          <w:trHeight w:val="830"/>
          <w:jc w:val="center"/>
        </w:trPr>
        <w:tc>
          <w:tcPr>
            <w:tcW w:w="3293" w:type="dxa"/>
            <w:vMerge/>
          </w:tcPr>
          <w:p w:rsidR="00B259A6" w:rsidRPr="00811F95" w:rsidRDefault="00B259A6" w:rsidP="0016569E">
            <w:pPr>
              <w:spacing w:after="0"/>
              <w:rPr>
                <w:b w:val="0"/>
                <w:bCs w:val="0"/>
                <w:sz w:val="24"/>
                <w:szCs w:val="24"/>
                <w:rtl/>
              </w:rPr>
            </w:pPr>
          </w:p>
        </w:tc>
        <w:tc>
          <w:tcPr>
            <w:tcW w:w="2340" w:type="dxa"/>
            <w:vAlign w:val="center"/>
          </w:tcPr>
          <w:p w:rsidR="00B259A6" w:rsidRPr="00811F95" w:rsidRDefault="00B259A6" w:rsidP="0016569E">
            <w:pPr>
              <w:spacing w:after="0"/>
              <w:jc w:val="center"/>
              <w:rPr>
                <w:b w:val="0"/>
                <w:bCs w:val="0"/>
                <w:sz w:val="24"/>
                <w:szCs w:val="24"/>
                <w:rtl/>
              </w:rPr>
            </w:pPr>
            <w:bookmarkStart w:id="1207" w:name="_Toc414888232"/>
            <w:bookmarkStart w:id="1208" w:name="_Toc451176420"/>
            <w:bookmarkStart w:id="1209" w:name="_Toc451180401"/>
            <w:r w:rsidRPr="00811F95">
              <w:rPr>
                <w:b w:val="0"/>
                <w:bCs w:val="0"/>
                <w:sz w:val="24"/>
                <w:szCs w:val="24"/>
                <w:rtl/>
              </w:rPr>
              <w:t>أكثر من سنة وأقل من أو تساوي 5 سنوات</w:t>
            </w:r>
            <w:bookmarkEnd w:id="1207"/>
            <w:bookmarkEnd w:id="1208"/>
            <w:bookmarkEnd w:id="1209"/>
          </w:p>
        </w:tc>
        <w:tc>
          <w:tcPr>
            <w:tcW w:w="1602" w:type="dxa"/>
            <w:gridSpan w:val="2"/>
            <w:vAlign w:val="center"/>
          </w:tcPr>
          <w:p w:rsidR="00B259A6" w:rsidRPr="00811F95" w:rsidRDefault="00B259A6" w:rsidP="0016569E">
            <w:pPr>
              <w:spacing w:after="0"/>
              <w:jc w:val="center"/>
              <w:rPr>
                <w:b w:val="0"/>
                <w:bCs w:val="0"/>
                <w:sz w:val="24"/>
                <w:szCs w:val="24"/>
                <w:rtl/>
              </w:rPr>
            </w:pPr>
            <w:bookmarkStart w:id="1210" w:name="_Toc414888233"/>
            <w:bookmarkStart w:id="1211" w:name="_Toc451176421"/>
            <w:bookmarkStart w:id="1212" w:name="_Toc451180402"/>
            <w:r w:rsidRPr="00811F95">
              <w:rPr>
                <w:b w:val="0"/>
                <w:bCs w:val="0"/>
                <w:sz w:val="24"/>
                <w:szCs w:val="24"/>
                <w:rtl/>
              </w:rPr>
              <w:t>3</w:t>
            </w:r>
            <w:r w:rsidRPr="00811F95">
              <w:rPr>
                <w:b w:val="0"/>
                <w:bCs w:val="0"/>
                <w:sz w:val="24"/>
                <w:szCs w:val="24"/>
              </w:rPr>
              <w:t>%</w:t>
            </w:r>
            <w:bookmarkEnd w:id="1210"/>
            <w:bookmarkEnd w:id="1211"/>
            <w:bookmarkEnd w:id="1212"/>
          </w:p>
        </w:tc>
        <w:tc>
          <w:tcPr>
            <w:tcW w:w="1595" w:type="dxa"/>
            <w:gridSpan w:val="2"/>
            <w:vAlign w:val="center"/>
          </w:tcPr>
          <w:p w:rsidR="00B259A6" w:rsidRPr="00811F95" w:rsidRDefault="00B259A6" w:rsidP="0016569E">
            <w:pPr>
              <w:spacing w:after="0"/>
              <w:jc w:val="center"/>
              <w:rPr>
                <w:b w:val="0"/>
                <w:bCs w:val="0"/>
                <w:sz w:val="24"/>
                <w:szCs w:val="24"/>
                <w:rtl/>
              </w:rPr>
            </w:pPr>
            <w:bookmarkStart w:id="1213" w:name="_Toc414888234"/>
            <w:bookmarkStart w:id="1214" w:name="_Toc451176422"/>
            <w:bookmarkStart w:id="1215" w:name="_Toc451180403"/>
            <w:r w:rsidRPr="00811F95">
              <w:rPr>
                <w:b w:val="0"/>
                <w:bCs w:val="0"/>
                <w:sz w:val="24"/>
                <w:szCs w:val="24"/>
                <w:rtl/>
              </w:rPr>
              <w:t>6</w:t>
            </w:r>
            <w:r w:rsidRPr="00811F95">
              <w:rPr>
                <w:b w:val="0"/>
                <w:bCs w:val="0"/>
                <w:sz w:val="24"/>
                <w:szCs w:val="24"/>
              </w:rPr>
              <w:t>%</w:t>
            </w:r>
            <w:bookmarkEnd w:id="1213"/>
            <w:bookmarkEnd w:id="1214"/>
            <w:bookmarkEnd w:id="1215"/>
          </w:p>
        </w:tc>
      </w:tr>
      <w:tr w:rsidR="00B259A6" w:rsidRPr="00811F95" w:rsidTr="0016569E">
        <w:trPr>
          <w:cantSplit/>
          <w:trHeight w:val="475"/>
          <w:jc w:val="center"/>
        </w:trPr>
        <w:tc>
          <w:tcPr>
            <w:tcW w:w="3293" w:type="dxa"/>
            <w:vMerge/>
          </w:tcPr>
          <w:p w:rsidR="00B259A6" w:rsidRPr="00811F95" w:rsidRDefault="00B259A6" w:rsidP="0016569E">
            <w:pPr>
              <w:spacing w:after="0"/>
              <w:rPr>
                <w:b w:val="0"/>
                <w:bCs w:val="0"/>
                <w:sz w:val="24"/>
                <w:szCs w:val="24"/>
                <w:rtl/>
              </w:rPr>
            </w:pPr>
          </w:p>
        </w:tc>
        <w:tc>
          <w:tcPr>
            <w:tcW w:w="2340" w:type="dxa"/>
            <w:vAlign w:val="center"/>
          </w:tcPr>
          <w:p w:rsidR="00B259A6" w:rsidRPr="00811F95" w:rsidRDefault="00B259A6" w:rsidP="0016569E">
            <w:pPr>
              <w:spacing w:after="0"/>
              <w:jc w:val="center"/>
              <w:rPr>
                <w:b w:val="0"/>
                <w:bCs w:val="0"/>
                <w:sz w:val="24"/>
                <w:szCs w:val="24"/>
                <w:rtl/>
              </w:rPr>
            </w:pPr>
            <w:bookmarkStart w:id="1216" w:name="_Toc414888235"/>
            <w:bookmarkStart w:id="1217" w:name="_Toc451176423"/>
            <w:bookmarkStart w:id="1218" w:name="_Toc451180404"/>
            <w:r w:rsidRPr="00811F95">
              <w:rPr>
                <w:b w:val="0"/>
                <w:bCs w:val="0"/>
                <w:sz w:val="24"/>
                <w:szCs w:val="24"/>
                <w:rtl/>
              </w:rPr>
              <w:t>أكثر من 5 سنوات</w:t>
            </w:r>
            <w:bookmarkEnd w:id="1216"/>
            <w:bookmarkEnd w:id="1217"/>
            <w:bookmarkEnd w:id="1218"/>
          </w:p>
        </w:tc>
        <w:tc>
          <w:tcPr>
            <w:tcW w:w="1602" w:type="dxa"/>
            <w:gridSpan w:val="2"/>
            <w:tcBorders>
              <w:bottom w:val="single" w:sz="4" w:space="0" w:color="auto"/>
            </w:tcBorders>
            <w:vAlign w:val="center"/>
          </w:tcPr>
          <w:p w:rsidR="00B259A6" w:rsidRPr="00811F95" w:rsidRDefault="00B259A6" w:rsidP="0016569E">
            <w:pPr>
              <w:spacing w:after="0"/>
              <w:jc w:val="center"/>
              <w:rPr>
                <w:b w:val="0"/>
                <w:bCs w:val="0"/>
                <w:sz w:val="24"/>
                <w:szCs w:val="24"/>
                <w:rtl/>
              </w:rPr>
            </w:pPr>
            <w:bookmarkStart w:id="1219" w:name="_Toc414888236"/>
            <w:bookmarkStart w:id="1220" w:name="_Toc451176424"/>
            <w:bookmarkStart w:id="1221" w:name="_Toc451180405"/>
            <w:r w:rsidRPr="00811F95">
              <w:rPr>
                <w:b w:val="0"/>
                <w:bCs w:val="0"/>
                <w:sz w:val="24"/>
                <w:szCs w:val="24"/>
                <w:rtl/>
              </w:rPr>
              <w:t>6</w:t>
            </w:r>
            <w:r w:rsidRPr="00811F95">
              <w:rPr>
                <w:b w:val="0"/>
                <w:bCs w:val="0"/>
                <w:sz w:val="24"/>
                <w:szCs w:val="24"/>
              </w:rPr>
              <w:t>%</w:t>
            </w:r>
            <w:bookmarkEnd w:id="1219"/>
            <w:bookmarkEnd w:id="1220"/>
            <w:bookmarkEnd w:id="1221"/>
          </w:p>
        </w:tc>
        <w:tc>
          <w:tcPr>
            <w:tcW w:w="1595" w:type="dxa"/>
            <w:gridSpan w:val="2"/>
            <w:tcBorders>
              <w:bottom w:val="single" w:sz="4" w:space="0" w:color="auto"/>
            </w:tcBorders>
            <w:vAlign w:val="center"/>
          </w:tcPr>
          <w:p w:rsidR="00B259A6" w:rsidRPr="00811F95" w:rsidRDefault="00B259A6" w:rsidP="0016569E">
            <w:pPr>
              <w:spacing w:after="0"/>
              <w:jc w:val="center"/>
              <w:rPr>
                <w:b w:val="0"/>
                <w:bCs w:val="0"/>
                <w:sz w:val="24"/>
                <w:szCs w:val="24"/>
                <w:rtl/>
              </w:rPr>
            </w:pPr>
            <w:bookmarkStart w:id="1222" w:name="_Toc414888237"/>
            <w:bookmarkStart w:id="1223" w:name="_Toc451176425"/>
            <w:bookmarkStart w:id="1224" w:name="_Toc451180406"/>
            <w:r w:rsidRPr="00811F95">
              <w:rPr>
                <w:b w:val="0"/>
                <w:bCs w:val="0"/>
                <w:sz w:val="24"/>
                <w:szCs w:val="24"/>
                <w:rtl/>
              </w:rPr>
              <w:t>12</w:t>
            </w:r>
            <w:r w:rsidRPr="00811F95">
              <w:rPr>
                <w:b w:val="0"/>
                <w:bCs w:val="0"/>
                <w:sz w:val="24"/>
                <w:szCs w:val="24"/>
              </w:rPr>
              <w:t>%</w:t>
            </w:r>
            <w:bookmarkEnd w:id="1222"/>
            <w:bookmarkEnd w:id="1223"/>
            <w:bookmarkEnd w:id="1224"/>
          </w:p>
        </w:tc>
      </w:tr>
      <w:tr w:rsidR="00B259A6" w:rsidRPr="00811F95" w:rsidTr="001F6DA7">
        <w:trPr>
          <w:gridAfter w:val="1"/>
          <w:wAfter w:w="18" w:type="dxa"/>
          <w:jc w:val="center"/>
        </w:trPr>
        <w:tc>
          <w:tcPr>
            <w:tcW w:w="3293" w:type="dxa"/>
            <w:vAlign w:val="center"/>
          </w:tcPr>
          <w:p w:rsidR="00B259A6" w:rsidRPr="00811F95" w:rsidRDefault="00B259A6" w:rsidP="001F6DA7">
            <w:pPr>
              <w:jc w:val="center"/>
              <w:rPr>
                <w:b w:val="0"/>
                <w:bCs w:val="0"/>
                <w:sz w:val="24"/>
                <w:szCs w:val="24"/>
              </w:rPr>
            </w:pPr>
            <w:bookmarkStart w:id="1225" w:name="_Toc414888238"/>
            <w:bookmarkStart w:id="1226" w:name="_Toc451176426"/>
            <w:bookmarkStart w:id="1227" w:name="_Toc451180407"/>
            <w:r w:rsidRPr="00811F95">
              <w:rPr>
                <w:b w:val="0"/>
                <w:bCs w:val="0"/>
                <w:sz w:val="24"/>
                <w:szCs w:val="24"/>
              </w:rPr>
              <w:t>BB+ to BB-</w:t>
            </w:r>
            <w:bookmarkEnd w:id="1225"/>
            <w:bookmarkEnd w:id="1226"/>
            <w:bookmarkEnd w:id="1227"/>
          </w:p>
        </w:tc>
        <w:tc>
          <w:tcPr>
            <w:tcW w:w="2340" w:type="dxa"/>
          </w:tcPr>
          <w:p w:rsidR="00B259A6" w:rsidRPr="00811F95" w:rsidRDefault="00B259A6" w:rsidP="00C77C11">
            <w:pPr>
              <w:rPr>
                <w:b w:val="0"/>
                <w:bCs w:val="0"/>
                <w:sz w:val="24"/>
                <w:szCs w:val="24"/>
                <w:rtl/>
              </w:rPr>
            </w:pPr>
            <w:bookmarkStart w:id="1228" w:name="_Toc414888239"/>
            <w:bookmarkStart w:id="1229" w:name="_Toc451176427"/>
            <w:bookmarkStart w:id="1230" w:name="_Toc451180408"/>
            <w:r w:rsidRPr="00811F95">
              <w:rPr>
                <w:b w:val="0"/>
                <w:bCs w:val="0"/>
                <w:sz w:val="24"/>
                <w:szCs w:val="24"/>
                <w:rtl/>
              </w:rPr>
              <w:t>جميع الآجال</w:t>
            </w:r>
            <w:bookmarkEnd w:id="1228"/>
            <w:bookmarkEnd w:id="1229"/>
            <w:bookmarkEnd w:id="1230"/>
          </w:p>
        </w:tc>
        <w:tc>
          <w:tcPr>
            <w:tcW w:w="1584" w:type="dxa"/>
            <w:shd w:val="clear" w:color="auto" w:fill="A6A6A6"/>
            <w:vAlign w:val="center"/>
          </w:tcPr>
          <w:p w:rsidR="00B259A6" w:rsidRPr="00811F95" w:rsidRDefault="00B259A6" w:rsidP="001F6DA7">
            <w:pPr>
              <w:jc w:val="center"/>
              <w:rPr>
                <w:b w:val="0"/>
                <w:bCs w:val="0"/>
                <w:sz w:val="24"/>
                <w:szCs w:val="24"/>
                <w:rtl/>
              </w:rPr>
            </w:pPr>
            <w:bookmarkStart w:id="1231" w:name="_Toc414888240"/>
            <w:bookmarkStart w:id="1232" w:name="_Toc451176428"/>
            <w:bookmarkStart w:id="1233" w:name="_Toc451180409"/>
            <w:r w:rsidRPr="00811F95">
              <w:rPr>
                <w:b w:val="0"/>
                <w:bCs w:val="0"/>
                <w:sz w:val="24"/>
                <w:szCs w:val="24"/>
                <w:rtl/>
              </w:rPr>
              <w:t>15</w:t>
            </w:r>
            <w:r w:rsidRPr="00811F95">
              <w:rPr>
                <w:b w:val="0"/>
                <w:bCs w:val="0"/>
                <w:sz w:val="24"/>
                <w:szCs w:val="24"/>
              </w:rPr>
              <w:t>%</w:t>
            </w:r>
            <w:bookmarkEnd w:id="1231"/>
            <w:bookmarkEnd w:id="1232"/>
            <w:bookmarkEnd w:id="1233"/>
          </w:p>
        </w:tc>
        <w:tc>
          <w:tcPr>
            <w:tcW w:w="1595" w:type="dxa"/>
            <w:gridSpan w:val="2"/>
            <w:shd w:val="clear" w:color="auto" w:fill="000000"/>
          </w:tcPr>
          <w:p w:rsidR="00B259A6" w:rsidRPr="00811F95" w:rsidRDefault="00B259A6" w:rsidP="00C77C11">
            <w:pPr>
              <w:rPr>
                <w:b w:val="0"/>
                <w:bCs w:val="0"/>
                <w:sz w:val="24"/>
                <w:szCs w:val="24"/>
                <w:rtl/>
              </w:rPr>
            </w:pPr>
          </w:p>
        </w:tc>
      </w:tr>
      <w:tr w:rsidR="00B259A6" w:rsidRPr="00811F95" w:rsidTr="001F6DA7">
        <w:trPr>
          <w:jc w:val="center"/>
        </w:trPr>
        <w:tc>
          <w:tcPr>
            <w:tcW w:w="5633" w:type="dxa"/>
            <w:gridSpan w:val="2"/>
          </w:tcPr>
          <w:p w:rsidR="00B259A6" w:rsidRPr="00811F95" w:rsidRDefault="00B259A6" w:rsidP="00811F95">
            <w:pPr>
              <w:spacing w:after="0"/>
              <w:ind w:left="215" w:hanging="180"/>
              <w:rPr>
                <w:b w:val="0"/>
                <w:bCs w:val="0"/>
                <w:sz w:val="24"/>
                <w:szCs w:val="24"/>
                <w:rtl/>
              </w:rPr>
            </w:pPr>
            <w:bookmarkStart w:id="1234" w:name="_Toc414888241"/>
            <w:bookmarkStart w:id="1235" w:name="_Toc451176429"/>
            <w:bookmarkStart w:id="1236" w:name="_Toc451180410"/>
            <w:r w:rsidRPr="00811F95">
              <w:rPr>
                <w:b w:val="0"/>
                <w:bCs w:val="0"/>
                <w:sz w:val="24"/>
                <w:szCs w:val="24"/>
                <w:rtl/>
              </w:rPr>
              <w:t>- الأسهم المتداولة (بما فيها السندات القابلة للتحويل إلى أسهم) والمدرجة ضمن مؤشر رئيسي للسوق.</w:t>
            </w:r>
            <w:bookmarkEnd w:id="1234"/>
            <w:bookmarkEnd w:id="1235"/>
            <w:bookmarkEnd w:id="1236"/>
          </w:p>
          <w:p w:rsidR="00B259A6" w:rsidRPr="00811F95" w:rsidRDefault="00B259A6" w:rsidP="00811F95">
            <w:pPr>
              <w:spacing w:after="0"/>
              <w:rPr>
                <w:b w:val="0"/>
                <w:bCs w:val="0"/>
                <w:sz w:val="24"/>
                <w:szCs w:val="24"/>
                <w:rtl/>
              </w:rPr>
            </w:pPr>
            <w:bookmarkStart w:id="1237" w:name="_Toc414888242"/>
            <w:bookmarkStart w:id="1238" w:name="_Toc451176430"/>
            <w:bookmarkStart w:id="1239" w:name="_Toc451180411"/>
            <w:r w:rsidRPr="00811F95">
              <w:rPr>
                <w:b w:val="0"/>
                <w:bCs w:val="0"/>
                <w:sz w:val="24"/>
                <w:szCs w:val="24"/>
                <w:rtl/>
              </w:rPr>
              <w:t>- الذهب</w:t>
            </w:r>
            <w:bookmarkEnd w:id="1237"/>
            <w:bookmarkEnd w:id="1238"/>
            <w:bookmarkEnd w:id="1239"/>
          </w:p>
        </w:tc>
        <w:tc>
          <w:tcPr>
            <w:tcW w:w="3197" w:type="dxa"/>
            <w:gridSpan w:val="4"/>
            <w:shd w:val="clear" w:color="auto" w:fill="A6A6A6"/>
            <w:vAlign w:val="center"/>
          </w:tcPr>
          <w:p w:rsidR="00B259A6" w:rsidRPr="00811F95" w:rsidRDefault="00B259A6" w:rsidP="001F6DA7">
            <w:pPr>
              <w:jc w:val="center"/>
              <w:rPr>
                <w:b w:val="0"/>
                <w:bCs w:val="0"/>
                <w:sz w:val="24"/>
                <w:szCs w:val="24"/>
              </w:rPr>
            </w:pPr>
            <w:bookmarkStart w:id="1240" w:name="_Toc414888243"/>
            <w:bookmarkStart w:id="1241" w:name="_Toc451176431"/>
            <w:bookmarkStart w:id="1242" w:name="_Toc451180412"/>
            <w:r w:rsidRPr="00811F95">
              <w:rPr>
                <w:b w:val="0"/>
                <w:bCs w:val="0"/>
                <w:sz w:val="24"/>
                <w:szCs w:val="24"/>
                <w:rtl/>
              </w:rPr>
              <w:t>15</w:t>
            </w:r>
            <w:r w:rsidRPr="00811F95">
              <w:rPr>
                <w:b w:val="0"/>
                <w:bCs w:val="0"/>
                <w:sz w:val="24"/>
                <w:szCs w:val="24"/>
              </w:rPr>
              <w:t>%</w:t>
            </w:r>
            <w:bookmarkEnd w:id="1240"/>
            <w:bookmarkEnd w:id="1241"/>
            <w:bookmarkEnd w:id="1242"/>
          </w:p>
        </w:tc>
      </w:tr>
      <w:tr w:rsidR="00B259A6" w:rsidRPr="00811F95" w:rsidTr="001F6DA7">
        <w:trPr>
          <w:jc w:val="center"/>
        </w:trPr>
        <w:tc>
          <w:tcPr>
            <w:tcW w:w="5633" w:type="dxa"/>
            <w:gridSpan w:val="2"/>
          </w:tcPr>
          <w:p w:rsidR="00B259A6" w:rsidRPr="00811F95" w:rsidRDefault="00B259A6" w:rsidP="00C77C11">
            <w:pPr>
              <w:rPr>
                <w:b w:val="0"/>
                <w:bCs w:val="0"/>
                <w:sz w:val="24"/>
                <w:szCs w:val="24"/>
                <w:rtl/>
              </w:rPr>
            </w:pPr>
            <w:bookmarkStart w:id="1243" w:name="_Toc414888244"/>
            <w:bookmarkStart w:id="1244" w:name="_Toc451176432"/>
            <w:bookmarkStart w:id="1245" w:name="_Toc451180413"/>
            <w:r w:rsidRPr="00811F95">
              <w:rPr>
                <w:b w:val="0"/>
                <w:bCs w:val="0"/>
                <w:sz w:val="24"/>
                <w:szCs w:val="24"/>
                <w:rtl/>
              </w:rPr>
              <w:t>الأسهم المتداولة (بما فيها السندات القابلة للتحويل لأسهم) غير المدرجة بالمؤشر الرئيسي للسوق ولكنها متداولة في سوق مالي معترف به.</w:t>
            </w:r>
            <w:bookmarkEnd w:id="1243"/>
            <w:bookmarkEnd w:id="1244"/>
            <w:bookmarkEnd w:id="1245"/>
          </w:p>
        </w:tc>
        <w:tc>
          <w:tcPr>
            <w:tcW w:w="3197" w:type="dxa"/>
            <w:gridSpan w:val="4"/>
            <w:shd w:val="clear" w:color="auto" w:fill="A6A6A6"/>
            <w:vAlign w:val="center"/>
          </w:tcPr>
          <w:p w:rsidR="00B259A6" w:rsidRPr="00811F95" w:rsidRDefault="00B259A6" w:rsidP="001F6DA7">
            <w:pPr>
              <w:jc w:val="center"/>
              <w:rPr>
                <w:b w:val="0"/>
                <w:bCs w:val="0"/>
                <w:sz w:val="24"/>
                <w:szCs w:val="24"/>
                <w:rtl/>
              </w:rPr>
            </w:pPr>
            <w:bookmarkStart w:id="1246" w:name="_Toc414888245"/>
            <w:bookmarkStart w:id="1247" w:name="_Toc451176433"/>
            <w:bookmarkStart w:id="1248" w:name="_Toc451180414"/>
            <w:r w:rsidRPr="00811F95">
              <w:rPr>
                <w:b w:val="0"/>
                <w:bCs w:val="0"/>
                <w:sz w:val="24"/>
                <w:szCs w:val="24"/>
                <w:rtl/>
              </w:rPr>
              <w:t>25</w:t>
            </w:r>
            <w:r w:rsidRPr="00811F95">
              <w:rPr>
                <w:b w:val="0"/>
                <w:bCs w:val="0"/>
                <w:sz w:val="24"/>
                <w:szCs w:val="24"/>
              </w:rPr>
              <w:t>%</w:t>
            </w:r>
            <w:bookmarkEnd w:id="1246"/>
            <w:bookmarkEnd w:id="1247"/>
            <w:bookmarkEnd w:id="1248"/>
          </w:p>
        </w:tc>
      </w:tr>
      <w:tr w:rsidR="00B259A6" w:rsidRPr="00811F95" w:rsidTr="001F6DA7">
        <w:trPr>
          <w:jc w:val="center"/>
        </w:trPr>
        <w:tc>
          <w:tcPr>
            <w:tcW w:w="5633" w:type="dxa"/>
            <w:gridSpan w:val="2"/>
          </w:tcPr>
          <w:p w:rsidR="00B259A6" w:rsidRPr="00811F95" w:rsidRDefault="00B259A6" w:rsidP="00C77C11">
            <w:pPr>
              <w:rPr>
                <w:b w:val="0"/>
                <w:bCs w:val="0"/>
                <w:sz w:val="24"/>
                <w:szCs w:val="24"/>
                <w:rtl/>
              </w:rPr>
            </w:pPr>
            <w:bookmarkStart w:id="1249" w:name="_Toc414888246"/>
            <w:bookmarkStart w:id="1250" w:name="_Toc451176434"/>
            <w:bookmarkStart w:id="1251" w:name="_Toc451180415"/>
            <w:r w:rsidRPr="00811F95">
              <w:rPr>
                <w:b w:val="0"/>
                <w:bCs w:val="0"/>
                <w:sz w:val="24"/>
                <w:szCs w:val="24"/>
                <w:rtl/>
              </w:rPr>
              <w:t>الأوراق المالية التي يقرضها البنك للغير ولكنها لا تعتبر من ضمن الضمانات المالية المؤهلة (تصنيفها أدنى من درجة الاستثمار)</w:t>
            </w:r>
            <w:bookmarkEnd w:id="1249"/>
            <w:bookmarkEnd w:id="1250"/>
            <w:bookmarkEnd w:id="1251"/>
          </w:p>
        </w:tc>
        <w:tc>
          <w:tcPr>
            <w:tcW w:w="3197" w:type="dxa"/>
            <w:gridSpan w:val="4"/>
            <w:shd w:val="clear" w:color="auto" w:fill="A6A6A6"/>
            <w:vAlign w:val="center"/>
          </w:tcPr>
          <w:p w:rsidR="00B259A6" w:rsidRPr="00811F95" w:rsidRDefault="00B259A6" w:rsidP="001F6DA7">
            <w:pPr>
              <w:jc w:val="center"/>
              <w:rPr>
                <w:b w:val="0"/>
                <w:bCs w:val="0"/>
                <w:sz w:val="24"/>
                <w:szCs w:val="24"/>
                <w:rtl/>
              </w:rPr>
            </w:pPr>
            <w:bookmarkStart w:id="1252" w:name="_Toc414888247"/>
            <w:bookmarkStart w:id="1253" w:name="_Toc451176435"/>
            <w:bookmarkStart w:id="1254" w:name="_Toc451180416"/>
            <w:r w:rsidRPr="00811F95">
              <w:rPr>
                <w:b w:val="0"/>
                <w:bCs w:val="0"/>
                <w:sz w:val="24"/>
                <w:szCs w:val="24"/>
                <w:rtl/>
              </w:rPr>
              <w:t>25</w:t>
            </w:r>
            <w:r w:rsidRPr="00811F95">
              <w:rPr>
                <w:b w:val="0"/>
                <w:bCs w:val="0"/>
                <w:sz w:val="24"/>
                <w:szCs w:val="24"/>
              </w:rPr>
              <w:t>%</w:t>
            </w:r>
            <w:bookmarkEnd w:id="1252"/>
            <w:bookmarkEnd w:id="1253"/>
            <w:bookmarkEnd w:id="1254"/>
          </w:p>
        </w:tc>
      </w:tr>
      <w:tr w:rsidR="00B259A6" w:rsidRPr="00811F95" w:rsidTr="001F6DA7">
        <w:trPr>
          <w:jc w:val="center"/>
        </w:trPr>
        <w:tc>
          <w:tcPr>
            <w:tcW w:w="5633" w:type="dxa"/>
            <w:gridSpan w:val="2"/>
          </w:tcPr>
          <w:p w:rsidR="00B259A6" w:rsidRPr="00811F95" w:rsidRDefault="00B259A6" w:rsidP="00C77C11">
            <w:pPr>
              <w:rPr>
                <w:b w:val="0"/>
                <w:bCs w:val="0"/>
                <w:sz w:val="24"/>
                <w:szCs w:val="24"/>
                <w:rtl/>
              </w:rPr>
            </w:pPr>
            <w:bookmarkStart w:id="1255" w:name="_Toc414888248"/>
            <w:bookmarkStart w:id="1256" w:name="_Toc451176436"/>
            <w:bookmarkStart w:id="1257" w:name="_Toc451180417"/>
            <w:r w:rsidRPr="00811F95">
              <w:rPr>
                <w:b w:val="0"/>
                <w:bCs w:val="0"/>
                <w:sz w:val="24"/>
                <w:szCs w:val="24"/>
                <w:rtl/>
              </w:rPr>
              <w:t>صناديق الاستثمار المشترك وما هو في حكمها</w:t>
            </w:r>
            <w:bookmarkEnd w:id="1255"/>
            <w:bookmarkEnd w:id="1256"/>
            <w:bookmarkEnd w:id="1257"/>
          </w:p>
        </w:tc>
        <w:tc>
          <w:tcPr>
            <w:tcW w:w="3197" w:type="dxa"/>
            <w:gridSpan w:val="4"/>
            <w:shd w:val="clear" w:color="auto" w:fill="A6A6A6"/>
          </w:tcPr>
          <w:p w:rsidR="00B259A6" w:rsidRPr="00811F95" w:rsidRDefault="00B259A6" w:rsidP="00C77C11">
            <w:pPr>
              <w:rPr>
                <w:b w:val="0"/>
                <w:bCs w:val="0"/>
                <w:sz w:val="24"/>
                <w:szCs w:val="24"/>
                <w:rtl/>
              </w:rPr>
            </w:pPr>
            <w:bookmarkStart w:id="1258" w:name="_Toc414888249"/>
            <w:bookmarkStart w:id="1259" w:name="_Toc451176437"/>
            <w:bookmarkStart w:id="1260" w:name="_Toc451180418"/>
            <w:r w:rsidRPr="00811F95">
              <w:rPr>
                <w:b w:val="0"/>
                <w:bCs w:val="0"/>
                <w:sz w:val="24"/>
                <w:szCs w:val="24"/>
                <w:rtl/>
              </w:rPr>
              <w:t>أعلى نسبة اقتطاع لأي ورقة مالية مؤهلة يسمح للصندوق الاستثمار بها</w:t>
            </w:r>
            <w:bookmarkEnd w:id="1258"/>
            <w:bookmarkEnd w:id="1259"/>
            <w:bookmarkEnd w:id="1260"/>
          </w:p>
        </w:tc>
      </w:tr>
      <w:tr w:rsidR="00B259A6" w:rsidRPr="00811F95" w:rsidTr="001F6DA7">
        <w:trPr>
          <w:jc w:val="center"/>
        </w:trPr>
        <w:tc>
          <w:tcPr>
            <w:tcW w:w="5633" w:type="dxa"/>
            <w:gridSpan w:val="2"/>
          </w:tcPr>
          <w:p w:rsidR="00B259A6" w:rsidRPr="00811F95" w:rsidRDefault="00B259A6" w:rsidP="00C77C11">
            <w:pPr>
              <w:rPr>
                <w:b w:val="0"/>
                <w:bCs w:val="0"/>
                <w:sz w:val="24"/>
                <w:szCs w:val="24"/>
                <w:rtl/>
              </w:rPr>
            </w:pPr>
            <w:bookmarkStart w:id="1261" w:name="_Toc414888250"/>
            <w:bookmarkStart w:id="1262" w:name="_Toc451176438"/>
            <w:bookmarkStart w:id="1263" w:name="_Toc451180419"/>
            <w:r w:rsidRPr="00811F95">
              <w:rPr>
                <w:b w:val="0"/>
                <w:bCs w:val="0"/>
                <w:sz w:val="24"/>
                <w:szCs w:val="24"/>
                <w:rtl/>
              </w:rPr>
              <w:t>التأمينات النقدية المؤهلة بنفس العملة</w:t>
            </w:r>
            <w:bookmarkEnd w:id="1261"/>
            <w:bookmarkEnd w:id="1262"/>
            <w:bookmarkEnd w:id="1263"/>
          </w:p>
        </w:tc>
        <w:tc>
          <w:tcPr>
            <w:tcW w:w="3197" w:type="dxa"/>
            <w:gridSpan w:val="4"/>
            <w:vAlign w:val="center"/>
          </w:tcPr>
          <w:p w:rsidR="00B259A6" w:rsidRPr="00811F95" w:rsidRDefault="00B259A6" w:rsidP="001F6DA7">
            <w:pPr>
              <w:jc w:val="center"/>
              <w:rPr>
                <w:b w:val="0"/>
                <w:bCs w:val="0"/>
                <w:sz w:val="24"/>
                <w:szCs w:val="24"/>
                <w:rtl/>
              </w:rPr>
            </w:pPr>
            <w:bookmarkStart w:id="1264" w:name="_Toc414888251"/>
            <w:bookmarkStart w:id="1265" w:name="_Toc451176439"/>
            <w:bookmarkStart w:id="1266" w:name="_Toc451180420"/>
            <w:r w:rsidRPr="00811F95">
              <w:rPr>
                <w:b w:val="0"/>
                <w:bCs w:val="0"/>
                <w:sz w:val="24"/>
                <w:szCs w:val="24"/>
                <w:rtl/>
              </w:rPr>
              <w:t>صفر %</w:t>
            </w:r>
            <w:bookmarkEnd w:id="1264"/>
            <w:bookmarkEnd w:id="1265"/>
            <w:bookmarkEnd w:id="1266"/>
          </w:p>
        </w:tc>
      </w:tr>
      <w:tr w:rsidR="00B259A6" w:rsidRPr="00811F95" w:rsidTr="001F6DA7">
        <w:trPr>
          <w:jc w:val="center"/>
        </w:trPr>
        <w:tc>
          <w:tcPr>
            <w:tcW w:w="5633" w:type="dxa"/>
            <w:gridSpan w:val="2"/>
          </w:tcPr>
          <w:p w:rsidR="00B259A6" w:rsidRPr="00811F95" w:rsidRDefault="00B259A6" w:rsidP="00C77C11">
            <w:pPr>
              <w:rPr>
                <w:b w:val="0"/>
                <w:bCs w:val="0"/>
                <w:sz w:val="24"/>
                <w:szCs w:val="24"/>
                <w:rtl/>
              </w:rPr>
            </w:pPr>
            <w:bookmarkStart w:id="1267" w:name="_Toc414888252"/>
            <w:bookmarkStart w:id="1268" w:name="_Toc451176440"/>
            <w:bookmarkStart w:id="1269" w:name="_Toc451180421"/>
            <w:r w:rsidRPr="00811F95">
              <w:rPr>
                <w:b w:val="0"/>
                <w:bCs w:val="0"/>
                <w:sz w:val="24"/>
                <w:szCs w:val="24"/>
                <w:rtl/>
              </w:rPr>
              <w:t>ضمانات مؤهلة بما في ذلك التأمينات النقدية مع اختلاف العملة</w:t>
            </w:r>
            <w:bookmarkEnd w:id="1267"/>
            <w:bookmarkEnd w:id="1268"/>
            <w:bookmarkEnd w:id="1269"/>
          </w:p>
        </w:tc>
        <w:tc>
          <w:tcPr>
            <w:tcW w:w="3197" w:type="dxa"/>
            <w:gridSpan w:val="4"/>
            <w:vAlign w:val="center"/>
          </w:tcPr>
          <w:p w:rsidR="00B259A6" w:rsidRPr="00811F95" w:rsidRDefault="00B259A6" w:rsidP="001F6DA7">
            <w:pPr>
              <w:jc w:val="center"/>
              <w:rPr>
                <w:b w:val="0"/>
                <w:bCs w:val="0"/>
                <w:sz w:val="24"/>
                <w:szCs w:val="24"/>
                <w:rtl/>
              </w:rPr>
            </w:pPr>
            <w:bookmarkStart w:id="1270" w:name="_Toc414888253"/>
            <w:bookmarkStart w:id="1271" w:name="_Toc451176441"/>
            <w:bookmarkStart w:id="1272" w:name="_Toc451180422"/>
            <w:r w:rsidRPr="00811F95">
              <w:rPr>
                <w:b w:val="0"/>
                <w:bCs w:val="0"/>
                <w:sz w:val="24"/>
                <w:szCs w:val="24"/>
                <w:rtl/>
              </w:rPr>
              <w:t>8%</w:t>
            </w:r>
            <w:bookmarkEnd w:id="1270"/>
            <w:bookmarkEnd w:id="1271"/>
            <w:bookmarkEnd w:id="1272"/>
          </w:p>
        </w:tc>
      </w:tr>
      <w:tr w:rsidR="00B259A6" w:rsidRPr="00811F95" w:rsidTr="001F6DA7">
        <w:trPr>
          <w:jc w:val="center"/>
        </w:trPr>
        <w:tc>
          <w:tcPr>
            <w:tcW w:w="5633" w:type="dxa"/>
            <w:gridSpan w:val="2"/>
          </w:tcPr>
          <w:p w:rsidR="00B259A6" w:rsidRPr="00811F95" w:rsidRDefault="00B259A6" w:rsidP="00C77C11">
            <w:pPr>
              <w:rPr>
                <w:b w:val="0"/>
                <w:bCs w:val="0"/>
                <w:sz w:val="24"/>
                <w:szCs w:val="24"/>
                <w:rtl/>
              </w:rPr>
            </w:pPr>
            <w:bookmarkStart w:id="1273" w:name="_Toc414888254"/>
            <w:bookmarkStart w:id="1274" w:name="_Toc451176442"/>
            <w:bookmarkStart w:id="1275" w:name="_Toc451180423"/>
            <w:r w:rsidRPr="00811F95">
              <w:rPr>
                <w:b w:val="0"/>
                <w:bCs w:val="0"/>
                <w:sz w:val="24"/>
                <w:szCs w:val="24"/>
                <w:rtl/>
              </w:rPr>
              <w:t>الأوراق المالية بالدينار الأردني الصادرة عن الحكومة الأردنية والبنك المركزي الأردني ومنشآت القطاع العام التي تعامل معاملة الحكومة المركزية.</w:t>
            </w:r>
            <w:bookmarkEnd w:id="1273"/>
            <w:bookmarkEnd w:id="1274"/>
            <w:bookmarkEnd w:id="1275"/>
          </w:p>
        </w:tc>
        <w:tc>
          <w:tcPr>
            <w:tcW w:w="3197" w:type="dxa"/>
            <w:gridSpan w:val="4"/>
            <w:vAlign w:val="center"/>
          </w:tcPr>
          <w:p w:rsidR="00B259A6" w:rsidRPr="00811F95" w:rsidRDefault="00B259A6" w:rsidP="001F6DA7">
            <w:pPr>
              <w:jc w:val="center"/>
              <w:rPr>
                <w:b w:val="0"/>
                <w:bCs w:val="0"/>
                <w:sz w:val="24"/>
                <w:szCs w:val="24"/>
                <w:rtl/>
              </w:rPr>
            </w:pPr>
            <w:bookmarkStart w:id="1276" w:name="_Toc414888255"/>
            <w:bookmarkStart w:id="1277" w:name="_Toc451176443"/>
            <w:bookmarkStart w:id="1278" w:name="_Toc451180424"/>
            <w:r w:rsidRPr="00811F95">
              <w:rPr>
                <w:b w:val="0"/>
                <w:bCs w:val="0"/>
                <w:sz w:val="24"/>
                <w:szCs w:val="24"/>
                <w:rtl/>
              </w:rPr>
              <w:t>صفر %</w:t>
            </w:r>
            <w:bookmarkEnd w:id="1276"/>
            <w:bookmarkEnd w:id="1277"/>
            <w:bookmarkEnd w:id="1278"/>
          </w:p>
        </w:tc>
      </w:tr>
    </w:tbl>
    <w:p w:rsidR="00B259A6" w:rsidRPr="006D6E07" w:rsidRDefault="00B259A6" w:rsidP="0064620F">
      <w:pPr>
        <w:ind w:left="1385" w:hanging="360"/>
        <w:rPr>
          <w:rtl/>
        </w:rPr>
      </w:pPr>
      <w:bookmarkStart w:id="1279" w:name="_Toc414888256"/>
      <w:bookmarkStart w:id="1280" w:name="_Toc451176444"/>
      <w:bookmarkStart w:id="1281" w:name="_Toc451180425"/>
      <w:r w:rsidRPr="006D6E07">
        <w:rPr>
          <w:rtl/>
        </w:rPr>
        <w:lastRenderedPageBreak/>
        <w:t>*</w:t>
      </w:r>
      <w:r w:rsidRPr="006D6E07">
        <w:rPr>
          <w:rtl/>
        </w:rPr>
        <w:tab/>
      </w:r>
      <w:r w:rsidRPr="001F6DA7">
        <w:rPr>
          <w:b w:val="0"/>
          <w:bCs w:val="0"/>
          <w:rtl/>
        </w:rPr>
        <w:t>الحكومات تشمل: الحكومة المركزية ومنشآت القطاع العام التي تعامل معاملة الحكومة. وكذلك تعامل بنوك التنمية متعددة الأطراف معاملة الحكومة إذا كانت تعطى وزن مخاطر ترجيحي (صفر%) وبخلاف ذلك تعامل الجهات الأخرى.</w:t>
      </w:r>
      <w:bookmarkEnd w:id="1279"/>
      <w:bookmarkEnd w:id="1280"/>
      <w:bookmarkEnd w:id="1281"/>
    </w:p>
    <w:p w:rsidR="00DC20B9" w:rsidRPr="00C77C11" w:rsidRDefault="00B259A6" w:rsidP="002F28A0">
      <w:pPr>
        <w:ind w:left="1275" w:hanging="709"/>
        <w:rPr>
          <w:b w:val="0"/>
          <w:bCs w:val="0"/>
          <w:rtl/>
        </w:rPr>
      </w:pPr>
      <w:bookmarkStart w:id="1282" w:name="_Toc414888257"/>
      <w:bookmarkStart w:id="1283" w:name="_Toc451176445"/>
      <w:bookmarkStart w:id="1284" w:name="_Toc451180426"/>
      <w:r w:rsidRPr="00C77C11">
        <w:rPr>
          <w:b w:val="0"/>
          <w:bCs w:val="0"/>
          <w:rtl/>
        </w:rPr>
        <w:t>2.11</w:t>
      </w:r>
      <w:r w:rsidR="001F6DA7">
        <w:rPr>
          <w:rFonts w:hint="cs"/>
          <w:b w:val="0"/>
          <w:bCs w:val="0"/>
          <w:rtl/>
        </w:rPr>
        <w:t>.</w:t>
      </w:r>
      <w:r w:rsidRPr="00C77C11">
        <w:rPr>
          <w:b w:val="0"/>
          <w:bCs w:val="0"/>
          <w:rtl/>
        </w:rPr>
        <w:tab/>
        <w:t>النسب أعلاه مبنية على فرض أن مدة الاحتفاظ هي (10) أيام عمل وعملية إعادة التقييم تتم بشكل يومي.</w:t>
      </w:r>
      <w:bookmarkEnd w:id="1282"/>
      <w:bookmarkEnd w:id="1283"/>
      <w:bookmarkEnd w:id="1284"/>
    </w:p>
    <w:p w:rsidR="00B259A6" w:rsidRPr="001F6DA7" w:rsidRDefault="0064620F" w:rsidP="00580899">
      <w:pPr>
        <w:spacing w:after="0" w:line="276" w:lineRule="auto"/>
        <w:ind w:left="708" w:hanging="425"/>
        <w:rPr>
          <w:rtl/>
        </w:rPr>
      </w:pPr>
      <w:bookmarkStart w:id="1285" w:name="_Toc451176446"/>
      <w:bookmarkStart w:id="1286" w:name="_Toc451180427"/>
      <w:r>
        <w:rPr>
          <w:rtl/>
        </w:rPr>
        <w:t>12.</w:t>
      </w:r>
      <w:r>
        <w:t xml:space="preserve"> </w:t>
      </w:r>
      <w:r w:rsidR="00B259A6" w:rsidRPr="001F6DA7">
        <w:rPr>
          <w:rtl/>
        </w:rPr>
        <w:t>شروط احتساب نسبة اقتطاع(صفر%)</w:t>
      </w:r>
      <w:r w:rsidR="0053072E" w:rsidRPr="001F6DA7">
        <w:rPr>
          <w:rtl/>
        </w:rPr>
        <w:t xml:space="preserve"> </w:t>
      </w:r>
      <w:r w:rsidR="00B259A6" w:rsidRPr="001F6DA7">
        <w:t>Conditions for Zero Haircuts</w:t>
      </w:r>
      <w:bookmarkEnd w:id="1285"/>
      <w:bookmarkEnd w:id="1286"/>
    </w:p>
    <w:p w:rsidR="00B259A6" w:rsidRPr="00C77C11" w:rsidRDefault="00B259A6" w:rsidP="002F28A0">
      <w:pPr>
        <w:ind w:left="1275" w:hanging="709"/>
        <w:rPr>
          <w:b w:val="0"/>
          <w:bCs w:val="0"/>
          <w:rtl/>
        </w:rPr>
      </w:pPr>
      <w:bookmarkStart w:id="1287" w:name="_Toc414888259"/>
      <w:bookmarkStart w:id="1288" w:name="_Toc451176447"/>
      <w:bookmarkStart w:id="1289" w:name="_Toc451180428"/>
      <w:r w:rsidRPr="00C77C11">
        <w:rPr>
          <w:b w:val="0"/>
          <w:bCs w:val="0"/>
          <w:rtl/>
        </w:rPr>
        <w:t>1.12</w:t>
      </w:r>
      <w:r w:rsidR="001F6DA7">
        <w:rPr>
          <w:rFonts w:hint="cs"/>
          <w:b w:val="0"/>
          <w:bCs w:val="0"/>
          <w:rtl/>
        </w:rPr>
        <w:t>.</w:t>
      </w:r>
      <w:r w:rsidRPr="00C77C11">
        <w:rPr>
          <w:b w:val="0"/>
          <w:bCs w:val="0"/>
          <w:rtl/>
        </w:rPr>
        <w:tab/>
        <w:t>إذا توفرت الشروط التالية في عمليات إعادة الشراء وما هو بحكمها وكان الطرف المقابل مشارك رئيسي في السوق، تطبق نسبة اقتطاع (صفر%) بدلاً من نسبة الاقتطاع المحددة وفقاً للأسلوب الشامل:</w:t>
      </w:r>
      <w:bookmarkEnd w:id="1287"/>
      <w:bookmarkEnd w:id="1288"/>
      <w:bookmarkEnd w:id="1289"/>
    </w:p>
    <w:p w:rsidR="00B259A6" w:rsidRPr="00C77C11" w:rsidRDefault="00B259A6" w:rsidP="00C06D2A">
      <w:pPr>
        <w:ind w:left="2126" w:hanging="851"/>
        <w:contextualSpacing/>
        <w:rPr>
          <w:b w:val="0"/>
          <w:bCs w:val="0"/>
          <w:rtl/>
        </w:rPr>
      </w:pPr>
      <w:bookmarkStart w:id="1290" w:name="_Toc414888260"/>
      <w:bookmarkStart w:id="1291" w:name="_Toc451176448"/>
      <w:bookmarkStart w:id="1292" w:name="_Toc451180429"/>
      <w:r w:rsidRPr="00C77C11">
        <w:rPr>
          <w:b w:val="0"/>
          <w:bCs w:val="0"/>
          <w:rtl/>
        </w:rPr>
        <w:t>1.1.12</w:t>
      </w:r>
      <w:r w:rsidR="001F6DA7">
        <w:rPr>
          <w:rFonts w:hint="cs"/>
          <w:b w:val="0"/>
          <w:bCs w:val="0"/>
          <w:rtl/>
        </w:rPr>
        <w:t>.</w:t>
      </w:r>
      <w:r w:rsidRPr="00C77C11">
        <w:rPr>
          <w:b w:val="0"/>
          <w:bCs w:val="0"/>
          <w:rtl/>
        </w:rPr>
        <w:tab/>
        <w:t>أن يكون التعرض الائتماني والضمان على شكل نقد أو أوراق مالية صادرة عن الحكومة أو منشآت القطاع العام المؤهلة للحصول على وزن مخاطر ترجيحي (صفر%) حسب المنهج المعياري.</w:t>
      </w:r>
      <w:bookmarkEnd w:id="1290"/>
      <w:bookmarkEnd w:id="1291"/>
      <w:bookmarkEnd w:id="1292"/>
    </w:p>
    <w:p w:rsidR="00B259A6" w:rsidRPr="00C77C11" w:rsidRDefault="00B259A6" w:rsidP="00C06D2A">
      <w:pPr>
        <w:ind w:left="2126" w:hanging="851"/>
        <w:contextualSpacing/>
        <w:rPr>
          <w:b w:val="0"/>
          <w:bCs w:val="0"/>
        </w:rPr>
      </w:pPr>
      <w:bookmarkStart w:id="1293" w:name="_Toc414888261"/>
      <w:bookmarkStart w:id="1294" w:name="_Toc451176449"/>
      <w:bookmarkStart w:id="1295" w:name="_Toc451180430"/>
      <w:r w:rsidRPr="00C77C11">
        <w:rPr>
          <w:b w:val="0"/>
          <w:bCs w:val="0"/>
          <w:rtl/>
        </w:rPr>
        <w:t>2.1.12</w:t>
      </w:r>
      <w:r w:rsidR="001F6DA7">
        <w:rPr>
          <w:rFonts w:hint="cs"/>
          <w:b w:val="0"/>
          <w:bCs w:val="0"/>
          <w:rtl/>
        </w:rPr>
        <w:t>.</w:t>
      </w:r>
      <w:r w:rsidRPr="00C77C11">
        <w:rPr>
          <w:b w:val="0"/>
          <w:bCs w:val="0"/>
          <w:rtl/>
        </w:rPr>
        <w:tab/>
        <w:t>أن يكون كل من التعرض الائتماني والضمان بنفس العملة.</w:t>
      </w:r>
      <w:bookmarkEnd w:id="1293"/>
      <w:bookmarkEnd w:id="1294"/>
      <w:bookmarkEnd w:id="1295"/>
    </w:p>
    <w:p w:rsidR="00B259A6" w:rsidRPr="00C77C11" w:rsidRDefault="00B259A6" w:rsidP="00C06D2A">
      <w:pPr>
        <w:ind w:left="2126" w:hanging="851"/>
        <w:contextualSpacing/>
        <w:rPr>
          <w:b w:val="0"/>
          <w:bCs w:val="0"/>
          <w:rtl/>
        </w:rPr>
      </w:pPr>
      <w:bookmarkStart w:id="1296" w:name="_Toc414888262"/>
      <w:bookmarkStart w:id="1297" w:name="_Toc451176450"/>
      <w:bookmarkStart w:id="1298" w:name="_Toc451180431"/>
      <w:r w:rsidRPr="00C77C11">
        <w:rPr>
          <w:b w:val="0"/>
          <w:bCs w:val="0"/>
          <w:rtl/>
        </w:rPr>
        <w:t>3.1.12</w:t>
      </w:r>
      <w:r w:rsidR="001F6DA7">
        <w:rPr>
          <w:rFonts w:hint="cs"/>
          <w:b w:val="0"/>
          <w:bCs w:val="0"/>
          <w:rtl/>
        </w:rPr>
        <w:t>.</w:t>
      </w:r>
      <w:r w:rsidRPr="00C77C11">
        <w:rPr>
          <w:b w:val="0"/>
          <w:bCs w:val="0"/>
          <w:rtl/>
        </w:rPr>
        <w:tab/>
        <w:t>أن تكون مدة العملية ليلة واحدة أو أن يتم تقييم التعرض الائتماني والضمان يومياً وفقاً</w:t>
      </w:r>
      <w:r w:rsidRPr="0064620F">
        <w:rPr>
          <w:b w:val="0"/>
          <w:bCs w:val="0"/>
          <w:rtl/>
        </w:rPr>
        <w:t xml:space="preserve"> </w:t>
      </w:r>
      <w:r w:rsidRPr="00C77C11">
        <w:rPr>
          <w:b w:val="0"/>
          <w:bCs w:val="0"/>
          <w:rtl/>
        </w:rPr>
        <w:t>لأسعار السوق شريطة تعديل الهامش بشكل يومي.</w:t>
      </w:r>
      <w:bookmarkEnd w:id="1296"/>
      <w:bookmarkEnd w:id="1297"/>
      <w:bookmarkEnd w:id="1298"/>
    </w:p>
    <w:p w:rsidR="00B259A6" w:rsidRPr="00C77C11" w:rsidRDefault="00B259A6" w:rsidP="00C06D2A">
      <w:pPr>
        <w:ind w:left="2126" w:hanging="851"/>
        <w:contextualSpacing/>
        <w:rPr>
          <w:b w:val="0"/>
          <w:bCs w:val="0"/>
          <w:rtl/>
        </w:rPr>
      </w:pPr>
      <w:bookmarkStart w:id="1299" w:name="_Toc414888263"/>
      <w:bookmarkStart w:id="1300" w:name="_Toc451176451"/>
      <w:bookmarkStart w:id="1301" w:name="_Toc451180432"/>
      <w:r w:rsidRPr="00C77C11">
        <w:rPr>
          <w:b w:val="0"/>
          <w:bCs w:val="0"/>
          <w:rtl/>
        </w:rPr>
        <w:t>4.1.12</w:t>
      </w:r>
      <w:r w:rsidR="001F6DA7">
        <w:rPr>
          <w:rFonts w:hint="cs"/>
          <w:b w:val="0"/>
          <w:bCs w:val="0"/>
          <w:rtl/>
        </w:rPr>
        <w:t>.</w:t>
      </w:r>
      <w:r w:rsidRPr="00C77C11">
        <w:rPr>
          <w:b w:val="0"/>
          <w:bCs w:val="0"/>
          <w:rtl/>
        </w:rPr>
        <w:tab/>
        <w:t>أن تتوفر لدى البنك إمكانية تسييل الضمان ضمن فترة حدها الأقصى (4) أيام عمل من تاريخ عدم قدرة الطرف المقابل على الالتزام بمتطلبات الهامش.</w:t>
      </w:r>
      <w:bookmarkEnd w:id="1299"/>
      <w:bookmarkEnd w:id="1300"/>
      <w:bookmarkEnd w:id="1301"/>
    </w:p>
    <w:p w:rsidR="00B259A6" w:rsidRPr="00C77C11" w:rsidRDefault="00B259A6" w:rsidP="00C06D2A">
      <w:pPr>
        <w:ind w:left="2126" w:hanging="851"/>
        <w:contextualSpacing/>
        <w:rPr>
          <w:b w:val="0"/>
          <w:bCs w:val="0"/>
          <w:rtl/>
        </w:rPr>
      </w:pPr>
      <w:bookmarkStart w:id="1302" w:name="_Toc414888264"/>
      <w:bookmarkStart w:id="1303" w:name="_Toc451176452"/>
      <w:bookmarkStart w:id="1304" w:name="_Toc451180433"/>
      <w:r w:rsidRPr="00C77C11">
        <w:rPr>
          <w:b w:val="0"/>
          <w:bCs w:val="0"/>
          <w:rtl/>
        </w:rPr>
        <w:t>5.1.12</w:t>
      </w:r>
      <w:r w:rsidR="001F6DA7">
        <w:rPr>
          <w:rFonts w:hint="cs"/>
          <w:b w:val="0"/>
          <w:bCs w:val="0"/>
          <w:rtl/>
        </w:rPr>
        <w:t>.</w:t>
      </w:r>
      <w:r w:rsidRPr="00C77C11">
        <w:rPr>
          <w:b w:val="0"/>
          <w:bCs w:val="0"/>
          <w:rtl/>
        </w:rPr>
        <w:tab/>
        <w:t>يتم تسوية العملية من خلال نظام تسويات معتمد لهذا النوع من العمليات.</w:t>
      </w:r>
      <w:bookmarkEnd w:id="1302"/>
      <w:bookmarkEnd w:id="1303"/>
      <w:bookmarkEnd w:id="1304"/>
    </w:p>
    <w:p w:rsidR="00B259A6" w:rsidRPr="00C77C11" w:rsidRDefault="00B259A6" w:rsidP="00C06D2A">
      <w:pPr>
        <w:ind w:left="2126" w:hanging="851"/>
        <w:contextualSpacing/>
        <w:rPr>
          <w:b w:val="0"/>
          <w:bCs w:val="0"/>
          <w:rtl/>
        </w:rPr>
      </w:pPr>
      <w:bookmarkStart w:id="1305" w:name="_Toc414888265"/>
      <w:bookmarkStart w:id="1306" w:name="_Toc451176453"/>
      <w:bookmarkStart w:id="1307" w:name="_Toc451180434"/>
      <w:r w:rsidRPr="00C77C11">
        <w:rPr>
          <w:b w:val="0"/>
          <w:bCs w:val="0"/>
          <w:rtl/>
        </w:rPr>
        <w:t>6.1.12</w:t>
      </w:r>
      <w:r w:rsidR="001F6DA7">
        <w:rPr>
          <w:rFonts w:hint="cs"/>
          <w:b w:val="0"/>
          <w:bCs w:val="0"/>
          <w:rtl/>
        </w:rPr>
        <w:t>.</w:t>
      </w:r>
      <w:r w:rsidRPr="00C77C11">
        <w:rPr>
          <w:b w:val="0"/>
          <w:bCs w:val="0"/>
          <w:rtl/>
        </w:rPr>
        <w:tab/>
        <w:t>المستندات القانونية المستخدمة لتغطية الاتفاقية هي المستندات المعيارية الموحدة المستخدمة في السوق لتغطية عمليات إعادة الشراء.</w:t>
      </w:r>
      <w:bookmarkEnd w:id="1305"/>
      <w:bookmarkEnd w:id="1306"/>
      <w:bookmarkEnd w:id="1307"/>
    </w:p>
    <w:p w:rsidR="00B259A6" w:rsidRPr="00C77C11" w:rsidRDefault="00B259A6" w:rsidP="00C06D2A">
      <w:pPr>
        <w:ind w:left="2126" w:hanging="851"/>
        <w:contextualSpacing/>
        <w:rPr>
          <w:b w:val="0"/>
          <w:bCs w:val="0"/>
          <w:rtl/>
        </w:rPr>
      </w:pPr>
      <w:bookmarkStart w:id="1308" w:name="_Toc414888266"/>
      <w:bookmarkStart w:id="1309" w:name="_Toc451176454"/>
      <w:bookmarkStart w:id="1310" w:name="_Toc451180435"/>
      <w:r w:rsidRPr="00C77C11">
        <w:rPr>
          <w:b w:val="0"/>
          <w:bCs w:val="0"/>
          <w:rtl/>
        </w:rPr>
        <w:t>7.1.12</w:t>
      </w:r>
      <w:r w:rsidR="001F6DA7">
        <w:rPr>
          <w:rFonts w:hint="cs"/>
          <w:b w:val="0"/>
          <w:bCs w:val="0"/>
          <w:rtl/>
        </w:rPr>
        <w:t>.</w:t>
      </w:r>
      <w:r w:rsidRPr="00C77C11">
        <w:rPr>
          <w:b w:val="0"/>
          <w:bCs w:val="0"/>
          <w:rtl/>
        </w:rPr>
        <w:tab/>
        <w:t>أن تنص المستندات القانونية التي تغطي هذه العمليات على ما يفيد بإلغاء العملية فور إخفاق الطرف المقابل بالوفاء بالتزاماته سواء كانت دفع نقدي أو تقديم أوراق مالية أو تغطية الهامش.</w:t>
      </w:r>
      <w:bookmarkEnd w:id="1308"/>
      <w:bookmarkEnd w:id="1309"/>
      <w:bookmarkEnd w:id="1310"/>
    </w:p>
    <w:p w:rsidR="00B259A6" w:rsidRPr="00C77C11" w:rsidRDefault="00B259A6" w:rsidP="00C06D2A">
      <w:pPr>
        <w:ind w:left="2126" w:hanging="851"/>
        <w:rPr>
          <w:b w:val="0"/>
          <w:bCs w:val="0"/>
          <w:rtl/>
        </w:rPr>
      </w:pPr>
      <w:bookmarkStart w:id="1311" w:name="_Toc414888267"/>
      <w:bookmarkStart w:id="1312" w:name="_Toc451176455"/>
      <w:bookmarkStart w:id="1313" w:name="_Toc451180436"/>
      <w:r w:rsidRPr="00C77C11">
        <w:rPr>
          <w:b w:val="0"/>
          <w:bCs w:val="0"/>
          <w:rtl/>
        </w:rPr>
        <w:t>8.1.12</w:t>
      </w:r>
      <w:r w:rsidR="001F6DA7">
        <w:rPr>
          <w:rFonts w:hint="cs"/>
          <w:b w:val="0"/>
          <w:bCs w:val="0"/>
          <w:rtl/>
        </w:rPr>
        <w:t>.</w:t>
      </w:r>
      <w:r w:rsidRPr="00C77C11">
        <w:rPr>
          <w:b w:val="0"/>
          <w:bCs w:val="0"/>
          <w:rtl/>
        </w:rPr>
        <w:tab/>
        <w:t>أن يكون للبنك الحق القانوني في الحجز على الضمانات و/أو تسييلها مباشرة لصالحه حال حدوث أي تعثر بغض النظر عما إذا كان الطرف المقابل في حالة إعسار أو إفلاس.</w:t>
      </w:r>
      <w:bookmarkEnd w:id="1311"/>
      <w:bookmarkEnd w:id="1312"/>
      <w:bookmarkEnd w:id="1313"/>
    </w:p>
    <w:p w:rsidR="00B259A6" w:rsidRPr="00C77C11" w:rsidRDefault="00B259A6" w:rsidP="00580899">
      <w:pPr>
        <w:spacing w:after="0"/>
        <w:ind w:left="1275" w:hanging="709"/>
        <w:rPr>
          <w:b w:val="0"/>
          <w:bCs w:val="0"/>
          <w:rtl/>
        </w:rPr>
      </w:pPr>
      <w:bookmarkStart w:id="1314" w:name="_Toc414888268"/>
      <w:bookmarkStart w:id="1315" w:name="_Toc451176456"/>
      <w:bookmarkStart w:id="1316" w:name="_Toc451180437"/>
      <w:r w:rsidRPr="00C77C11">
        <w:rPr>
          <w:b w:val="0"/>
          <w:bCs w:val="0"/>
          <w:rtl/>
        </w:rPr>
        <w:t>2.12</w:t>
      </w:r>
      <w:r w:rsidR="001F6DA7">
        <w:rPr>
          <w:rFonts w:hint="cs"/>
          <w:b w:val="0"/>
          <w:bCs w:val="0"/>
          <w:rtl/>
        </w:rPr>
        <w:t>.</w:t>
      </w:r>
      <w:r w:rsidRPr="00C77C11">
        <w:rPr>
          <w:b w:val="0"/>
          <w:bCs w:val="0"/>
          <w:rtl/>
        </w:rPr>
        <w:tab/>
        <w:t>تتضمن قائمة المشاركين الرئيسيين في السوق (الدولة التي يعمل بها البنك أو الفرع ) ما يلي:</w:t>
      </w:r>
      <w:bookmarkEnd w:id="1314"/>
      <w:bookmarkEnd w:id="1315"/>
      <w:bookmarkEnd w:id="1316"/>
    </w:p>
    <w:p w:rsidR="00B259A6" w:rsidRPr="001F6DA7" w:rsidRDefault="00B259A6" w:rsidP="00C06D2A">
      <w:pPr>
        <w:ind w:left="2126" w:hanging="851"/>
        <w:contextualSpacing/>
        <w:rPr>
          <w:b w:val="0"/>
          <w:bCs w:val="0"/>
          <w:rtl/>
        </w:rPr>
      </w:pPr>
      <w:bookmarkStart w:id="1317" w:name="_Toc414888269"/>
      <w:bookmarkStart w:id="1318" w:name="_Toc451176457"/>
      <w:bookmarkStart w:id="1319" w:name="_Toc451180438"/>
      <w:r w:rsidRPr="001F6DA7">
        <w:rPr>
          <w:b w:val="0"/>
          <w:bCs w:val="0"/>
          <w:rtl/>
        </w:rPr>
        <w:t>1.2.12</w:t>
      </w:r>
      <w:r w:rsidR="001F6DA7">
        <w:rPr>
          <w:rFonts w:hint="cs"/>
          <w:b w:val="0"/>
          <w:bCs w:val="0"/>
          <w:rtl/>
        </w:rPr>
        <w:t>.</w:t>
      </w:r>
      <w:r w:rsidRPr="001F6DA7">
        <w:rPr>
          <w:b w:val="0"/>
          <w:bCs w:val="0"/>
          <w:rtl/>
        </w:rPr>
        <w:tab/>
        <w:t>المؤسسات الحكومية والبنوك المركزية ومنشآت القطاع العام.</w:t>
      </w:r>
      <w:bookmarkEnd w:id="1317"/>
      <w:bookmarkEnd w:id="1318"/>
      <w:bookmarkEnd w:id="1319"/>
    </w:p>
    <w:p w:rsidR="00B259A6" w:rsidRPr="001F6DA7" w:rsidRDefault="00B259A6" w:rsidP="00C06D2A">
      <w:pPr>
        <w:ind w:left="2126" w:hanging="851"/>
        <w:contextualSpacing/>
        <w:rPr>
          <w:b w:val="0"/>
          <w:bCs w:val="0"/>
        </w:rPr>
      </w:pPr>
      <w:bookmarkStart w:id="1320" w:name="_Toc414888270"/>
      <w:bookmarkStart w:id="1321" w:name="_Toc451176458"/>
      <w:bookmarkStart w:id="1322" w:name="_Toc451180439"/>
      <w:r w:rsidRPr="001F6DA7">
        <w:rPr>
          <w:b w:val="0"/>
          <w:bCs w:val="0"/>
          <w:rtl/>
        </w:rPr>
        <w:t>2.2.12</w:t>
      </w:r>
      <w:r w:rsidR="001F6DA7">
        <w:rPr>
          <w:rFonts w:hint="cs"/>
          <w:b w:val="0"/>
          <w:bCs w:val="0"/>
          <w:rtl/>
        </w:rPr>
        <w:t>.</w:t>
      </w:r>
      <w:r w:rsidRPr="001F6DA7">
        <w:rPr>
          <w:b w:val="0"/>
          <w:bCs w:val="0"/>
          <w:rtl/>
        </w:rPr>
        <w:tab/>
        <w:t>البنوك وشركات الأوراق المالية.</w:t>
      </w:r>
      <w:bookmarkEnd w:id="1320"/>
      <w:bookmarkEnd w:id="1321"/>
      <w:bookmarkEnd w:id="1322"/>
    </w:p>
    <w:p w:rsidR="00B259A6" w:rsidRPr="001F6DA7" w:rsidRDefault="00B259A6" w:rsidP="00C06D2A">
      <w:pPr>
        <w:ind w:left="2126" w:hanging="851"/>
        <w:contextualSpacing/>
        <w:rPr>
          <w:b w:val="0"/>
          <w:bCs w:val="0"/>
          <w:rtl/>
        </w:rPr>
      </w:pPr>
      <w:bookmarkStart w:id="1323" w:name="_Toc414888271"/>
      <w:bookmarkStart w:id="1324" w:name="_Toc451176459"/>
      <w:bookmarkStart w:id="1325" w:name="_Toc451180440"/>
      <w:r w:rsidRPr="001F6DA7">
        <w:rPr>
          <w:b w:val="0"/>
          <w:bCs w:val="0"/>
          <w:rtl/>
        </w:rPr>
        <w:lastRenderedPageBreak/>
        <w:t>3.2.12</w:t>
      </w:r>
      <w:r w:rsidR="001F6DA7">
        <w:rPr>
          <w:rFonts w:hint="cs"/>
          <w:b w:val="0"/>
          <w:bCs w:val="0"/>
          <w:rtl/>
        </w:rPr>
        <w:t>.</w:t>
      </w:r>
      <w:r w:rsidRPr="001F6DA7">
        <w:rPr>
          <w:b w:val="0"/>
          <w:bCs w:val="0"/>
          <w:rtl/>
        </w:rPr>
        <w:tab/>
        <w:t>الشركات المالية الأخرى (بما فيها شركات التأمين) المؤهلة لوزن مخاطر (20%) حسب المنهج المعياري.</w:t>
      </w:r>
      <w:bookmarkEnd w:id="1323"/>
      <w:bookmarkEnd w:id="1324"/>
      <w:bookmarkEnd w:id="1325"/>
    </w:p>
    <w:p w:rsidR="00B259A6" w:rsidRPr="001F6DA7" w:rsidRDefault="00B259A6" w:rsidP="00C06D2A">
      <w:pPr>
        <w:ind w:left="2126" w:hanging="851"/>
        <w:contextualSpacing/>
        <w:rPr>
          <w:b w:val="0"/>
          <w:bCs w:val="0"/>
          <w:rtl/>
        </w:rPr>
      </w:pPr>
      <w:bookmarkStart w:id="1326" w:name="_Toc414888272"/>
      <w:bookmarkStart w:id="1327" w:name="_Toc451176460"/>
      <w:bookmarkStart w:id="1328" w:name="_Toc451180441"/>
      <w:r w:rsidRPr="001F6DA7">
        <w:rPr>
          <w:b w:val="0"/>
          <w:bCs w:val="0"/>
          <w:rtl/>
        </w:rPr>
        <w:t>4.2.12</w:t>
      </w:r>
      <w:r w:rsidR="001F6DA7">
        <w:rPr>
          <w:rFonts w:hint="cs"/>
          <w:b w:val="0"/>
          <w:bCs w:val="0"/>
          <w:rtl/>
        </w:rPr>
        <w:t>.</w:t>
      </w:r>
      <w:r w:rsidRPr="001F6DA7">
        <w:rPr>
          <w:b w:val="0"/>
          <w:bCs w:val="0"/>
          <w:rtl/>
        </w:rPr>
        <w:tab/>
        <w:t>صناديق الاستثمار المشترك التي تخضع لمتطلبات رأس المال و/أو تعليمات الحد الأعلى للاقتراض (</w:t>
      </w:r>
      <w:r w:rsidRPr="001F6DA7">
        <w:rPr>
          <w:b w:val="0"/>
          <w:bCs w:val="0"/>
        </w:rPr>
        <w:t>Leverage Requirements</w:t>
      </w:r>
      <w:r w:rsidRPr="001F6DA7">
        <w:rPr>
          <w:b w:val="0"/>
          <w:bCs w:val="0"/>
          <w:rtl/>
        </w:rPr>
        <w:t>) وتتم مراقبة أعمالها من قبل سلطات رقابية.</w:t>
      </w:r>
      <w:bookmarkEnd w:id="1326"/>
      <w:bookmarkEnd w:id="1327"/>
      <w:bookmarkEnd w:id="1328"/>
    </w:p>
    <w:p w:rsidR="00B259A6" w:rsidRPr="001F6DA7" w:rsidRDefault="00B259A6" w:rsidP="00C06D2A">
      <w:pPr>
        <w:ind w:left="2126" w:hanging="851"/>
        <w:contextualSpacing/>
        <w:rPr>
          <w:b w:val="0"/>
          <w:bCs w:val="0"/>
          <w:rtl/>
        </w:rPr>
      </w:pPr>
      <w:bookmarkStart w:id="1329" w:name="_Toc414888273"/>
      <w:bookmarkStart w:id="1330" w:name="_Toc451176461"/>
      <w:bookmarkStart w:id="1331" w:name="_Toc451180442"/>
      <w:r w:rsidRPr="001F6DA7">
        <w:rPr>
          <w:b w:val="0"/>
          <w:bCs w:val="0"/>
          <w:rtl/>
        </w:rPr>
        <w:t>5.2.12</w:t>
      </w:r>
      <w:r w:rsidR="001F6DA7">
        <w:rPr>
          <w:rFonts w:hint="cs"/>
          <w:b w:val="0"/>
          <w:bCs w:val="0"/>
          <w:rtl/>
        </w:rPr>
        <w:t>.</w:t>
      </w:r>
      <w:r w:rsidRPr="001F6DA7">
        <w:rPr>
          <w:b w:val="0"/>
          <w:bCs w:val="0"/>
          <w:rtl/>
        </w:rPr>
        <w:tab/>
        <w:t>صناديق التقاعد المرخصة التي تتم مراقبة أعمالها من قبل سلطات رقابية.</w:t>
      </w:r>
      <w:bookmarkEnd w:id="1329"/>
      <w:bookmarkEnd w:id="1330"/>
      <w:bookmarkEnd w:id="1331"/>
    </w:p>
    <w:p w:rsidR="00B259A6" w:rsidRPr="001F6DA7" w:rsidRDefault="00B259A6" w:rsidP="00C06D2A">
      <w:pPr>
        <w:ind w:left="2126" w:hanging="851"/>
        <w:contextualSpacing/>
        <w:rPr>
          <w:b w:val="0"/>
          <w:bCs w:val="0"/>
          <w:rtl/>
        </w:rPr>
      </w:pPr>
      <w:bookmarkStart w:id="1332" w:name="_Toc414888274"/>
      <w:bookmarkStart w:id="1333" w:name="_Toc451176462"/>
      <w:bookmarkStart w:id="1334" w:name="_Toc451180443"/>
      <w:r w:rsidRPr="001F6DA7">
        <w:rPr>
          <w:b w:val="0"/>
          <w:bCs w:val="0"/>
          <w:rtl/>
        </w:rPr>
        <w:t>6.2.12</w:t>
      </w:r>
      <w:r w:rsidRPr="001F6DA7">
        <w:rPr>
          <w:b w:val="0"/>
          <w:bCs w:val="0"/>
          <w:rtl/>
        </w:rPr>
        <w:tab/>
      </w:r>
      <w:r w:rsidR="001F6DA7">
        <w:rPr>
          <w:rFonts w:hint="cs"/>
          <w:b w:val="0"/>
          <w:bCs w:val="0"/>
          <w:rtl/>
        </w:rPr>
        <w:t xml:space="preserve">. </w:t>
      </w:r>
      <w:r w:rsidRPr="001F6DA7">
        <w:rPr>
          <w:b w:val="0"/>
          <w:bCs w:val="0"/>
          <w:rtl/>
        </w:rPr>
        <w:t>شركات المقاصة المعترف بها من قبل سلطات رقابية.</w:t>
      </w:r>
      <w:bookmarkEnd w:id="1332"/>
      <w:bookmarkEnd w:id="1333"/>
      <w:bookmarkEnd w:id="1334"/>
    </w:p>
    <w:p w:rsidR="00B259A6" w:rsidRPr="001F6DA7" w:rsidRDefault="0064620F" w:rsidP="00811F95">
      <w:pPr>
        <w:spacing w:before="240" w:after="0" w:line="276" w:lineRule="auto"/>
        <w:ind w:left="708" w:hanging="425"/>
        <w:rPr>
          <w:rtl/>
        </w:rPr>
      </w:pPr>
      <w:bookmarkStart w:id="1335" w:name="_Toc451176463"/>
      <w:bookmarkStart w:id="1336" w:name="_Toc451180444"/>
      <w:r>
        <w:rPr>
          <w:rtl/>
        </w:rPr>
        <w:t>13.</w:t>
      </w:r>
      <w:r>
        <w:t xml:space="preserve"> </w:t>
      </w:r>
      <w:r w:rsidR="00B259A6" w:rsidRPr="001F6DA7">
        <w:rPr>
          <w:rtl/>
        </w:rPr>
        <w:t xml:space="preserve">معالجة العمليات ضمن اتفاقيات إعادة الشراء وما في حكمها التي تخضع لاتفاقيات التقاص الرئيسية </w:t>
      </w:r>
      <w:r w:rsidR="00B259A6" w:rsidRPr="001F6DA7">
        <w:t>Treatment of repo-style transactions covered under master netting agreements</w:t>
      </w:r>
      <w:bookmarkEnd w:id="1335"/>
      <w:bookmarkEnd w:id="1336"/>
    </w:p>
    <w:p w:rsidR="00B259A6" w:rsidRPr="00C77C11" w:rsidRDefault="00B259A6" w:rsidP="002F28A0">
      <w:pPr>
        <w:ind w:left="1275" w:hanging="709"/>
        <w:rPr>
          <w:b w:val="0"/>
          <w:bCs w:val="0"/>
          <w:rtl/>
        </w:rPr>
      </w:pPr>
      <w:bookmarkStart w:id="1337" w:name="_Toc414888276"/>
      <w:bookmarkStart w:id="1338" w:name="_Toc451176464"/>
      <w:bookmarkStart w:id="1339" w:name="_Toc451180445"/>
      <w:r w:rsidRPr="00C77C11">
        <w:rPr>
          <w:b w:val="0"/>
          <w:bCs w:val="0"/>
          <w:rtl/>
        </w:rPr>
        <w:t>1.13</w:t>
      </w:r>
      <w:r w:rsidR="001F6DA7">
        <w:rPr>
          <w:rFonts w:hint="cs"/>
          <w:b w:val="0"/>
          <w:bCs w:val="0"/>
          <w:rtl/>
        </w:rPr>
        <w:t>.</w:t>
      </w:r>
      <w:r w:rsidRPr="00C77C11">
        <w:rPr>
          <w:b w:val="0"/>
          <w:bCs w:val="0"/>
          <w:rtl/>
        </w:rPr>
        <w:tab/>
        <w:t>يتم الاعتراف بآثار الاتفاقيات الثنائية للتقاص التي تغطي عمليات إعادة الشراء لكل طرف مقابل على حدة شريطة أن تكون هذه الاتفاقيات قابلة للتنفيذ قانونياً لدى كل جهات الاختصاص القانوني المعنية في حال حدوث التعثر وبغض النظر عما إذا كان الطرف الآخر معسراً أو مفلساً. بالإضافة لذلك فإن اتفاقيات التقاص يجب أن:-</w:t>
      </w:r>
      <w:bookmarkEnd w:id="1337"/>
      <w:bookmarkEnd w:id="1338"/>
      <w:bookmarkEnd w:id="1339"/>
    </w:p>
    <w:p w:rsidR="00B259A6" w:rsidRPr="00C77C11" w:rsidRDefault="00B259A6" w:rsidP="00C06D2A">
      <w:pPr>
        <w:ind w:left="2126" w:hanging="851"/>
        <w:contextualSpacing/>
        <w:rPr>
          <w:b w:val="0"/>
          <w:bCs w:val="0"/>
          <w:rtl/>
        </w:rPr>
      </w:pPr>
      <w:bookmarkStart w:id="1340" w:name="_Toc414888277"/>
      <w:bookmarkStart w:id="1341" w:name="_Toc451176465"/>
      <w:bookmarkStart w:id="1342" w:name="_Toc451180446"/>
      <w:r w:rsidRPr="00C77C11">
        <w:rPr>
          <w:b w:val="0"/>
          <w:bCs w:val="0"/>
          <w:rtl/>
        </w:rPr>
        <w:t>1.1.13</w:t>
      </w:r>
      <w:r w:rsidR="001F6DA7">
        <w:rPr>
          <w:rFonts w:hint="cs"/>
          <w:b w:val="0"/>
          <w:bCs w:val="0"/>
          <w:rtl/>
        </w:rPr>
        <w:t>.</w:t>
      </w:r>
      <w:r w:rsidRPr="00C77C11">
        <w:rPr>
          <w:b w:val="0"/>
          <w:bCs w:val="0"/>
          <w:rtl/>
        </w:rPr>
        <w:tab/>
        <w:t>تُعطي الحق للطرف غير المتعثر بإنهاء و/أو إغلاق كافة العمليات الخاضعة للاتفاقية ضمن فترة زمنية معقولة عند حدوث التعثر من قبل الطرف المقابل بما فيها حالات الإعسار أو الإفلاس.</w:t>
      </w:r>
      <w:bookmarkEnd w:id="1340"/>
      <w:bookmarkEnd w:id="1341"/>
      <w:bookmarkEnd w:id="1342"/>
    </w:p>
    <w:p w:rsidR="00B259A6" w:rsidRPr="00C77C11" w:rsidRDefault="00B259A6" w:rsidP="00C06D2A">
      <w:pPr>
        <w:ind w:left="2126" w:hanging="851"/>
        <w:contextualSpacing/>
        <w:rPr>
          <w:b w:val="0"/>
          <w:bCs w:val="0"/>
        </w:rPr>
      </w:pPr>
      <w:bookmarkStart w:id="1343" w:name="_Toc414888278"/>
      <w:bookmarkStart w:id="1344" w:name="_Toc451176466"/>
      <w:bookmarkStart w:id="1345" w:name="_Toc451180447"/>
      <w:r w:rsidRPr="00C77C11">
        <w:rPr>
          <w:b w:val="0"/>
          <w:bCs w:val="0"/>
          <w:rtl/>
        </w:rPr>
        <w:t>2.1.13</w:t>
      </w:r>
      <w:r w:rsidR="001F6DA7">
        <w:rPr>
          <w:rFonts w:hint="cs"/>
          <w:b w:val="0"/>
          <w:bCs w:val="0"/>
          <w:rtl/>
        </w:rPr>
        <w:t>.</w:t>
      </w:r>
      <w:r w:rsidRPr="00C77C11">
        <w:rPr>
          <w:b w:val="0"/>
          <w:bCs w:val="0"/>
          <w:rtl/>
        </w:rPr>
        <w:tab/>
        <w:t>تمكن طرفي العملية من إجراء تقاص بين الأرباح والخسائر (بما في ذلك قيمة الضمانات) للعمليات التي يتم إنهائها و/أو إغلاقها ضمن الاتفاقية بحيث تكون القيمة الصافية فقط لهذه الالتزامات مستحقة لأحد الأطراف.</w:t>
      </w:r>
      <w:bookmarkEnd w:id="1343"/>
      <w:bookmarkEnd w:id="1344"/>
      <w:bookmarkEnd w:id="1345"/>
    </w:p>
    <w:p w:rsidR="00B259A6" w:rsidRPr="001F6DA7" w:rsidRDefault="00B259A6" w:rsidP="00C06D2A">
      <w:pPr>
        <w:ind w:left="2126" w:hanging="851"/>
        <w:rPr>
          <w:b w:val="0"/>
          <w:bCs w:val="0"/>
          <w:rtl/>
        </w:rPr>
      </w:pPr>
      <w:bookmarkStart w:id="1346" w:name="_Toc414888279"/>
      <w:bookmarkStart w:id="1347" w:name="_Toc451176467"/>
      <w:bookmarkStart w:id="1348" w:name="_Toc451180448"/>
      <w:r w:rsidRPr="00C77C11">
        <w:rPr>
          <w:b w:val="0"/>
          <w:bCs w:val="0"/>
          <w:rtl/>
        </w:rPr>
        <w:t>3.1.13</w:t>
      </w:r>
      <w:r w:rsidR="001F6DA7">
        <w:rPr>
          <w:rFonts w:hint="cs"/>
          <w:b w:val="0"/>
          <w:bCs w:val="0"/>
          <w:rtl/>
        </w:rPr>
        <w:t>.</w:t>
      </w:r>
      <w:r w:rsidRPr="00C77C11">
        <w:rPr>
          <w:b w:val="0"/>
          <w:bCs w:val="0"/>
          <w:rtl/>
        </w:rPr>
        <w:tab/>
        <w:t>تسمح بتسييل و/أو تملك الضمانات حال حدوث التعثر.</w:t>
      </w:r>
      <w:bookmarkEnd w:id="1346"/>
      <w:bookmarkEnd w:id="1347"/>
      <w:bookmarkEnd w:id="1348"/>
    </w:p>
    <w:p w:rsidR="00B259A6" w:rsidRPr="00C77C11" w:rsidRDefault="00B259A6" w:rsidP="002F28A0">
      <w:pPr>
        <w:ind w:left="1275" w:hanging="709"/>
        <w:rPr>
          <w:b w:val="0"/>
          <w:bCs w:val="0"/>
          <w:rtl/>
        </w:rPr>
      </w:pPr>
      <w:bookmarkStart w:id="1349" w:name="_Toc414888280"/>
      <w:bookmarkStart w:id="1350" w:name="_Toc451176468"/>
      <w:bookmarkStart w:id="1351" w:name="_Toc451180449"/>
      <w:r w:rsidRPr="00C77C11">
        <w:rPr>
          <w:b w:val="0"/>
          <w:bCs w:val="0"/>
          <w:rtl/>
        </w:rPr>
        <w:t>2.13</w:t>
      </w:r>
      <w:r w:rsidR="001F6DA7">
        <w:rPr>
          <w:rFonts w:hint="cs"/>
          <w:b w:val="0"/>
          <w:bCs w:val="0"/>
          <w:rtl/>
        </w:rPr>
        <w:t>.</w:t>
      </w:r>
      <w:r w:rsidRPr="00C77C11">
        <w:rPr>
          <w:b w:val="0"/>
          <w:bCs w:val="0"/>
          <w:rtl/>
        </w:rPr>
        <w:tab/>
        <w:t>يتم الاعتراف بالتقاص في مراكز المحفظة البنكية ومراكز محفظة المتاجرة عندما تستوفي العمليات كل من الشرطين التاليين:</w:t>
      </w:r>
      <w:bookmarkEnd w:id="1349"/>
      <w:bookmarkEnd w:id="1350"/>
      <w:bookmarkEnd w:id="1351"/>
    </w:p>
    <w:p w:rsidR="00B259A6" w:rsidRPr="00C77C11" w:rsidRDefault="00B259A6" w:rsidP="00C06D2A">
      <w:pPr>
        <w:ind w:left="2126" w:hanging="851"/>
        <w:contextualSpacing/>
        <w:rPr>
          <w:b w:val="0"/>
          <w:bCs w:val="0"/>
          <w:rtl/>
        </w:rPr>
      </w:pPr>
      <w:bookmarkStart w:id="1352" w:name="_Toc414888281"/>
      <w:bookmarkStart w:id="1353" w:name="_Toc451176469"/>
      <w:bookmarkStart w:id="1354" w:name="_Toc451180450"/>
      <w:r w:rsidRPr="00C77C11">
        <w:rPr>
          <w:b w:val="0"/>
          <w:bCs w:val="0"/>
          <w:rtl/>
        </w:rPr>
        <w:t>1.2.13</w:t>
      </w:r>
      <w:r w:rsidR="001F6DA7">
        <w:rPr>
          <w:rFonts w:hint="cs"/>
          <w:b w:val="0"/>
          <w:bCs w:val="0"/>
          <w:rtl/>
        </w:rPr>
        <w:t>.</w:t>
      </w:r>
      <w:r w:rsidRPr="00C77C11">
        <w:rPr>
          <w:b w:val="0"/>
          <w:bCs w:val="0"/>
          <w:rtl/>
        </w:rPr>
        <w:tab/>
        <w:t>أن يتم تقييمها يومياً وفقاً لأسعار السوق.</w:t>
      </w:r>
      <w:bookmarkEnd w:id="1352"/>
      <w:bookmarkEnd w:id="1353"/>
      <w:bookmarkEnd w:id="1354"/>
    </w:p>
    <w:p w:rsidR="00B259A6" w:rsidRPr="00C77C11" w:rsidRDefault="00B259A6" w:rsidP="0016569E">
      <w:pPr>
        <w:spacing w:after="0"/>
        <w:ind w:left="2126" w:hanging="851"/>
        <w:rPr>
          <w:b w:val="0"/>
          <w:bCs w:val="0"/>
          <w:rtl/>
        </w:rPr>
      </w:pPr>
      <w:bookmarkStart w:id="1355" w:name="_Toc414888282"/>
      <w:bookmarkStart w:id="1356" w:name="_Toc451176470"/>
      <w:bookmarkStart w:id="1357" w:name="_Toc451180451"/>
      <w:r w:rsidRPr="00C77C11">
        <w:rPr>
          <w:b w:val="0"/>
          <w:bCs w:val="0"/>
          <w:rtl/>
        </w:rPr>
        <w:t>2.2.13</w:t>
      </w:r>
      <w:r w:rsidR="001F6DA7">
        <w:rPr>
          <w:rFonts w:hint="cs"/>
          <w:b w:val="0"/>
          <w:bCs w:val="0"/>
          <w:rtl/>
        </w:rPr>
        <w:t>.</w:t>
      </w:r>
      <w:r w:rsidRPr="00C77C11">
        <w:rPr>
          <w:b w:val="0"/>
          <w:bCs w:val="0"/>
          <w:rtl/>
        </w:rPr>
        <w:tab/>
        <w:t>أن تكون الضمانة المستخدمة معترف بها ضمن الضمانات المؤهلة في المحفظة البنكية.</w:t>
      </w:r>
      <w:bookmarkEnd w:id="1355"/>
      <w:bookmarkEnd w:id="1356"/>
      <w:bookmarkEnd w:id="1357"/>
    </w:p>
    <w:p w:rsidR="00B259A6" w:rsidRPr="00C77C11" w:rsidRDefault="00B259A6" w:rsidP="002F28A0">
      <w:pPr>
        <w:ind w:left="1275" w:hanging="709"/>
        <w:rPr>
          <w:b w:val="0"/>
          <w:bCs w:val="0"/>
          <w:rtl/>
        </w:rPr>
      </w:pPr>
      <w:bookmarkStart w:id="1358" w:name="_Toc414888283"/>
      <w:bookmarkStart w:id="1359" w:name="_Toc451176471"/>
      <w:bookmarkStart w:id="1360" w:name="_Toc451180452"/>
      <w:r w:rsidRPr="00C77C11">
        <w:rPr>
          <w:b w:val="0"/>
          <w:bCs w:val="0"/>
          <w:rtl/>
        </w:rPr>
        <w:t>3.13</w:t>
      </w:r>
      <w:r w:rsidR="001F6DA7">
        <w:rPr>
          <w:rFonts w:hint="cs"/>
          <w:b w:val="0"/>
          <w:bCs w:val="0"/>
          <w:rtl/>
        </w:rPr>
        <w:t>.</w:t>
      </w:r>
      <w:r w:rsidRPr="00C77C11">
        <w:rPr>
          <w:b w:val="0"/>
          <w:bCs w:val="0"/>
          <w:rtl/>
        </w:rPr>
        <w:tab/>
        <w:t xml:space="preserve">تستخدم المعادلة </w:t>
      </w:r>
      <w:r w:rsidR="002B2743" w:rsidRPr="00C77C11">
        <w:rPr>
          <w:b w:val="0"/>
          <w:bCs w:val="0"/>
          <w:rtl/>
        </w:rPr>
        <w:t>المذكورة</w:t>
      </w:r>
      <w:r w:rsidRPr="00C77C11">
        <w:rPr>
          <w:b w:val="0"/>
          <w:bCs w:val="0"/>
          <w:rtl/>
        </w:rPr>
        <w:t xml:space="preserve"> في الفقرة الخاصة بطريقة احتساب متطلبات رأس المال ضمن الأسلوب الشامل  لأغراض احتساب متطلبات رأس المال للعمليات الخاضعة لاتفاقيات التقاص.</w:t>
      </w:r>
      <w:bookmarkEnd w:id="1358"/>
      <w:bookmarkEnd w:id="1359"/>
      <w:bookmarkEnd w:id="1360"/>
    </w:p>
    <w:p w:rsidR="00B259A6" w:rsidRDefault="00B259A6" w:rsidP="002F28A0">
      <w:pPr>
        <w:ind w:left="1275" w:hanging="709"/>
        <w:rPr>
          <w:b w:val="0"/>
          <w:bCs w:val="0"/>
          <w:rtl/>
        </w:rPr>
      </w:pPr>
      <w:bookmarkStart w:id="1361" w:name="_Toc414888284"/>
      <w:bookmarkStart w:id="1362" w:name="_Toc451176472"/>
      <w:bookmarkStart w:id="1363" w:name="_Toc451180453"/>
      <w:r w:rsidRPr="00C77C11">
        <w:rPr>
          <w:b w:val="0"/>
          <w:bCs w:val="0"/>
          <w:rtl/>
        </w:rPr>
        <w:t>4.13</w:t>
      </w:r>
      <w:r w:rsidR="001F6DA7">
        <w:rPr>
          <w:rFonts w:hint="cs"/>
          <w:b w:val="0"/>
          <w:bCs w:val="0"/>
          <w:rtl/>
        </w:rPr>
        <w:t>.</w:t>
      </w:r>
      <w:r w:rsidRPr="00C77C11">
        <w:rPr>
          <w:b w:val="0"/>
          <w:bCs w:val="0"/>
          <w:rtl/>
        </w:rPr>
        <w:tab/>
        <w:t>لاحتساب أثر الاتفاقيات الرئيسية للتقاص تستخدم المعادلة أدناه:</w:t>
      </w:r>
      <w:bookmarkEnd w:id="1361"/>
      <w:bookmarkEnd w:id="1362"/>
      <w:bookmarkEnd w:id="1363"/>
    </w:p>
    <w:tbl>
      <w:tblPr>
        <w:tblStyle w:val="TableGrid"/>
        <w:bidiVisual/>
        <w:tblW w:w="0" w:type="auto"/>
        <w:jc w:val="center"/>
        <w:tblLook w:val="04A0" w:firstRow="1" w:lastRow="0" w:firstColumn="1" w:lastColumn="0" w:noHBand="0" w:noVBand="1"/>
      </w:tblPr>
      <w:tblGrid>
        <w:gridCol w:w="6303"/>
      </w:tblGrid>
      <w:tr w:rsidR="001F6DA7" w:rsidRPr="001F6DA7" w:rsidTr="001F6DA7">
        <w:trPr>
          <w:jc w:val="center"/>
        </w:trPr>
        <w:tc>
          <w:tcPr>
            <w:tcW w:w="0" w:type="auto"/>
          </w:tcPr>
          <w:p w:rsidR="001F6DA7" w:rsidRPr="001F6DA7" w:rsidRDefault="001F6DA7" w:rsidP="001F6DA7">
            <w:pPr>
              <w:rPr>
                <w:b w:val="0"/>
                <w:bCs w:val="0"/>
                <w:rtl/>
                <w:lang w:bidi="ar-JO"/>
              </w:rPr>
            </w:pPr>
            <w:bookmarkStart w:id="1364" w:name="_Toc414888285"/>
            <w:bookmarkStart w:id="1365" w:name="_Toc451176473"/>
            <w:bookmarkStart w:id="1366" w:name="_Toc451180454"/>
            <w:r w:rsidRPr="001F6DA7">
              <w:rPr>
                <w:b w:val="0"/>
                <w:bCs w:val="0"/>
                <w:lang w:val="pt-BR"/>
              </w:rPr>
              <w:lastRenderedPageBreak/>
              <w:t>E</w:t>
            </w:r>
            <w:r w:rsidRPr="001F6DA7">
              <w:rPr>
                <w:b w:val="0"/>
                <w:bCs w:val="0"/>
                <w:vertAlign w:val="superscript"/>
                <w:lang w:val="pt-BR"/>
              </w:rPr>
              <w:t>*</w:t>
            </w:r>
            <w:r w:rsidRPr="001F6DA7">
              <w:rPr>
                <w:b w:val="0"/>
                <w:bCs w:val="0"/>
                <w:lang w:val="pt-BR"/>
              </w:rPr>
              <w:t>=max {0, [(</w:t>
            </w:r>
            <w:r w:rsidRPr="001F6DA7">
              <w:rPr>
                <w:b w:val="0"/>
                <w:bCs w:val="0"/>
              </w:rPr>
              <w:sym w:font="Symbol" w:char="F053"/>
            </w:r>
            <w:r w:rsidRPr="001F6DA7">
              <w:rPr>
                <w:b w:val="0"/>
                <w:bCs w:val="0"/>
                <w:lang w:val="pt-BR"/>
              </w:rPr>
              <w:t xml:space="preserve">(E) - </w:t>
            </w:r>
            <w:r w:rsidRPr="001F6DA7">
              <w:rPr>
                <w:b w:val="0"/>
                <w:bCs w:val="0"/>
              </w:rPr>
              <w:sym w:font="Symbol" w:char="F053"/>
            </w:r>
            <w:r w:rsidRPr="001F6DA7">
              <w:rPr>
                <w:b w:val="0"/>
                <w:bCs w:val="0"/>
                <w:lang w:val="pt-BR"/>
              </w:rPr>
              <w:t xml:space="preserve"> (C)) + </w:t>
            </w:r>
            <w:r w:rsidRPr="001F6DA7">
              <w:rPr>
                <w:b w:val="0"/>
                <w:bCs w:val="0"/>
              </w:rPr>
              <w:sym w:font="Symbol" w:char="F053"/>
            </w:r>
            <w:r w:rsidRPr="001F6DA7">
              <w:rPr>
                <w:b w:val="0"/>
                <w:bCs w:val="0"/>
                <w:lang w:val="pt-BR"/>
              </w:rPr>
              <w:t xml:space="preserve">(Es * Hs) + </w:t>
            </w:r>
            <w:r w:rsidRPr="001F6DA7">
              <w:rPr>
                <w:b w:val="0"/>
                <w:bCs w:val="0"/>
              </w:rPr>
              <w:sym w:font="Symbol" w:char="F053"/>
            </w:r>
            <w:r w:rsidRPr="001F6DA7">
              <w:rPr>
                <w:b w:val="0"/>
                <w:bCs w:val="0"/>
                <w:lang w:val="pt-BR"/>
              </w:rPr>
              <w:t>(Efx * Hfx)]}</w:t>
            </w:r>
            <w:bookmarkEnd w:id="1364"/>
            <w:bookmarkEnd w:id="1365"/>
            <w:bookmarkEnd w:id="1366"/>
          </w:p>
        </w:tc>
      </w:tr>
    </w:tbl>
    <w:p w:rsidR="00B259A6" w:rsidRPr="006D6E07" w:rsidRDefault="00B259A6" w:rsidP="00811F95">
      <w:pPr>
        <w:ind w:firstLine="1275"/>
        <w:rPr>
          <w:rtl/>
        </w:rPr>
      </w:pPr>
      <w:bookmarkStart w:id="1367" w:name="_Toc414888286"/>
      <w:bookmarkStart w:id="1368" w:name="_Toc451176474"/>
      <w:bookmarkStart w:id="1369" w:name="_Toc451180455"/>
      <w:r w:rsidRPr="006D6E07">
        <w:rPr>
          <w:rtl/>
        </w:rPr>
        <w:t>حيث:</w:t>
      </w:r>
      <w:bookmarkEnd w:id="1367"/>
      <w:bookmarkEnd w:id="1368"/>
      <w:bookmarkEnd w:id="1369"/>
    </w:p>
    <w:tbl>
      <w:tblPr>
        <w:tblW w:w="7280" w:type="dxa"/>
        <w:tblInd w:w="93" w:type="dxa"/>
        <w:tblLook w:val="04A0" w:firstRow="1" w:lastRow="0" w:firstColumn="1" w:lastColumn="0" w:noHBand="0" w:noVBand="1"/>
      </w:tblPr>
      <w:tblGrid>
        <w:gridCol w:w="6400"/>
        <w:gridCol w:w="880"/>
      </w:tblGrid>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70" w:name="_Toc451176475"/>
            <w:bookmarkStart w:id="1371" w:name="_Toc451180456"/>
            <w:bookmarkStart w:id="1372" w:name="_Toc414888301"/>
            <w:bookmarkStart w:id="1373" w:name="_Toc451176489"/>
            <w:bookmarkStart w:id="1374" w:name="_Toc451180470"/>
            <w:r w:rsidRPr="00E94EE2">
              <w:rPr>
                <w:rFonts w:eastAsia="Times New Roman" w:hint="cs"/>
                <w:b w:val="0"/>
                <w:bCs w:val="0"/>
                <w:color w:val="000000"/>
                <w:rtl/>
              </w:rPr>
              <w:t>قيمة التعرض الائتماني (</w:t>
            </w:r>
            <w:r w:rsidRPr="00E94EE2">
              <w:rPr>
                <w:rFonts w:eastAsia="Times New Roman" w:hint="cs"/>
                <w:b w:val="0"/>
                <w:bCs w:val="0"/>
                <w:color w:val="000000"/>
              </w:rPr>
              <w:t>Exposure</w:t>
            </w:r>
            <w:r w:rsidRPr="00E94EE2">
              <w:rPr>
                <w:rFonts w:eastAsia="Times New Roman" w:hint="cs"/>
                <w:b w:val="0"/>
                <w:bCs w:val="0"/>
                <w:color w:val="000000"/>
                <w:rtl/>
              </w:rPr>
              <w:t>) بعد احتساب اثر الضمانات</w:t>
            </w:r>
            <w:bookmarkEnd w:id="1370"/>
            <w:bookmarkEnd w:id="1371"/>
          </w:p>
        </w:tc>
        <w:tc>
          <w:tcPr>
            <w:tcW w:w="880" w:type="dxa"/>
            <w:tcBorders>
              <w:top w:val="nil"/>
              <w:left w:val="nil"/>
              <w:bottom w:val="nil"/>
              <w:right w:val="nil"/>
            </w:tcBorders>
            <w:shd w:val="clear" w:color="auto" w:fill="auto"/>
            <w:noWrap/>
            <w:vAlign w:val="center"/>
            <w:hideMark/>
          </w:tcPr>
          <w:p w:rsidR="00E94EE2" w:rsidRPr="00E94EE2" w:rsidRDefault="00E94EE2" w:rsidP="00C51591">
            <w:pPr>
              <w:spacing w:after="0"/>
              <w:ind w:right="-156"/>
              <w:rPr>
                <w:rFonts w:eastAsia="Times New Roman"/>
                <w:b w:val="0"/>
                <w:bCs w:val="0"/>
                <w:color w:val="000000"/>
              </w:rPr>
            </w:pPr>
            <w:bookmarkStart w:id="1375" w:name="_Toc451176476"/>
            <w:bookmarkStart w:id="1376" w:name="_Toc451180457"/>
            <w:r>
              <w:rPr>
                <w:rFonts w:eastAsia="Times New Roman"/>
                <w:b w:val="0"/>
                <w:bCs w:val="0"/>
                <w:color w:val="000000"/>
              </w:rPr>
              <w:t xml:space="preserve">: </w:t>
            </w:r>
            <w:r w:rsidRPr="00E94EE2">
              <w:rPr>
                <w:rFonts w:eastAsia="Times New Roman"/>
                <w:b w:val="0"/>
                <w:bCs w:val="0"/>
                <w:color w:val="000000"/>
              </w:rPr>
              <w:t>E*</w:t>
            </w:r>
            <w:bookmarkEnd w:id="1375"/>
            <w:bookmarkEnd w:id="1376"/>
          </w:p>
        </w:tc>
      </w:tr>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77" w:name="_Toc451176477"/>
            <w:bookmarkStart w:id="1378" w:name="_Toc451180458"/>
            <w:r w:rsidRPr="00E94EE2">
              <w:rPr>
                <w:rFonts w:eastAsia="Times New Roman" w:hint="cs"/>
                <w:b w:val="0"/>
                <w:bCs w:val="0"/>
                <w:color w:val="000000"/>
                <w:rtl/>
              </w:rPr>
              <w:t>قيمة التعرض الائتماني (</w:t>
            </w:r>
            <w:r w:rsidRPr="00E94EE2">
              <w:rPr>
                <w:rFonts w:eastAsia="Times New Roman" w:hint="cs"/>
                <w:b w:val="0"/>
                <w:bCs w:val="0"/>
                <w:color w:val="000000"/>
              </w:rPr>
              <w:t>Exposure</w:t>
            </w:r>
            <w:r w:rsidRPr="00E94EE2">
              <w:rPr>
                <w:rFonts w:eastAsia="Times New Roman" w:hint="cs"/>
                <w:b w:val="0"/>
                <w:bCs w:val="0"/>
                <w:color w:val="000000"/>
                <w:rtl/>
              </w:rPr>
              <w:t>) قبل احتساب اثر الضمانات</w:t>
            </w:r>
            <w:bookmarkEnd w:id="1377"/>
            <w:bookmarkEnd w:id="1378"/>
          </w:p>
        </w:tc>
        <w:tc>
          <w:tcPr>
            <w:tcW w:w="880" w:type="dxa"/>
            <w:tcBorders>
              <w:top w:val="nil"/>
              <w:left w:val="nil"/>
              <w:bottom w:val="nil"/>
              <w:right w:val="nil"/>
            </w:tcBorders>
            <w:shd w:val="clear" w:color="auto" w:fill="auto"/>
            <w:noWrap/>
            <w:vAlign w:val="center"/>
            <w:hideMark/>
          </w:tcPr>
          <w:p w:rsidR="00E94EE2" w:rsidRPr="00E94EE2" w:rsidRDefault="00E94EE2" w:rsidP="00C51591">
            <w:pPr>
              <w:spacing w:after="0"/>
              <w:ind w:right="-156"/>
              <w:rPr>
                <w:rFonts w:eastAsia="Times New Roman"/>
                <w:b w:val="0"/>
                <w:bCs w:val="0"/>
                <w:color w:val="000000"/>
              </w:rPr>
            </w:pPr>
            <w:bookmarkStart w:id="1379" w:name="_Toc451176478"/>
            <w:bookmarkStart w:id="1380" w:name="_Toc451180459"/>
            <w:r>
              <w:rPr>
                <w:rFonts w:eastAsia="Times New Roman"/>
                <w:b w:val="0"/>
                <w:bCs w:val="0"/>
                <w:color w:val="000000"/>
              </w:rPr>
              <w:t xml:space="preserve">: </w:t>
            </w:r>
            <w:r w:rsidRPr="00E94EE2">
              <w:rPr>
                <w:rFonts w:eastAsia="Times New Roman"/>
                <w:b w:val="0"/>
                <w:bCs w:val="0"/>
                <w:color w:val="000000"/>
              </w:rPr>
              <w:t>E</w:t>
            </w:r>
            <w:bookmarkEnd w:id="1379"/>
            <w:bookmarkEnd w:id="1380"/>
            <w:r>
              <w:rPr>
                <w:rFonts w:eastAsia="Times New Roman"/>
                <w:b w:val="0"/>
                <w:bCs w:val="0"/>
                <w:color w:val="000000"/>
              </w:rPr>
              <w:t xml:space="preserve"> </w:t>
            </w:r>
          </w:p>
        </w:tc>
      </w:tr>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81" w:name="_Toc451176479"/>
            <w:bookmarkStart w:id="1382" w:name="_Toc451180460"/>
            <w:r w:rsidRPr="00E94EE2">
              <w:rPr>
                <w:rFonts w:eastAsia="Times New Roman" w:hint="cs"/>
                <w:b w:val="0"/>
                <w:bCs w:val="0"/>
                <w:color w:val="000000"/>
                <w:rtl/>
              </w:rPr>
              <w:t>القيمة السوقية للضمان المقدم</w:t>
            </w:r>
            <w:bookmarkEnd w:id="1381"/>
            <w:bookmarkEnd w:id="1382"/>
          </w:p>
        </w:tc>
        <w:tc>
          <w:tcPr>
            <w:tcW w:w="880" w:type="dxa"/>
            <w:tcBorders>
              <w:top w:val="nil"/>
              <w:left w:val="nil"/>
              <w:bottom w:val="nil"/>
              <w:right w:val="nil"/>
            </w:tcBorders>
            <w:shd w:val="clear" w:color="auto" w:fill="auto"/>
            <w:noWrap/>
            <w:vAlign w:val="center"/>
            <w:hideMark/>
          </w:tcPr>
          <w:p w:rsidR="00E94EE2" w:rsidRPr="00E94EE2" w:rsidRDefault="00C51591" w:rsidP="00C51591">
            <w:pPr>
              <w:spacing w:after="0"/>
              <w:ind w:right="-156"/>
              <w:rPr>
                <w:rFonts w:eastAsia="Times New Roman"/>
                <w:b w:val="0"/>
                <w:bCs w:val="0"/>
                <w:color w:val="000000"/>
              </w:rPr>
            </w:pPr>
            <w:r>
              <w:rPr>
                <w:rFonts w:eastAsia="Times New Roman"/>
                <w:b w:val="0"/>
                <w:bCs w:val="0"/>
                <w:color w:val="000000"/>
              </w:rPr>
              <w:t xml:space="preserve">C </w:t>
            </w:r>
            <w:r w:rsidR="00E94EE2">
              <w:rPr>
                <w:rtl/>
              </w:rPr>
              <w:t xml:space="preserve"> </w:t>
            </w:r>
            <w:r w:rsidR="00E94EE2" w:rsidRPr="00E94EE2">
              <w:rPr>
                <w:rFonts w:eastAsia="Times New Roman"/>
                <w:b w:val="0"/>
                <w:bCs w:val="0"/>
                <w:color w:val="000000"/>
                <w:rtl/>
              </w:rPr>
              <w:t>:</w:t>
            </w:r>
          </w:p>
        </w:tc>
      </w:tr>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83" w:name="_Toc451176481"/>
            <w:bookmarkStart w:id="1384" w:name="_Toc451180462"/>
            <w:r w:rsidRPr="00E94EE2">
              <w:rPr>
                <w:rFonts w:eastAsia="Times New Roman" w:hint="cs"/>
                <w:b w:val="0"/>
                <w:bCs w:val="0"/>
                <w:color w:val="000000"/>
                <w:rtl/>
              </w:rPr>
              <w:t>القيمة المطلقة لصافي المركز في أي ورقة مالية</w:t>
            </w:r>
            <w:bookmarkEnd w:id="1383"/>
            <w:bookmarkEnd w:id="1384"/>
          </w:p>
        </w:tc>
        <w:tc>
          <w:tcPr>
            <w:tcW w:w="880" w:type="dxa"/>
            <w:tcBorders>
              <w:top w:val="nil"/>
              <w:left w:val="nil"/>
              <w:bottom w:val="nil"/>
              <w:right w:val="nil"/>
            </w:tcBorders>
            <w:shd w:val="clear" w:color="auto" w:fill="auto"/>
            <w:noWrap/>
            <w:vAlign w:val="center"/>
            <w:hideMark/>
          </w:tcPr>
          <w:p w:rsidR="00E94EE2" w:rsidRPr="00E94EE2" w:rsidRDefault="00E94EE2" w:rsidP="00C51591">
            <w:pPr>
              <w:spacing w:after="0"/>
              <w:ind w:right="-156"/>
              <w:rPr>
                <w:rFonts w:eastAsia="Times New Roman"/>
                <w:b w:val="0"/>
                <w:bCs w:val="0"/>
                <w:color w:val="000000"/>
              </w:rPr>
            </w:pPr>
            <w:bookmarkStart w:id="1385" w:name="_Toc451176482"/>
            <w:bookmarkStart w:id="1386" w:name="_Toc451180463"/>
            <w:r w:rsidRPr="00E94EE2">
              <w:rPr>
                <w:rFonts w:eastAsia="Times New Roman"/>
                <w:b w:val="0"/>
                <w:bCs w:val="0"/>
                <w:color w:val="000000"/>
              </w:rPr>
              <w:t>Es</w:t>
            </w:r>
            <w:bookmarkEnd w:id="1385"/>
            <w:bookmarkEnd w:id="1386"/>
            <w:r>
              <w:rPr>
                <w:rtl/>
              </w:rPr>
              <w:t xml:space="preserve"> </w:t>
            </w:r>
            <w:r w:rsidRPr="00E94EE2">
              <w:rPr>
                <w:rFonts w:eastAsia="Times New Roman"/>
                <w:b w:val="0"/>
                <w:bCs w:val="0"/>
                <w:color w:val="000000"/>
                <w:rtl/>
              </w:rPr>
              <w:t>:</w:t>
            </w:r>
          </w:p>
        </w:tc>
      </w:tr>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87" w:name="_Toc451176483"/>
            <w:bookmarkStart w:id="1388" w:name="_Toc451180464"/>
            <w:r w:rsidRPr="00E94EE2">
              <w:rPr>
                <w:rFonts w:eastAsia="Times New Roman" w:hint="cs"/>
                <w:b w:val="0"/>
                <w:bCs w:val="0"/>
                <w:color w:val="000000"/>
                <w:rtl/>
              </w:rPr>
              <w:t>نسبة الاقتطاع المناسبة للقيمة المطلقة للورقة المالية (</w:t>
            </w:r>
            <w:r w:rsidRPr="00E94EE2">
              <w:rPr>
                <w:rFonts w:eastAsia="Times New Roman" w:hint="cs"/>
                <w:b w:val="0"/>
                <w:bCs w:val="0"/>
                <w:color w:val="000000"/>
              </w:rPr>
              <w:t>Es</w:t>
            </w:r>
            <w:r w:rsidRPr="00E94EE2">
              <w:rPr>
                <w:rFonts w:eastAsia="Times New Roman" w:hint="cs"/>
                <w:b w:val="0"/>
                <w:bCs w:val="0"/>
                <w:color w:val="000000"/>
                <w:rtl/>
              </w:rPr>
              <w:t>)</w:t>
            </w:r>
            <w:bookmarkEnd w:id="1387"/>
            <w:bookmarkEnd w:id="1388"/>
          </w:p>
        </w:tc>
        <w:tc>
          <w:tcPr>
            <w:tcW w:w="880" w:type="dxa"/>
            <w:tcBorders>
              <w:top w:val="nil"/>
              <w:left w:val="nil"/>
              <w:bottom w:val="nil"/>
              <w:right w:val="nil"/>
            </w:tcBorders>
            <w:shd w:val="clear" w:color="auto" w:fill="auto"/>
            <w:noWrap/>
            <w:vAlign w:val="center"/>
            <w:hideMark/>
          </w:tcPr>
          <w:p w:rsidR="00E94EE2" w:rsidRPr="00E94EE2" w:rsidRDefault="00E94EE2" w:rsidP="00C51591">
            <w:pPr>
              <w:spacing w:after="0"/>
              <w:ind w:right="-156"/>
              <w:rPr>
                <w:rFonts w:eastAsia="Times New Roman"/>
                <w:b w:val="0"/>
                <w:bCs w:val="0"/>
                <w:color w:val="000000"/>
              </w:rPr>
            </w:pPr>
            <w:bookmarkStart w:id="1389" w:name="_Toc451176484"/>
            <w:bookmarkStart w:id="1390" w:name="_Toc451180465"/>
            <w:r w:rsidRPr="00E94EE2">
              <w:rPr>
                <w:rFonts w:eastAsia="Times New Roman"/>
                <w:b w:val="0"/>
                <w:bCs w:val="0"/>
                <w:color w:val="000000"/>
              </w:rPr>
              <w:t>Hs</w:t>
            </w:r>
            <w:bookmarkEnd w:id="1389"/>
            <w:bookmarkEnd w:id="1390"/>
            <w:r>
              <w:rPr>
                <w:rtl/>
              </w:rPr>
              <w:t xml:space="preserve"> </w:t>
            </w:r>
            <w:r w:rsidRPr="00E94EE2">
              <w:rPr>
                <w:rFonts w:eastAsia="Times New Roman"/>
                <w:b w:val="0"/>
                <w:bCs w:val="0"/>
                <w:color w:val="000000"/>
                <w:rtl/>
              </w:rPr>
              <w:t>:</w:t>
            </w:r>
          </w:p>
        </w:tc>
      </w:tr>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91" w:name="_Toc451176485"/>
            <w:bookmarkStart w:id="1392" w:name="_Toc451180466"/>
            <w:r w:rsidRPr="00E94EE2">
              <w:rPr>
                <w:rFonts w:eastAsia="Times New Roman" w:hint="cs"/>
                <w:b w:val="0"/>
                <w:bCs w:val="0"/>
                <w:color w:val="000000"/>
                <w:rtl/>
              </w:rPr>
              <w:t>القيمة المطلقة للمركز الصافي بعملة مختلفة عن عملة التسوية</w:t>
            </w:r>
            <w:bookmarkEnd w:id="1391"/>
            <w:bookmarkEnd w:id="1392"/>
          </w:p>
        </w:tc>
        <w:tc>
          <w:tcPr>
            <w:tcW w:w="880" w:type="dxa"/>
            <w:tcBorders>
              <w:top w:val="nil"/>
              <w:left w:val="nil"/>
              <w:bottom w:val="nil"/>
              <w:right w:val="nil"/>
            </w:tcBorders>
            <w:shd w:val="clear" w:color="auto" w:fill="auto"/>
            <w:noWrap/>
            <w:vAlign w:val="center"/>
            <w:hideMark/>
          </w:tcPr>
          <w:p w:rsidR="00E94EE2" w:rsidRPr="00E94EE2" w:rsidRDefault="00E94EE2" w:rsidP="00C51591">
            <w:pPr>
              <w:spacing w:after="0"/>
              <w:ind w:right="-156"/>
              <w:rPr>
                <w:rFonts w:eastAsia="Times New Roman"/>
                <w:b w:val="0"/>
                <w:bCs w:val="0"/>
                <w:color w:val="000000"/>
              </w:rPr>
            </w:pPr>
            <w:bookmarkStart w:id="1393" w:name="_Toc451176486"/>
            <w:bookmarkStart w:id="1394" w:name="_Toc451180467"/>
            <w:r w:rsidRPr="00E94EE2">
              <w:rPr>
                <w:rFonts w:eastAsia="Times New Roman"/>
                <w:b w:val="0"/>
                <w:bCs w:val="0"/>
                <w:color w:val="000000"/>
              </w:rPr>
              <w:t>E</w:t>
            </w:r>
            <w:bookmarkStart w:id="1395" w:name="_GoBack"/>
            <w:bookmarkEnd w:id="1395"/>
            <w:r w:rsidRPr="00E94EE2">
              <w:rPr>
                <w:rFonts w:eastAsia="Times New Roman"/>
                <w:b w:val="0"/>
                <w:bCs w:val="0"/>
                <w:color w:val="000000"/>
              </w:rPr>
              <w:t>fx</w:t>
            </w:r>
            <w:bookmarkEnd w:id="1393"/>
            <w:bookmarkEnd w:id="1394"/>
            <w:r>
              <w:rPr>
                <w:rtl/>
              </w:rPr>
              <w:t xml:space="preserve"> </w:t>
            </w:r>
            <w:r w:rsidRPr="00E94EE2">
              <w:rPr>
                <w:rFonts w:eastAsia="Times New Roman"/>
                <w:b w:val="0"/>
                <w:bCs w:val="0"/>
                <w:color w:val="000000"/>
                <w:rtl/>
              </w:rPr>
              <w:t>:</w:t>
            </w:r>
          </w:p>
        </w:tc>
      </w:tr>
      <w:tr w:rsidR="00E94EE2" w:rsidRPr="00E94EE2" w:rsidTr="00E94EE2">
        <w:trPr>
          <w:trHeight w:val="432"/>
        </w:trPr>
        <w:tc>
          <w:tcPr>
            <w:tcW w:w="6400" w:type="dxa"/>
            <w:tcBorders>
              <w:top w:val="nil"/>
              <w:left w:val="nil"/>
              <w:bottom w:val="nil"/>
              <w:right w:val="nil"/>
            </w:tcBorders>
            <w:shd w:val="clear" w:color="auto" w:fill="auto"/>
            <w:noWrap/>
            <w:vAlign w:val="center"/>
            <w:hideMark/>
          </w:tcPr>
          <w:p w:rsidR="00E94EE2" w:rsidRPr="00E94EE2" w:rsidRDefault="00E94EE2" w:rsidP="00E94EE2">
            <w:pPr>
              <w:spacing w:after="0"/>
              <w:rPr>
                <w:rFonts w:eastAsia="Times New Roman"/>
                <w:b w:val="0"/>
                <w:bCs w:val="0"/>
                <w:color w:val="000000"/>
              </w:rPr>
            </w:pPr>
            <w:bookmarkStart w:id="1396" w:name="_Toc451176487"/>
            <w:bookmarkStart w:id="1397" w:name="_Toc451180468"/>
            <w:bookmarkStart w:id="1398" w:name="RANGE!A7"/>
            <w:r w:rsidRPr="00E94EE2">
              <w:rPr>
                <w:rFonts w:eastAsia="Times New Roman" w:hint="cs"/>
                <w:b w:val="0"/>
                <w:bCs w:val="0"/>
                <w:color w:val="000000"/>
                <w:rtl/>
              </w:rPr>
              <w:t>نسبة الاقتطاع المستخدمة لعكس فرق العملة في حال وجوده</w:t>
            </w:r>
            <w:bookmarkEnd w:id="1396"/>
            <w:bookmarkEnd w:id="1397"/>
            <w:bookmarkEnd w:id="1398"/>
          </w:p>
        </w:tc>
        <w:tc>
          <w:tcPr>
            <w:tcW w:w="880" w:type="dxa"/>
            <w:tcBorders>
              <w:top w:val="nil"/>
              <w:left w:val="nil"/>
              <w:bottom w:val="nil"/>
              <w:right w:val="nil"/>
            </w:tcBorders>
            <w:shd w:val="clear" w:color="auto" w:fill="auto"/>
            <w:noWrap/>
            <w:vAlign w:val="center"/>
            <w:hideMark/>
          </w:tcPr>
          <w:p w:rsidR="00E94EE2" w:rsidRPr="00E94EE2" w:rsidRDefault="00E94EE2" w:rsidP="00C51591">
            <w:pPr>
              <w:spacing w:after="0"/>
              <w:ind w:right="-156"/>
              <w:rPr>
                <w:rFonts w:eastAsia="Times New Roman"/>
                <w:b w:val="0"/>
                <w:bCs w:val="0"/>
                <w:color w:val="000000"/>
              </w:rPr>
            </w:pPr>
            <w:bookmarkStart w:id="1399" w:name="_Toc451176488"/>
            <w:bookmarkStart w:id="1400" w:name="_Toc451180469"/>
            <w:bookmarkStart w:id="1401" w:name="RANGE!B7"/>
            <w:r w:rsidRPr="00E94EE2">
              <w:rPr>
                <w:rFonts w:eastAsia="Times New Roman"/>
                <w:b w:val="0"/>
                <w:bCs w:val="0"/>
                <w:color w:val="000000"/>
              </w:rPr>
              <w:t>Hfx</w:t>
            </w:r>
            <w:bookmarkEnd w:id="1399"/>
            <w:bookmarkEnd w:id="1400"/>
            <w:bookmarkEnd w:id="1401"/>
            <w:r>
              <w:rPr>
                <w:rtl/>
              </w:rPr>
              <w:t xml:space="preserve"> </w:t>
            </w:r>
            <w:r w:rsidRPr="00E94EE2">
              <w:rPr>
                <w:rFonts w:eastAsia="Times New Roman"/>
                <w:b w:val="0"/>
                <w:bCs w:val="0"/>
                <w:color w:val="000000"/>
                <w:rtl/>
              </w:rPr>
              <w:t>:</w:t>
            </w:r>
          </w:p>
        </w:tc>
      </w:tr>
    </w:tbl>
    <w:p w:rsidR="00B259A6" w:rsidRPr="00E94EE2" w:rsidRDefault="00B259A6" w:rsidP="00811F95">
      <w:pPr>
        <w:ind w:left="1275"/>
        <w:rPr>
          <w:b w:val="0"/>
          <w:bCs w:val="0"/>
          <w:rtl/>
        </w:rPr>
      </w:pPr>
      <w:r w:rsidRPr="001F6DA7">
        <w:rPr>
          <w:b w:val="0"/>
          <w:bCs w:val="0"/>
          <w:rtl/>
        </w:rPr>
        <w:t>المقصود بأعلاه هو الحصول على صافي قيمة التعرض بعد إجراء تقاص بين التعرضات وأدوات الضمان وإضافة مبلغ يعكس أي تغيرات متوقعة في أسعار الأوراق المالية المتضمنة في العمليات ومخاطر سعر الصرف إن وجدت. يتم ضرب صافي المركز القصير أو الطويل لكل ورقة مالية ضمن اتفاقية التقاص بنسبة الاقتطاع الملائمة.</w:t>
      </w:r>
      <w:bookmarkEnd w:id="1372"/>
      <w:bookmarkEnd w:id="1373"/>
      <w:bookmarkEnd w:id="1374"/>
    </w:p>
    <w:p w:rsidR="00B259A6" w:rsidRPr="001F6DA7" w:rsidRDefault="00B259A6" w:rsidP="002F28A0">
      <w:pPr>
        <w:ind w:left="1275" w:hanging="709"/>
        <w:rPr>
          <w:b w:val="0"/>
          <w:bCs w:val="0"/>
          <w:rtl/>
        </w:rPr>
      </w:pPr>
      <w:bookmarkStart w:id="1402" w:name="_Toc414888302"/>
      <w:bookmarkStart w:id="1403" w:name="_Toc451176490"/>
      <w:bookmarkStart w:id="1404" w:name="_Toc451180471"/>
      <w:r w:rsidRPr="00C77C11">
        <w:rPr>
          <w:b w:val="0"/>
          <w:bCs w:val="0"/>
          <w:rtl/>
        </w:rPr>
        <w:t>5.13</w:t>
      </w:r>
      <w:r w:rsidR="001F6DA7">
        <w:rPr>
          <w:rFonts w:hint="cs"/>
          <w:b w:val="0"/>
          <w:bCs w:val="0"/>
          <w:rtl/>
        </w:rPr>
        <w:t>.</w:t>
      </w:r>
      <w:r w:rsidRPr="00C77C11">
        <w:rPr>
          <w:b w:val="0"/>
          <w:bCs w:val="0"/>
          <w:rtl/>
        </w:rPr>
        <w:tab/>
        <w:t>تطبق جميع القواعد الأخرى المتعلقة باحتساب نسب الاقتطاع الواردة في الفقرات الخاصة بالأسلوب الشامل بشكل متساوي على البنوك التي تستخدم اتفاقيات التقاص الثنائية لعمليات إعادة الشراء.</w:t>
      </w:r>
      <w:bookmarkEnd w:id="1402"/>
      <w:bookmarkEnd w:id="1403"/>
      <w:bookmarkEnd w:id="1404"/>
    </w:p>
    <w:p w:rsidR="00B259A6" w:rsidRPr="001F6DA7" w:rsidRDefault="00E94EE2" w:rsidP="00811F95">
      <w:pPr>
        <w:spacing w:before="240" w:after="0" w:line="276" w:lineRule="auto"/>
        <w:ind w:left="708" w:hanging="425"/>
      </w:pPr>
      <w:bookmarkStart w:id="1405" w:name="_Toc451176491"/>
      <w:bookmarkStart w:id="1406" w:name="_Toc451180472"/>
      <w:r>
        <w:rPr>
          <w:rtl/>
        </w:rPr>
        <w:t>14.</w:t>
      </w:r>
      <w:r>
        <w:t xml:space="preserve"> </w:t>
      </w:r>
      <w:r w:rsidR="00B259A6" w:rsidRPr="001F6DA7">
        <w:rPr>
          <w:rtl/>
        </w:rPr>
        <w:t xml:space="preserve">التقاص لبنود داخل الميزانية </w:t>
      </w:r>
      <w:r w:rsidR="00B259A6" w:rsidRPr="001F6DA7">
        <w:t>On Balance Sheet Netting</w:t>
      </w:r>
      <w:bookmarkEnd w:id="1405"/>
      <w:bookmarkEnd w:id="1406"/>
    </w:p>
    <w:p w:rsidR="00B259A6" w:rsidRPr="00C77C11" w:rsidRDefault="00B259A6" w:rsidP="00E94EE2">
      <w:pPr>
        <w:spacing w:line="276" w:lineRule="auto"/>
        <w:ind w:left="485" w:firstLine="10"/>
        <w:rPr>
          <w:b w:val="0"/>
          <w:bCs w:val="0"/>
          <w:rtl/>
        </w:rPr>
      </w:pPr>
      <w:bookmarkStart w:id="1407" w:name="_Toc414888304"/>
      <w:bookmarkStart w:id="1408" w:name="_Toc451176492"/>
      <w:bookmarkStart w:id="1409" w:name="_Toc451180473"/>
      <w:r w:rsidRPr="00C77C11">
        <w:rPr>
          <w:b w:val="0"/>
          <w:bCs w:val="0"/>
          <w:rtl/>
        </w:rPr>
        <w:t>في حال انطباق الشروط التالية لدى البنك فإنه يجوز إجراء التقاص بين التعرض الائتماني والودائع (وما هو بحكمها) لغايات احتساب كفاية رأس المال وبما ينسجم مع المعادلة المذكورة بالفقرة الخاصة باحتساب متطلبات رأس المال ضمن الأسلوب الشامل، على أن تتم معالجة بنود الأصول في الميزانية كتعرض ائتماني وبنود المطلوبات في الميزانية كضمانات مؤهلة وتطبق عليها نسبة اقتطاع( صفر%)، باستثناء نسبة اقتطاع فرق العملة كما هي واردة بالجدول الخاص بنسب الاقتطاع المعيارية:</w:t>
      </w:r>
      <w:bookmarkEnd w:id="1407"/>
      <w:bookmarkEnd w:id="1408"/>
      <w:bookmarkEnd w:id="1409"/>
    </w:p>
    <w:p w:rsidR="00B259A6" w:rsidRPr="00C77C11" w:rsidRDefault="00B259A6" w:rsidP="002F28A0">
      <w:pPr>
        <w:ind w:left="1275" w:hanging="709"/>
        <w:rPr>
          <w:b w:val="0"/>
          <w:bCs w:val="0"/>
          <w:rtl/>
        </w:rPr>
      </w:pPr>
      <w:bookmarkStart w:id="1410" w:name="_Toc414888305"/>
      <w:bookmarkStart w:id="1411" w:name="_Toc451176493"/>
      <w:bookmarkStart w:id="1412" w:name="_Toc451180474"/>
      <w:r w:rsidRPr="00C77C11">
        <w:rPr>
          <w:b w:val="0"/>
          <w:bCs w:val="0"/>
          <w:rtl/>
        </w:rPr>
        <w:t>1.14</w:t>
      </w:r>
      <w:r w:rsidR="001F6DA7">
        <w:rPr>
          <w:rFonts w:hint="cs"/>
          <w:b w:val="0"/>
          <w:bCs w:val="0"/>
          <w:rtl/>
        </w:rPr>
        <w:t>.</w:t>
      </w:r>
      <w:r w:rsidRPr="00C77C11">
        <w:rPr>
          <w:b w:val="0"/>
          <w:bCs w:val="0"/>
          <w:rtl/>
        </w:rPr>
        <w:tab/>
        <w:t>يوجد أساس قانوني متين لاعتبار أن اتفاقية التقاص قابلة للتنفيذ لدى جميع الجهات القانونية ذات الاختصاص وبغض النظر عن إعسار أو إفلاس الطرف المقابل.</w:t>
      </w:r>
      <w:bookmarkEnd w:id="1410"/>
      <w:bookmarkEnd w:id="1411"/>
      <w:bookmarkEnd w:id="1412"/>
    </w:p>
    <w:p w:rsidR="00B259A6" w:rsidRPr="00C77C11" w:rsidRDefault="004327C7" w:rsidP="002F28A0">
      <w:pPr>
        <w:ind w:left="1275" w:hanging="709"/>
        <w:rPr>
          <w:b w:val="0"/>
          <w:bCs w:val="0"/>
          <w:rtl/>
        </w:rPr>
      </w:pPr>
      <w:bookmarkStart w:id="1413" w:name="_Toc414888306"/>
      <w:bookmarkStart w:id="1414" w:name="_Toc451176494"/>
      <w:bookmarkStart w:id="1415" w:name="_Toc451180475"/>
      <w:r w:rsidRPr="00C77C11">
        <w:rPr>
          <w:b w:val="0"/>
          <w:bCs w:val="0"/>
          <w:rtl/>
        </w:rPr>
        <w:t>2.14</w:t>
      </w:r>
      <w:r w:rsidR="001F6DA7">
        <w:rPr>
          <w:rFonts w:hint="cs"/>
          <w:b w:val="0"/>
          <w:bCs w:val="0"/>
          <w:rtl/>
        </w:rPr>
        <w:t>.</w:t>
      </w:r>
      <w:r w:rsidR="00B259A6" w:rsidRPr="00C77C11">
        <w:rPr>
          <w:b w:val="0"/>
          <w:bCs w:val="0"/>
          <w:rtl/>
        </w:rPr>
        <w:tab/>
        <w:t>يمكن وفي جميع الأوقات تحديد كافة بنود</w:t>
      </w:r>
      <w:r w:rsidR="009058CD" w:rsidRPr="00C77C11">
        <w:rPr>
          <w:b w:val="0"/>
          <w:bCs w:val="0"/>
          <w:rtl/>
        </w:rPr>
        <w:t xml:space="preserve"> الموجودات </w:t>
      </w:r>
      <w:r w:rsidR="00B259A6" w:rsidRPr="00C77C11">
        <w:rPr>
          <w:b w:val="0"/>
          <w:bCs w:val="0"/>
          <w:rtl/>
        </w:rPr>
        <w:t>والمطلوبات المتعلقة بالطرف المقابل الخاضعة لاتفاقية التقاص.</w:t>
      </w:r>
      <w:bookmarkEnd w:id="1413"/>
      <w:bookmarkEnd w:id="1414"/>
      <w:bookmarkEnd w:id="1415"/>
    </w:p>
    <w:p w:rsidR="00B259A6" w:rsidRPr="00C77C11" w:rsidRDefault="004327C7" w:rsidP="002F28A0">
      <w:pPr>
        <w:ind w:left="1275" w:hanging="709"/>
        <w:rPr>
          <w:b w:val="0"/>
          <w:bCs w:val="0"/>
          <w:rtl/>
        </w:rPr>
      </w:pPr>
      <w:bookmarkStart w:id="1416" w:name="_Toc414888307"/>
      <w:bookmarkStart w:id="1417" w:name="_Toc451176495"/>
      <w:bookmarkStart w:id="1418" w:name="_Toc451180476"/>
      <w:r w:rsidRPr="00C77C11">
        <w:rPr>
          <w:b w:val="0"/>
          <w:bCs w:val="0"/>
          <w:rtl/>
        </w:rPr>
        <w:t>3.14</w:t>
      </w:r>
      <w:r w:rsidR="001F6DA7">
        <w:rPr>
          <w:rFonts w:hint="cs"/>
          <w:b w:val="0"/>
          <w:bCs w:val="0"/>
          <w:rtl/>
        </w:rPr>
        <w:t>.</w:t>
      </w:r>
      <w:r w:rsidR="00B259A6" w:rsidRPr="00C77C11">
        <w:rPr>
          <w:b w:val="0"/>
          <w:bCs w:val="0"/>
          <w:rtl/>
        </w:rPr>
        <w:tab/>
        <w:t>مدى فاعلية المراقبة والتحكم بمخاطر التمديد/ التجديد لهذه الاتفاقيات.</w:t>
      </w:r>
      <w:bookmarkEnd w:id="1416"/>
      <w:bookmarkEnd w:id="1417"/>
      <w:bookmarkEnd w:id="1418"/>
    </w:p>
    <w:p w:rsidR="00B259A6" w:rsidRPr="00C77C11" w:rsidRDefault="004327C7" w:rsidP="002F28A0">
      <w:pPr>
        <w:ind w:left="1275" w:hanging="709"/>
        <w:rPr>
          <w:b w:val="0"/>
          <w:bCs w:val="0"/>
          <w:rtl/>
        </w:rPr>
      </w:pPr>
      <w:bookmarkStart w:id="1419" w:name="_Toc414888308"/>
      <w:bookmarkStart w:id="1420" w:name="_Toc451176496"/>
      <w:bookmarkStart w:id="1421" w:name="_Toc451180477"/>
      <w:r w:rsidRPr="00C77C11">
        <w:rPr>
          <w:b w:val="0"/>
          <w:bCs w:val="0"/>
          <w:rtl/>
        </w:rPr>
        <w:t>4.14</w:t>
      </w:r>
      <w:r w:rsidR="001F6DA7">
        <w:rPr>
          <w:rFonts w:hint="cs"/>
          <w:b w:val="0"/>
          <w:bCs w:val="0"/>
          <w:rtl/>
        </w:rPr>
        <w:t>.</w:t>
      </w:r>
      <w:r w:rsidR="00B259A6" w:rsidRPr="00C77C11">
        <w:rPr>
          <w:b w:val="0"/>
          <w:bCs w:val="0"/>
          <w:rtl/>
        </w:rPr>
        <w:tab/>
        <w:t>مدى فاعلية المراقبة والتحكم بحجم التعرض الائتماني بناء على صافي القيمة.</w:t>
      </w:r>
      <w:bookmarkEnd w:id="1419"/>
      <w:bookmarkEnd w:id="1420"/>
      <w:bookmarkEnd w:id="1421"/>
    </w:p>
    <w:p w:rsidR="00B259A6" w:rsidRPr="001F6DA7" w:rsidRDefault="00E94EE2" w:rsidP="00811F95">
      <w:pPr>
        <w:spacing w:before="240" w:after="0" w:line="276" w:lineRule="auto"/>
        <w:ind w:left="708" w:hanging="425"/>
      </w:pPr>
      <w:bookmarkStart w:id="1422" w:name="_Toc451176497"/>
      <w:bookmarkStart w:id="1423" w:name="_Toc451180478"/>
      <w:r>
        <w:rPr>
          <w:rtl/>
        </w:rPr>
        <w:lastRenderedPageBreak/>
        <w:t>15.</w:t>
      </w:r>
      <w:r>
        <w:t xml:space="preserve"> </w:t>
      </w:r>
      <w:r w:rsidR="00B259A6" w:rsidRPr="001F6DA7">
        <w:rPr>
          <w:rtl/>
        </w:rPr>
        <w:t xml:space="preserve">الكفالات والمشتقات الائتمانية </w:t>
      </w:r>
      <w:r w:rsidR="00B259A6" w:rsidRPr="001F6DA7">
        <w:t>Guarantees &amp; Credit Derivatives</w:t>
      </w:r>
      <w:bookmarkEnd w:id="1422"/>
      <w:bookmarkEnd w:id="1423"/>
    </w:p>
    <w:p w:rsidR="00B259A6" w:rsidRPr="00C77C11" w:rsidRDefault="00B259A6" w:rsidP="00E94EE2">
      <w:pPr>
        <w:spacing w:line="276" w:lineRule="auto"/>
        <w:ind w:left="485" w:firstLine="10"/>
        <w:rPr>
          <w:b w:val="0"/>
          <w:bCs w:val="0"/>
          <w:rtl/>
        </w:rPr>
      </w:pPr>
      <w:bookmarkStart w:id="1424" w:name="_Toc414888310"/>
      <w:bookmarkStart w:id="1425" w:name="_Toc451176498"/>
      <w:bookmarkStart w:id="1426" w:name="_Toc451180479"/>
      <w:r w:rsidRPr="00C77C11">
        <w:rPr>
          <w:b w:val="0"/>
          <w:bCs w:val="0"/>
          <w:rtl/>
        </w:rPr>
        <w:t xml:space="preserve">للإيفاء بالمتطلبات التشغيلية </w:t>
      </w:r>
      <w:r w:rsidR="004327C7" w:rsidRPr="00C77C11">
        <w:rPr>
          <w:b w:val="0"/>
          <w:bCs w:val="0"/>
        </w:rPr>
        <w:t>Operational Requirements</w:t>
      </w:r>
      <w:r w:rsidR="004327C7" w:rsidRPr="00C77C11">
        <w:rPr>
          <w:b w:val="0"/>
          <w:bCs w:val="0"/>
          <w:rtl/>
        </w:rPr>
        <w:t xml:space="preserve"> </w:t>
      </w:r>
      <w:r w:rsidRPr="00C77C11">
        <w:rPr>
          <w:b w:val="0"/>
          <w:bCs w:val="0"/>
          <w:rtl/>
        </w:rPr>
        <w:t>يجب أن تحقق الكفالة أو الكفالة المقابلة أو المشتقة الائتمانية جميع الشروط التالية:</w:t>
      </w:r>
      <w:bookmarkEnd w:id="1424"/>
      <w:bookmarkEnd w:id="1425"/>
      <w:bookmarkEnd w:id="1426"/>
    </w:p>
    <w:p w:rsidR="00B259A6" w:rsidRPr="00C77C11" w:rsidRDefault="004327C7" w:rsidP="002F28A0">
      <w:pPr>
        <w:ind w:left="1275" w:hanging="709"/>
        <w:rPr>
          <w:b w:val="0"/>
          <w:bCs w:val="0"/>
        </w:rPr>
      </w:pPr>
      <w:bookmarkStart w:id="1427" w:name="_Toc414888311"/>
      <w:bookmarkStart w:id="1428" w:name="_Toc451176499"/>
      <w:bookmarkStart w:id="1429" w:name="_Toc451180480"/>
      <w:r w:rsidRPr="00C77C11">
        <w:rPr>
          <w:b w:val="0"/>
          <w:bCs w:val="0"/>
          <w:rtl/>
        </w:rPr>
        <w:t>1.15</w:t>
      </w:r>
      <w:r w:rsidR="00BE7B8B">
        <w:rPr>
          <w:rFonts w:hint="cs"/>
          <w:b w:val="0"/>
          <w:bCs w:val="0"/>
          <w:rtl/>
        </w:rPr>
        <w:t>.</w:t>
      </w:r>
      <w:r w:rsidR="00B259A6" w:rsidRPr="00C77C11">
        <w:rPr>
          <w:b w:val="0"/>
          <w:bCs w:val="0"/>
          <w:rtl/>
        </w:rPr>
        <w:tab/>
        <w:t>أن تمثل التزاماً مباشراً على مزود الحماية الائتمانية.</w:t>
      </w:r>
      <w:bookmarkEnd w:id="1427"/>
      <w:bookmarkEnd w:id="1428"/>
      <w:bookmarkEnd w:id="1429"/>
    </w:p>
    <w:p w:rsidR="00B259A6" w:rsidRPr="00C77C11" w:rsidRDefault="004327C7" w:rsidP="002F28A0">
      <w:pPr>
        <w:ind w:left="1275" w:hanging="709"/>
        <w:rPr>
          <w:b w:val="0"/>
          <w:bCs w:val="0"/>
        </w:rPr>
      </w:pPr>
      <w:bookmarkStart w:id="1430" w:name="_Toc414888312"/>
      <w:bookmarkStart w:id="1431" w:name="_Toc451176500"/>
      <w:bookmarkStart w:id="1432" w:name="_Toc451180481"/>
      <w:r w:rsidRPr="00C77C11">
        <w:rPr>
          <w:b w:val="0"/>
          <w:bCs w:val="0"/>
          <w:rtl/>
        </w:rPr>
        <w:t>2.15</w:t>
      </w:r>
      <w:r w:rsidR="00BE7B8B">
        <w:rPr>
          <w:rFonts w:hint="cs"/>
          <w:b w:val="0"/>
          <w:bCs w:val="0"/>
          <w:rtl/>
        </w:rPr>
        <w:t>.</w:t>
      </w:r>
      <w:r w:rsidR="00B259A6" w:rsidRPr="00C77C11">
        <w:rPr>
          <w:b w:val="0"/>
          <w:bCs w:val="0"/>
          <w:rtl/>
        </w:rPr>
        <w:tab/>
        <w:t>أن تنص صراحة على التعرضات الائتمانية المغطاة بموجبها بحيث تكون نسبة تغطية كل تعرض ائتماني غير قابلة للجدل.</w:t>
      </w:r>
      <w:bookmarkEnd w:id="1430"/>
      <w:bookmarkEnd w:id="1431"/>
      <w:bookmarkEnd w:id="1432"/>
    </w:p>
    <w:p w:rsidR="00B259A6" w:rsidRPr="00C77C11" w:rsidRDefault="004327C7" w:rsidP="002F28A0">
      <w:pPr>
        <w:ind w:left="1275" w:hanging="709"/>
        <w:rPr>
          <w:b w:val="0"/>
          <w:bCs w:val="0"/>
          <w:rtl/>
        </w:rPr>
      </w:pPr>
      <w:bookmarkStart w:id="1433" w:name="_Toc414888313"/>
      <w:bookmarkStart w:id="1434" w:name="_Toc451176501"/>
      <w:bookmarkStart w:id="1435" w:name="_Toc451180482"/>
      <w:r w:rsidRPr="00C77C11">
        <w:rPr>
          <w:b w:val="0"/>
          <w:bCs w:val="0"/>
          <w:rtl/>
        </w:rPr>
        <w:t>3.15</w:t>
      </w:r>
      <w:r w:rsidR="00E94EE2">
        <w:rPr>
          <w:rFonts w:hint="cs"/>
          <w:b w:val="0"/>
          <w:bCs w:val="0"/>
          <w:rtl/>
          <w:lang w:bidi="ar-JO"/>
        </w:rPr>
        <w:t>.</w:t>
      </w:r>
      <w:r w:rsidR="00B259A6" w:rsidRPr="00C77C11">
        <w:rPr>
          <w:b w:val="0"/>
          <w:bCs w:val="0"/>
          <w:rtl/>
        </w:rPr>
        <w:tab/>
        <w:t>أن يكون العقد غير قابل للنقض بحيث لا يجوز للطرف المقابل فيه إلغاء غطاء الحماية الائتمانية من طرف واحد أو زيادة كلفة غطاء الحماية بسبب تدهور الوضع الائتماني للتعرض الائتماني المغطى باستثناء الحالات التي يتخلف فيها مشتري الحماية عن دفع قيمة بدل هذه التغطية لمزودها.</w:t>
      </w:r>
      <w:bookmarkEnd w:id="1433"/>
      <w:bookmarkEnd w:id="1434"/>
      <w:bookmarkEnd w:id="1435"/>
    </w:p>
    <w:p w:rsidR="00E94EE2" w:rsidRPr="00C77C11" w:rsidRDefault="004327C7" w:rsidP="002F28A0">
      <w:pPr>
        <w:ind w:left="1275" w:hanging="709"/>
        <w:rPr>
          <w:b w:val="0"/>
          <w:bCs w:val="0"/>
          <w:rtl/>
        </w:rPr>
      </w:pPr>
      <w:bookmarkStart w:id="1436" w:name="_Toc414888314"/>
      <w:bookmarkStart w:id="1437" w:name="_Toc451176502"/>
      <w:bookmarkStart w:id="1438" w:name="_Toc451180483"/>
      <w:r w:rsidRPr="00C77C11">
        <w:rPr>
          <w:b w:val="0"/>
          <w:bCs w:val="0"/>
          <w:rtl/>
        </w:rPr>
        <w:t>4.15</w:t>
      </w:r>
      <w:r w:rsidR="00E94EE2">
        <w:rPr>
          <w:rFonts w:hint="cs"/>
          <w:b w:val="0"/>
          <w:bCs w:val="0"/>
          <w:rtl/>
        </w:rPr>
        <w:t>.</w:t>
      </w:r>
      <w:r w:rsidR="00B259A6" w:rsidRPr="00C77C11">
        <w:rPr>
          <w:b w:val="0"/>
          <w:bCs w:val="0"/>
          <w:rtl/>
        </w:rPr>
        <w:tab/>
        <w:t>أن تكون غير مشروطة بحيث لا يكون هنالك أي شرط خارج نطاق السيطرة المباشرة للبنك  يحول دون قيام مزود غطاء الحماية من الوفاء بالتزاماته التعاقدية وضمن فترة زمنية معقولة في حال تخلف الجهة الملتزمة بالتعرض الائتماني الأصلي عن الدفع.</w:t>
      </w:r>
      <w:bookmarkEnd w:id="1436"/>
      <w:bookmarkEnd w:id="1437"/>
      <w:bookmarkEnd w:id="1438"/>
    </w:p>
    <w:p w:rsidR="00B259A6" w:rsidRPr="00BE7B8B" w:rsidRDefault="00E94EE2" w:rsidP="00811F95">
      <w:pPr>
        <w:spacing w:before="240" w:after="0" w:line="276" w:lineRule="auto"/>
        <w:ind w:left="708" w:hanging="425"/>
      </w:pPr>
      <w:bookmarkStart w:id="1439" w:name="_Toc451176503"/>
      <w:bookmarkStart w:id="1440" w:name="_Toc451180484"/>
      <w:r>
        <w:rPr>
          <w:rtl/>
        </w:rPr>
        <w:t>16.</w:t>
      </w:r>
      <w:r w:rsidR="00C51591">
        <w:t xml:space="preserve"> </w:t>
      </w:r>
      <w:r w:rsidR="00B259A6" w:rsidRPr="00BE7B8B">
        <w:rPr>
          <w:rtl/>
        </w:rPr>
        <w:t>المتطلبات التشغيلية الإضافية للكفالات</w:t>
      </w:r>
      <w:r w:rsidR="00B259A6" w:rsidRPr="00BE7B8B">
        <w:t>Additional Operational Requirements for Guarantees</w:t>
      </w:r>
      <w:bookmarkEnd w:id="1439"/>
      <w:bookmarkEnd w:id="1440"/>
    </w:p>
    <w:p w:rsidR="00B259A6" w:rsidRPr="00C77C11" w:rsidRDefault="00B259A6" w:rsidP="00580899">
      <w:pPr>
        <w:spacing w:line="276" w:lineRule="auto"/>
        <w:ind w:left="566"/>
        <w:rPr>
          <w:b w:val="0"/>
          <w:bCs w:val="0"/>
          <w:rtl/>
        </w:rPr>
      </w:pPr>
      <w:r w:rsidRPr="00C77C11">
        <w:rPr>
          <w:b w:val="0"/>
          <w:bCs w:val="0"/>
          <w:rtl/>
        </w:rPr>
        <w:tab/>
      </w:r>
      <w:bookmarkStart w:id="1441" w:name="_Toc451176504"/>
      <w:bookmarkStart w:id="1442" w:name="_Toc451180485"/>
      <w:r w:rsidRPr="00C77C11">
        <w:rPr>
          <w:b w:val="0"/>
          <w:bCs w:val="0"/>
          <w:rtl/>
        </w:rPr>
        <w:t>بالإضافة إلى متطلبات التأكد القانوني الواردة أعلاه وحتى يتم الاعتراف بالكفالة يجب أن تحقق كافة الشروط التالية:</w:t>
      </w:r>
      <w:bookmarkEnd w:id="1441"/>
      <w:bookmarkEnd w:id="1442"/>
    </w:p>
    <w:p w:rsidR="00B259A6" w:rsidRPr="00C77C11" w:rsidRDefault="00B259A6" w:rsidP="002F28A0">
      <w:pPr>
        <w:ind w:left="1275" w:hanging="709"/>
        <w:rPr>
          <w:b w:val="0"/>
          <w:bCs w:val="0"/>
          <w:rtl/>
        </w:rPr>
      </w:pPr>
      <w:bookmarkStart w:id="1443" w:name="_Toc414888317"/>
      <w:bookmarkStart w:id="1444" w:name="_Toc451176505"/>
      <w:bookmarkStart w:id="1445" w:name="_Toc451180486"/>
      <w:r w:rsidRPr="00C77C11">
        <w:rPr>
          <w:b w:val="0"/>
          <w:bCs w:val="0"/>
          <w:rtl/>
        </w:rPr>
        <w:t>1.</w:t>
      </w:r>
      <w:r w:rsidR="00495218" w:rsidRPr="00C77C11">
        <w:rPr>
          <w:b w:val="0"/>
          <w:bCs w:val="0"/>
          <w:rtl/>
        </w:rPr>
        <w:t>16</w:t>
      </w:r>
      <w:r w:rsidR="00BE7B8B">
        <w:rPr>
          <w:rFonts w:hint="cs"/>
          <w:b w:val="0"/>
          <w:bCs w:val="0"/>
          <w:rtl/>
        </w:rPr>
        <w:t>.</w:t>
      </w:r>
      <w:r w:rsidRPr="00C77C11">
        <w:rPr>
          <w:b w:val="0"/>
          <w:bCs w:val="0"/>
          <w:rtl/>
        </w:rPr>
        <w:tab/>
        <w:t>أن تنص الكفالة على أنه في حال إخفاق الطرف المكفول أو توقفه عن الدفع فإن البنك يستطيع وضمن فترة زمنية معقولة مطالبة الكافل بأي مبالغ مستحقة أو أن يلزمه بدفع كافة المبالغ حسب جدول زمني يتفق عليه معه.</w:t>
      </w:r>
      <w:bookmarkEnd w:id="1443"/>
      <w:bookmarkEnd w:id="1444"/>
      <w:bookmarkEnd w:id="1445"/>
    </w:p>
    <w:p w:rsidR="00B259A6" w:rsidRPr="00C77C11" w:rsidRDefault="00B259A6" w:rsidP="002F28A0">
      <w:pPr>
        <w:ind w:left="1275" w:hanging="709"/>
        <w:rPr>
          <w:b w:val="0"/>
          <w:bCs w:val="0"/>
          <w:rtl/>
        </w:rPr>
      </w:pPr>
      <w:bookmarkStart w:id="1446" w:name="_Toc414888318"/>
      <w:bookmarkStart w:id="1447" w:name="_Toc451176506"/>
      <w:bookmarkStart w:id="1448" w:name="_Toc451180487"/>
      <w:r w:rsidRPr="00C77C11">
        <w:rPr>
          <w:b w:val="0"/>
          <w:bCs w:val="0"/>
          <w:rtl/>
        </w:rPr>
        <w:t>2.</w:t>
      </w:r>
      <w:r w:rsidR="00495218" w:rsidRPr="00C77C11">
        <w:rPr>
          <w:b w:val="0"/>
          <w:bCs w:val="0"/>
          <w:rtl/>
        </w:rPr>
        <w:t>16</w:t>
      </w:r>
      <w:r w:rsidR="00BE7B8B">
        <w:rPr>
          <w:rFonts w:hint="cs"/>
          <w:b w:val="0"/>
          <w:bCs w:val="0"/>
          <w:rtl/>
        </w:rPr>
        <w:t>.</w:t>
      </w:r>
      <w:r w:rsidRPr="00C77C11">
        <w:rPr>
          <w:b w:val="0"/>
          <w:bCs w:val="0"/>
          <w:rtl/>
        </w:rPr>
        <w:tab/>
        <w:t>أن تضمن الكفالة للبنك حق مطالبة الكافل دون الحاجة إلى اتخاذ أي إجراء قانوني ضد الطرف المكفول.</w:t>
      </w:r>
      <w:bookmarkEnd w:id="1446"/>
      <w:bookmarkEnd w:id="1447"/>
      <w:bookmarkEnd w:id="1448"/>
    </w:p>
    <w:p w:rsidR="00B259A6" w:rsidRPr="00C77C11" w:rsidRDefault="00B259A6" w:rsidP="002F28A0">
      <w:pPr>
        <w:ind w:left="1275" w:hanging="709"/>
        <w:rPr>
          <w:b w:val="0"/>
          <w:bCs w:val="0"/>
          <w:rtl/>
        </w:rPr>
      </w:pPr>
      <w:bookmarkStart w:id="1449" w:name="_Toc414888319"/>
      <w:bookmarkStart w:id="1450" w:name="_Toc451176507"/>
      <w:bookmarkStart w:id="1451" w:name="_Toc451180488"/>
      <w:r w:rsidRPr="00C77C11">
        <w:rPr>
          <w:b w:val="0"/>
          <w:bCs w:val="0"/>
          <w:rtl/>
        </w:rPr>
        <w:t>3.</w:t>
      </w:r>
      <w:r w:rsidR="00495218" w:rsidRPr="00C77C11">
        <w:rPr>
          <w:b w:val="0"/>
          <w:bCs w:val="0"/>
          <w:rtl/>
        </w:rPr>
        <w:t>16</w:t>
      </w:r>
      <w:r w:rsidR="00BE7B8B">
        <w:rPr>
          <w:rFonts w:hint="cs"/>
          <w:b w:val="0"/>
          <w:bCs w:val="0"/>
          <w:rtl/>
        </w:rPr>
        <w:t>.</w:t>
      </w:r>
      <w:r w:rsidRPr="00C77C11">
        <w:rPr>
          <w:b w:val="0"/>
          <w:bCs w:val="0"/>
          <w:rtl/>
        </w:rPr>
        <w:tab/>
        <w:t xml:space="preserve">أن تمثل </w:t>
      </w:r>
      <w:r w:rsidR="00495218" w:rsidRPr="00C77C11">
        <w:rPr>
          <w:b w:val="0"/>
          <w:bCs w:val="0"/>
          <w:rtl/>
        </w:rPr>
        <w:t xml:space="preserve">الكفالة التزام واضح وصريح ومكتوب يُلزم </w:t>
      </w:r>
      <w:r w:rsidRPr="00C77C11">
        <w:rPr>
          <w:b w:val="0"/>
          <w:bCs w:val="0"/>
          <w:rtl/>
        </w:rPr>
        <w:t>به الكافل.</w:t>
      </w:r>
      <w:bookmarkEnd w:id="1449"/>
      <w:bookmarkEnd w:id="1450"/>
      <w:bookmarkEnd w:id="1451"/>
    </w:p>
    <w:p w:rsidR="00B259A6" w:rsidRPr="00C77C11" w:rsidRDefault="00B259A6" w:rsidP="002F28A0">
      <w:pPr>
        <w:ind w:left="1275" w:hanging="709"/>
        <w:rPr>
          <w:b w:val="0"/>
          <w:bCs w:val="0"/>
          <w:rtl/>
        </w:rPr>
      </w:pPr>
      <w:bookmarkStart w:id="1452" w:name="_Toc414888320"/>
      <w:bookmarkStart w:id="1453" w:name="_Toc451176508"/>
      <w:bookmarkStart w:id="1454" w:name="_Toc451180489"/>
      <w:r w:rsidRPr="00C77C11">
        <w:rPr>
          <w:b w:val="0"/>
          <w:bCs w:val="0"/>
          <w:rtl/>
        </w:rPr>
        <w:t>4.</w:t>
      </w:r>
      <w:r w:rsidR="00495218" w:rsidRPr="00C77C11">
        <w:rPr>
          <w:b w:val="0"/>
          <w:bCs w:val="0"/>
          <w:rtl/>
        </w:rPr>
        <w:t>16</w:t>
      </w:r>
      <w:r w:rsidR="00BE7B8B">
        <w:rPr>
          <w:rFonts w:hint="cs"/>
          <w:b w:val="0"/>
          <w:bCs w:val="0"/>
          <w:rtl/>
        </w:rPr>
        <w:t>.</w:t>
      </w:r>
      <w:r w:rsidRPr="00C77C11">
        <w:rPr>
          <w:b w:val="0"/>
          <w:bCs w:val="0"/>
          <w:rtl/>
        </w:rPr>
        <w:tab/>
        <w:t>أن تغطي الكفالة جميع الالتز</w:t>
      </w:r>
      <w:r w:rsidR="0016569E">
        <w:rPr>
          <w:b w:val="0"/>
          <w:bCs w:val="0"/>
          <w:rtl/>
        </w:rPr>
        <w:t>امات المترتبة على الطرف المكفول</w:t>
      </w:r>
      <w:r w:rsidRPr="00C77C11">
        <w:rPr>
          <w:b w:val="0"/>
          <w:bCs w:val="0"/>
          <w:rtl/>
        </w:rPr>
        <w:t>، وفي حال كانت الكفالة تغطي أصل الدين فقط فإن الالتزامات الأخرى مثل الفوائد والعمولات يجب أن تعامل معاملة الجزء غير المضمون من التعرض الائتماني وكما سيرد في الفقرة الخاصة بالتغطية النسبية.</w:t>
      </w:r>
      <w:bookmarkEnd w:id="1452"/>
      <w:bookmarkEnd w:id="1453"/>
      <w:bookmarkEnd w:id="1454"/>
    </w:p>
    <w:p w:rsidR="00B259A6" w:rsidRPr="00BE7B8B" w:rsidRDefault="00495218" w:rsidP="00580899">
      <w:pPr>
        <w:spacing w:before="240" w:after="0" w:line="276" w:lineRule="auto"/>
        <w:ind w:left="708" w:hanging="425"/>
      </w:pPr>
      <w:bookmarkStart w:id="1455" w:name="_Toc451176509"/>
      <w:r w:rsidRPr="00BE7B8B">
        <w:rPr>
          <w:rtl/>
        </w:rPr>
        <w:lastRenderedPageBreak/>
        <w:t>17</w:t>
      </w:r>
      <w:r w:rsidR="00E94EE2">
        <w:rPr>
          <w:rtl/>
        </w:rPr>
        <w:t>.</w:t>
      </w:r>
      <w:r w:rsidR="00E94EE2">
        <w:rPr>
          <w:rFonts w:hint="cs"/>
          <w:rtl/>
        </w:rPr>
        <w:t xml:space="preserve"> </w:t>
      </w:r>
      <w:r w:rsidR="00B259A6" w:rsidRPr="00BE7B8B">
        <w:rPr>
          <w:rtl/>
        </w:rPr>
        <w:t xml:space="preserve">المتطلبات التشغيلية الإضافية للمشتقات الائتمانية </w:t>
      </w:r>
      <w:r w:rsidR="00B259A6" w:rsidRPr="00BE7B8B">
        <w:t>Additional Operational Requirements for Credit Derivatives</w:t>
      </w:r>
      <w:bookmarkEnd w:id="1455"/>
    </w:p>
    <w:p w:rsidR="00B259A6" w:rsidRPr="006D6E07" w:rsidRDefault="00B259A6" w:rsidP="002F28A0">
      <w:pPr>
        <w:ind w:left="1275" w:hanging="709"/>
        <w:rPr>
          <w:b w:val="0"/>
          <w:bCs w:val="0"/>
          <w:rtl/>
        </w:rPr>
      </w:pPr>
      <w:bookmarkStart w:id="1456" w:name="_Toc414888322"/>
      <w:bookmarkStart w:id="1457" w:name="_Toc451176510"/>
      <w:r w:rsidRPr="006D6E07">
        <w:rPr>
          <w:b w:val="0"/>
          <w:bCs w:val="0"/>
          <w:rtl/>
        </w:rPr>
        <w:t>1.</w:t>
      </w:r>
      <w:r w:rsidR="00495218" w:rsidRPr="006D6E07">
        <w:rPr>
          <w:b w:val="0"/>
          <w:bCs w:val="0"/>
          <w:rtl/>
        </w:rPr>
        <w:t>17</w:t>
      </w:r>
      <w:r w:rsidR="00BE7B8B">
        <w:rPr>
          <w:rFonts w:hint="cs"/>
          <w:b w:val="0"/>
          <w:bCs w:val="0"/>
          <w:rtl/>
        </w:rPr>
        <w:t>.</w:t>
      </w:r>
      <w:r w:rsidRPr="006D6E07">
        <w:rPr>
          <w:b w:val="0"/>
          <w:bCs w:val="0"/>
          <w:rtl/>
        </w:rPr>
        <w:tab/>
        <w:t>حتى يتم الاعتراف بعقد المشتقات الائتمانية يجب أن يحقق كافة الشروط التالية:</w:t>
      </w:r>
      <w:bookmarkEnd w:id="1456"/>
      <w:bookmarkEnd w:id="1457"/>
    </w:p>
    <w:p w:rsidR="00B259A6" w:rsidRPr="006D6E07" w:rsidRDefault="00B259A6" w:rsidP="00C06D2A">
      <w:pPr>
        <w:ind w:left="2126" w:hanging="851"/>
        <w:rPr>
          <w:b w:val="0"/>
          <w:bCs w:val="0"/>
          <w:rtl/>
        </w:rPr>
      </w:pPr>
      <w:bookmarkStart w:id="1458" w:name="_Toc414888323"/>
      <w:bookmarkStart w:id="1459" w:name="_Toc451176511"/>
      <w:r w:rsidRPr="006D6E07">
        <w:rPr>
          <w:b w:val="0"/>
          <w:bCs w:val="0"/>
          <w:rtl/>
        </w:rPr>
        <w:t>1.1.</w:t>
      </w:r>
      <w:r w:rsidR="00495218" w:rsidRPr="006D6E07">
        <w:rPr>
          <w:b w:val="0"/>
          <w:bCs w:val="0"/>
          <w:rtl/>
        </w:rPr>
        <w:t>17</w:t>
      </w:r>
      <w:r w:rsidR="00E94EE2">
        <w:rPr>
          <w:rFonts w:hint="cs"/>
          <w:b w:val="0"/>
          <w:bCs w:val="0"/>
          <w:rtl/>
        </w:rPr>
        <w:t>.</w:t>
      </w:r>
      <w:r w:rsidRPr="006D6E07">
        <w:rPr>
          <w:b w:val="0"/>
          <w:bCs w:val="0"/>
          <w:rtl/>
        </w:rPr>
        <w:tab/>
        <w:t>أن تغطى الأحداث الائتمانية المحددة بين الأطراف المتعاقدة كحد أدنى ما يلي:</w:t>
      </w:r>
      <w:bookmarkEnd w:id="1458"/>
      <w:bookmarkEnd w:id="1459"/>
    </w:p>
    <w:p w:rsidR="00B259A6" w:rsidRPr="006D6E07" w:rsidRDefault="00B259A6" w:rsidP="00D85144">
      <w:pPr>
        <w:pStyle w:val="ListParagraph"/>
        <w:numPr>
          <w:ilvl w:val="0"/>
          <w:numId w:val="29"/>
        </w:numPr>
        <w:ind w:left="2551" w:hanging="425"/>
        <w:rPr>
          <w:b w:val="0"/>
          <w:bCs w:val="0"/>
          <w:rtl/>
        </w:rPr>
      </w:pPr>
      <w:bookmarkStart w:id="1460" w:name="_Toc414888324"/>
      <w:bookmarkStart w:id="1461" w:name="_Toc451176512"/>
      <w:r w:rsidRPr="006D6E07">
        <w:rPr>
          <w:b w:val="0"/>
          <w:bCs w:val="0"/>
          <w:rtl/>
        </w:rPr>
        <w:t>عدم دفع أي مبالغ مستحقة ضمن شروط التعرض الائتماني الأصلي.</w:t>
      </w:r>
      <w:bookmarkEnd w:id="1460"/>
      <w:bookmarkEnd w:id="1461"/>
    </w:p>
    <w:p w:rsidR="00B259A6" w:rsidRPr="006D6E07" w:rsidRDefault="00B259A6" w:rsidP="00D85144">
      <w:pPr>
        <w:pStyle w:val="ListParagraph"/>
        <w:numPr>
          <w:ilvl w:val="0"/>
          <w:numId w:val="29"/>
        </w:numPr>
        <w:ind w:left="2551" w:hanging="425"/>
        <w:rPr>
          <w:b w:val="0"/>
          <w:bCs w:val="0"/>
          <w:rtl/>
        </w:rPr>
      </w:pPr>
      <w:bookmarkStart w:id="1462" w:name="_Toc414888325"/>
      <w:bookmarkStart w:id="1463" w:name="_Toc451176513"/>
      <w:r w:rsidRPr="006D6E07">
        <w:rPr>
          <w:b w:val="0"/>
          <w:bCs w:val="0"/>
          <w:rtl/>
        </w:rPr>
        <w:t>إفلاس، إعسار أو عدم قدرة الجهة المقترضة على دفع الدين عند استحقاقه أو أي إقرار كتابي يفيد بذلك.</w:t>
      </w:r>
      <w:bookmarkEnd w:id="1462"/>
      <w:bookmarkEnd w:id="1463"/>
    </w:p>
    <w:p w:rsidR="00B259A6" w:rsidRPr="006D6E07" w:rsidRDefault="00B259A6" w:rsidP="00D85144">
      <w:pPr>
        <w:pStyle w:val="ListParagraph"/>
        <w:numPr>
          <w:ilvl w:val="0"/>
          <w:numId w:val="29"/>
        </w:numPr>
        <w:ind w:left="2551" w:hanging="425"/>
        <w:rPr>
          <w:b w:val="0"/>
          <w:bCs w:val="0"/>
          <w:rtl/>
        </w:rPr>
      </w:pPr>
      <w:bookmarkStart w:id="1464" w:name="_Toc414888326"/>
      <w:bookmarkStart w:id="1465" w:name="_Toc451176514"/>
      <w:r w:rsidRPr="006D6E07">
        <w:rPr>
          <w:b w:val="0"/>
          <w:bCs w:val="0"/>
          <w:rtl/>
        </w:rPr>
        <w:t>إعادة هيكلة الالتزامات الأصلية الذي يشمل أي من الإجراءات التالية:</w:t>
      </w:r>
      <w:bookmarkEnd w:id="1464"/>
      <w:bookmarkEnd w:id="1465"/>
    </w:p>
    <w:p w:rsidR="00B259A6" w:rsidRPr="006D6E07" w:rsidRDefault="00811F95" w:rsidP="00811F95">
      <w:pPr>
        <w:spacing w:after="0" w:line="276" w:lineRule="auto"/>
        <w:ind w:left="2976" w:hanging="425"/>
        <w:rPr>
          <w:b w:val="0"/>
          <w:bCs w:val="0"/>
          <w:rtl/>
        </w:rPr>
      </w:pPr>
      <w:bookmarkStart w:id="1466" w:name="_Toc414888327"/>
      <w:bookmarkStart w:id="1467" w:name="_Toc451176515"/>
      <w:r>
        <w:rPr>
          <w:rFonts w:hint="cs"/>
          <w:b w:val="0"/>
          <w:bCs w:val="0"/>
          <w:rtl/>
        </w:rPr>
        <w:t>أ</w:t>
      </w:r>
      <w:r w:rsidR="00C51591">
        <w:rPr>
          <w:b w:val="0"/>
          <w:bCs w:val="0"/>
        </w:rPr>
        <w:t>.</w:t>
      </w:r>
      <w:r w:rsidR="00B259A6" w:rsidRPr="006D6E07">
        <w:rPr>
          <w:b w:val="0"/>
          <w:bCs w:val="0"/>
          <w:rtl/>
        </w:rPr>
        <w:tab/>
        <w:t>الإعفاء من أي جزء من أصل الدين/ الفوائد/ العمولات.</w:t>
      </w:r>
      <w:bookmarkEnd w:id="1466"/>
      <w:bookmarkEnd w:id="1467"/>
    </w:p>
    <w:p w:rsidR="00B259A6" w:rsidRPr="006D6E07" w:rsidRDefault="00811F95" w:rsidP="00811F95">
      <w:pPr>
        <w:spacing w:after="0" w:line="276" w:lineRule="auto"/>
        <w:ind w:left="2976" w:hanging="425"/>
        <w:rPr>
          <w:b w:val="0"/>
          <w:bCs w:val="0"/>
          <w:rtl/>
        </w:rPr>
      </w:pPr>
      <w:bookmarkStart w:id="1468" w:name="_Toc414888328"/>
      <w:bookmarkStart w:id="1469" w:name="_Toc451176516"/>
      <w:r>
        <w:rPr>
          <w:rFonts w:hint="cs"/>
          <w:b w:val="0"/>
          <w:bCs w:val="0"/>
          <w:rtl/>
        </w:rPr>
        <w:t>ب</w:t>
      </w:r>
      <w:r w:rsidR="00E94EE2">
        <w:rPr>
          <w:rFonts w:hint="cs"/>
          <w:b w:val="0"/>
          <w:bCs w:val="0"/>
          <w:rtl/>
        </w:rPr>
        <w:t>.</w:t>
      </w:r>
      <w:r w:rsidR="00B259A6" w:rsidRPr="006D6E07">
        <w:rPr>
          <w:b w:val="0"/>
          <w:bCs w:val="0"/>
          <w:rtl/>
        </w:rPr>
        <w:tab/>
        <w:t>تكوين مخصص خاص أو ما هو بحكمه (أي إجراءات تؤثر على حساب الأرباح والخسائر لدى البنك).</w:t>
      </w:r>
      <w:bookmarkEnd w:id="1468"/>
      <w:bookmarkEnd w:id="1469"/>
    </w:p>
    <w:p w:rsidR="00B259A6" w:rsidRPr="006D6E07" w:rsidRDefault="00811F95" w:rsidP="00811F95">
      <w:pPr>
        <w:spacing w:line="276" w:lineRule="auto"/>
        <w:ind w:left="2976" w:hanging="425"/>
        <w:rPr>
          <w:b w:val="0"/>
          <w:bCs w:val="0"/>
          <w:rtl/>
        </w:rPr>
      </w:pPr>
      <w:bookmarkStart w:id="1470" w:name="_Toc414888329"/>
      <w:bookmarkStart w:id="1471" w:name="_Toc451176517"/>
      <w:r>
        <w:rPr>
          <w:rFonts w:hint="cs"/>
          <w:b w:val="0"/>
          <w:bCs w:val="0"/>
          <w:rtl/>
        </w:rPr>
        <w:t>ج</w:t>
      </w:r>
      <w:r w:rsidR="00C51591">
        <w:rPr>
          <w:b w:val="0"/>
          <w:bCs w:val="0"/>
        </w:rPr>
        <w:t>.</w:t>
      </w:r>
      <w:r w:rsidR="00B259A6" w:rsidRPr="006D6E07">
        <w:rPr>
          <w:b w:val="0"/>
          <w:bCs w:val="0"/>
          <w:rtl/>
        </w:rPr>
        <w:tab/>
        <w:t>في حال عدم اعتبار عملية الهيكلة كحدث ائتماني يتم الرجوع إلى ما سيرد في البند (</w:t>
      </w:r>
      <w:r w:rsidR="00495218" w:rsidRPr="006D6E07">
        <w:rPr>
          <w:b w:val="0"/>
          <w:bCs w:val="0"/>
          <w:rtl/>
        </w:rPr>
        <w:t>2.17</w:t>
      </w:r>
      <w:r w:rsidR="00B259A6" w:rsidRPr="006D6E07">
        <w:rPr>
          <w:b w:val="0"/>
          <w:bCs w:val="0"/>
          <w:rtl/>
        </w:rPr>
        <w:t>) أدناه.</w:t>
      </w:r>
      <w:bookmarkEnd w:id="1470"/>
      <w:bookmarkEnd w:id="1471"/>
    </w:p>
    <w:p w:rsidR="00B259A6" w:rsidRPr="006D6E07" w:rsidRDefault="00B259A6" w:rsidP="00C06D2A">
      <w:pPr>
        <w:ind w:left="2126" w:hanging="851"/>
        <w:rPr>
          <w:b w:val="0"/>
          <w:bCs w:val="0"/>
          <w:rtl/>
        </w:rPr>
      </w:pPr>
      <w:bookmarkStart w:id="1472" w:name="_Toc414888330"/>
      <w:bookmarkStart w:id="1473" w:name="_Toc451176518"/>
      <w:r w:rsidRPr="006D6E07">
        <w:rPr>
          <w:b w:val="0"/>
          <w:bCs w:val="0"/>
          <w:rtl/>
        </w:rPr>
        <w:t>2.1.</w:t>
      </w:r>
      <w:r w:rsidR="00495218" w:rsidRPr="006D6E07">
        <w:rPr>
          <w:b w:val="0"/>
          <w:bCs w:val="0"/>
          <w:rtl/>
        </w:rPr>
        <w:t>17</w:t>
      </w:r>
      <w:r w:rsidR="00E94EE2">
        <w:rPr>
          <w:rFonts w:hint="cs"/>
          <w:b w:val="0"/>
          <w:bCs w:val="0"/>
          <w:rtl/>
        </w:rPr>
        <w:t>.</w:t>
      </w:r>
      <w:r w:rsidRPr="006D6E07">
        <w:rPr>
          <w:b w:val="0"/>
          <w:bCs w:val="0"/>
          <w:rtl/>
        </w:rPr>
        <w:tab/>
        <w:t>إذا كانت المشتقة الائتمانية تغطي التزامات لا تشمل الالتزام ذو العلاقة فإن الفقرة</w:t>
      </w:r>
      <w:r w:rsidR="00FA4A48" w:rsidRPr="006D6E07">
        <w:rPr>
          <w:b w:val="0"/>
          <w:bCs w:val="0"/>
          <w:rtl/>
        </w:rPr>
        <w:t xml:space="preserve"> (7.1.17)</w:t>
      </w:r>
      <w:r w:rsidRPr="006D6E07">
        <w:rPr>
          <w:b w:val="0"/>
          <w:bCs w:val="0"/>
          <w:rtl/>
        </w:rPr>
        <w:t xml:space="preserve"> أدناه تقرر فيما إذا كان هذا الاختلاف مقبولاً.</w:t>
      </w:r>
      <w:bookmarkEnd w:id="1472"/>
      <w:bookmarkEnd w:id="1473"/>
    </w:p>
    <w:p w:rsidR="00B259A6" w:rsidRPr="006D6E07" w:rsidRDefault="00B259A6" w:rsidP="00C06D2A">
      <w:pPr>
        <w:ind w:left="2126" w:hanging="851"/>
        <w:rPr>
          <w:b w:val="0"/>
          <w:bCs w:val="0"/>
          <w:rtl/>
        </w:rPr>
      </w:pPr>
      <w:bookmarkStart w:id="1474" w:name="_Toc414888331"/>
      <w:bookmarkStart w:id="1475" w:name="_Toc451176519"/>
      <w:r w:rsidRPr="006D6E07">
        <w:rPr>
          <w:b w:val="0"/>
          <w:bCs w:val="0"/>
          <w:rtl/>
        </w:rPr>
        <w:t>3.1.</w:t>
      </w:r>
      <w:r w:rsidR="00495218" w:rsidRPr="006D6E07">
        <w:rPr>
          <w:b w:val="0"/>
          <w:bCs w:val="0"/>
          <w:rtl/>
        </w:rPr>
        <w:t>17</w:t>
      </w:r>
      <w:r w:rsidR="00E94EE2">
        <w:rPr>
          <w:rFonts w:hint="cs"/>
          <w:b w:val="0"/>
          <w:bCs w:val="0"/>
          <w:rtl/>
        </w:rPr>
        <w:t>.</w:t>
      </w:r>
      <w:r w:rsidRPr="006D6E07">
        <w:rPr>
          <w:b w:val="0"/>
          <w:bCs w:val="0"/>
          <w:rtl/>
        </w:rPr>
        <w:tab/>
        <w:t>أن لا تستحق المشتقة الائتمانية قبل انتهاء أي فترة سماح منصوص عليها ضمن الالتزام الأصلي بعد تاريخ التوقف عن الدفع وحسب الشروط الواردة في الفقرة الخاصة باختلاف تواريخ الاستحقاق .</w:t>
      </w:r>
      <w:bookmarkEnd w:id="1474"/>
      <w:bookmarkEnd w:id="1475"/>
    </w:p>
    <w:p w:rsidR="00B259A6" w:rsidRPr="006D6E07" w:rsidRDefault="00B259A6" w:rsidP="00C06D2A">
      <w:pPr>
        <w:ind w:left="2126" w:hanging="851"/>
        <w:rPr>
          <w:b w:val="0"/>
          <w:bCs w:val="0"/>
          <w:rtl/>
        </w:rPr>
      </w:pPr>
      <w:bookmarkStart w:id="1476" w:name="_Toc414888332"/>
      <w:bookmarkStart w:id="1477" w:name="_Toc451176520"/>
      <w:r w:rsidRPr="006D6E07">
        <w:rPr>
          <w:b w:val="0"/>
          <w:bCs w:val="0"/>
          <w:rtl/>
        </w:rPr>
        <w:t>4.1.</w:t>
      </w:r>
      <w:r w:rsidR="00495218" w:rsidRPr="006D6E07">
        <w:rPr>
          <w:b w:val="0"/>
          <w:bCs w:val="0"/>
          <w:rtl/>
        </w:rPr>
        <w:t>17</w:t>
      </w:r>
      <w:r w:rsidR="00E94EE2">
        <w:rPr>
          <w:rFonts w:hint="cs"/>
          <w:b w:val="0"/>
          <w:bCs w:val="0"/>
          <w:rtl/>
        </w:rPr>
        <w:t>.</w:t>
      </w:r>
      <w:r w:rsidRPr="006D6E07">
        <w:rPr>
          <w:b w:val="0"/>
          <w:bCs w:val="0"/>
          <w:rtl/>
        </w:rPr>
        <w:tab/>
        <w:t xml:space="preserve">يتم الاعتراف بالمشتقات الائتمانية التي تسمح بتسوية نقدية شريطة وجود عملية إعادة تقييم متينة تضمن احتساب الخسارة المحتملة بأسلوب موثوق، وعلى أن تنص على فترة زمنية محددة للحصول على تقييم للالتزام المضمون بعد تحقق الحدث الائتماني. وفي حال كان الالتزام المرجعي ضمن المشتقة الائتمانية لغايات احتساب التسوية النقدية مختلف عن الالتزام المغطى بهذه المشتقة فإن الفقرة </w:t>
      </w:r>
      <w:r w:rsidR="00FA4A48" w:rsidRPr="006D6E07">
        <w:rPr>
          <w:b w:val="0"/>
          <w:bCs w:val="0"/>
          <w:rtl/>
        </w:rPr>
        <w:t xml:space="preserve">(7.1.17) </w:t>
      </w:r>
      <w:r w:rsidRPr="006D6E07">
        <w:rPr>
          <w:b w:val="0"/>
          <w:bCs w:val="0"/>
          <w:rtl/>
        </w:rPr>
        <w:t>أدناه تقرر إذا كان هذا الاختلاف مقبولاً.</w:t>
      </w:r>
      <w:bookmarkEnd w:id="1476"/>
      <w:bookmarkEnd w:id="1477"/>
    </w:p>
    <w:p w:rsidR="00B259A6" w:rsidRPr="006D6E07" w:rsidRDefault="00B259A6" w:rsidP="00C06D2A">
      <w:pPr>
        <w:ind w:left="2126" w:hanging="851"/>
        <w:rPr>
          <w:b w:val="0"/>
          <w:bCs w:val="0"/>
          <w:rtl/>
        </w:rPr>
      </w:pPr>
      <w:bookmarkStart w:id="1478" w:name="_Toc414888333"/>
      <w:bookmarkStart w:id="1479" w:name="_Toc451176521"/>
      <w:r w:rsidRPr="006D6E07">
        <w:rPr>
          <w:b w:val="0"/>
          <w:bCs w:val="0"/>
          <w:rtl/>
        </w:rPr>
        <w:t>5.1.</w:t>
      </w:r>
      <w:r w:rsidR="00495218" w:rsidRPr="006D6E07">
        <w:rPr>
          <w:b w:val="0"/>
          <w:bCs w:val="0"/>
          <w:rtl/>
        </w:rPr>
        <w:t>17</w:t>
      </w:r>
      <w:r w:rsidR="00E94EE2">
        <w:rPr>
          <w:rFonts w:hint="cs"/>
          <w:b w:val="0"/>
          <w:bCs w:val="0"/>
          <w:rtl/>
        </w:rPr>
        <w:t>.</w:t>
      </w:r>
      <w:r w:rsidRPr="006D6E07">
        <w:rPr>
          <w:b w:val="0"/>
          <w:bCs w:val="0"/>
          <w:rtl/>
        </w:rPr>
        <w:tab/>
        <w:t>إذا اشترط عقد المشتقة الائتمانية على حق بائع الحماية الائتمانية بطلب تحويل ملكية الالتزام المغطى بهذه المشتقة لصالحه فلا يجوز وجود أي شرط في الالتزام الأصلي يمنع ممارسة هذا الحق.</w:t>
      </w:r>
      <w:bookmarkEnd w:id="1478"/>
      <w:bookmarkEnd w:id="1479"/>
    </w:p>
    <w:p w:rsidR="00B259A6" w:rsidRPr="006D6E07" w:rsidRDefault="00B259A6" w:rsidP="00C06D2A">
      <w:pPr>
        <w:ind w:left="2126" w:hanging="851"/>
        <w:rPr>
          <w:b w:val="0"/>
          <w:bCs w:val="0"/>
          <w:rtl/>
        </w:rPr>
      </w:pPr>
      <w:bookmarkStart w:id="1480" w:name="_Toc414888334"/>
      <w:bookmarkStart w:id="1481" w:name="_Toc451176522"/>
      <w:r w:rsidRPr="006D6E07">
        <w:rPr>
          <w:b w:val="0"/>
          <w:bCs w:val="0"/>
          <w:rtl/>
        </w:rPr>
        <w:lastRenderedPageBreak/>
        <w:t>6.1.</w:t>
      </w:r>
      <w:r w:rsidR="00495218" w:rsidRPr="006D6E07">
        <w:rPr>
          <w:b w:val="0"/>
          <w:bCs w:val="0"/>
          <w:rtl/>
        </w:rPr>
        <w:t>17</w:t>
      </w:r>
      <w:r w:rsidRPr="006D6E07">
        <w:rPr>
          <w:b w:val="0"/>
          <w:bCs w:val="0"/>
          <w:rtl/>
        </w:rPr>
        <w:tab/>
        <w:t>يجب أن تكون هوية الأطراف المسؤولة عن تحديد حصول الحدث الائتماني من عدمه محددة بشكل واضح، ويجب أن لا ينفرد بها بائع الحماية الائتمانية، كما يجب أن يكون لمشتري هذه الحماية الحق والقدرة على إعلام بائع هذه الخدمة بالحدث الائتماني.</w:t>
      </w:r>
      <w:bookmarkEnd w:id="1480"/>
      <w:bookmarkEnd w:id="1481"/>
    </w:p>
    <w:p w:rsidR="00B259A6" w:rsidRPr="006D6E07" w:rsidRDefault="00B259A6" w:rsidP="00C06D2A">
      <w:pPr>
        <w:ind w:left="2126" w:hanging="851"/>
        <w:rPr>
          <w:b w:val="0"/>
          <w:bCs w:val="0"/>
          <w:rtl/>
        </w:rPr>
      </w:pPr>
      <w:bookmarkStart w:id="1482" w:name="_Toc414888335"/>
      <w:bookmarkStart w:id="1483" w:name="_Toc451176523"/>
      <w:r w:rsidRPr="006D6E07">
        <w:rPr>
          <w:b w:val="0"/>
          <w:bCs w:val="0"/>
          <w:rtl/>
        </w:rPr>
        <w:t>7.1.</w:t>
      </w:r>
      <w:r w:rsidR="00495218" w:rsidRPr="006D6E07">
        <w:rPr>
          <w:b w:val="0"/>
          <w:bCs w:val="0"/>
          <w:rtl/>
        </w:rPr>
        <w:t>17</w:t>
      </w:r>
      <w:r w:rsidR="00E94EE2">
        <w:rPr>
          <w:rFonts w:hint="cs"/>
          <w:b w:val="0"/>
          <w:bCs w:val="0"/>
          <w:rtl/>
        </w:rPr>
        <w:t>.</w:t>
      </w:r>
      <w:r w:rsidRPr="006D6E07">
        <w:rPr>
          <w:b w:val="0"/>
          <w:bCs w:val="0"/>
          <w:rtl/>
        </w:rPr>
        <w:tab/>
        <w:t>يقبل اختلاف الالتزام ذو العلاقة عن الالتزام المرجعي (أي الالتزام المستخدم لغاية تحديد قيمة التسوية النقدية) في المشتقة الائتمانية إذا كان:</w:t>
      </w:r>
      <w:bookmarkEnd w:id="1482"/>
      <w:bookmarkEnd w:id="1483"/>
    </w:p>
    <w:p w:rsidR="00B259A6" w:rsidRPr="006D6E07" w:rsidRDefault="00B259A6" w:rsidP="00D85144">
      <w:pPr>
        <w:pStyle w:val="ListParagraph"/>
        <w:numPr>
          <w:ilvl w:val="0"/>
          <w:numId w:val="29"/>
        </w:numPr>
        <w:ind w:left="2551" w:hanging="425"/>
        <w:rPr>
          <w:b w:val="0"/>
          <w:bCs w:val="0"/>
          <w:rtl/>
        </w:rPr>
      </w:pPr>
      <w:bookmarkStart w:id="1484" w:name="_Toc414888336"/>
      <w:bookmarkStart w:id="1485" w:name="_Toc451176524"/>
      <w:r w:rsidRPr="006D6E07">
        <w:rPr>
          <w:b w:val="0"/>
          <w:bCs w:val="0"/>
          <w:rtl/>
        </w:rPr>
        <w:t>الالتزام المرجعي يحمل نفس درجة الأولوية  أو درجة أولوية أقل من الالتزام ذو العلاقة.</w:t>
      </w:r>
      <w:bookmarkEnd w:id="1484"/>
      <w:bookmarkEnd w:id="1485"/>
    </w:p>
    <w:p w:rsidR="00B259A6" w:rsidRPr="006D6E07" w:rsidRDefault="00B259A6" w:rsidP="00D85144">
      <w:pPr>
        <w:pStyle w:val="ListParagraph"/>
        <w:numPr>
          <w:ilvl w:val="0"/>
          <w:numId w:val="29"/>
        </w:numPr>
        <w:ind w:left="2551" w:hanging="425"/>
        <w:rPr>
          <w:b w:val="0"/>
          <w:bCs w:val="0"/>
          <w:rtl/>
        </w:rPr>
      </w:pPr>
      <w:bookmarkStart w:id="1486" w:name="_Toc414888337"/>
      <w:bookmarkStart w:id="1487" w:name="_Toc451176525"/>
      <w:r w:rsidRPr="006D6E07">
        <w:rPr>
          <w:b w:val="0"/>
          <w:bCs w:val="0"/>
          <w:rtl/>
        </w:rPr>
        <w:t>الالتزام ذو العلاقة والالتزام المرجعي يعودان على نفس الجهة المصدرة، مع وجود شرط يفيد بأن الإخفاق لأي منهما يؤدي إلى إخفاق الآخر و/أو استحقاق أي دفع</w:t>
      </w:r>
      <w:r w:rsidR="0053072E" w:rsidRPr="006D6E07">
        <w:rPr>
          <w:b w:val="0"/>
          <w:bCs w:val="0"/>
          <w:rtl/>
        </w:rPr>
        <w:t xml:space="preserve">ة يؤدي إلى استحقاق كافة الدفعات </w:t>
      </w:r>
      <w:r w:rsidRPr="006D6E07">
        <w:rPr>
          <w:b w:val="0"/>
          <w:bCs w:val="0"/>
          <w:rtl/>
        </w:rPr>
        <w:t>(</w:t>
      </w:r>
      <w:r w:rsidRPr="006D6E07">
        <w:rPr>
          <w:b w:val="0"/>
          <w:bCs w:val="0"/>
        </w:rPr>
        <w:t>Legally Enforceable Cross- Default or Cross Acceleration Clauses</w:t>
      </w:r>
      <w:r w:rsidRPr="006D6E07">
        <w:rPr>
          <w:b w:val="0"/>
          <w:bCs w:val="0"/>
          <w:rtl/>
        </w:rPr>
        <w:t>)</w:t>
      </w:r>
      <w:bookmarkEnd w:id="1486"/>
      <w:r w:rsidR="0053072E" w:rsidRPr="006D6E07">
        <w:rPr>
          <w:b w:val="0"/>
          <w:bCs w:val="0"/>
          <w:rtl/>
        </w:rPr>
        <w:t>.</w:t>
      </w:r>
      <w:bookmarkEnd w:id="1487"/>
    </w:p>
    <w:p w:rsidR="00B259A6" w:rsidRPr="006D6E07" w:rsidRDefault="00B259A6" w:rsidP="00C06D2A">
      <w:pPr>
        <w:ind w:left="2126" w:hanging="851"/>
        <w:rPr>
          <w:b w:val="0"/>
          <w:bCs w:val="0"/>
          <w:rtl/>
        </w:rPr>
      </w:pPr>
      <w:bookmarkStart w:id="1488" w:name="_Toc414888338"/>
      <w:bookmarkStart w:id="1489" w:name="_Toc451176526"/>
      <w:r w:rsidRPr="006D6E07">
        <w:rPr>
          <w:b w:val="0"/>
          <w:bCs w:val="0"/>
          <w:rtl/>
        </w:rPr>
        <w:t>8.1.</w:t>
      </w:r>
      <w:r w:rsidR="00495218" w:rsidRPr="006D6E07">
        <w:rPr>
          <w:b w:val="0"/>
          <w:bCs w:val="0"/>
          <w:rtl/>
        </w:rPr>
        <w:t>17</w:t>
      </w:r>
      <w:r w:rsidR="00E94EE2">
        <w:rPr>
          <w:rFonts w:hint="cs"/>
          <w:b w:val="0"/>
          <w:bCs w:val="0"/>
          <w:rtl/>
        </w:rPr>
        <w:t>.</w:t>
      </w:r>
      <w:r w:rsidRPr="006D6E07">
        <w:rPr>
          <w:b w:val="0"/>
          <w:bCs w:val="0"/>
          <w:rtl/>
        </w:rPr>
        <w:tab/>
        <w:t>يقبل الاختلاف بين الالتزام ذو العلاقة والالتزام المرجعي المستخدم لأغراض تحديد حصول الحدث الائتماني إذا كان:</w:t>
      </w:r>
      <w:bookmarkEnd w:id="1488"/>
      <w:bookmarkEnd w:id="1489"/>
    </w:p>
    <w:p w:rsidR="00B259A6" w:rsidRPr="006D6E07" w:rsidRDefault="00B259A6" w:rsidP="00D85144">
      <w:pPr>
        <w:pStyle w:val="ListParagraph"/>
        <w:numPr>
          <w:ilvl w:val="0"/>
          <w:numId w:val="29"/>
        </w:numPr>
        <w:ind w:left="2551" w:hanging="425"/>
        <w:rPr>
          <w:b w:val="0"/>
          <w:bCs w:val="0"/>
          <w:rtl/>
        </w:rPr>
      </w:pPr>
      <w:bookmarkStart w:id="1490" w:name="_Toc414888339"/>
      <w:bookmarkStart w:id="1491" w:name="_Toc451176527"/>
      <w:r w:rsidRPr="006D6E07">
        <w:rPr>
          <w:b w:val="0"/>
          <w:bCs w:val="0"/>
          <w:rtl/>
        </w:rPr>
        <w:t>الالتزام المرجعي يحمل نفس درجة الأولوية  أو درجة أولوية أقل من الالتزام ذو العلاقة.</w:t>
      </w:r>
      <w:bookmarkEnd w:id="1490"/>
      <w:bookmarkEnd w:id="1491"/>
    </w:p>
    <w:p w:rsidR="00B259A6" w:rsidRPr="006D6E07" w:rsidRDefault="00B259A6" w:rsidP="00D85144">
      <w:pPr>
        <w:pStyle w:val="ListParagraph"/>
        <w:numPr>
          <w:ilvl w:val="0"/>
          <w:numId w:val="29"/>
        </w:numPr>
        <w:ind w:left="2551" w:hanging="425"/>
        <w:rPr>
          <w:b w:val="0"/>
          <w:bCs w:val="0"/>
          <w:rtl/>
        </w:rPr>
      </w:pPr>
      <w:bookmarkStart w:id="1492" w:name="_Toc414888340"/>
      <w:bookmarkStart w:id="1493" w:name="_Toc451176528"/>
      <w:r w:rsidRPr="006D6E07">
        <w:rPr>
          <w:b w:val="0"/>
          <w:bCs w:val="0"/>
          <w:rtl/>
        </w:rPr>
        <w:t>الالتزام ذو العلاقة والالتزام المرجعي يعودان على نفس الجهة المصدرة، مع وجود شرط يفيد بأن الإخفاق لأي منهما يؤدي إلى إخفاق الآخر و/أو استحقاق أي دفعة يؤدي إلى استحقاق كافة الدفعات</w:t>
      </w:r>
      <w:r w:rsidR="0053072E" w:rsidRPr="006D6E07">
        <w:rPr>
          <w:b w:val="0"/>
          <w:bCs w:val="0"/>
          <w:rtl/>
        </w:rPr>
        <w:t xml:space="preserve"> </w:t>
      </w:r>
      <w:r w:rsidRPr="006D6E07">
        <w:rPr>
          <w:b w:val="0"/>
          <w:bCs w:val="0"/>
          <w:rtl/>
        </w:rPr>
        <w:t>(</w:t>
      </w:r>
      <w:r w:rsidRPr="006D6E07">
        <w:rPr>
          <w:b w:val="0"/>
          <w:bCs w:val="0"/>
        </w:rPr>
        <w:t>Legally Enforceable Cross- Default or Cross Acceleration Clauses</w:t>
      </w:r>
      <w:r w:rsidRPr="006D6E07">
        <w:rPr>
          <w:b w:val="0"/>
          <w:bCs w:val="0"/>
          <w:rtl/>
        </w:rPr>
        <w:t>)</w:t>
      </w:r>
      <w:bookmarkEnd w:id="1492"/>
      <w:r w:rsidR="0053072E" w:rsidRPr="006D6E07">
        <w:rPr>
          <w:b w:val="0"/>
          <w:bCs w:val="0"/>
          <w:rtl/>
        </w:rPr>
        <w:t>.</w:t>
      </w:r>
      <w:bookmarkEnd w:id="1493"/>
    </w:p>
    <w:p w:rsidR="00B259A6" w:rsidRPr="006D6E07" w:rsidRDefault="00B259A6" w:rsidP="002F28A0">
      <w:pPr>
        <w:ind w:left="1275" w:hanging="709"/>
        <w:rPr>
          <w:b w:val="0"/>
          <w:bCs w:val="0"/>
          <w:rtl/>
        </w:rPr>
      </w:pPr>
      <w:bookmarkStart w:id="1494" w:name="_Toc414888341"/>
      <w:bookmarkStart w:id="1495" w:name="_Toc451176529"/>
      <w:r w:rsidRPr="006D6E07">
        <w:rPr>
          <w:b w:val="0"/>
          <w:bCs w:val="0"/>
          <w:rtl/>
        </w:rPr>
        <w:t>2.</w:t>
      </w:r>
      <w:r w:rsidR="00495218" w:rsidRPr="006D6E07">
        <w:rPr>
          <w:b w:val="0"/>
          <w:bCs w:val="0"/>
          <w:rtl/>
        </w:rPr>
        <w:t>17</w:t>
      </w:r>
      <w:r w:rsidRPr="006D6E07">
        <w:rPr>
          <w:b w:val="0"/>
          <w:bCs w:val="0"/>
          <w:rtl/>
        </w:rPr>
        <w:tab/>
        <w:t>إذا كانت إعادة هيكلة الالتزام ذو العلاقة غير مغطاة بالمشتقة الائتمانية يتم الاعتراف جزئياً بالغطاء التأميني شريطة انطباق الشروط الأخرى الواردة بالفقرة (</w:t>
      </w:r>
      <w:r w:rsidR="00495218" w:rsidRPr="006D6E07">
        <w:rPr>
          <w:b w:val="0"/>
          <w:bCs w:val="0"/>
          <w:rtl/>
        </w:rPr>
        <w:t>3.1.17</w:t>
      </w:r>
      <w:r w:rsidRPr="006D6E07">
        <w:rPr>
          <w:b w:val="0"/>
          <w:bCs w:val="0"/>
          <w:rtl/>
        </w:rPr>
        <w:t>) أعلاه وكما يلي:</w:t>
      </w:r>
      <w:bookmarkEnd w:id="1494"/>
      <w:bookmarkEnd w:id="1495"/>
    </w:p>
    <w:p w:rsidR="00B259A6" w:rsidRPr="006D6E07" w:rsidRDefault="00B259A6" w:rsidP="00C06D2A">
      <w:pPr>
        <w:spacing w:after="0"/>
        <w:ind w:left="2126" w:hanging="851"/>
        <w:rPr>
          <w:b w:val="0"/>
          <w:bCs w:val="0"/>
          <w:rtl/>
        </w:rPr>
      </w:pPr>
      <w:bookmarkStart w:id="1496" w:name="_Toc414888342"/>
      <w:bookmarkStart w:id="1497" w:name="_Toc451176530"/>
      <w:r w:rsidRPr="006D6E07">
        <w:rPr>
          <w:b w:val="0"/>
          <w:bCs w:val="0"/>
          <w:rtl/>
        </w:rPr>
        <w:t>1.2.</w:t>
      </w:r>
      <w:r w:rsidR="00495218" w:rsidRPr="006D6E07">
        <w:rPr>
          <w:b w:val="0"/>
          <w:bCs w:val="0"/>
          <w:rtl/>
        </w:rPr>
        <w:t>17</w:t>
      </w:r>
      <w:r w:rsidR="00E94EE2">
        <w:rPr>
          <w:rFonts w:hint="cs"/>
          <w:b w:val="0"/>
          <w:bCs w:val="0"/>
          <w:rtl/>
        </w:rPr>
        <w:t>.</w:t>
      </w:r>
      <w:r w:rsidRPr="006D6E07">
        <w:rPr>
          <w:b w:val="0"/>
          <w:bCs w:val="0"/>
          <w:rtl/>
        </w:rPr>
        <w:tab/>
        <w:t>يعترف فقط بـ (60%) من قيمة الغطاء التأميني إذا كان هذا الغطاء أقل أو يساوي قيمة الالتزام ذو العلاقة.</w:t>
      </w:r>
      <w:bookmarkEnd w:id="1496"/>
      <w:bookmarkEnd w:id="1497"/>
      <w:r w:rsidRPr="006D6E07">
        <w:rPr>
          <w:b w:val="0"/>
          <w:bCs w:val="0"/>
          <w:rtl/>
        </w:rPr>
        <w:t xml:space="preserve"> </w:t>
      </w:r>
    </w:p>
    <w:p w:rsidR="00B259A6" w:rsidRPr="006D6E07" w:rsidRDefault="00B259A6" w:rsidP="00C06D2A">
      <w:pPr>
        <w:ind w:left="2126" w:hanging="851"/>
        <w:rPr>
          <w:b w:val="0"/>
          <w:bCs w:val="0"/>
          <w:rtl/>
        </w:rPr>
      </w:pPr>
      <w:bookmarkStart w:id="1498" w:name="_Toc414888343"/>
      <w:bookmarkStart w:id="1499" w:name="_Toc451176531"/>
      <w:r w:rsidRPr="006D6E07">
        <w:rPr>
          <w:b w:val="0"/>
          <w:bCs w:val="0"/>
          <w:rtl/>
        </w:rPr>
        <w:t>2.2.</w:t>
      </w:r>
      <w:r w:rsidR="00495218" w:rsidRPr="006D6E07">
        <w:rPr>
          <w:b w:val="0"/>
          <w:bCs w:val="0"/>
          <w:rtl/>
        </w:rPr>
        <w:t>17</w:t>
      </w:r>
      <w:r w:rsidR="00E94EE2">
        <w:rPr>
          <w:rFonts w:hint="cs"/>
          <w:b w:val="0"/>
          <w:bCs w:val="0"/>
          <w:rtl/>
        </w:rPr>
        <w:t>.</w:t>
      </w:r>
      <w:r w:rsidRPr="006D6E07">
        <w:rPr>
          <w:b w:val="0"/>
          <w:bCs w:val="0"/>
          <w:rtl/>
        </w:rPr>
        <w:tab/>
        <w:t>يعترف بتغطية تبلغ بحدها الأقصى (60%) من الالتزام ذو العلاقة إذا كان الغطاء التأميني أكبر من قيمة الالتزام ذو العلاقة.</w:t>
      </w:r>
      <w:bookmarkEnd w:id="1498"/>
      <w:bookmarkEnd w:id="1499"/>
    </w:p>
    <w:p w:rsidR="00B259A6" w:rsidRPr="006D6E07" w:rsidRDefault="00B259A6" w:rsidP="002F28A0">
      <w:pPr>
        <w:ind w:left="1275" w:hanging="709"/>
        <w:rPr>
          <w:b w:val="0"/>
          <w:bCs w:val="0"/>
          <w:rtl/>
        </w:rPr>
      </w:pPr>
      <w:bookmarkStart w:id="1500" w:name="_Toc414888344"/>
      <w:bookmarkStart w:id="1501" w:name="_Toc451176532"/>
      <w:r w:rsidRPr="006D6E07">
        <w:rPr>
          <w:b w:val="0"/>
          <w:bCs w:val="0"/>
          <w:rtl/>
        </w:rPr>
        <w:t>3.</w:t>
      </w:r>
      <w:r w:rsidR="00495218" w:rsidRPr="006D6E07">
        <w:rPr>
          <w:b w:val="0"/>
          <w:bCs w:val="0"/>
          <w:rtl/>
        </w:rPr>
        <w:t>17</w:t>
      </w:r>
      <w:r w:rsidR="00E94EE2">
        <w:rPr>
          <w:rFonts w:hint="cs"/>
          <w:b w:val="0"/>
          <w:bCs w:val="0"/>
          <w:rtl/>
        </w:rPr>
        <w:t>.</w:t>
      </w:r>
      <w:r w:rsidRPr="006D6E07">
        <w:rPr>
          <w:b w:val="0"/>
          <w:bCs w:val="0"/>
          <w:rtl/>
        </w:rPr>
        <w:tab/>
        <w:t>يتم الاعتراف فقط بعقود تبادل الإخفاق الائتماني (</w:t>
      </w:r>
      <w:r w:rsidRPr="006D6E07">
        <w:rPr>
          <w:b w:val="0"/>
          <w:bCs w:val="0"/>
        </w:rPr>
        <w:t>Credit Default Swaps</w:t>
      </w:r>
      <w:r w:rsidRPr="006D6E07">
        <w:rPr>
          <w:b w:val="0"/>
          <w:bCs w:val="0"/>
          <w:rtl/>
        </w:rPr>
        <w:t>) وعقود تبادل العائد الكلي (</w:t>
      </w:r>
      <w:r w:rsidRPr="006D6E07">
        <w:rPr>
          <w:b w:val="0"/>
          <w:bCs w:val="0"/>
        </w:rPr>
        <w:t>Total Return Swaps</w:t>
      </w:r>
      <w:r w:rsidRPr="006D6E07">
        <w:rPr>
          <w:b w:val="0"/>
          <w:bCs w:val="0"/>
          <w:rtl/>
        </w:rPr>
        <w:t>) التي توفر حماية ائتمانية معادلة للكفالات الائتمانية باستثناء ما يلي:</w:t>
      </w:r>
      <w:bookmarkEnd w:id="1500"/>
      <w:bookmarkEnd w:id="1501"/>
    </w:p>
    <w:p w:rsidR="00B259A6" w:rsidRPr="006D6E07" w:rsidRDefault="00B259A6" w:rsidP="00C06D2A">
      <w:pPr>
        <w:ind w:left="2126" w:hanging="851"/>
        <w:rPr>
          <w:b w:val="0"/>
          <w:bCs w:val="0"/>
          <w:rtl/>
        </w:rPr>
      </w:pPr>
      <w:bookmarkStart w:id="1502" w:name="_Toc414888345"/>
      <w:bookmarkStart w:id="1503" w:name="_Toc451176533"/>
      <w:r w:rsidRPr="006D6E07">
        <w:rPr>
          <w:b w:val="0"/>
          <w:bCs w:val="0"/>
          <w:rtl/>
        </w:rPr>
        <w:lastRenderedPageBreak/>
        <w:t>1.3.</w:t>
      </w:r>
      <w:r w:rsidR="00495218" w:rsidRPr="006D6E07">
        <w:rPr>
          <w:b w:val="0"/>
          <w:bCs w:val="0"/>
          <w:rtl/>
        </w:rPr>
        <w:t>17</w:t>
      </w:r>
      <w:r w:rsidR="004A4C24">
        <w:rPr>
          <w:rFonts w:hint="cs"/>
          <w:b w:val="0"/>
          <w:bCs w:val="0"/>
          <w:rtl/>
        </w:rPr>
        <w:t>.</w:t>
      </w:r>
      <w:r w:rsidRPr="006D6E07">
        <w:rPr>
          <w:b w:val="0"/>
          <w:bCs w:val="0"/>
          <w:rtl/>
        </w:rPr>
        <w:tab/>
        <w:t>عندما يشتري البنك عقود تبادل عائد كلي ويقيد صافي المبالغ المقبوضة كعائد ضمن حساب الأرباح والخسائر ولكنه لا يعكس ذلك بتخفيض قيمة الأصل المشمول بالعقد من خلال تخفيض القيمة العادلة أو زيادة المخصصات.</w:t>
      </w:r>
      <w:bookmarkEnd w:id="1502"/>
      <w:bookmarkEnd w:id="1503"/>
    </w:p>
    <w:p w:rsidR="00B259A6" w:rsidRPr="006D6E07" w:rsidRDefault="00B259A6" w:rsidP="00C06D2A">
      <w:pPr>
        <w:ind w:left="2126" w:hanging="851"/>
        <w:rPr>
          <w:b w:val="0"/>
          <w:bCs w:val="0"/>
          <w:rtl/>
        </w:rPr>
      </w:pPr>
      <w:bookmarkStart w:id="1504" w:name="_Toc414888346"/>
      <w:bookmarkStart w:id="1505" w:name="_Toc451176534"/>
      <w:r w:rsidRPr="006D6E07">
        <w:rPr>
          <w:b w:val="0"/>
          <w:bCs w:val="0"/>
          <w:rtl/>
        </w:rPr>
        <w:t>2.3.</w:t>
      </w:r>
      <w:r w:rsidR="00495218" w:rsidRPr="006D6E07">
        <w:rPr>
          <w:b w:val="0"/>
          <w:bCs w:val="0"/>
          <w:rtl/>
        </w:rPr>
        <w:t>17</w:t>
      </w:r>
      <w:r w:rsidR="00E94EE2">
        <w:rPr>
          <w:rFonts w:hint="cs"/>
          <w:b w:val="0"/>
          <w:bCs w:val="0"/>
          <w:rtl/>
        </w:rPr>
        <w:t xml:space="preserve">. </w:t>
      </w:r>
      <w:r w:rsidRPr="006D6E07">
        <w:rPr>
          <w:b w:val="0"/>
          <w:bCs w:val="0"/>
          <w:rtl/>
        </w:rPr>
        <w:t>معالجة المشتقات الائتمانية التي تندرج تحت تغطية الإخفاق الأول (</w:t>
      </w:r>
      <w:r w:rsidRPr="006D6E07">
        <w:rPr>
          <w:b w:val="0"/>
          <w:bCs w:val="0"/>
        </w:rPr>
        <w:t>First-to-Default</w:t>
      </w:r>
      <w:r w:rsidRPr="006D6E07">
        <w:rPr>
          <w:b w:val="0"/>
          <w:bCs w:val="0"/>
          <w:rtl/>
        </w:rPr>
        <w:t>) وتغطية الإخفاق الثاني (</w:t>
      </w:r>
      <w:r w:rsidRPr="006D6E07">
        <w:rPr>
          <w:b w:val="0"/>
          <w:bCs w:val="0"/>
        </w:rPr>
        <w:t>Second-to-Default</w:t>
      </w:r>
      <w:r w:rsidRPr="006D6E07">
        <w:rPr>
          <w:b w:val="0"/>
          <w:bCs w:val="0"/>
          <w:rtl/>
        </w:rPr>
        <w:t>) سيتم تغطيتها في الفقرات الخاصة بالحماية ضد الإخفاق الأول والإخفاق الثاني.</w:t>
      </w:r>
      <w:bookmarkEnd w:id="1504"/>
      <w:bookmarkEnd w:id="1505"/>
    </w:p>
    <w:p w:rsidR="00B259A6" w:rsidRPr="006D6E07" w:rsidRDefault="00B259A6" w:rsidP="002F28A0">
      <w:pPr>
        <w:ind w:left="1275" w:hanging="709"/>
        <w:rPr>
          <w:b w:val="0"/>
          <w:bCs w:val="0"/>
          <w:rtl/>
        </w:rPr>
      </w:pPr>
      <w:bookmarkStart w:id="1506" w:name="_Toc414888347"/>
      <w:bookmarkStart w:id="1507" w:name="_Toc451176535"/>
      <w:r w:rsidRPr="006D6E07">
        <w:rPr>
          <w:b w:val="0"/>
          <w:bCs w:val="0"/>
          <w:rtl/>
        </w:rPr>
        <w:t>4.</w:t>
      </w:r>
      <w:r w:rsidR="00495218" w:rsidRPr="006D6E07">
        <w:rPr>
          <w:b w:val="0"/>
          <w:bCs w:val="0"/>
          <w:rtl/>
        </w:rPr>
        <w:t>17</w:t>
      </w:r>
      <w:r w:rsidR="004A4C24">
        <w:rPr>
          <w:rFonts w:hint="cs"/>
          <w:b w:val="0"/>
          <w:bCs w:val="0"/>
          <w:rtl/>
        </w:rPr>
        <w:t>.</w:t>
      </w:r>
      <w:r w:rsidRPr="006D6E07">
        <w:rPr>
          <w:b w:val="0"/>
          <w:bCs w:val="0"/>
          <w:rtl/>
        </w:rPr>
        <w:tab/>
        <w:t>لن يتم الاعتراف بالأنواع الأخرى من المشتقات الائتمانية كمخففات لمخاطر الائتمان.</w:t>
      </w:r>
      <w:bookmarkEnd w:id="1506"/>
      <w:bookmarkEnd w:id="1507"/>
    </w:p>
    <w:p w:rsidR="00B259A6" w:rsidRPr="008F60C0" w:rsidRDefault="00495218" w:rsidP="00811F95">
      <w:pPr>
        <w:spacing w:before="240" w:after="0" w:line="276" w:lineRule="auto"/>
        <w:ind w:left="708" w:hanging="425"/>
      </w:pPr>
      <w:bookmarkStart w:id="1508" w:name="_Toc451176536"/>
      <w:r w:rsidRPr="008F60C0">
        <w:rPr>
          <w:rtl/>
        </w:rPr>
        <w:t>18</w:t>
      </w:r>
      <w:r w:rsidR="004A4C24">
        <w:rPr>
          <w:rtl/>
        </w:rPr>
        <w:t>.</w:t>
      </w:r>
      <w:r w:rsidR="004A4C24">
        <w:rPr>
          <w:rFonts w:hint="cs"/>
          <w:rtl/>
        </w:rPr>
        <w:t xml:space="preserve"> </w:t>
      </w:r>
      <w:r w:rsidR="00B259A6" w:rsidRPr="008F60C0">
        <w:rPr>
          <w:rtl/>
        </w:rPr>
        <w:t xml:space="preserve">الجهات التي تقبل كفالتها/ تغطيتها الائتمانية </w:t>
      </w:r>
      <w:r w:rsidR="00B259A6" w:rsidRPr="008F60C0">
        <w:t>Range of Eligible Guarantees</w:t>
      </w:r>
      <w:bookmarkEnd w:id="1508"/>
    </w:p>
    <w:p w:rsidR="00B259A6" w:rsidRPr="006D6E07" w:rsidRDefault="00B259A6" w:rsidP="00811F95">
      <w:pPr>
        <w:ind w:left="380" w:firstLine="186"/>
        <w:rPr>
          <w:b w:val="0"/>
          <w:bCs w:val="0"/>
          <w:rtl/>
        </w:rPr>
      </w:pPr>
      <w:bookmarkStart w:id="1509" w:name="_Toc414888349"/>
      <w:bookmarkStart w:id="1510" w:name="_Toc451176537"/>
      <w:r w:rsidRPr="006D6E07">
        <w:rPr>
          <w:b w:val="0"/>
          <w:bCs w:val="0"/>
          <w:rtl/>
        </w:rPr>
        <w:t>يعترف بكفالة الجهات التالية:</w:t>
      </w:r>
      <w:bookmarkEnd w:id="1509"/>
      <w:bookmarkEnd w:id="1510"/>
    </w:p>
    <w:p w:rsidR="00B259A6" w:rsidRPr="006D6E07" w:rsidRDefault="009B743E" w:rsidP="002F28A0">
      <w:pPr>
        <w:ind w:left="1275" w:hanging="709"/>
        <w:rPr>
          <w:b w:val="0"/>
          <w:bCs w:val="0"/>
          <w:rtl/>
        </w:rPr>
      </w:pPr>
      <w:bookmarkStart w:id="1511" w:name="_Toc414888350"/>
      <w:bookmarkStart w:id="1512" w:name="_Toc451176538"/>
      <w:r w:rsidRPr="006D6E07">
        <w:rPr>
          <w:b w:val="0"/>
          <w:bCs w:val="0"/>
          <w:rtl/>
        </w:rPr>
        <w:t>1.</w:t>
      </w:r>
      <w:r w:rsidR="00495218" w:rsidRPr="006D6E07">
        <w:rPr>
          <w:b w:val="0"/>
          <w:bCs w:val="0"/>
          <w:rtl/>
        </w:rPr>
        <w:t>18</w:t>
      </w:r>
      <w:r w:rsidR="004A4C24">
        <w:rPr>
          <w:rFonts w:hint="cs"/>
          <w:b w:val="0"/>
          <w:bCs w:val="0"/>
          <w:rtl/>
        </w:rPr>
        <w:t>.</w:t>
      </w:r>
      <w:r w:rsidR="00B259A6" w:rsidRPr="006D6E07">
        <w:rPr>
          <w:b w:val="0"/>
          <w:bCs w:val="0"/>
          <w:rtl/>
        </w:rPr>
        <w:tab/>
        <w:t>الحكومات ومنشآت القطاع العام.</w:t>
      </w:r>
      <w:bookmarkEnd w:id="1511"/>
      <w:bookmarkEnd w:id="1512"/>
    </w:p>
    <w:p w:rsidR="00B259A6" w:rsidRPr="006D6E07" w:rsidRDefault="009B743E" w:rsidP="002F28A0">
      <w:pPr>
        <w:ind w:left="1275" w:hanging="709"/>
        <w:rPr>
          <w:b w:val="0"/>
          <w:bCs w:val="0"/>
          <w:rtl/>
        </w:rPr>
      </w:pPr>
      <w:bookmarkStart w:id="1513" w:name="_Toc414888351"/>
      <w:bookmarkStart w:id="1514" w:name="_Toc451176539"/>
      <w:r w:rsidRPr="006D6E07">
        <w:rPr>
          <w:b w:val="0"/>
          <w:bCs w:val="0"/>
          <w:rtl/>
        </w:rPr>
        <w:t>2.</w:t>
      </w:r>
      <w:r w:rsidR="00495218" w:rsidRPr="006D6E07">
        <w:rPr>
          <w:b w:val="0"/>
          <w:bCs w:val="0"/>
          <w:rtl/>
        </w:rPr>
        <w:t>18</w:t>
      </w:r>
      <w:r w:rsidR="004A4C24">
        <w:rPr>
          <w:rFonts w:hint="cs"/>
          <w:b w:val="0"/>
          <w:bCs w:val="0"/>
          <w:rtl/>
        </w:rPr>
        <w:t>.</w:t>
      </w:r>
      <w:r w:rsidR="00B259A6" w:rsidRPr="006D6E07">
        <w:rPr>
          <w:b w:val="0"/>
          <w:bCs w:val="0"/>
          <w:rtl/>
        </w:rPr>
        <w:tab/>
        <w:t>البنوك وبنوك التنمية الإقليمية الأخرى وشركات الأوراق المالية التي لها وزن مخاطر ترجيحي يقل عن وزن المخاطر الترجيحي للملتزم الأصلي.</w:t>
      </w:r>
      <w:bookmarkEnd w:id="1513"/>
      <w:bookmarkEnd w:id="1514"/>
    </w:p>
    <w:p w:rsidR="00B259A6" w:rsidRPr="006D6E07" w:rsidRDefault="009B743E" w:rsidP="002F28A0">
      <w:pPr>
        <w:ind w:left="1275" w:hanging="709"/>
        <w:rPr>
          <w:b w:val="0"/>
          <w:bCs w:val="0"/>
          <w:rtl/>
        </w:rPr>
      </w:pPr>
      <w:bookmarkStart w:id="1515" w:name="_Toc414888352"/>
      <w:bookmarkStart w:id="1516" w:name="_Toc451176540"/>
      <w:r w:rsidRPr="006D6E07">
        <w:rPr>
          <w:b w:val="0"/>
          <w:bCs w:val="0"/>
          <w:rtl/>
        </w:rPr>
        <w:t>3.</w:t>
      </w:r>
      <w:r w:rsidR="00495218" w:rsidRPr="006D6E07">
        <w:rPr>
          <w:b w:val="0"/>
          <w:bCs w:val="0"/>
          <w:rtl/>
        </w:rPr>
        <w:t>18</w:t>
      </w:r>
      <w:r w:rsidR="004A4C24">
        <w:rPr>
          <w:rFonts w:hint="cs"/>
          <w:b w:val="0"/>
          <w:bCs w:val="0"/>
          <w:rtl/>
        </w:rPr>
        <w:t>.</w:t>
      </w:r>
      <w:r w:rsidR="00B259A6" w:rsidRPr="006D6E07">
        <w:rPr>
          <w:b w:val="0"/>
          <w:bCs w:val="0"/>
          <w:rtl/>
        </w:rPr>
        <w:tab/>
        <w:t>بنك التسويات الدولية ، صندوق النقد الدولي، البنك المركزي الأوروبي والاتحاد الأوروبي.</w:t>
      </w:r>
      <w:bookmarkEnd w:id="1515"/>
      <w:bookmarkEnd w:id="1516"/>
    </w:p>
    <w:p w:rsidR="00B259A6" w:rsidRPr="006D6E07" w:rsidRDefault="009B743E" w:rsidP="002F28A0">
      <w:pPr>
        <w:ind w:left="1275" w:hanging="709"/>
        <w:rPr>
          <w:b w:val="0"/>
          <w:bCs w:val="0"/>
          <w:rtl/>
        </w:rPr>
      </w:pPr>
      <w:bookmarkStart w:id="1517" w:name="_Toc414888353"/>
      <w:bookmarkStart w:id="1518" w:name="_Toc451176541"/>
      <w:r w:rsidRPr="006D6E07">
        <w:rPr>
          <w:b w:val="0"/>
          <w:bCs w:val="0"/>
          <w:rtl/>
        </w:rPr>
        <w:t>4.</w:t>
      </w:r>
      <w:r w:rsidR="00495218" w:rsidRPr="006D6E07">
        <w:rPr>
          <w:b w:val="0"/>
          <w:bCs w:val="0"/>
          <w:rtl/>
        </w:rPr>
        <w:t>18</w:t>
      </w:r>
      <w:r w:rsidR="004A4C24">
        <w:rPr>
          <w:rFonts w:hint="cs"/>
          <w:b w:val="0"/>
          <w:bCs w:val="0"/>
          <w:rtl/>
        </w:rPr>
        <w:t>.</w:t>
      </w:r>
      <w:r w:rsidR="00B259A6" w:rsidRPr="006D6E07">
        <w:rPr>
          <w:b w:val="0"/>
          <w:bCs w:val="0"/>
          <w:rtl/>
        </w:rPr>
        <w:tab/>
        <w:t>بنوك التنمية الإقليمية المؤهلة لوزن مخاطر ترجيحي (صفر%).</w:t>
      </w:r>
      <w:bookmarkEnd w:id="1517"/>
      <w:bookmarkEnd w:id="1518"/>
    </w:p>
    <w:p w:rsidR="00B259A6" w:rsidRPr="006D6E07" w:rsidRDefault="009B743E" w:rsidP="002F28A0">
      <w:pPr>
        <w:ind w:left="1275" w:hanging="709"/>
        <w:rPr>
          <w:b w:val="0"/>
          <w:bCs w:val="0"/>
        </w:rPr>
      </w:pPr>
      <w:bookmarkStart w:id="1519" w:name="_Toc414888354"/>
      <w:bookmarkStart w:id="1520" w:name="_Toc451176542"/>
      <w:r w:rsidRPr="006D6E07">
        <w:rPr>
          <w:b w:val="0"/>
          <w:bCs w:val="0"/>
          <w:rtl/>
        </w:rPr>
        <w:t>5.</w:t>
      </w:r>
      <w:r w:rsidR="00495218" w:rsidRPr="006D6E07">
        <w:rPr>
          <w:b w:val="0"/>
          <w:bCs w:val="0"/>
          <w:rtl/>
        </w:rPr>
        <w:t>18</w:t>
      </w:r>
      <w:r w:rsidR="004A4C24">
        <w:rPr>
          <w:rFonts w:hint="cs"/>
          <w:b w:val="0"/>
          <w:bCs w:val="0"/>
          <w:rtl/>
        </w:rPr>
        <w:t>.</w:t>
      </w:r>
      <w:r w:rsidR="00B259A6" w:rsidRPr="006D6E07">
        <w:rPr>
          <w:b w:val="0"/>
          <w:bCs w:val="0"/>
          <w:rtl/>
        </w:rPr>
        <w:tab/>
        <w:t xml:space="preserve">كافة الجهات الأخرى التي تحمل تصنيفاً ائتمانيا </w:t>
      </w:r>
      <w:r w:rsidR="00B259A6" w:rsidRPr="006D6E07">
        <w:rPr>
          <w:b w:val="0"/>
          <w:bCs w:val="0"/>
        </w:rPr>
        <w:t>A-</w:t>
      </w:r>
      <w:r w:rsidR="00B259A6" w:rsidRPr="006D6E07">
        <w:rPr>
          <w:b w:val="0"/>
          <w:bCs w:val="0"/>
          <w:rtl/>
        </w:rPr>
        <w:t xml:space="preserve"> أو أفضل وهذا يشمل الغطاء التأميني المقدم من قبل الشركة الأم/ الشركات التابعة والحليفة، شريطة أن يكون وزن مخاطرها الترجيحي أقل من الممنوح للملتزم الأصلي.</w:t>
      </w:r>
      <w:bookmarkEnd w:id="1519"/>
      <w:bookmarkEnd w:id="1520"/>
    </w:p>
    <w:p w:rsidR="00B259A6" w:rsidRPr="008F60C0" w:rsidRDefault="00495218" w:rsidP="00811F95">
      <w:pPr>
        <w:spacing w:before="240" w:after="0" w:line="276" w:lineRule="auto"/>
        <w:ind w:left="708" w:hanging="425"/>
      </w:pPr>
      <w:bookmarkStart w:id="1521" w:name="_Toc451176543"/>
      <w:r w:rsidRPr="008F60C0">
        <w:rPr>
          <w:rtl/>
        </w:rPr>
        <w:t>19</w:t>
      </w:r>
      <w:r w:rsidR="004A4C24">
        <w:rPr>
          <w:rtl/>
        </w:rPr>
        <w:t>.</w:t>
      </w:r>
      <w:r w:rsidR="004A4C24">
        <w:rPr>
          <w:rFonts w:hint="cs"/>
          <w:rtl/>
        </w:rPr>
        <w:t xml:space="preserve"> </w:t>
      </w:r>
      <w:r w:rsidR="00B259A6" w:rsidRPr="008F60C0">
        <w:rPr>
          <w:rtl/>
        </w:rPr>
        <w:t xml:space="preserve">الأوزان الترجيحية </w:t>
      </w:r>
      <w:r w:rsidR="00B259A6" w:rsidRPr="008F60C0">
        <w:t>Risk Weights</w:t>
      </w:r>
      <w:bookmarkEnd w:id="1521"/>
    </w:p>
    <w:p w:rsidR="00B259A6" w:rsidRPr="006D6E07" w:rsidRDefault="00B259A6" w:rsidP="002F28A0">
      <w:pPr>
        <w:ind w:left="1275" w:hanging="709"/>
        <w:rPr>
          <w:b w:val="0"/>
          <w:bCs w:val="0"/>
          <w:rtl/>
        </w:rPr>
      </w:pPr>
      <w:bookmarkStart w:id="1522" w:name="_Toc414888356"/>
      <w:bookmarkStart w:id="1523" w:name="_Toc451176544"/>
      <w:r w:rsidRPr="006D6E07">
        <w:rPr>
          <w:b w:val="0"/>
          <w:bCs w:val="0"/>
          <w:rtl/>
        </w:rPr>
        <w:t>1.</w:t>
      </w:r>
      <w:r w:rsidR="00495218" w:rsidRPr="006D6E07">
        <w:rPr>
          <w:b w:val="0"/>
          <w:bCs w:val="0"/>
          <w:rtl/>
        </w:rPr>
        <w:t>19</w:t>
      </w:r>
      <w:r w:rsidR="004A4C24">
        <w:rPr>
          <w:rFonts w:hint="cs"/>
          <w:b w:val="0"/>
          <w:bCs w:val="0"/>
          <w:rtl/>
        </w:rPr>
        <w:t>.</w:t>
      </w:r>
      <w:r w:rsidRPr="006D6E07">
        <w:rPr>
          <w:b w:val="0"/>
          <w:bCs w:val="0"/>
          <w:rtl/>
        </w:rPr>
        <w:tab/>
        <w:t>يمنح الجزء المغطى من المطالبات نفس وزن المخاطر الترجيحي لمقدم غطاء الحماية الائتمانية، في حين يمنح الجزء غير المغطى وزن مخاطر ترجيحي يتلاءم مع مخاطر الطرف المقابل ذو العلاقة بالمطالبة.</w:t>
      </w:r>
      <w:bookmarkEnd w:id="1522"/>
      <w:bookmarkEnd w:id="1523"/>
    </w:p>
    <w:p w:rsidR="009B743E" w:rsidRPr="00634EC5" w:rsidRDefault="00B259A6" w:rsidP="002F28A0">
      <w:pPr>
        <w:ind w:left="1275" w:hanging="709"/>
        <w:rPr>
          <w:b w:val="0"/>
          <w:bCs w:val="0"/>
          <w:rtl/>
        </w:rPr>
      </w:pPr>
      <w:bookmarkStart w:id="1524" w:name="_Toc414888357"/>
      <w:bookmarkStart w:id="1525" w:name="_Toc451176545"/>
      <w:r w:rsidRPr="006D6E07">
        <w:rPr>
          <w:b w:val="0"/>
          <w:bCs w:val="0"/>
          <w:rtl/>
        </w:rPr>
        <w:t>2.</w:t>
      </w:r>
      <w:r w:rsidR="00495218" w:rsidRPr="006D6E07">
        <w:rPr>
          <w:b w:val="0"/>
          <w:bCs w:val="0"/>
          <w:rtl/>
        </w:rPr>
        <w:t>19</w:t>
      </w:r>
      <w:r w:rsidR="004A4C24">
        <w:rPr>
          <w:rFonts w:hint="cs"/>
          <w:b w:val="0"/>
          <w:bCs w:val="0"/>
          <w:rtl/>
        </w:rPr>
        <w:t>.</w:t>
      </w:r>
      <w:r w:rsidRPr="006D6E07">
        <w:rPr>
          <w:b w:val="0"/>
          <w:bCs w:val="0"/>
          <w:rtl/>
        </w:rPr>
        <w:tab/>
        <w:t>في حال وجود حد أدنى لقيمة المطالبة وبحيث لا يتم التعويض عن أي خسائر تقل عن هذا الحد، فيجب استبعاد هذا المبلغ بالكامل من رأس مال البنك المشتري لغطاء الحماية الائتمانية.</w:t>
      </w:r>
      <w:bookmarkEnd w:id="1524"/>
      <w:bookmarkEnd w:id="1525"/>
    </w:p>
    <w:p w:rsidR="00B259A6" w:rsidRPr="00BE7B8B" w:rsidRDefault="00495218" w:rsidP="00811F95">
      <w:pPr>
        <w:spacing w:before="240" w:after="0" w:line="276" w:lineRule="auto"/>
        <w:ind w:left="708" w:hanging="425"/>
      </w:pPr>
      <w:bookmarkStart w:id="1526" w:name="_Toc451176546"/>
      <w:r w:rsidRPr="00BE7B8B">
        <w:rPr>
          <w:rtl/>
        </w:rPr>
        <w:t>20</w:t>
      </w:r>
      <w:r w:rsidR="004A4C24">
        <w:rPr>
          <w:rtl/>
        </w:rPr>
        <w:t>.</w:t>
      </w:r>
      <w:r w:rsidR="004A4C24">
        <w:rPr>
          <w:rFonts w:hint="cs"/>
          <w:rtl/>
        </w:rPr>
        <w:t xml:space="preserve"> </w:t>
      </w:r>
      <w:r w:rsidR="00B259A6" w:rsidRPr="00BE7B8B">
        <w:rPr>
          <w:rtl/>
        </w:rPr>
        <w:t xml:space="preserve">التغطية النسبية </w:t>
      </w:r>
      <w:r w:rsidR="00B259A6" w:rsidRPr="00BE7B8B">
        <w:t>Proportional Coverage</w:t>
      </w:r>
      <w:bookmarkEnd w:id="1526"/>
    </w:p>
    <w:p w:rsidR="00DC20B9" w:rsidRPr="006D6E07" w:rsidRDefault="00B259A6" w:rsidP="00811F95">
      <w:pPr>
        <w:spacing w:after="240"/>
        <w:ind w:left="566"/>
        <w:rPr>
          <w:b w:val="0"/>
          <w:bCs w:val="0"/>
        </w:rPr>
      </w:pPr>
      <w:bookmarkStart w:id="1527" w:name="_Toc414888359"/>
      <w:bookmarkStart w:id="1528" w:name="_Toc451176547"/>
      <w:r w:rsidRPr="006D6E07">
        <w:rPr>
          <w:b w:val="0"/>
          <w:bCs w:val="0"/>
          <w:rtl/>
        </w:rPr>
        <w:t xml:space="preserve">يكون الجزء المغطى من مقدم الحماية الائتمانية مؤهلاً للمعالجة تحت غطاء الحماية الائتمانية في حال كان المبلغ المغطى أو سقف الغطاء التأميني أقل من التعرض الائتماني شريطة أن يحمل الجزء المغطى </w:t>
      </w:r>
      <w:r w:rsidRPr="006D6E07">
        <w:rPr>
          <w:b w:val="0"/>
          <w:bCs w:val="0"/>
          <w:rtl/>
        </w:rPr>
        <w:lastRenderedPageBreak/>
        <w:t xml:space="preserve">والجزء غير المغطى نفس درجة الأولوية (يتشارك مقدم الغطاء التأميني والبنك الخسائر على مبدأ النسبة والتناسب </w:t>
      </w:r>
      <w:r w:rsidRPr="006D6E07">
        <w:rPr>
          <w:b w:val="0"/>
          <w:bCs w:val="0"/>
        </w:rPr>
        <w:t>Pro Rata Basis</w:t>
      </w:r>
      <w:r w:rsidRPr="006D6E07">
        <w:rPr>
          <w:b w:val="0"/>
          <w:bCs w:val="0"/>
          <w:rtl/>
        </w:rPr>
        <w:t>) بينما يعالج الجزء غير المغطى نفس معالجته الأصلية.</w:t>
      </w:r>
      <w:bookmarkEnd w:id="1527"/>
      <w:bookmarkEnd w:id="1528"/>
    </w:p>
    <w:p w:rsidR="00B259A6" w:rsidRPr="00BE7B8B" w:rsidRDefault="00495218" w:rsidP="00811F95">
      <w:pPr>
        <w:spacing w:before="240" w:after="0" w:line="276" w:lineRule="auto"/>
        <w:ind w:left="708" w:hanging="425"/>
      </w:pPr>
      <w:bookmarkStart w:id="1529" w:name="_Toc451176548"/>
      <w:r w:rsidRPr="00BE7B8B">
        <w:rPr>
          <w:rtl/>
        </w:rPr>
        <w:t>21</w:t>
      </w:r>
      <w:r w:rsidR="004A4C24">
        <w:rPr>
          <w:rtl/>
        </w:rPr>
        <w:t>.</w:t>
      </w:r>
      <w:r w:rsidR="004A4C24">
        <w:rPr>
          <w:rFonts w:hint="cs"/>
          <w:rtl/>
        </w:rPr>
        <w:t xml:space="preserve"> </w:t>
      </w:r>
      <w:r w:rsidR="00B259A6" w:rsidRPr="00BE7B8B">
        <w:rPr>
          <w:rtl/>
        </w:rPr>
        <w:t xml:space="preserve">الحماية الائتمانية المجزأة </w:t>
      </w:r>
      <w:r w:rsidR="00B259A6" w:rsidRPr="00BE7B8B">
        <w:t>Tranched Credit Protection</w:t>
      </w:r>
      <w:bookmarkEnd w:id="1529"/>
    </w:p>
    <w:p w:rsidR="00B259A6" w:rsidRPr="006D6E07" w:rsidRDefault="00B259A6" w:rsidP="00811F95">
      <w:pPr>
        <w:spacing w:after="240"/>
        <w:ind w:left="566"/>
        <w:rPr>
          <w:b w:val="0"/>
          <w:bCs w:val="0"/>
          <w:rtl/>
          <w:lang w:bidi="ar-JO"/>
        </w:rPr>
      </w:pPr>
      <w:bookmarkStart w:id="1530" w:name="_Toc414888361"/>
      <w:bookmarkStart w:id="1531" w:name="_Toc451176549"/>
      <w:r w:rsidRPr="006D6E07">
        <w:rPr>
          <w:b w:val="0"/>
          <w:bCs w:val="0"/>
          <w:rtl/>
        </w:rPr>
        <w:t>عندما يقسم البنك التعرض الائتماني لأكثر من جزء ويشتري حماية ائتمانية لجزء أو أكثر بينما يحتفظ بنسبة معينة من مخاطر الائتمان لنفسه مع اختلاف درجات الأولوية لهذه الأجزاء ففي هذه الحالة تنطبق التعليمات الخاصة بإطار التسنيد والتي ستصدر لاحقاً.</w:t>
      </w:r>
      <w:bookmarkEnd w:id="1530"/>
      <w:bookmarkEnd w:id="1531"/>
    </w:p>
    <w:p w:rsidR="00B259A6" w:rsidRPr="00BE7B8B" w:rsidRDefault="00495218" w:rsidP="00811F95">
      <w:pPr>
        <w:spacing w:before="240" w:after="0" w:line="276" w:lineRule="auto"/>
        <w:ind w:left="708" w:hanging="425"/>
      </w:pPr>
      <w:bookmarkStart w:id="1532" w:name="_Toc451176550"/>
      <w:r w:rsidRPr="00BE7B8B">
        <w:rPr>
          <w:rtl/>
        </w:rPr>
        <w:t>22</w:t>
      </w:r>
      <w:r w:rsidR="004A4C24">
        <w:rPr>
          <w:rtl/>
        </w:rPr>
        <w:t>.</w:t>
      </w:r>
      <w:r w:rsidR="004A4C24">
        <w:rPr>
          <w:rFonts w:hint="cs"/>
          <w:rtl/>
        </w:rPr>
        <w:t xml:space="preserve"> </w:t>
      </w:r>
      <w:r w:rsidR="00B259A6" w:rsidRPr="00BE7B8B">
        <w:rPr>
          <w:rtl/>
        </w:rPr>
        <w:t xml:space="preserve">اختلاف العملات </w:t>
      </w:r>
      <w:r w:rsidR="00B259A6" w:rsidRPr="00BE7B8B">
        <w:t>Currency Mismatches</w:t>
      </w:r>
      <w:bookmarkEnd w:id="1532"/>
    </w:p>
    <w:p w:rsidR="00B259A6" w:rsidRDefault="00B259A6" w:rsidP="00634EC5">
      <w:pPr>
        <w:ind w:left="485"/>
        <w:rPr>
          <w:b w:val="0"/>
          <w:bCs w:val="0"/>
          <w:rtl/>
        </w:rPr>
      </w:pPr>
      <w:bookmarkStart w:id="1533" w:name="_Toc414888363"/>
      <w:bookmarkStart w:id="1534" w:name="_Toc451176551"/>
      <w:r w:rsidRPr="006D6E07">
        <w:rPr>
          <w:b w:val="0"/>
          <w:bCs w:val="0"/>
          <w:rtl/>
        </w:rPr>
        <w:t>عند اختلاف عملة أداة الحماية الائتمانية عن عملة التعرض الائتماني الأصلي فإن قيمة غطاء الحماية الائتمانية تنخفض بنسبة الاقتطاع الملائمة لفرق العملة وكما يلي:</w:t>
      </w:r>
      <w:bookmarkEnd w:id="1533"/>
      <w:bookmarkEnd w:id="1534"/>
    </w:p>
    <w:tbl>
      <w:tblPr>
        <w:tblStyle w:val="TableGrid"/>
        <w:bidiVisual/>
        <w:tblW w:w="0" w:type="auto"/>
        <w:jc w:val="center"/>
        <w:tblLook w:val="04A0" w:firstRow="1" w:lastRow="0" w:firstColumn="1" w:lastColumn="0" w:noHBand="0" w:noVBand="1"/>
      </w:tblPr>
      <w:tblGrid>
        <w:gridCol w:w="3456"/>
      </w:tblGrid>
      <w:tr w:rsidR="00BE7B8B" w:rsidTr="00BE7B8B">
        <w:trPr>
          <w:jc w:val="center"/>
        </w:trPr>
        <w:tc>
          <w:tcPr>
            <w:tcW w:w="3456" w:type="dxa"/>
            <w:vAlign w:val="center"/>
          </w:tcPr>
          <w:p w:rsidR="00BE7B8B" w:rsidRDefault="00BE7B8B" w:rsidP="00BE7B8B">
            <w:pPr>
              <w:jc w:val="center"/>
              <w:rPr>
                <w:b w:val="0"/>
                <w:bCs w:val="0"/>
                <w:rtl/>
                <w:lang w:bidi="ar-JO"/>
              </w:rPr>
            </w:pPr>
            <w:bookmarkStart w:id="1535" w:name="_Toc414888364"/>
            <w:bookmarkStart w:id="1536" w:name="_Toc451176552"/>
            <w:r w:rsidRPr="006D6E07">
              <w:rPr>
                <w:b w:val="0"/>
                <w:bCs w:val="0"/>
              </w:rPr>
              <w:t>GA = G</w:t>
            </w:r>
            <w:r w:rsidRPr="006D6E07">
              <w:rPr>
                <w:b w:val="0"/>
                <w:bCs w:val="0"/>
                <w:lang w:val="en-GB" w:eastAsia="en-GB"/>
              </w:rPr>
              <w:t xml:space="preserve"> *</w:t>
            </w:r>
            <w:r w:rsidRPr="006D6E07">
              <w:rPr>
                <w:b w:val="0"/>
                <w:bCs w:val="0"/>
              </w:rPr>
              <w:t xml:space="preserve"> (1 – H</w:t>
            </w:r>
            <w:r w:rsidRPr="006D6E07">
              <w:rPr>
                <w:b w:val="0"/>
                <w:bCs w:val="0"/>
                <w:vertAlign w:val="subscript"/>
              </w:rPr>
              <w:t>FX</w:t>
            </w:r>
            <w:r w:rsidRPr="006D6E07">
              <w:rPr>
                <w:b w:val="0"/>
                <w:bCs w:val="0"/>
              </w:rPr>
              <w:t>)</w:t>
            </w:r>
            <w:bookmarkEnd w:id="1535"/>
            <w:bookmarkEnd w:id="1536"/>
          </w:p>
        </w:tc>
      </w:tr>
    </w:tbl>
    <w:p w:rsidR="00B259A6" w:rsidRPr="00634EC5" w:rsidRDefault="00B259A6" w:rsidP="00580899">
      <w:pPr>
        <w:ind w:firstLine="566"/>
        <w:rPr>
          <w:b w:val="0"/>
          <w:bCs w:val="0"/>
          <w:rtl/>
        </w:rPr>
      </w:pPr>
      <w:bookmarkStart w:id="1537" w:name="_Toc414888365"/>
      <w:bookmarkStart w:id="1538" w:name="_Toc451176553"/>
      <w:r w:rsidRPr="00634EC5">
        <w:rPr>
          <w:b w:val="0"/>
          <w:bCs w:val="0"/>
          <w:rtl/>
        </w:rPr>
        <w:t>حيث:</w:t>
      </w:r>
      <w:bookmarkEnd w:id="1537"/>
      <w:bookmarkEnd w:id="1538"/>
    </w:p>
    <w:p w:rsidR="00B259A6" w:rsidRPr="006D6E07" w:rsidRDefault="00634EC5" w:rsidP="00811F95">
      <w:pPr>
        <w:spacing w:after="0"/>
        <w:ind w:firstLine="425"/>
        <w:rPr>
          <w:b w:val="0"/>
          <w:bCs w:val="0"/>
          <w:rtl/>
        </w:rPr>
      </w:pPr>
      <w:bookmarkStart w:id="1539" w:name="_Toc414888366"/>
      <w:bookmarkStart w:id="1540" w:name="_Toc451176554"/>
      <w:r>
        <w:rPr>
          <w:rFonts w:hint="cs"/>
          <w:b w:val="0"/>
          <w:bCs w:val="0"/>
          <w:rtl/>
        </w:rPr>
        <w:t xml:space="preserve">   </w:t>
      </w:r>
      <w:r w:rsidR="00B259A6" w:rsidRPr="006D6E07">
        <w:rPr>
          <w:b w:val="0"/>
          <w:bCs w:val="0"/>
        </w:rPr>
        <w:t>G</w:t>
      </w:r>
      <w:r>
        <w:rPr>
          <w:rFonts w:hint="cs"/>
          <w:b w:val="0"/>
          <w:bCs w:val="0"/>
          <w:rtl/>
        </w:rPr>
        <w:t xml:space="preserve"> : </w:t>
      </w:r>
      <w:r w:rsidR="00B259A6" w:rsidRPr="006D6E07">
        <w:rPr>
          <w:b w:val="0"/>
          <w:bCs w:val="0"/>
          <w:rtl/>
        </w:rPr>
        <w:t>القيمة الاسمية للحماية الائتمانية</w:t>
      </w:r>
      <w:bookmarkEnd w:id="1539"/>
      <w:bookmarkEnd w:id="1540"/>
    </w:p>
    <w:p w:rsidR="00B259A6" w:rsidRPr="006D6E07" w:rsidRDefault="00B259A6" w:rsidP="00811F95">
      <w:pPr>
        <w:spacing w:after="0"/>
        <w:ind w:firstLine="425"/>
        <w:rPr>
          <w:b w:val="0"/>
          <w:bCs w:val="0"/>
          <w:rtl/>
        </w:rPr>
      </w:pPr>
      <w:bookmarkStart w:id="1541" w:name="_Toc414888367"/>
      <w:bookmarkStart w:id="1542" w:name="_Toc451176555"/>
      <w:r w:rsidRPr="006D6E07">
        <w:rPr>
          <w:b w:val="0"/>
          <w:bCs w:val="0"/>
        </w:rPr>
        <w:t>H</w:t>
      </w:r>
      <w:r w:rsidRPr="006D6E07">
        <w:rPr>
          <w:b w:val="0"/>
          <w:bCs w:val="0"/>
          <w:vertAlign w:val="subscript"/>
        </w:rPr>
        <w:t>FX</w:t>
      </w:r>
      <w:r w:rsidR="00634EC5">
        <w:rPr>
          <w:b w:val="0"/>
          <w:bCs w:val="0"/>
          <w:rtl/>
        </w:rPr>
        <w:t xml:space="preserve"> </w:t>
      </w:r>
      <w:r w:rsidR="00634EC5">
        <w:rPr>
          <w:rFonts w:hint="cs"/>
          <w:b w:val="0"/>
          <w:bCs w:val="0"/>
          <w:rtl/>
        </w:rPr>
        <w:t>:</w:t>
      </w:r>
      <w:r w:rsidRPr="006D6E07">
        <w:rPr>
          <w:b w:val="0"/>
          <w:bCs w:val="0"/>
          <w:rtl/>
        </w:rPr>
        <w:t xml:space="preserve"> نسبة الاقتطاع الملائمة لاختلاف العملة بين الحماية الائتمانية والتعرض الائتماني ذو العلاقة.</w:t>
      </w:r>
      <w:bookmarkEnd w:id="1541"/>
      <w:bookmarkEnd w:id="1542"/>
      <w:r w:rsidR="00BE7B8B">
        <w:rPr>
          <w:b w:val="0"/>
          <w:bCs w:val="0"/>
          <w:rtl/>
        </w:rPr>
        <w:tab/>
      </w:r>
    </w:p>
    <w:p w:rsidR="00B259A6" w:rsidRPr="00BE7B8B" w:rsidRDefault="00495218" w:rsidP="00811F95">
      <w:pPr>
        <w:spacing w:before="240" w:after="0" w:line="276" w:lineRule="auto"/>
        <w:ind w:left="708" w:hanging="425"/>
      </w:pPr>
      <w:bookmarkStart w:id="1543" w:name="_Toc451176556"/>
      <w:r w:rsidRPr="00BE7B8B">
        <w:rPr>
          <w:rtl/>
        </w:rPr>
        <w:t>23</w:t>
      </w:r>
      <w:r w:rsidR="00634EC5">
        <w:rPr>
          <w:rtl/>
        </w:rPr>
        <w:t>.</w:t>
      </w:r>
      <w:r w:rsidR="00634EC5">
        <w:rPr>
          <w:rFonts w:hint="cs"/>
          <w:rtl/>
        </w:rPr>
        <w:t xml:space="preserve"> </w:t>
      </w:r>
      <w:r w:rsidR="00B259A6" w:rsidRPr="00BE7B8B">
        <w:rPr>
          <w:rtl/>
        </w:rPr>
        <w:t xml:space="preserve">الكفالات الحكومية والكفالات المقابلة </w:t>
      </w:r>
      <w:r w:rsidR="00B259A6" w:rsidRPr="00BE7B8B">
        <w:t>Sovereign Guarantees and Counter-guarantees</w:t>
      </w:r>
      <w:bookmarkEnd w:id="1543"/>
      <w:r w:rsidR="00B259A6" w:rsidRPr="00BE7B8B">
        <w:t xml:space="preserve"> </w:t>
      </w:r>
    </w:p>
    <w:p w:rsidR="00B259A6" w:rsidRPr="006D6E07" w:rsidRDefault="00B259A6" w:rsidP="002F28A0">
      <w:pPr>
        <w:ind w:left="1275" w:hanging="709"/>
        <w:rPr>
          <w:b w:val="0"/>
          <w:bCs w:val="0"/>
          <w:rtl/>
        </w:rPr>
      </w:pPr>
      <w:bookmarkStart w:id="1544" w:name="_Toc414888369"/>
      <w:bookmarkStart w:id="1545" w:name="_Toc451176557"/>
      <w:r w:rsidRPr="006D6E07">
        <w:rPr>
          <w:b w:val="0"/>
          <w:bCs w:val="0"/>
          <w:rtl/>
        </w:rPr>
        <w:t>1.</w:t>
      </w:r>
      <w:r w:rsidR="00495218" w:rsidRPr="006D6E07">
        <w:rPr>
          <w:b w:val="0"/>
          <w:bCs w:val="0"/>
          <w:rtl/>
        </w:rPr>
        <w:t>23</w:t>
      </w:r>
      <w:r w:rsidR="00BE7B8B">
        <w:rPr>
          <w:rFonts w:hint="cs"/>
          <w:b w:val="0"/>
          <w:bCs w:val="0"/>
          <w:rtl/>
        </w:rPr>
        <w:t>.</w:t>
      </w:r>
      <w:r w:rsidRPr="006D6E07">
        <w:rPr>
          <w:b w:val="0"/>
          <w:bCs w:val="0"/>
          <w:rtl/>
        </w:rPr>
        <w:tab/>
        <w:t>تُعطى مطالبة العميل المكفولة من الحكومات و/أو البنوك المركزية وزن مخاطر ترجيحي (صفر%)، شريطة أن تكون الكفالة بالعملة المحلية والتعرض الائتماني ممول بنفس العملة. و في حال كانت التغطية جزئية فإن الجزء المغطى فقط يمنح وزن مخاطر ترجيحي يساوي( صفر%).</w:t>
      </w:r>
      <w:bookmarkEnd w:id="1544"/>
      <w:bookmarkEnd w:id="1545"/>
    </w:p>
    <w:p w:rsidR="00B259A6" w:rsidRPr="006D6E07" w:rsidRDefault="00B259A6" w:rsidP="002F28A0">
      <w:pPr>
        <w:ind w:left="1275" w:hanging="709"/>
        <w:rPr>
          <w:b w:val="0"/>
          <w:bCs w:val="0"/>
          <w:rtl/>
        </w:rPr>
      </w:pPr>
      <w:bookmarkStart w:id="1546" w:name="_Toc414888370"/>
      <w:bookmarkStart w:id="1547" w:name="_Toc451176558"/>
      <w:r w:rsidRPr="006D6E07">
        <w:rPr>
          <w:b w:val="0"/>
          <w:bCs w:val="0"/>
          <w:rtl/>
        </w:rPr>
        <w:t>2.</w:t>
      </w:r>
      <w:r w:rsidR="00495218" w:rsidRPr="006D6E07">
        <w:rPr>
          <w:b w:val="0"/>
          <w:bCs w:val="0"/>
          <w:rtl/>
        </w:rPr>
        <w:t>23</w:t>
      </w:r>
      <w:r w:rsidR="00BE7B8B">
        <w:rPr>
          <w:rFonts w:hint="cs"/>
          <w:b w:val="0"/>
          <w:bCs w:val="0"/>
          <w:rtl/>
        </w:rPr>
        <w:t>.</w:t>
      </w:r>
      <w:r w:rsidRPr="006D6E07">
        <w:rPr>
          <w:b w:val="0"/>
          <w:bCs w:val="0"/>
          <w:rtl/>
        </w:rPr>
        <w:tab/>
        <w:t xml:space="preserve">إذا كانت المطالبة الائتمانية مغطاة بكفالة مقابلة غير مباشرة </w:t>
      </w:r>
      <w:r w:rsidRPr="006D6E07">
        <w:rPr>
          <w:b w:val="0"/>
          <w:bCs w:val="0"/>
        </w:rPr>
        <w:t>Counter guarantee</w:t>
      </w:r>
      <w:r w:rsidR="00825036" w:rsidRPr="006D6E07">
        <w:rPr>
          <w:b w:val="0"/>
          <w:bCs w:val="0"/>
          <w:rtl/>
        </w:rPr>
        <w:t xml:space="preserve"> </w:t>
      </w:r>
      <w:r w:rsidRPr="006D6E07">
        <w:rPr>
          <w:b w:val="0"/>
          <w:bCs w:val="0"/>
          <w:rtl/>
        </w:rPr>
        <w:t>من الحكومات و/أو البنوك المركزية فإنها تعامل معاملة الكفالة المباشرة شريطة ما يلي:</w:t>
      </w:r>
      <w:bookmarkEnd w:id="1546"/>
      <w:bookmarkEnd w:id="1547"/>
    </w:p>
    <w:p w:rsidR="00B259A6" w:rsidRPr="006D6E07" w:rsidRDefault="00B259A6" w:rsidP="00C06D2A">
      <w:pPr>
        <w:ind w:left="2126" w:hanging="851"/>
        <w:rPr>
          <w:b w:val="0"/>
          <w:bCs w:val="0"/>
        </w:rPr>
      </w:pPr>
      <w:bookmarkStart w:id="1548" w:name="_Toc414888371"/>
      <w:bookmarkStart w:id="1549" w:name="_Toc451176559"/>
      <w:r w:rsidRPr="006D6E07">
        <w:rPr>
          <w:b w:val="0"/>
          <w:bCs w:val="0"/>
          <w:rtl/>
        </w:rPr>
        <w:t>1.2.</w:t>
      </w:r>
      <w:r w:rsidR="00495218" w:rsidRPr="006D6E07">
        <w:rPr>
          <w:b w:val="0"/>
          <w:bCs w:val="0"/>
          <w:rtl/>
        </w:rPr>
        <w:t>23</w:t>
      </w:r>
      <w:r w:rsidR="00634EC5">
        <w:rPr>
          <w:rFonts w:hint="cs"/>
          <w:b w:val="0"/>
          <w:bCs w:val="0"/>
          <w:rtl/>
        </w:rPr>
        <w:t>.</w:t>
      </w:r>
      <w:r w:rsidRPr="006D6E07">
        <w:rPr>
          <w:b w:val="0"/>
          <w:bCs w:val="0"/>
          <w:rtl/>
        </w:rPr>
        <w:tab/>
        <w:t>أن تغطي الكفالة المقابلة كافة عناصر مخاطر الائتمان في التعرض الائتماني المكفول.</w:t>
      </w:r>
      <w:bookmarkEnd w:id="1548"/>
      <w:bookmarkEnd w:id="1549"/>
      <w:r w:rsidRPr="006D6E07">
        <w:rPr>
          <w:b w:val="0"/>
          <w:bCs w:val="0"/>
          <w:rtl/>
        </w:rPr>
        <w:t xml:space="preserve"> </w:t>
      </w:r>
    </w:p>
    <w:p w:rsidR="00B259A6" w:rsidRPr="006D6E07" w:rsidRDefault="00B259A6" w:rsidP="00C06D2A">
      <w:pPr>
        <w:ind w:left="2126" w:hanging="851"/>
        <w:rPr>
          <w:b w:val="0"/>
          <w:bCs w:val="0"/>
          <w:rtl/>
        </w:rPr>
      </w:pPr>
      <w:bookmarkStart w:id="1550" w:name="_Toc414888372"/>
      <w:bookmarkStart w:id="1551" w:name="_Toc451176560"/>
      <w:r w:rsidRPr="006D6E07">
        <w:rPr>
          <w:b w:val="0"/>
          <w:bCs w:val="0"/>
          <w:rtl/>
        </w:rPr>
        <w:t>2.2.</w:t>
      </w:r>
      <w:r w:rsidR="00495218" w:rsidRPr="006D6E07">
        <w:rPr>
          <w:b w:val="0"/>
          <w:bCs w:val="0"/>
          <w:rtl/>
        </w:rPr>
        <w:t>23</w:t>
      </w:r>
      <w:r w:rsidR="00BE7B8B">
        <w:rPr>
          <w:rFonts w:hint="cs"/>
          <w:b w:val="0"/>
          <w:bCs w:val="0"/>
          <w:rtl/>
        </w:rPr>
        <w:t>.</w:t>
      </w:r>
      <w:r w:rsidRPr="006D6E07">
        <w:rPr>
          <w:b w:val="0"/>
          <w:bCs w:val="0"/>
          <w:rtl/>
        </w:rPr>
        <w:tab/>
        <w:t>كل من الكفالة والكفالة المقابلة تتوفر فيها كافة المتطلبات الواردة ضمن فقرة المتطلبات التشغيلية للكفالات باستثناء شرط أن تكون الكفالة المقابلة مباشرة و ذات اتصال صريح بالمطالبة الائتمانية الأصلية.</w:t>
      </w:r>
      <w:bookmarkEnd w:id="1550"/>
      <w:bookmarkEnd w:id="1551"/>
    </w:p>
    <w:p w:rsidR="00B259A6" w:rsidRPr="006D6E07" w:rsidRDefault="00B259A6" w:rsidP="00C06D2A">
      <w:pPr>
        <w:ind w:left="2126" w:hanging="851"/>
        <w:rPr>
          <w:b w:val="0"/>
          <w:bCs w:val="0"/>
          <w:rtl/>
          <w:lang w:bidi="ar-JO"/>
        </w:rPr>
      </w:pPr>
      <w:bookmarkStart w:id="1552" w:name="_Toc414888373"/>
      <w:bookmarkStart w:id="1553" w:name="_Toc451176561"/>
      <w:r w:rsidRPr="006D6E07">
        <w:rPr>
          <w:b w:val="0"/>
          <w:bCs w:val="0"/>
          <w:rtl/>
        </w:rPr>
        <w:lastRenderedPageBreak/>
        <w:t>3.2.</w:t>
      </w:r>
      <w:r w:rsidR="00495218" w:rsidRPr="006D6E07">
        <w:rPr>
          <w:b w:val="0"/>
          <w:bCs w:val="0"/>
          <w:rtl/>
        </w:rPr>
        <w:t>23</w:t>
      </w:r>
      <w:r w:rsidR="00BE7B8B">
        <w:rPr>
          <w:rFonts w:hint="cs"/>
          <w:b w:val="0"/>
          <w:bCs w:val="0"/>
          <w:rtl/>
        </w:rPr>
        <w:t>.</w:t>
      </w:r>
      <w:r w:rsidRPr="006D6E07">
        <w:rPr>
          <w:b w:val="0"/>
          <w:bCs w:val="0"/>
          <w:rtl/>
        </w:rPr>
        <w:tab/>
        <w:t>اقتناع السلطة الرقابية بأن الغطاء المتوفر نتيجة هذه الكفالة متين ولا يوجد أي دليل تاريخي يشير إلى أن الكفالة المقابلة أقل فاعلية من الكفالة المباشرة للحكومة.</w:t>
      </w:r>
      <w:bookmarkEnd w:id="1552"/>
      <w:bookmarkEnd w:id="1553"/>
    </w:p>
    <w:p w:rsidR="00B259A6" w:rsidRPr="00BE7B8B" w:rsidRDefault="00495218" w:rsidP="00811F95">
      <w:pPr>
        <w:spacing w:before="240" w:after="0" w:line="276" w:lineRule="auto"/>
        <w:ind w:left="708" w:hanging="425"/>
      </w:pPr>
      <w:bookmarkStart w:id="1554" w:name="_Toc451176562"/>
      <w:r w:rsidRPr="00BE7B8B">
        <w:rPr>
          <w:rtl/>
        </w:rPr>
        <w:t>24</w:t>
      </w:r>
      <w:r w:rsidR="00634EC5">
        <w:rPr>
          <w:rtl/>
        </w:rPr>
        <w:t>.</w:t>
      </w:r>
      <w:r w:rsidR="00634EC5">
        <w:rPr>
          <w:rFonts w:hint="cs"/>
          <w:rtl/>
        </w:rPr>
        <w:t xml:space="preserve"> </w:t>
      </w:r>
      <w:r w:rsidR="00B259A6" w:rsidRPr="00BE7B8B">
        <w:rPr>
          <w:rtl/>
        </w:rPr>
        <w:t xml:space="preserve">اختلاف تواريخ الاستحقاق للضمان </w:t>
      </w:r>
      <w:r w:rsidR="00B259A6" w:rsidRPr="00BE7B8B">
        <w:t>Maturity Mismatches</w:t>
      </w:r>
      <w:bookmarkEnd w:id="1554"/>
    </w:p>
    <w:p w:rsidR="00B259A6" w:rsidRPr="006D6E07" w:rsidRDefault="00B259A6" w:rsidP="002F28A0">
      <w:pPr>
        <w:spacing w:after="0"/>
        <w:ind w:left="1275" w:hanging="709"/>
        <w:rPr>
          <w:b w:val="0"/>
          <w:bCs w:val="0"/>
          <w:rtl/>
        </w:rPr>
      </w:pPr>
      <w:bookmarkStart w:id="1555" w:name="_Toc414888375"/>
      <w:bookmarkStart w:id="1556" w:name="_Toc451176563"/>
      <w:r w:rsidRPr="006D6E07">
        <w:rPr>
          <w:b w:val="0"/>
          <w:bCs w:val="0"/>
          <w:rtl/>
        </w:rPr>
        <w:t>1.</w:t>
      </w:r>
      <w:r w:rsidR="00495218" w:rsidRPr="006D6E07">
        <w:rPr>
          <w:b w:val="0"/>
          <w:bCs w:val="0"/>
          <w:rtl/>
        </w:rPr>
        <w:t>24</w:t>
      </w:r>
      <w:r w:rsidR="00BE7B8B">
        <w:rPr>
          <w:rFonts w:hint="cs"/>
          <w:b w:val="0"/>
          <w:bCs w:val="0"/>
          <w:rtl/>
        </w:rPr>
        <w:t>.</w:t>
      </w:r>
      <w:r w:rsidRPr="006D6E07">
        <w:rPr>
          <w:b w:val="0"/>
          <w:bCs w:val="0"/>
          <w:rtl/>
        </w:rPr>
        <w:tab/>
        <w:t>يحدث اختلاف الآجال عندما يكون الأجل المتبقي من عمر الضمان/الحماية الائتمانية أقل من الأجل المتبقي للتعرض الائتماني.</w:t>
      </w:r>
      <w:bookmarkEnd w:id="1555"/>
      <w:bookmarkEnd w:id="1556"/>
    </w:p>
    <w:p w:rsidR="00B259A6" w:rsidRPr="006D6E07" w:rsidRDefault="00B259A6" w:rsidP="002F28A0">
      <w:pPr>
        <w:spacing w:after="0"/>
        <w:ind w:left="1275" w:hanging="709"/>
        <w:rPr>
          <w:b w:val="0"/>
          <w:bCs w:val="0"/>
          <w:rtl/>
        </w:rPr>
      </w:pPr>
      <w:bookmarkStart w:id="1557" w:name="_Toc414888376"/>
      <w:bookmarkStart w:id="1558" w:name="_Toc451176564"/>
      <w:r w:rsidRPr="006D6E07">
        <w:rPr>
          <w:b w:val="0"/>
          <w:bCs w:val="0"/>
          <w:rtl/>
        </w:rPr>
        <w:t>2.</w:t>
      </w:r>
      <w:r w:rsidR="00495218" w:rsidRPr="006D6E07">
        <w:rPr>
          <w:b w:val="0"/>
          <w:bCs w:val="0"/>
          <w:rtl/>
        </w:rPr>
        <w:t>24</w:t>
      </w:r>
      <w:r w:rsidR="00BE7B8B">
        <w:rPr>
          <w:rFonts w:hint="cs"/>
          <w:b w:val="0"/>
          <w:bCs w:val="0"/>
          <w:rtl/>
        </w:rPr>
        <w:t>.</w:t>
      </w:r>
      <w:r w:rsidRPr="006D6E07">
        <w:rPr>
          <w:b w:val="0"/>
          <w:bCs w:val="0"/>
          <w:rtl/>
        </w:rPr>
        <w:tab/>
        <w:t>عندما يحدث اختلاف الآجال ويكون العمر الأصلي للضمان أقل من سنة فلا يعترف بأثر الضمان.</w:t>
      </w:r>
      <w:bookmarkEnd w:id="1557"/>
      <w:bookmarkEnd w:id="1558"/>
    </w:p>
    <w:p w:rsidR="00B259A6" w:rsidRPr="006D6E07" w:rsidRDefault="00B259A6" w:rsidP="002F28A0">
      <w:pPr>
        <w:spacing w:after="0"/>
        <w:ind w:left="1275" w:hanging="709"/>
        <w:rPr>
          <w:b w:val="0"/>
          <w:bCs w:val="0"/>
          <w:rtl/>
        </w:rPr>
      </w:pPr>
      <w:bookmarkStart w:id="1559" w:name="_Toc414888377"/>
      <w:bookmarkStart w:id="1560" w:name="_Toc451176565"/>
      <w:r w:rsidRPr="006D6E07">
        <w:rPr>
          <w:b w:val="0"/>
          <w:bCs w:val="0"/>
          <w:rtl/>
        </w:rPr>
        <w:t>3.</w:t>
      </w:r>
      <w:r w:rsidR="00495218" w:rsidRPr="006D6E07">
        <w:rPr>
          <w:b w:val="0"/>
          <w:bCs w:val="0"/>
          <w:rtl/>
        </w:rPr>
        <w:t>24</w:t>
      </w:r>
      <w:r w:rsidR="00BE7B8B">
        <w:rPr>
          <w:rFonts w:hint="cs"/>
          <w:b w:val="0"/>
          <w:bCs w:val="0"/>
          <w:rtl/>
        </w:rPr>
        <w:t>.</w:t>
      </w:r>
      <w:r w:rsidRPr="006D6E07">
        <w:rPr>
          <w:b w:val="0"/>
          <w:bCs w:val="0"/>
          <w:rtl/>
        </w:rPr>
        <w:tab/>
        <w:t>في حال كان العمر الأصلي للضمان أكبر من سنة يتم الاعتراف بأثر الضمان جزئياً.</w:t>
      </w:r>
      <w:bookmarkEnd w:id="1559"/>
      <w:bookmarkEnd w:id="1560"/>
    </w:p>
    <w:p w:rsidR="00B259A6" w:rsidRPr="006D6E07" w:rsidRDefault="00B259A6" w:rsidP="002F28A0">
      <w:pPr>
        <w:spacing w:after="0"/>
        <w:ind w:left="1275" w:hanging="709"/>
        <w:rPr>
          <w:b w:val="0"/>
          <w:bCs w:val="0"/>
          <w:rtl/>
        </w:rPr>
      </w:pPr>
      <w:bookmarkStart w:id="1561" w:name="_Toc414888378"/>
      <w:bookmarkStart w:id="1562" w:name="_Toc451176566"/>
      <w:r w:rsidRPr="006D6E07">
        <w:rPr>
          <w:b w:val="0"/>
          <w:bCs w:val="0"/>
          <w:rtl/>
        </w:rPr>
        <w:t>4.</w:t>
      </w:r>
      <w:r w:rsidR="00495218" w:rsidRPr="006D6E07">
        <w:rPr>
          <w:b w:val="0"/>
          <w:bCs w:val="0"/>
          <w:rtl/>
        </w:rPr>
        <w:t>24</w:t>
      </w:r>
      <w:r w:rsidR="00BE7B8B">
        <w:rPr>
          <w:rFonts w:hint="cs"/>
          <w:b w:val="0"/>
          <w:bCs w:val="0"/>
          <w:rtl/>
        </w:rPr>
        <w:t>.</w:t>
      </w:r>
      <w:r w:rsidRPr="006D6E07">
        <w:rPr>
          <w:b w:val="0"/>
          <w:bCs w:val="0"/>
          <w:rtl/>
        </w:rPr>
        <w:tab/>
        <w:t>في جميع الحالات لا يتم الاعتراف بأي أداة تحوط بقي على تاريخ استحقاقها ثلاثة أشهر أو أقل وذلك في حال اختلاف تواريخ الاستحقاق.</w:t>
      </w:r>
      <w:bookmarkEnd w:id="1561"/>
      <w:bookmarkEnd w:id="1562"/>
    </w:p>
    <w:p w:rsidR="00B259A6" w:rsidRPr="006D6E07" w:rsidRDefault="00B259A6" w:rsidP="002F28A0">
      <w:pPr>
        <w:spacing w:after="0"/>
        <w:ind w:left="1275" w:hanging="709"/>
        <w:rPr>
          <w:b w:val="0"/>
          <w:bCs w:val="0"/>
          <w:rtl/>
        </w:rPr>
      </w:pPr>
      <w:bookmarkStart w:id="1563" w:name="_Toc414888379"/>
      <w:bookmarkStart w:id="1564" w:name="_Toc451176567"/>
      <w:r w:rsidRPr="006D6E07">
        <w:rPr>
          <w:b w:val="0"/>
          <w:bCs w:val="0"/>
          <w:rtl/>
        </w:rPr>
        <w:t>5.</w:t>
      </w:r>
      <w:r w:rsidR="00495218" w:rsidRPr="006D6E07">
        <w:rPr>
          <w:b w:val="0"/>
          <w:bCs w:val="0"/>
          <w:rtl/>
        </w:rPr>
        <w:t>24</w:t>
      </w:r>
      <w:r w:rsidR="00BE7B8B">
        <w:rPr>
          <w:rFonts w:hint="cs"/>
          <w:b w:val="0"/>
          <w:bCs w:val="0"/>
          <w:rtl/>
        </w:rPr>
        <w:t>.</w:t>
      </w:r>
      <w:r w:rsidRPr="006D6E07">
        <w:rPr>
          <w:b w:val="0"/>
          <w:bCs w:val="0"/>
          <w:rtl/>
        </w:rPr>
        <w:tab/>
        <w:t>في جميع الأحوال لا يعترف بأثر الضمان عند اختلاف الآجال عند استخدام الاسلوب البسيط.</w:t>
      </w:r>
      <w:bookmarkEnd w:id="1563"/>
      <w:bookmarkEnd w:id="1564"/>
    </w:p>
    <w:p w:rsidR="00B259A6" w:rsidRPr="00BE7B8B" w:rsidRDefault="00495218" w:rsidP="00811F95">
      <w:pPr>
        <w:spacing w:before="240" w:after="0" w:line="276" w:lineRule="auto"/>
        <w:ind w:left="708" w:hanging="425"/>
      </w:pPr>
      <w:bookmarkStart w:id="1565" w:name="_Toc451176568"/>
      <w:r w:rsidRPr="00BE7B8B">
        <w:rPr>
          <w:rtl/>
        </w:rPr>
        <w:t>25</w:t>
      </w:r>
      <w:r w:rsidR="00634EC5">
        <w:rPr>
          <w:rtl/>
        </w:rPr>
        <w:t>.</w:t>
      </w:r>
      <w:r w:rsidR="00634EC5">
        <w:rPr>
          <w:rFonts w:hint="cs"/>
          <w:rtl/>
        </w:rPr>
        <w:t xml:space="preserve"> </w:t>
      </w:r>
      <w:r w:rsidR="00B259A6" w:rsidRPr="00BE7B8B">
        <w:rPr>
          <w:rtl/>
        </w:rPr>
        <w:t xml:space="preserve">تعريف الاستحقاق </w:t>
      </w:r>
      <w:r w:rsidR="00B259A6" w:rsidRPr="00BE7B8B">
        <w:t>Definition of Maturity</w:t>
      </w:r>
      <w:bookmarkEnd w:id="1565"/>
    </w:p>
    <w:p w:rsidR="00B259A6" w:rsidRPr="006D6E07" w:rsidRDefault="00B259A6" w:rsidP="002F28A0">
      <w:pPr>
        <w:ind w:left="1275" w:hanging="709"/>
        <w:rPr>
          <w:b w:val="0"/>
          <w:bCs w:val="0"/>
        </w:rPr>
      </w:pPr>
      <w:bookmarkStart w:id="1566" w:name="_Toc414888381"/>
      <w:bookmarkStart w:id="1567" w:name="_Toc451176569"/>
      <w:r w:rsidRPr="006D6E07">
        <w:rPr>
          <w:b w:val="0"/>
          <w:bCs w:val="0"/>
          <w:rtl/>
        </w:rPr>
        <w:t>1.</w:t>
      </w:r>
      <w:r w:rsidR="00495218" w:rsidRPr="006D6E07">
        <w:rPr>
          <w:b w:val="0"/>
          <w:bCs w:val="0"/>
          <w:rtl/>
        </w:rPr>
        <w:t>25</w:t>
      </w:r>
      <w:r w:rsidR="00BE7B8B">
        <w:rPr>
          <w:rFonts w:hint="cs"/>
          <w:b w:val="0"/>
          <w:bCs w:val="0"/>
          <w:rtl/>
        </w:rPr>
        <w:t>.</w:t>
      </w:r>
      <w:r w:rsidRPr="006D6E07">
        <w:rPr>
          <w:b w:val="0"/>
          <w:bCs w:val="0"/>
          <w:rtl/>
        </w:rPr>
        <w:tab/>
        <w:t>يقصد بتاريخ الاستحقاق التاريخ الفعلي للتعرض الأصلي ويجب أن يشمل أطول فترة محتملة قبل أن يكون الطرف الآخر ملتزماً بالوفاء بتعهداته مع احتساب أي فترة سماح متفق عليها.</w:t>
      </w:r>
      <w:bookmarkEnd w:id="1566"/>
      <w:bookmarkEnd w:id="1567"/>
      <w:r w:rsidRPr="006D6E07">
        <w:rPr>
          <w:b w:val="0"/>
          <w:bCs w:val="0"/>
          <w:rtl/>
        </w:rPr>
        <w:t xml:space="preserve"> </w:t>
      </w:r>
    </w:p>
    <w:p w:rsidR="00B259A6" w:rsidRPr="006D6E07" w:rsidRDefault="00B259A6" w:rsidP="002F28A0">
      <w:pPr>
        <w:ind w:left="1275" w:hanging="709"/>
        <w:rPr>
          <w:b w:val="0"/>
          <w:bCs w:val="0"/>
          <w:rtl/>
        </w:rPr>
      </w:pPr>
      <w:bookmarkStart w:id="1568" w:name="_Toc414888382"/>
      <w:bookmarkStart w:id="1569" w:name="_Toc451176570"/>
      <w:r w:rsidRPr="006D6E07">
        <w:rPr>
          <w:b w:val="0"/>
          <w:bCs w:val="0"/>
          <w:rtl/>
        </w:rPr>
        <w:t>2.</w:t>
      </w:r>
      <w:r w:rsidR="00495218" w:rsidRPr="006D6E07">
        <w:rPr>
          <w:b w:val="0"/>
          <w:bCs w:val="0"/>
          <w:rtl/>
        </w:rPr>
        <w:t>25</w:t>
      </w:r>
      <w:r w:rsidR="00BE7B8B">
        <w:rPr>
          <w:rFonts w:hint="cs"/>
          <w:b w:val="0"/>
          <w:bCs w:val="0"/>
          <w:rtl/>
        </w:rPr>
        <w:t>.</w:t>
      </w:r>
      <w:r w:rsidRPr="006D6E07">
        <w:rPr>
          <w:b w:val="0"/>
          <w:bCs w:val="0"/>
          <w:rtl/>
        </w:rPr>
        <w:tab/>
        <w:t>كما يقصد بتاريخ الاستحقاق الفعلي لأداة التحوط بأنه اقصر تاريخ يجب تخفيضه آخذاً بالاعتبار كل الخيارات المضمنة فيه والتي من شأنها تقصير أجله ومثال ذلك:</w:t>
      </w:r>
      <w:bookmarkEnd w:id="1568"/>
      <w:bookmarkEnd w:id="1569"/>
    </w:p>
    <w:p w:rsidR="00B259A6" w:rsidRPr="006D6E07" w:rsidRDefault="00B259A6" w:rsidP="00C06D2A">
      <w:pPr>
        <w:ind w:left="2126" w:hanging="851"/>
        <w:rPr>
          <w:b w:val="0"/>
          <w:bCs w:val="0"/>
          <w:rtl/>
        </w:rPr>
      </w:pPr>
      <w:bookmarkStart w:id="1570" w:name="_Toc414888383"/>
      <w:bookmarkStart w:id="1571" w:name="_Toc451176571"/>
      <w:r w:rsidRPr="006D6E07">
        <w:rPr>
          <w:b w:val="0"/>
          <w:bCs w:val="0"/>
          <w:rtl/>
        </w:rPr>
        <w:t>1.2.</w:t>
      </w:r>
      <w:r w:rsidR="00495218" w:rsidRPr="006D6E07">
        <w:rPr>
          <w:b w:val="0"/>
          <w:bCs w:val="0"/>
          <w:rtl/>
        </w:rPr>
        <w:t>25</w:t>
      </w:r>
      <w:r w:rsidR="00634EC5">
        <w:rPr>
          <w:rFonts w:hint="cs"/>
          <w:b w:val="0"/>
          <w:bCs w:val="0"/>
          <w:rtl/>
        </w:rPr>
        <w:t>.</w:t>
      </w:r>
      <w:r w:rsidRPr="006D6E07">
        <w:rPr>
          <w:b w:val="0"/>
          <w:bCs w:val="0"/>
          <w:rtl/>
        </w:rPr>
        <w:tab/>
        <w:t>إذا كان بائع الحماية الائتمانية يملك حق خيار التسوية المبكر فإن تاريخ أداة التحوط يقصر ليصبح تاريخ ذلك الخيار.</w:t>
      </w:r>
      <w:bookmarkEnd w:id="1570"/>
      <w:bookmarkEnd w:id="1571"/>
    </w:p>
    <w:p w:rsidR="00B259A6" w:rsidRDefault="00B259A6" w:rsidP="00C06D2A">
      <w:pPr>
        <w:ind w:left="2126" w:hanging="851"/>
        <w:rPr>
          <w:b w:val="0"/>
          <w:bCs w:val="0"/>
        </w:rPr>
      </w:pPr>
      <w:bookmarkStart w:id="1572" w:name="_Toc414888384"/>
      <w:bookmarkStart w:id="1573" w:name="_Toc451176572"/>
      <w:r w:rsidRPr="006D6E07">
        <w:rPr>
          <w:b w:val="0"/>
          <w:bCs w:val="0"/>
          <w:rtl/>
        </w:rPr>
        <w:t>2.2.</w:t>
      </w:r>
      <w:r w:rsidR="00495218" w:rsidRPr="006D6E07">
        <w:rPr>
          <w:b w:val="0"/>
          <w:bCs w:val="0"/>
          <w:rtl/>
        </w:rPr>
        <w:t>25</w:t>
      </w:r>
      <w:r w:rsidR="00BE7B8B">
        <w:rPr>
          <w:rFonts w:hint="cs"/>
          <w:b w:val="0"/>
          <w:bCs w:val="0"/>
          <w:rtl/>
        </w:rPr>
        <w:t>.</w:t>
      </w:r>
      <w:r w:rsidRPr="006D6E07">
        <w:rPr>
          <w:b w:val="0"/>
          <w:bCs w:val="0"/>
          <w:rtl/>
        </w:rPr>
        <w:tab/>
        <w:t>إذا كان مشتري الحماية الائتمانية يملك حق خيار التسوية المبكر ولكن شروط عقد أداة التحوط تمنح حوافز في صالح ممارسة هذا الخيار قبل تاريخ الاستحقاق فإن تاريخ الحماية الائتمانية يقصر ليصبح تاريخ ذلك الخيار.</w:t>
      </w:r>
      <w:bookmarkEnd w:id="1572"/>
      <w:bookmarkEnd w:id="1573"/>
    </w:p>
    <w:p w:rsidR="00B259A6" w:rsidRPr="006D6E07" w:rsidRDefault="00495218" w:rsidP="00811F95">
      <w:pPr>
        <w:spacing w:after="0" w:line="276" w:lineRule="auto"/>
        <w:ind w:left="708" w:hanging="425"/>
      </w:pPr>
      <w:bookmarkStart w:id="1574" w:name="_Toc451176573"/>
      <w:r w:rsidRPr="006D6E07">
        <w:rPr>
          <w:rtl/>
        </w:rPr>
        <w:t>26</w:t>
      </w:r>
      <w:r w:rsidR="00634EC5">
        <w:rPr>
          <w:rtl/>
        </w:rPr>
        <w:t>.</w:t>
      </w:r>
      <w:r w:rsidR="00634EC5">
        <w:rPr>
          <w:rFonts w:hint="cs"/>
          <w:rtl/>
        </w:rPr>
        <w:t xml:space="preserve"> </w:t>
      </w:r>
      <w:r w:rsidR="00B259A6" w:rsidRPr="006D6E07">
        <w:rPr>
          <w:rtl/>
        </w:rPr>
        <w:t xml:space="preserve">أوزان المخاطر </w:t>
      </w:r>
      <w:r w:rsidR="00B259A6" w:rsidRPr="00BE7B8B">
        <w:rPr>
          <w:rtl/>
        </w:rPr>
        <w:t>الترجيحية</w:t>
      </w:r>
      <w:r w:rsidR="00B259A6" w:rsidRPr="006D6E07">
        <w:rPr>
          <w:rtl/>
        </w:rPr>
        <w:t xml:space="preserve"> في حال اختلاف تواريخ الاستحقاق </w:t>
      </w:r>
      <w:r w:rsidR="00B259A6" w:rsidRPr="006D6E07">
        <w:t>Risk weights for maturity mismatches</w:t>
      </w:r>
      <w:bookmarkEnd w:id="1574"/>
    </w:p>
    <w:p w:rsidR="00B259A6" w:rsidRDefault="00B259A6" w:rsidP="00811F95">
      <w:pPr>
        <w:ind w:left="708"/>
        <w:rPr>
          <w:b w:val="0"/>
          <w:bCs w:val="0"/>
          <w:rtl/>
        </w:rPr>
      </w:pPr>
      <w:bookmarkStart w:id="1575" w:name="_Toc414888386"/>
      <w:bookmarkStart w:id="1576" w:name="_Toc451176574"/>
      <w:r w:rsidRPr="006D6E07">
        <w:rPr>
          <w:b w:val="0"/>
          <w:bCs w:val="0"/>
          <w:rtl/>
        </w:rPr>
        <w:t>لغايات احتساب وزن المخاطر الترجيحي في حال اختلاف تواريخ الاستحقاق ينطبق التعديل التالي لاحتساب أثر مخففات التعرض الائتماني:</w:t>
      </w:r>
      <w:bookmarkEnd w:id="1575"/>
      <w:bookmarkEnd w:id="1576"/>
    </w:p>
    <w:tbl>
      <w:tblPr>
        <w:tblStyle w:val="TableGrid"/>
        <w:bidiVisual/>
        <w:tblW w:w="0" w:type="auto"/>
        <w:jc w:val="center"/>
        <w:tblLook w:val="04A0" w:firstRow="1" w:lastRow="0" w:firstColumn="1" w:lastColumn="0" w:noHBand="0" w:noVBand="1"/>
      </w:tblPr>
      <w:tblGrid>
        <w:gridCol w:w="4896"/>
      </w:tblGrid>
      <w:tr w:rsidR="00BE7B8B" w:rsidTr="00BE7B8B">
        <w:trPr>
          <w:trHeight w:val="432"/>
          <w:jc w:val="center"/>
        </w:trPr>
        <w:tc>
          <w:tcPr>
            <w:tcW w:w="4896" w:type="dxa"/>
            <w:vAlign w:val="center"/>
          </w:tcPr>
          <w:p w:rsidR="00BE7B8B" w:rsidRDefault="00BE7B8B" w:rsidP="00BE7B8B">
            <w:pPr>
              <w:jc w:val="center"/>
              <w:rPr>
                <w:b w:val="0"/>
                <w:bCs w:val="0"/>
                <w:rtl/>
                <w:lang w:bidi="ar-JO"/>
              </w:rPr>
            </w:pPr>
            <w:bookmarkStart w:id="1577" w:name="_Toc414888387"/>
            <w:bookmarkStart w:id="1578" w:name="_Toc451176575"/>
            <w:r w:rsidRPr="006D6E07">
              <w:rPr>
                <w:b w:val="0"/>
                <w:bCs w:val="0"/>
              </w:rPr>
              <w:t>Pa = P * (t-0.25) / (T -0.25)</w:t>
            </w:r>
            <w:bookmarkEnd w:id="1577"/>
            <w:bookmarkEnd w:id="1578"/>
          </w:p>
        </w:tc>
      </w:tr>
    </w:tbl>
    <w:p w:rsidR="00580899" w:rsidRDefault="00580899" w:rsidP="00811F95">
      <w:pPr>
        <w:ind w:left="708"/>
        <w:rPr>
          <w:b w:val="0"/>
          <w:bCs w:val="0"/>
          <w:rtl/>
        </w:rPr>
      </w:pPr>
      <w:bookmarkStart w:id="1579" w:name="_Toc414888388"/>
      <w:bookmarkStart w:id="1580" w:name="_Toc451176576"/>
    </w:p>
    <w:p w:rsidR="00580899" w:rsidRDefault="00580899" w:rsidP="00811F95">
      <w:pPr>
        <w:ind w:left="708"/>
        <w:rPr>
          <w:b w:val="0"/>
          <w:bCs w:val="0"/>
          <w:rtl/>
        </w:rPr>
      </w:pPr>
    </w:p>
    <w:p w:rsidR="00B259A6" w:rsidRPr="006D6E07" w:rsidRDefault="00B259A6" w:rsidP="00811F95">
      <w:pPr>
        <w:ind w:left="708"/>
        <w:rPr>
          <w:b w:val="0"/>
          <w:bCs w:val="0"/>
          <w:rtl/>
        </w:rPr>
      </w:pPr>
      <w:r w:rsidRPr="006D6E07">
        <w:rPr>
          <w:b w:val="0"/>
          <w:bCs w:val="0"/>
          <w:rtl/>
        </w:rPr>
        <w:lastRenderedPageBreak/>
        <w:t>حيث:</w:t>
      </w:r>
      <w:bookmarkEnd w:id="1579"/>
      <w:bookmarkEnd w:id="1580"/>
    </w:p>
    <w:p w:rsidR="00B259A6" w:rsidRPr="006D6E07" w:rsidRDefault="00B259A6" w:rsidP="00C51591">
      <w:pPr>
        <w:ind w:left="1190"/>
        <w:rPr>
          <w:b w:val="0"/>
          <w:bCs w:val="0"/>
          <w:rtl/>
        </w:rPr>
      </w:pPr>
      <w:bookmarkStart w:id="1581" w:name="_Toc414888389"/>
      <w:bookmarkStart w:id="1582" w:name="_Toc451176577"/>
      <w:r w:rsidRPr="006D6E07">
        <w:rPr>
          <w:b w:val="0"/>
          <w:bCs w:val="0"/>
        </w:rPr>
        <w:t>Pa</w:t>
      </w:r>
      <w:r w:rsidR="00634EC5">
        <w:rPr>
          <w:rFonts w:hint="cs"/>
          <w:b w:val="0"/>
          <w:bCs w:val="0"/>
          <w:rtl/>
        </w:rPr>
        <w:t>:</w:t>
      </w:r>
      <w:r w:rsidRPr="006D6E07">
        <w:rPr>
          <w:b w:val="0"/>
          <w:bCs w:val="0"/>
          <w:rtl/>
        </w:rPr>
        <w:t xml:space="preserve"> </w:t>
      </w:r>
      <w:r w:rsidR="00535E9E" w:rsidRPr="006D6E07">
        <w:rPr>
          <w:b w:val="0"/>
          <w:bCs w:val="0"/>
          <w:rtl/>
        </w:rPr>
        <w:t xml:space="preserve">  </w:t>
      </w:r>
      <w:r w:rsidRPr="006D6E07">
        <w:rPr>
          <w:b w:val="0"/>
          <w:bCs w:val="0"/>
          <w:rtl/>
        </w:rPr>
        <w:t>قيمة مخفف الائتمان معدلة باختلاف تواريخ الاستحقاق</w:t>
      </w:r>
      <w:bookmarkEnd w:id="1581"/>
      <w:bookmarkEnd w:id="1582"/>
    </w:p>
    <w:p w:rsidR="00B259A6" w:rsidRPr="006D6E07" w:rsidRDefault="00B259A6" w:rsidP="00C51591">
      <w:pPr>
        <w:ind w:left="1190"/>
        <w:rPr>
          <w:b w:val="0"/>
          <w:bCs w:val="0"/>
          <w:rtl/>
        </w:rPr>
      </w:pPr>
      <w:bookmarkStart w:id="1583" w:name="_Toc414888390"/>
      <w:bookmarkStart w:id="1584" w:name="_Toc451176578"/>
      <w:r w:rsidRPr="006D6E07">
        <w:rPr>
          <w:b w:val="0"/>
          <w:bCs w:val="0"/>
        </w:rPr>
        <w:t>P</w:t>
      </w:r>
      <w:r w:rsidR="00535E9E" w:rsidRPr="006D6E07">
        <w:rPr>
          <w:b w:val="0"/>
          <w:bCs w:val="0"/>
          <w:rtl/>
        </w:rPr>
        <w:t xml:space="preserve"> </w:t>
      </w:r>
      <w:r w:rsidR="00634EC5">
        <w:rPr>
          <w:rFonts w:hint="cs"/>
          <w:b w:val="0"/>
          <w:bCs w:val="0"/>
          <w:rtl/>
        </w:rPr>
        <w:t>:</w:t>
      </w:r>
      <w:r w:rsidR="00535E9E" w:rsidRPr="006D6E07">
        <w:rPr>
          <w:b w:val="0"/>
          <w:bCs w:val="0"/>
          <w:rtl/>
        </w:rPr>
        <w:t xml:space="preserve">   </w:t>
      </w:r>
      <w:r w:rsidRPr="006D6E07">
        <w:rPr>
          <w:b w:val="0"/>
          <w:bCs w:val="0"/>
          <w:rtl/>
        </w:rPr>
        <w:t>قيمة مخفف الائتمان بعد تعديلها بكافة نسب الاقتطاع الأخرى</w:t>
      </w:r>
      <w:bookmarkEnd w:id="1583"/>
      <w:bookmarkEnd w:id="1584"/>
    </w:p>
    <w:p w:rsidR="00B259A6" w:rsidRPr="006D6E07" w:rsidRDefault="00B259A6" w:rsidP="00C51591">
      <w:pPr>
        <w:ind w:left="1190"/>
        <w:rPr>
          <w:b w:val="0"/>
          <w:bCs w:val="0"/>
          <w:rtl/>
        </w:rPr>
      </w:pPr>
      <w:bookmarkStart w:id="1585" w:name="_Toc414888391"/>
      <w:bookmarkStart w:id="1586" w:name="_Toc451176579"/>
      <w:r w:rsidRPr="006D6E07">
        <w:rPr>
          <w:b w:val="0"/>
          <w:bCs w:val="0"/>
        </w:rPr>
        <w:t>t</w:t>
      </w:r>
      <w:r w:rsidR="00535E9E" w:rsidRPr="006D6E07">
        <w:rPr>
          <w:b w:val="0"/>
          <w:bCs w:val="0"/>
          <w:rtl/>
        </w:rPr>
        <w:t xml:space="preserve">  </w:t>
      </w:r>
      <w:r w:rsidR="00634EC5">
        <w:rPr>
          <w:rFonts w:hint="cs"/>
          <w:b w:val="0"/>
          <w:bCs w:val="0"/>
          <w:rtl/>
        </w:rPr>
        <w:t>:</w:t>
      </w:r>
      <w:r w:rsidRPr="006D6E07">
        <w:rPr>
          <w:b w:val="0"/>
          <w:bCs w:val="0"/>
          <w:rtl/>
        </w:rPr>
        <w:t xml:space="preserve"> </w:t>
      </w:r>
      <w:r w:rsidR="00535E9E" w:rsidRPr="006D6E07">
        <w:rPr>
          <w:b w:val="0"/>
          <w:bCs w:val="0"/>
          <w:rtl/>
        </w:rPr>
        <w:t xml:space="preserve">  </w:t>
      </w:r>
      <w:r w:rsidRPr="006D6E07">
        <w:rPr>
          <w:b w:val="0"/>
          <w:bCs w:val="0"/>
          <w:rtl/>
        </w:rPr>
        <w:t xml:space="preserve">القيمة الأقل بين( </w:t>
      </w:r>
      <w:r w:rsidRPr="006D6E07">
        <w:rPr>
          <w:b w:val="0"/>
          <w:bCs w:val="0"/>
        </w:rPr>
        <w:t>T</w:t>
      </w:r>
      <w:r w:rsidRPr="006D6E07">
        <w:rPr>
          <w:b w:val="0"/>
          <w:bCs w:val="0"/>
          <w:rtl/>
        </w:rPr>
        <w:t>، تاريخ الاستحقاق المتبقي على أداة التحوط) معبراً عنه بالسنوات</w:t>
      </w:r>
      <w:bookmarkEnd w:id="1585"/>
      <w:bookmarkEnd w:id="1586"/>
    </w:p>
    <w:p w:rsidR="00DC20B9" w:rsidRPr="006D6E07" w:rsidRDefault="00B259A6" w:rsidP="00C51591">
      <w:pPr>
        <w:ind w:left="1190"/>
        <w:rPr>
          <w:b w:val="0"/>
          <w:bCs w:val="0"/>
          <w:rtl/>
        </w:rPr>
      </w:pPr>
      <w:bookmarkStart w:id="1587" w:name="_Toc414888392"/>
      <w:bookmarkStart w:id="1588" w:name="_Toc451176580"/>
      <w:r w:rsidRPr="006D6E07">
        <w:rPr>
          <w:b w:val="0"/>
          <w:bCs w:val="0"/>
        </w:rPr>
        <w:t>T</w:t>
      </w:r>
      <w:r w:rsidR="00535E9E" w:rsidRPr="006D6E07">
        <w:rPr>
          <w:b w:val="0"/>
          <w:bCs w:val="0"/>
          <w:rtl/>
        </w:rPr>
        <w:t xml:space="preserve"> </w:t>
      </w:r>
      <w:r w:rsidR="00634EC5">
        <w:rPr>
          <w:rFonts w:hint="cs"/>
          <w:b w:val="0"/>
          <w:bCs w:val="0"/>
          <w:rtl/>
        </w:rPr>
        <w:t>:</w:t>
      </w:r>
      <w:r w:rsidRPr="006D6E07">
        <w:rPr>
          <w:b w:val="0"/>
          <w:bCs w:val="0"/>
          <w:rtl/>
        </w:rPr>
        <w:t xml:space="preserve"> </w:t>
      </w:r>
      <w:r w:rsidR="00535E9E" w:rsidRPr="006D6E07">
        <w:rPr>
          <w:b w:val="0"/>
          <w:bCs w:val="0"/>
          <w:rtl/>
        </w:rPr>
        <w:t xml:space="preserve"> </w:t>
      </w:r>
      <w:r w:rsidRPr="006D6E07">
        <w:rPr>
          <w:b w:val="0"/>
          <w:bCs w:val="0"/>
          <w:rtl/>
        </w:rPr>
        <w:t>القيمة الأقل بين (5سنوات، الأجل المتبقي للتعرض الائتماني) معبراً عنه بالسنوات.</w:t>
      </w:r>
      <w:bookmarkEnd w:id="1587"/>
      <w:bookmarkEnd w:id="1588"/>
    </w:p>
    <w:p w:rsidR="00B259A6" w:rsidRPr="006D6E07" w:rsidRDefault="00495218" w:rsidP="00811F95">
      <w:pPr>
        <w:spacing w:before="240" w:after="0" w:line="276" w:lineRule="auto"/>
        <w:ind w:left="708" w:hanging="425"/>
      </w:pPr>
      <w:bookmarkStart w:id="1589" w:name="_Toc451176581"/>
      <w:r w:rsidRPr="006D6E07">
        <w:rPr>
          <w:rtl/>
        </w:rPr>
        <w:t>27</w:t>
      </w:r>
      <w:r w:rsidR="00B259A6" w:rsidRPr="006D6E07">
        <w:rPr>
          <w:rtl/>
        </w:rPr>
        <w:t>.</w:t>
      </w:r>
      <w:r w:rsidR="00B259A6" w:rsidRPr="006D6E07">
        <w:rPr>
          <w:rtl/>
        </w:rPr>
        <w:tab/>
        <w:t xml:space="preserve">البنود </w:t>
      </w:r>
      <w:r w:rsidR="00B259A6" w:rsidRPr="00BE7B8B">
        <w:rPr>
          <w:rtl/>
        </w:rPr>
        <w:t>الأخرى</w:t>
      </w:r>
      <w:r w:rsidR="00B259A6" w:rsidRPr="006D6E07">
        <w:rPr>
          <w:rtl/>
        </w:rPr>
        <w:t xml:space="preserve"> </w:t>
      </w:r>
      <w:r w:rsidR="00B259A6" w:rsidRPr="00BE7B8B">
        <w:rPr>
          <w:rtl/>
        </w:rPr>
        <w:t>المرتبطة</w:t>
      </w:r>
      <w:r w:rsidR="00B259A6" w:rsidRPr="006D6E07">
        <w:rPr>
          <w:rtl/>
        </w:rPr>
        <w:t xml:space="preserve"> بطرق معالجة مخففات مخاطر الائتمان </w:t>
      </w:r>
      <w:r w:rsidR="00B259A6" w:rsidRPr="006D6E07">
        <w:t>Other items related to the treatment of CRM techniques:</w:t>
      </w:r>
      <w:bookmarkEnd w:id="1589"/>
    </w:p>
    <w:p w:rsidR="00B259A6" w:rsidRPr="006D6E07" w:rsidRDefault="00B259A6" w:rsidP="002F28A0">
      <w:pPr>
        <w:ind w:left="1275" w:hanging="709"/>
        <w:rPr>
          <w:b w:val="0"/>
          <w:bCs w:val="0"/>
          <w:rtl/>
        </w:rPr>
      </w:pPr>
      <w:bookmarkStart w:id="1590" w:name="_Toc414888394"/>
      <w:bookmarkStart w:id="1591" w:name="_Toc451176582"/>
      <w:r w:rsidRPr="006D6E07">
        <w:rPr>
          <w:b w:val="0"/>
          <w:bCs w:val="0"/>
          <w:rtl/>
        </w:rPr>
        <w:t>1.</w:t>
      </w:r>
      <w:r w:rsidR="00CB0691" w:rsidRPr="006D6E07">
        <w:rPr>
          <w:b w:val="0"/>
          <w:bCs w:val="0"/>
          <w:rtl/>
        </w:rPr>
        <w:t>27</w:t>
      </w:r>
      <w:r w:rsidR="00BE7B8B">
        <w:rPr>
          <w:rFonts w:hint="cs"/>
          <w:b w:val="0"/>
          <w:bCs w:val="0"/>
          <w:rtl/>
        </w:rPr>
        <w:t>.</w:t>
      </w:r>
      <w:r w:rsidRPr="006D6E07">
        <w:rPr>
          <w:b w:val="0"/>
          <w:bCs w:val="0"/>
          <w:rtl/>
        </w:rPr>
        <w:tab/>
        <w:t xml:space="preserve">معالجة تعدد مخففات مخاطر الائتمان </w:t>
      </w:r>
      <w:r w:rsidRPr="006D6E07">
        <w:rPr>
          <w:b w:val="0"/>
          <w:bCs w:val="0"/>
        </w:rPr>
        <w:t>Treatment of pools of CRM techniques</w:t>
      </w:r>
      <w:bookmarkEnd w:id="1590"/>
      <w:bookmarkEnd w:id="1591"/>
    </w:p>
    <w:p w:rsidR="00B259A6" w:rsidRPr="006D6E07" w:rsidRDefault="00B259A6" w:rsidP="00C06D2A">
      <w:pPr>
        <w:ind w:left="2126" w:hanging="851"/>
        <w:rPr>
          <w:b w:val="0"/>
          <w:bCs w:val="0"/>
        </w:rPr>
      </w:pPr>
      <w:bookmarkStart w:id="1592" w:name="_Toc414888395"/>
      <w:bookmarkStart w:id="1593" w:name="_Toc451176583"/>
      <w:r w:rsidRPr="006D6E07">
        <w:rPr>
          <w:b w:val="0"/>
          <w:bCs w:val="0"/>
          <w:rtl/>
        </w:rPr>
        <w:t>1.1.</w:t>
      </w:r>
      <w:r w:rsidR="00495218" w:rsidRPr="006D6E07">
        <w:rPr>
          <w:b w:val="0"/>
          <w:bCs w:val="0"/>
          <w:rtl/>
        </w:rPr>
        <w:t>27</w:t>
      </w:r>
      <w:r w:rsidR="00BE7B8B">
        <w:rPr>
          <w:rFonts w:hint="cs"/>
          <w:b w:val="0"/>
          <w:bCs w:val="0"/>
          <w:rtl/>
        </w:rPr>
        <w:t>.</w:t>
      </w:r>
      <w:r w:rsidRPr="006D6E07">
        <w:rPr>
          <w:b w:val="0"/>
          <w:bCs w:val="0"/>
          <w:rtl/>
        </w:rPr>
        <w:tab/>
        <w:t>في حال تمت تغطية نفس التعرض الائتماني بأكثر من أداة تخفيض مخاطر، يترتب على البنك تقسيم هذا التعرض الائتماني إلى أجزاء حسب نوع التغطية المتوفرة لكل جزء وبناء عليه فإن وزن المخاطر الترجيحي لكل جزء يجب احتسابه بشكل مستقل.</w:t>
      </w:r>
      <w:bookmarkEnd w:id="1592"/>
      <w:bookmarkEnd w:id="1593"/>
    </w:p>
    <w:p w:rsidR="00B259A6" w:rsidRPr="006D6E07" w:rsidRDefault="00B259A6" w:rsidP="00C06D2A">
      <w:pPr>
        <w:ind w:left="2126" w:hanging="851"/>
        <w:rPr>
          <w:b w:val="0"/>
          <w:bCs w:val="0"/>
          <w:rtl/>
        </w:rPr>
      </w:pPr>
      <w:bookmarkStart w:id="1594" w:name="_Toc414888396"/>
      <w:bookmarkStart w:id="1595" w:name="_Toc451176584"/>
      <w:r w:rsidRPr="006D6E07">
        <w:rPr>
          <w:b w:val="0"/>
          <w:bCs w:val="0"/>
          <w:rtl/>
        </w:rPr>
        <w:t>2.1.</w:t>
      </w:r>
      <w:r w:rsidR="00495218" w:rsidRPr="006D6E07">
        <w:rPr>
          <w:b w:val="0"/>
          <w:bCs w:val="0"/>
          <w:rtl/>
        </w:rPr>
        <w:t>27</w:t>
      </w:r>
      <w:r w:rsidR="00BE7B8B">
        <w:rPr>
          <w:rFonts w:hint="cs"/>
          <w:b w:val="0"/>
          <w:bCs w:val="0"/>
          <w:rtl/>
        </w:rPr>
        <w:t>.</w:t>
      </w:r>
      <w:r w:rsidRPr="006D6E07">
        <w:rPr>
          <w:b w:val="0"/>
          <w:bCs w:val="0"/>
          <w:rtl/>
        </w:rPr>
        <w:tab/>
        <w:t>إذا كان غطاء الحماية الائتمانية المشترى من قبل جهة واحدة له عدة تواريخ استحقاق فإن كل استحقاق يعامل كما لو كان غطاء تأميني منفصل و يجزأ التعرض الائتماني تبعا لذلك.</w:t>
      </w:r>
      <w:bookmarkEnd w:id="1594"/>
      <w:bookmarkEnd w:id="1595"/>
    </w:p>
    <w:p w:rsidR="00B259A6" w:rsidRPr="006D6E07" w:rsidRDefault="00B259A6" w:rsidP="0016569E">
      <w:pPr>
        <w:ind w:left="1275" w:hanging="709"/>
        <w:rPr>
          <w:b w:val="0"/>
          <w:bCs w:val="0"/>
        </w:rPr>
      </w:pPr>
      <w:bookmarkStart w:id="1596" w:name="_Toc414888397"/>
      <w:bookmarkStart w:id="1597" w:name="_Toc451176585"/>
      <w:r w:rsidRPr="006D6E07">
        <w:rPr>
          <w:b w:val="0"/>
          <w:bCs w:val="0"/>
          <w:rtl/>
        </w:rPr>
        <w:t>2.</w:t>
      </w:r>
      <w:r w:rsidR="00495218" w:rsidRPr="006D6E07">
        <w:rPr>
          <w:b w:val="0"/>
          <w:bCs w:val="0"/>
          <w:rtl/>
        </w:rPr>
        <w:t>27</w:t>
      </w:r>
      <w:r w:rsidR="00BE7B8B">
        <w:rPr>
          <w:rFonts w:hint="cs"/>
          <w:b w:val="0"/>
          <w:bCs w:val="0"/>
          <w:rtl/>
        </w:rPr>
        <w:t>.</w:t>
      </w:r>
      <w:r w:rsidRPr="006D6E07">
        <w:rPr>
          <w:b w:val="0"/>
          <w:bCs w:val="0"/>
          <w:rtl/>
        </w:rPr>
        <w:tab/>
        <w:t>المشتقات الائتمانية</w:t>
      </w:r>
      <w:r w:rsidR="00BE7B8B">
        <w:rPr>
          <w:rFonts w:hint="cs"/>
          <w:b w:val="0"/>
          <w:bCs w:val="0"/>
          <w:rtl/>
        </w:rPr>
        <w:t xml:space="preserve"> </w:t>
      </w:r>
      <w:r w:rsidRPr="006D6E07">
        <w:rPr>
          <w:b w:val="0"/>
          <w:bCs w:val="0"/>
          <w:rtl/>
        </w:rPr>
        <w:t>- الحماية ضد الإخفاق الأول في المحفظة</w:t>
      </w:r>
      <w:r w:rsidR="002B2743" w:rsidRPr="006D6E07">
        <w:rPr>
          <w:b w:val="0"/>
          <w:bCs w:val="0"/>
          <w:rtl/>
        </w:rPr>
        <w:br/>
      </w:r>
      <w:r w:rsidRPr="006D6E07">
        <w:rPr>
          <w:b w:val="0"/>
          <w:bCs w:val="0"/>
        </w:rPr>
        <w:t>First-to-</w:t>
      </w:r>
      <w:r w:rsidR="0016569E">
        <w:rPr>
          <w:b w:val="0"/>
          <w:bCs w:val="0"/>
        </w:rPr>
        <w:t>D</w:t>
      </w:r>
      <w:r w:rsidRPr="006D6E07">
        <w:rPr>
          <w:b w:val="0"/>
          <w:bCs w:val="0"/>
        </w:rPr>
        <w:t xml:space="preserve">efault </w:t>
      </w:r>
      <w:r w:rsidR="0016569E">
        <w:rPr>
          <w:b w:val="0"/>
          <w:bCs w:val="0"/>
        </w:rPr>
        <w:t>C</w:t>
      </w:r>
      <w:r w:rsidRPr="006D6E07">
        <w:rPr>
          <w:b w:val="0"/>
          <w:bCs w:val="0"/>
        </w:rPr>
        <w:t xml:space="preserve">redit </w:t>
      </w:r>
      <w:r w:rsidR="0016569E">
        <w:rPr>
          <w:b w:val="0"/>
          <w:bCs w:val="0"/>
        </w:rPr>
        <w:t>D</w:t>
      </w:r>
      <w:r w:rsidRPr="006D6E07">
        <w:rPr>
          <w:b w:val="0"/>
          <w:bCs w:val="0"/>
        </w:rPr>
        <w:t>erivatives</w:t>
      </w:r>
      <w:bookmarkEnd w:id="1596"/>
      <w:bookmarkEnd w:id="1597"/>
    </w:p>
    <w:p w:rsidR="00B259A6" w:rsidRPr="006D6E07" w:rsidRDefault="00B259A6" w:rsidP="00811F95">
      <w:pPr>
        <w:spacing w:after="0"/>
        <w:ind w:left="2126" w:hanging="851"/>
        <w:rPr>
          <w:b w:val="0"/>
          <w:bCs w:val="0"/>
        </w:rPr>
      </w:pPr>
      <w:bookmarkStart w:id="1598" w:name="_Toc414888398"/>
      <w:bookmarkStart w:id="1599" w:name="_Toc451176586"/>
      <w:r w:rsidRPr="006D6E07">
        <w:rPr>
          <w:b w:val="0"/>
          <w:bCs w:val="0"/>
          <w:rtl/>
        </w:rPr>
        <w:t>1.2.</w:t>
      </w:r>
      <w:r w:rsidR="00495218" w:rsidRPr="006D6E07">
        <w:rPr>
          <w:b w:val="0"/>
          <w:bCs w:val="0"/>
          <w:rtl/>
        </w:rPr>
        <w:t>27</w:t>
      </w:r>
      <w:r w:rsidR="00BE7B8B">
        <w:rPr>
          <w:rFonts w:hint="cs"/>
          <w:b w:val="0"/>
          <w:bCs w:val="0"/>
          <w:rtl/>
        </w:rPr>
        <w:t>.</w:t>
      </w:r>
      <w:r w:rsidRPr="006D6E07">
        <w:rPr>
          <w:b w:val="0"/>
          <w:bCs w:val="0"/>
          <w:rtl/>
        </w:rPr>
        <w:tab/>
        <w:t>إذا قام البنك بشراء حماية ائتمانية لمحفظة من التعرضات الائتمانية وفي حال كانت هذه الحماية توفر الغطاء الائتماني لأول حالة إخفاق بين مجموعة المقترضين فقط و بحيث تنتهي الحماية بعد ذلك ، فإنه يجوز للبنك عدم احتساب متطلبات رأس المال للأصل الذي له أقل قيمة مرجحة بالمخاطر ضمن هذه السلة شريطة أن تكون القيمة الاسمية لهذا الأصل تساوي أو تقل عن القيمة الإسمية للمشتقة الائتمانية.</w:t>
      </w:r>
      <w:bookmarkEnd w:id="1598"/>
      <w:bookmarkEnd w:id="1599"/>
    </w:p>
    <w:p w:rsidR="00B259A6" w:rsidRPr="006D6E07" w:rsidRDefault="00B259A6" w:rsidP="00C06D2A">
      <w:pPr>
        <w:ind w:left="2126" w:hanging="851"/>
        <w:rPr>
          <w:b w:val="0"/>
          <w:bCs w:val="0"/>
        </w:rPr>
      </w:pPr>
      <w:bookmarkStart w:id="1600" w:name="_Toc414888399"/>
      <w:bookmarkStart w:id="1601" w:name="_Toc451176587"/>
      <w:r w:rsidRPr="006D6E07">
        <w:rPr>
          <w:b w:val="0"/>
          <w:bCs w:val="0"/>
          <w:rtl/>
        </w:rPr>
        <w:t>2.2.</w:t>
      </w:r>
      <w:r w:rsidR="00495218" w:rsidRPr="006D6E07">
        <w:rPr>
          <w:b w:val="0"/>
          <w:bCs w:val="0"/>
          <w:rtl/>
        </w:rPr>
        <w:t>27</w:t>
      </w:r>
      <w:r w:rsidR="00BE7B8B">
        <w:rPr>
          <w:rFonts w:hint="cs"/>
          <w:b w:val="0"/>
          <w:bCs w:val="0"/>
          <w:rtl/>
        </w:rPr>
        <w:t>.</w:t>
      </w:r>
      <w:r w:rsidRPr="006D6E07">
        <w:rPr>
          <w:b w:val="0"/>
          <w:bCs w:val="0"/>
          <w:rtl/>
        </w:rPr>
        <w:tab/>
        <w:t>إذا قام البنك ببيع المشتقة الائتمانية وكانت الأصول المحمية مصنفة من قبل جهة تصنيف خارجية مؤهلة، تنطبق التعليمات المتعلقة بإطار التسنيد على هذه الحالة، أما إذا كانت غير مصنفة من قبل جهة تصنيف خارجية مؤهلة، فإنه يتم تجميع أوزان المخاطر الترجيحية لكل</w:t>
      </w:r>
      <w:r w:rsidR="009058CD" w:rsidRPr="006D6E07">
        <w:rPr>
          <w:b w:val="0"/>
          <w:bCs w:val="0"/>
          <w:rtl/>
        </w:rPr>
        <w:t xml:space="preserve"> الموجودات </w:t>
      </w:r>
      <w:r w:rsidRPr="006D6E07">
        <w:rPr>
          <w:b w:val="0"/>
          <w:bCs w:val="0"/>
          <w:rtl/>
        </w:rPr>
        <w:t>المشمولة ضمن الغطاء التأميني وبحد أقصى (1250%) ومن ثم ضربها بالقيمة الإسمية للغطاء التأميني للحصول على القيمة المرجحة بالمخاطر المناسبة لهذه</w:t>
      </w:r>
      <w:r w:rsidR="009058CD" w:rsidRPr="006D6E07">
        <w:rPr>
          <w:b w:val="0"/>
          <w:bCs w:val="0"/>
          <w:rtl/>
        </w:rPr>
        <w:t xml:space="preserve"> الموجودات</w:t>
      </w:r>
      <w:r w:rsidRPr="006D6E07">
        <w:rPr>
          <w:b w:val="0"/>
          <w:bCs w:val="0"/>
          <w:rtl/>
        </w:rPr>
        <w:t>.</w:t>
      </w:r>
      <w:bookmarkEnd w:id="1600"/>
      <w:bookmarkEnd w:id="1601"/>
    </w:p>
    <w:p w:rsidR="00B259A6" w:rsidRPr="006D6E07" w:rsidRDefault="00B259A6" w:rsidP="002F28A0">
      <w:pPr>
        <w:ind w:left="1275" w:hanging="709"/>
        <w:rPr>
          <w:b w:val="0"/>
          <w:bCs w:val="0"/>
        </w:rPr>
      </w:pPr>
      <w:bookmarkStart w:id="1602" w:name="_Toc414888400"/>
      <w:bookmarkStart w:id="1603" w:name="_Toc451176588"/>
      <w:r w:rsidRPr="006D6E07">
        <w:rPr>
          <w:b w:val="0"/>
          <w:bCs w:val="0"/>
          <w:rtl/>
        </w:rPr>
        <w:lastRenderedPageBreak/>
        <w:t>3.</w:t>
      </w:r>
      <w:r w:rsidR="00495218" w:rsidRPr="006D6E07">
        <w:rPr>
          <w:b w:val="0"/>
          <w:bCs w:val="0"/>
          <w:rtl/>
        </w:rPr>
        <w:t>27</w:t>
      </w:r>
      <w:r w:rsidR="00BE7B8B">
        <w:rPr>
          <w:rFonts w:hint="cs"/>
          <w:b w:val="0"/>
          <w:bCs w:val="0"/>
          <w:rtl/>
        </w:rPr>
        <w:t>.</w:t>
      </w:r>
      <w:r w:rsidRPr="006D6E07">
        <w:rPr>
          <w:b w:val="0"/>
          <w:bCs w:val="0"/>
          <w:rtl/>
        </w:rPr>
        <w:tab/>
        <w:t>المشتقات الائتمانية –</w:t>
      </w:r>
      <w:r w:rsidR="00BE7B8B">
        <w:rPr>
          <w:rFonts w:hint="cs"/>
          <w:b w:val="0"/>
          <w:bCs w:val="0"/>
          <w:rtl/>
        </w:rPr>
        <w:t xml:space="preserve"> </w:t>
      </w:r>
      <w:r w:rsidRPr="006D6E07">
        <w:rPr>
          <w:b w:val="0"/>
          <w:bCs w:val="0"/>
          <w:rtl/>
        </w:rPr>
        <w:t>الحماية ضد الإخفاق الثاني في المحفظة</w:t>
      </w:r>
      <w:r w:rsidR="002B2743" w:rsidRPr="006D6E07">
        <w:rPr>
          <w:b w:val="0"/>
          <w:bCs w:val="0"/>
          <w:rtl/>
        </w:rPr>
        <w:br/>
      </w:r>
      <w:r w:rsidRPr="006D6E07">
        <w:rPr>
          <w:b w:val="0"/>
          <w:bCs w:val="0"/>
        </w:rPr>
        <w:t>Second-to-default credit derivatives</w:t>
      </w:r>
      <w:bookmarkEnd w:id="1602"/>
      <w:bookmarkEnd w:id="1603"/>
    </w:p>
    <w:p w:rsidR="00B259A6" w:rsidRPr="006D6E07" w:rsidRDefault="00B259A6" w:rsidP="00C06D2A">
      <w:pPr>
        <w:ind w:left="2126" w:hanging="851"/>
        <w:rPr>
          <w:b w:val="0"/>
          <w:bCs w:val="0"/>
        </w:rPr>
      </w:pPr>
      <w:bookmarkStart w:id="1604" w:name="_Toc414888401"/>
      <w:bookmarkStart w:id="1605" w:name="_Toc451176589"/>
      <w:r w:rsidRPr="006D6E07">
        <w:rPr>
          <w:b w:val="0"/>
          <w:bCs w:val="0"/>
          <w:rtl/>
        </w:rPr>
        <w:t>1.3.</w:t>
      </w:r>
      <w:r w:rsidR="00495218" w:rsidRPr="006D6E07">
        <w:rPr>
          <w:b w:val="0"/>
          <w:bCs w:val="0"/>
          <w:rtl/>
        </w:rPr>
        <w:t>27</w:t>
      </w:r>
      <w:r w:rsidR="00BE7B8B">
        <w:rPr>
          <w:rFonts w:hint="cs"/>
          <w:b w:val="0"/>
          <w:bCs w:val="0"/>
          <w:rtl/>
        </w:rPr>
        <w:t>.</w:t>
      </w:r>
      <w:r w:rsidRPr="006D6E07">
        <w:rPr>
          <w:b w:val="0"/>
          <w:bCs w:val="0"/>
          <w:rtl/>
        </w:rPr>
        <w:tab/>
        <w:t>إذا قام البنك بشراء حماية ائتمانية لمحفظة من التعرضات الائتمانية وفي حال كانت هذه الحماية توفر الغطاء التأميني لثاني حالة إخفاق بين مجموعة المقترضين فقط فإنه يعترف بهذا الغطاء إذا تحقق أحد الشرطين التاليين:</w:t>
      </w:r>
      <w:bookmarkEnd w:id="1604"/>
      <w:bookmarkEnd w:id="1605"/>
    </w:p>
    <w:p w:rsidR="00B259A6" w:rsidRPr="006D6E07" w:rsidRDefault="00B259A6" w:rsidP="00811F95">
      <w:pPr>
        <w:pStyle w:val="ListParagraph"/>
        <w:numPr>
          <w:ilvl w:val="0"/>
          <w:numId w:val="29"/>
        </w:numPr>
        <w:ind w:left="2693" w:hanging="567"/>
        <w:rPr>
          <w:b w:val="0"/>
          <w:bCs w:val="0"/>
          <w:rtl/>
        </w:rPr>
      </w:pPr>
      <w:bookmarkStart w:id="1606" w:name="_Toc414888402"/>
      <w:bookmarkStart w:id="1607" w:name="_Toc451176590"/>
      <w:r w:rsidRPr="006D6E07">
        <w:rPr>
          <w:b w:val="0"/>
          <w:bCs w:val="0"/>
          <w:rtl/>
        </w:rPr>
        <w:t>وجود مشتقة ائتمانية للحماية ضد الإخفاق الأول في نفس المحفظة.</w:t>
      </w:r>
      <w:bookmarkEnd w:id="1606"/>
      <w:bookmarkEnd w:id="1607"/>
    </w:p>
    <w:p w:rsidR="00B259A6" w:rsidRPr="006D6E07" w:rsidRDefault="00B259A6" w:rsidP="00811F95">
      <w:pPr>
        <w:pStyle w:val="ListParagraph"/>
        <w:numPr>
          <w:ilvl w:val="0"/>
          <w:numId w:val="29"/>
        </w:numPr>
        <w:ind w:left="2693" w:hanging="567"/>
        <w:rPr>
          <w:b w:val="0"/>
          <w:bCs w:val="0"/>
        </w:rPr>
      </w:pPr>
      <w:bookmarkStart w:id="1608" w:name="_Toc414888403"/>
      <w:bookmarkStart w:id="1609" w:name="_Toc451176591"/>
      <w:r w:rsidRPr="006D6E07">
        <w:rPr>
          <w:b w:val="0"/>
          <w:bCs w:val="0"/>
          <w:rtl/>
        </w:rPr>
        <w:t>حدوث إخفاق لأحد الأصول ضمن نفس المحفظة.</w:t>
      </w:r>
      <w:bookmarkEnd w:id="1608"/>
      <w:bookmarkEnd w:id="1609"/>
    </w:p>
    <w:p w:rsidR="00B259A6" w:rsidRPr="006D6E07" w:rsidRDefault="00B259A6" w:rsidP="00580899">
      <w:pPr>
        <w:ind w:left="2126" w:hanging="851"/>
        <w:rPr>
          <w:b w:val="0"/>
          <w:bCs w:val="0"/>
          <w:rtl/>
        </w:rPr>
      </w:pPr>
      <w:bookmarkStart w:id="1610" w:name="_Toc414888404"/>
      <w:bookmarkStart w:id="1611" w:name="_Toc451176592"/>
      <w:r w:rsidRPr="006D6E07">
        <w:rPr>
          <w:b w:val="0"/>
          <w:bCs w:val="0"/>
          <w:rtl/>
        </w:rPr>
        <w:t>2.3.</w:t>
      </w:r>
      <w:r w:rsidR="00495218" w:rsidRPr="006D6E07">
        <w:rPr>
          <w:b w:val="0"/>
          <w:bCs w:val="0"/>
          <w:rtl/>
        </w:rPr>
        <w:t>27</w:t>
      </w:r>
      <w:r w:rsidR="00BE7B8B">
        <w:rPr>
          <w:rFonts w:hint="cs"/>
          <w:b w:val="0"/>
          <w:bCs w:val="0"/>
          <w:rtl/>
        </w:rPr>
        <w:t>.</w:t>
      </w:r>
      <w:r w:rsidRPr="006D6E07">
        <w:rPr>
          <w:b w:val="0"/>
          <w:bCs w:val="0"/>
          <w:rtl/>
        </w:rPr>
        <w:tab/>
        <w:t>في حال كان البنك يقوم ببيع هذه المشتقة الائتمانية ينطبق عليه نفس ما ورد في البند</w:t>
      </w:r>
      <w:r w:rsidR="002B2743" w:rsidRPr="006D6E07">
        <w:rPr>
          <w:b w:val="0"/>
          <w:bCs w:val="0"/>
          <w:rtl/>
        </w:rPr>
        <w:t xml:space="preserve"> </w:t>
      </w:r>
      <w:r w:rsidRPr="006D6E07">
        <w:rPr>
          <w:b w:val="0"/>
          <w:bCs w:val="0"/>
          <w:rtl/>
        </w:rPr>
        <w:t>(</w:t>
      </w:r>
      <w:r w:rsidR="002B2743" w:rsidRPr="006D6E07">
        <w:rPr>
          <w:b w:val="0"/>
          <w:bCs w:val="0"/>
          <w:rtl/>
        </w:rPr>
        <w:t>2.2.</w:t>
      </w:r>
      <w:r w:rsidR="00CB0691" w:rsidRPr="006D6E07">
        <w:rPr>
          <w:b w:val="0"/>
          <w:bCs w:val="0"/>
          <w:rtl/>
        </w:rPr>
        <w:t>27</w:t>
      </w:r>
      <w:r w:rsidRPr="006D6E07">
        <w:rPr>
          <w:b w:val="0"/>
          <w:bCs w:val="0"/>
          <w:rtl/>
        </w:rPr>
        <w:t>) من فقرة الحماية ضد الإخفاق الأول باستثناء تجميع أوزان المخاطر الترجيحية وبحيث يستبعد الأصل ذو أدنى قيمة مرجحة بالمخاطر من عملية الاحتساب.</w:t>
      </w:r>
      <w:bookmarkEnd w:id="1610"/>
      <w:bookmarkEnd w:id="1611"/>
    </w:p>
    <w:p w:rsidR="00BA56CF" w:rsidRDefault="00BA56CF" w:rsidP="00136C4D">
      <w:pPr>
        <w:pStyle w:val="Heading2"/>
        <w:rPr>
          <w:rtl/>
        </w:rPr>
      </w:pPr>
      <w:bookmarkStart w:id="1612" w:name="_Toc414888405"/>
      <w:bookmarkStart w:id="1613" w:name="_Toc451176593"/>
      <w:bookmarkStart w:id="1614" w:name="_Toc451180490"/>
      <w:bookmarkStart w:id="1615" w:name="_Toc451260332"/>
    </w:p>
    <w:p w:rsidR="00B259A6" w:rsidRPr="006D6E07" w:rsidRDefault="00E60207" w:rsidP="00136C4D">
      <w:pPr>
        <w:pStyle w:val="Heading2"/>
        <w:rPr>
          <w:rtl/>
        </w:rPr>
      </w:pPr>
      <w:r w:rsidRPr="006D6E07">
        <w:rPr>
          <w:rtl/>
        </w:rPr>
        <w:t xml:space="preserve">ثالثاً: </w:t>
      </w:r>
      <w:r w:rsidR="00B259A6" w:rsidRPr="006D6E07">
        <w:rPr>
          <w:rtl/>
        </w:rPr>
        <w:t>مخاطر التشغيل</w:t>
      </w:r>
      <w:bookmarkEnd w:id="1612"/>
      <w:bookmarkEnd w:id="1613"/>
      <w:bookmarkEnd w:id="1614"/>
      <w:bookmarkEnd w:id="1615"/>
      <w:r w:rsidR="00B259A6" w:rsidRPr="006D6E07">
        <w:rPr>
          <w:rtl/>
        </w:rPr>
        <w:t xml:space="preserve"> </w:t>
      </w:r>
    </w:p>
    <w:p w:rsidR="007D2859" w:rsidRPr="00BE7B8B" w:rsidRDefault="007D2859" w:rsidP="00BE7B8B">
      <w:pPr>
        <w:rPr>
          <w:b w:val="0"/>
          <w:bCs w:val="0"/>
          <w:rtl/>
        </w:rPr>
      </w:pPr>
      <w:r w:rsidRPr="00BE7B8B">
        <w:rPr>
          <w:b w:val="0"/>
          <w:bCs w:val="0"/>
          <w:rtl/>
        </w:rPr>
        <w:t>تعرف مخاطر التشغيل بأنها مخاطر الخسارة الناتجة عن فشل أو عدم كفاية الإجراءات الداخلية، العنصر البشري، والأنظمة، أو عن أحداث خارجية، ويشمل هذا التعريف المخاطر القانونية ولا يشمل المخاطر الاستراتيجية ومخاطر السمعة .</w:t>
      </w:r>
    </w:p>
    <w:p w:rsidR="00BE7B8B" w:rsidRDefault="007D2859" w:rsidP="00BA56CF">
      <w:pPr>
        <w:pStyle w:val="ListParagraph"/>
        <w:numPr>
          <w:ilvl w:val="0"/>
          <w:numId w:val="46"/>
        </w:numPr>
        <w:spacing w:after="240" w:line="276" w:lineRule="auto"/>
        <w:ind w:left="708" w:hanging="425"/>
      </w:pPr>
      <w:r w:rsidRPr="00BE7B8B">
        <w:rPr>
          <w:rtl/>
        </w:rPr>
        <w:t>قياس مخاطر التشغيل</w:t>
      </w:r>
    </w:p>
    <w:p w:rsidR="007D2859" w:rsidRPr="00BE7B8B" w:rsidRDefault="007D2859" w:rsidP="005A5C26">
      <w:pPr>
        <w:pStyle w:val="ListParagraph"/>
        <w:spacing w:after="0" w:line="276" w:lineRule="auto"/>
        <w:ind w:left="850" w:hanging="142"/>
        <w:contextualSpacing w:val="0"/>
        <w:rPr>
          <w:rtl/>
        </w:rPr>
      </w:pPr>
      <w:r w:rsidRPr="00BE7B8B">
        <w:rPr>
          <w:rtl/>
        </w:rPr>
        <w:t>تقاس مخاطر التشغيل باتباع أحد الأساليب التالية:</w:t>
      </w:r>
    </w:p>
    <w:p w:rsidR="007D2859" w:rsidRPr="00BE7B8B" w:rsidRDefault="00BA56CF" w:rsidP="00BA56CF">
      <w:pPr>
        <w:spacing w:after="0"/>
        <w:ind w:left="1275" w:hanging="709"/>
        <w:rPr>
          <w:b w:val="0"/>
          <w:bCs w:val="0"/>
          <w:rtl/>
        </w:rPr>
      </w:pPr>
      <w:r>
        <w:rPr>
          <w:rFonts w:hint="cs"/>
          <w:b w:val="0"/>
          <w:bCs w:val="0"/>
          <w:rtl/>
        </w:rPr>
        <w:t>1</w:t>
      </w:r>
      <w:r w:rsidRPr="006D6E07">
        <w:rPr>
          <w:b w:val="0"/>
          <w:bCs w:val="0"/>
          <w:rtl/>
        </w:rPr>
        <w:t>.</w:t>
      </w:r>
      <w:r>
        <w:rPr>
          <w:rFonts w:hint="cs"/>
          <w:b w:val="0"/>
          <w:bCs w:val="0"/>
          <w:rtl/>
        </w:rPr>
        <w:t>1.</w:t>
      </w:r>
      <w:r w:rsidR="007D2859" w:rsidRPr="00BE7B8B">
        <w:rPr>
          <w:b w:val="0"/>
          <w:bCs w:val="0"/>
          <w:rtl/>
        </w:rPr>
        <w:tab/>
        <w:t>طريقة المؤشر الأساسي (</w:t>
      </w:r>
      <w:r w:rsidR="007D2859" w:rsidRPr="00BE7B8B">
        <w:rPr>
          <w:b w:val="0"/>
          <w:bCs w:val="0"/>
        </w:rPr>
        <w:t>Basic Indicator Approach</w:t>
      </w:r>
      <w:r w:rsidR="007D2859" w:rsidRPr="00BE7B8B">
        <w:rPr>
          <w:b w:val="0"/>
          <w:bCs w:val="0"/>
          <w:rtl/>
        </w:rPr>
        <w:t>) .</w:t>
      </w:r>
    </w:p>
    <w:p w:rsidR="007D2859" w:rsidRPr="00BE7B8B" w:rsidRDefault="00BA56CF" w:rsidP="00BA56CF">
      <w:pPr>
        <w:spacing w:after="0"/>
        <w:ind w:left="1275" w:hanging="709"/>
        <w:rPr>
          <w:b w:val="0"/>
          <w:bCs w:val="0"/>
          <w:rtl/>
        </w:rPr>
      </w:pPr>
      <w:r>
        <w:rPr>
          <w:rFonts w:hint="cs"/>
          <w:b w:val="0"/>
          <w:bCs w:val="0"/>
          <w:rtl/>
        </w:rPr>
        <w:t>2</w:t>
      </w:r>
      <w:r w:rsidRPr="006D6E07">
        <w:rPr>
          <w:b w:val="0"/>
          <w:bCs w:val="0"/>
          <w:rtl/>
        </w:rPr>
        <w:t>.</w:t>
      </w:r>
      <w:r>
        <w:rPr>
          <w:rFonts w:hint="cs"/>
          <w:b w:val="0"/>
          <w:bCs w:val="0"/>
          <w:rtl/>
        </w:rPr>
        <w:t>1.</w:t>
      </w:r>
      <w:r w:rsidR="007D2859" w:rsidRPr="00BE7B8B">
        <w:rPr>
          <w:b w:val="0"/>
          <w:bCs w:val="0"/>
          <w:rtl/>
        </w:rPr>
        <w:tab/>
        <w:t>الطريقة المعيارية (</w:t>
      </w:r>
      <w:r w:rsidR="007D2859" w:rsidRPr="00BE7B8B">
        <w:rPr>
          <w:b w:val="0"/>
          <w:bCs w:val="0"/>
        </w:rPr>
        <w:t>Standardized Approach</w:t>
      </w:r>
      <w:r w:rsidR="007D2859" w:rsidRPr="00BE7B8B">
        <w:rPr>
          <w:b w:val="0"/>
          <w:bCs w:val="0"/>
          <w:rtl/>
        </w:rPr>
        <w:t>)/ الطريقة المعيارية البديلة</w:t>
      </w:r>
      <w:r w:rsidR="007D2859" w:rsidRPr="00BE7B8B">
        <w:rPr>
          <w:b w:val="0"/>
          <w:bCs w:val="0"/>
          <w:rtl/>
        </w:rPr>
        <w:br/>
      </w:r>
      <w:r w:rsidR="007D2859" w:rsidRPr="00BE7B8B">
        <w:rPr>
          <w:b w:val="0"/>
          <w:bCs w:val="0"/>
        </w:rPr>
        <w:t>The Alternative Standardized Approach)</w:t>
      </w:r>
      <w:r w:rsidR="007D2859" w:rsidRPr="00BE7B8B">
        <w:rPr>
          <w:b w:val="0"/>
          <w:bCs w:val="0"/>
          <w:rtl/>
        </w:rPr>
        <w:t>).</w:t>
      </w:r>
    </w:p>
    <w:p w:rsidR="007D2859" w:rsidRDefault="00BA56CF" w:rsidP="00BA56CF">
      <w:pPr>
        <w:spacing w:after="0"/>
        <w:ind w:left="1275" w:hanging="709"/>
        <w:rPr>
          <w:b w:val="0"/>
          <w:bCs w:val="0"/>
        </w:rPr>
      </w:pPr>
      <w:r w:rsidRPr="006D6E07">
        <w:rPr>
          <w:b w:val="0"/>
          <w:bCs w:val="0"/>
          <w:rtl/>
        </w:rPr>
        <w:t>3.</w:t>
      </w:r>
      <w:r>
        <w:rPr>
          <w:rFonts w:hint="cs"/>
          <w:b w:val="0"/>
          <w:bCs w:val="0"/>
          <w:rtl/>
        </w:rPr>
        <w:t>1.</w:t>
      </w:r>
      <w:r w:rsidR="007D2859" w:rsidRPr="00BE7B8B">
        <w:rPr>
          <w:b w:val="0"/>
          <w:bCs w:val="0"/>
          <w:rtl/>
        </w:rPr>
        <w:tab/>
        <w:t xml:space="preserve">طريقة </w:t>
      </w:r>
      <w:r w:rsidR="007D2859" w:rsidRPr="00C77C11">
        <w:rPr>
          <w:b w:val="0"/>
          <w:bCs w:val="0"/>
          <w:rtl/>
        </w:rPr>
        <w:t>القياس</w:t>
      </w:r>
      <w:r w:rsidR="007D2859" w:rsidRPr="00BE7B8B">
        <w:rPr>
          <w:b w:val="0"/>
          <w:bCs w:val="0"/>
          <w:rtl/>
        </w:rPr>
        <w:t xml:space="preserve"> المتقدمة (</w:t>
      </w:r>
      <w:r w:rsidR="007D2859" w:rsidRPr="00BE7B8B">
        <w:rPr>
          <w:b w:val="0"/>
          <w:bCs w:val="0"/>
        </w:rPr>
        <w:t>Advanced Measurement Approach</w:t>
      </w:r>
      <w:r w:rsidR="007D2859" w:rsidRPr="00BE7B8B">
        <w:rPr>
          <w:b w:val="0"/>
          <w:bCs w:val="0"/>
          <w:rtl/>
        </w:rPr>
        <w:t>) .</w:t>
      </w:r>
    </w:p>
    <w:p w:rsidR="007D2859" w:rsidRPr="00BA56CF" w:rsidRDefault="00BA56CF" w:rsidP="005A5C26">
      <w:pPr>
        <w:spacing w:before="240" w:after="0"/>
        <w:ind w:left="708" w:hanging="425"/>
        <w:rPr>
          <w:rtl/>
        </w:rPr>
      </w:pPr>
      <w:r w:rsidRPr="00BA56CF">
        <w:rPr>
          <w:rFonts w:hint="cs"/>
          <w:rtl/>
          <w:lang w:bidi="ar-JO"/>
        </w:rPr>
        <w:t>2</w:t>
      </w:r>
      <w:r w:rsidR="007D2859" w:rsidRPr="00BA56CF">
        <w:rPr>
          <w:rtl/>
        </w:rPr>
        <w:t>.</w:t>
      </w:r>
      <w:r w:rsidR="007D2859" w:rsidRPr="00BA56CF">
        <w:rPr>
          <w:rtl/>
        </w:rPr>
        <w:tab/>
        <w:t>طريقة المؤشر الأساسي (</w:t>
      </w:r>
      <w:r w:rsidR="007D2859" w:rsidRPr="00BA56CF">
        <w:t>Basic Indicator Approach</w:t>
      </w:r>
      <w:r w:rsidR="007D2859" w:rsidRPr="00BA56CF">
        <w:rPr>
          <w:rtl/>
        </w:rPr>
        <w:t>)</w:t>
      </w:r>
    </w:p>
    <w:p w:rsidR="002B2743" w:rsidRDefault="007D2859" w:rsidP="00BA56CF">
      <w:pPr>
        <w:ind w:left="1275" w:hanging="709"/>
        <w:rPr>
          <w:b w:val="0"/>
          <w:bCs w:val="0"/>
          <w:rtl/>
        </w:rPr>
      </w:pPr>
      <w:r w:rsidRPr="00BE7B8B">
        <w:rPr>
          <w:b w:val="0"/>
          <w:bCs w:val="0"/>
          <w:rtl/>
        </w:rPr>
        <w:t>1.2</w:t>
      </w:r>
      <w:r w:rsidR="00634EC5">
        <w:rPr>
          <w:rFonts w:hint="cs"/>
          <w:b w:val="0"/>
          <w:bCs w:val="0"/>
          <w:rtl/>
        </w:rPr>
        <w:t>.</w:t>
      </w:r>
      <w:r w:rsidRPr="00BE7B8B">
        <w:rPr>
          <w:b w:val="0"/>
          <w:bCs w:val="0"/>
          <w:rtl/>
        </w:rPr>
        <w:tab/>
        <w:t xml:space="preserve">يحتسب رأس المال لمواجهة مخاطر التشغيل من خلال حاصل ضرب نسبة ثابتة (ألفا) </w:t>
      </w:r>
      <w:r w:rsidRPr="00C77C11">
        <w:rPr>
          <w:b w:val="0"/>
          <w:bCs w:val="0"/>
          <w:rtl/>
        </w:rPr>
        <w:t>بالمتوسط</w:t>
      </w:r>
      <w:r w:rsidRPr="00BE7B8B">
        <w:rPr>
          <w:b w:val="0"/>
          <w:bCs w:val="0"/>
          <w:rtl/>
        </w:rPr>
        <w:t xml:space="preserve"> السنوي لإجمالي الدخل الموجب لآخر ثلاث سنوات، ويستثنى إجمالي الدخل السالب المتحقق خلال أي من السنوات الثلاثة السابقة من بسط النسبة ويعدل عدد السنوات تبع</w:t>
      </w:r>
      <w:r w:rsidR="00DF19D3">
        <w:rPr>
          <w:b w:val="0"/>
          <w:bCs w:val="0"/>
          <w:rtl/>
        </w:rPr>
        <w:t>اً لذلك وحسب المعادلة التالية :</w:t>
      </w:r>
    </w:p>
    <w:tbl>
      <w:tblPr>
        <w:tblStyle w:val="TableGrid"/>
        <w:bidiVisual/>
        <w:tblW w:w="0" w:type="auto"/>
        <w:jc w:val="center"/>
        <w:tblLook w:val="04A0" w:firstRow="1" w:lastRow="0" w:firstColumn="1" w:lastColumn="0" w:noHBand="0" w:noVBand="1"/>
      </w:tblPr>
      <w:tblGrid>
        <w:gridCol w:w="5328"/>
      </w:tblGrid>
      <w:tr w:rsidR="00DF19D3" w:rsidTr="00DF19D3">
        <w:trPr>
          <w:jc w:val="center"/>
        </w:trPr>
        <w:tc>
          <w:tcPr>
            <w:tcW w:w="5328" w:type="dxa"/>
          </w:tcPr>
          <w:p w:rsidR="00DF19D3" w:rsidRPr="00DF19D3" w:rsidRDefault="00DF19D3" w:rsidP="00DF19D3">
            <w:pPr>
              <w:autoSpaceDE w:val="0"/>
              <w:autoSpaceDN w:val="0"/>
              <w:bidi w:val="0"/>
              <w:adjustRightInd w:val="0"/>
              <w:jc w:val="center"/>
              <w:rPr>
                <w:b w:val="0"/>
                <w:bCs w:val="0"/>
                <w:rtl/>
                <w:lang w:bidi="ar-JO"/>
              </w:rPr>
            </w:pPr>
            <w:r w:rsidRPr="006D6E07">
              <w:rPr>
                <w:b w:val="0"/>
                <w:bCs w:val="0"/>
                <w:lang w:bidi="ar-JO"/>
              </w:rPr>
              <w:t>KBIA</w:t>
            </w:r>
            <w:r w:rsidRPr="006D6E07">
              <w:rPr>
                <w:b w:val="0"/>
                <w:bCs w:val="0"/>
                <w:lang w:val="el-GR" w:bidi="ar-JO"/>
              </w:rPr>
              <w:t xml:space="preserve"> = [</w:t>
            </w:r>
            <w:r w:rsidRPr="006D6E07">
              <w:rPr>
                <w:rFonts w:ascii="Times New Roman" w:hAnsi="Times New Roman" w:cs="Times New Roman"/>
                <w:b w:val="0"/>
                <w:bCs w:val="0"/>
                <w:lang w:val="el-GR"/>
              </w:rPr>
              <w:t>Σ</w:t>
            </w:r>
            <w:r w:rsidRPr="006D6E07">
              <w:rPr>
                <w:b w:val="0"/>
                <w:bCs w:val="0"/>
                <w:lang w:val="el-GR"/>
              </w:rPr>
              <w:t xml:space="preserve"> </w:t>
            </w:r>
            <w:r w:rsidRPr="006D6E07">
              <w:rPr>
                <w:b w:val="0"/>
                <w:bCs w:val="0"/>
                <w:lang w:val="el-GR" w:bidi="ar-JO"/>
              </w:rPr>
              <w:t>(</w:t>
            </w:r>
            <w:r w:rsidRPr="006D6E07">
              <w:rPr>
                <w:b w:val="0"/>
                <w:bCs w:val="0"/>
                <w:lang w:bidi="ar-JO"/>
              </w:rPr>
              <w:t>GI</w:t>
            </w:r>
            <w:r w:rsidRPr="006D6E07">
              <w:rPr>
                <w:b w:val="0"/>
                <w:bCs w:val="0"/>
                <w:lang w:val="el-GR" w:bidi="ar-JO"/>
              </w:rPr>
              <w:t xml:space="preserve"> 1…</w:t>
            </w:r>
            <w:r w:rsidRPr="006D6E07">
              <w:rPr>
                <w:b w:val="0"/>
                <w:bCs w:val="0"/>
                <w:lang w:bidi="ar-JO"/>
              </w:rPr>
              <w:t>n</w:t>
            </w:r>
            <w:r w:rsidRPr="006D6E07">
              <w:rPr>
                <w:b w:val="0"/>
                <w:bCs w:val="0"/>
                <w:lang w:val="el-GR" w:bidi="ar-JO"/>
              </w:rPr>
              <w:t xml:space="preserve"> × </w:t>
            </w:r>
            <w:r w:rsidRPr="006D6E07">
              <w:rPr>
                <w:rFonts w:ascii="Times New Roman" w:hAnsi="Times New Roman" w:cs="Times New Roman" w:hint="cs"/>
                <w:b w:val="0"/>
                <w:bCs w:val="0"/>
                <w:rtl/>
              </w:rPr>
              <w:t>α</w:t>
            </w:r>
            <w:r w:rsidRPr="006D6E07">
              <w:rPr>
                <w:b w:val="0"/>
                <w:bCs w:val="0"/>
                <w:lang w:val="el-GR" w:bidi="ar-JO"/>
              </w:rPr>
              <w:t xml:space="preserve"> )] /</w:t>
            </w:r>
            <w:r>
              <w:rPr>
                <w:b w:val="0"/>
                <w:bCs w:val="0"/>
                <w:lang w:bidi="ar-JO"/>
              </w:rPr>
              <w:t>n</w:t>
            </w:r>
          </w:p>
        </w:tc>
      </w:tr>
    </w:tbl>
    <w:p w:rsidR="005A5C26" w:rsidRDefault="005A5C26" w:rsidP="00BA56CF">
      <w:pPr>
        <w:ind w:left="964" w:firstLine="311"/>
        <w:jc w:val="lowKashida"/>
        <w:rPr>
          <w:rtl/>
        </w:rPr>
      </w:pPr>
    </w:p>
    <w:p w:rsidR="007D2859" w:rsidRPr="006D6E07" w:rsidRDefault="007D2859" w:rsidP="00BA56CF">
      <w:pPr>
        <w:ind w:left="964" w:firstLine="311"/>
        <w:jc w:val="lowKashida"/>
        <w:rPr>
          <w:rtl/>
          <w:lang w:bidi="ar-JO"/>
        </w:rPr>
      </w:pPr>
      <w:r w:rsidRPr="006D6E07">
        <w:rPr>
          <w:rtl/>
        </w:rPr>
        <w:lastRenderedPageBreak/>
        <w:t>حيث:</w:t>
      </w:r>
    </w:p>
    <w:p w:rsidR="007D2859" w:rsidRPr="00DF19D3" w:rsidRDefault="007D2859" w:rsidP="00DF19D3">
      <w:pPr>
        <w:spacing w:after="0"/>
        <w:ind w:left="2592" w:hanging="994"/>
        <w:contextualSpacing/>
        <w:jc w:val="lowKashida"/>
        <w:rPr>
          <w:b w:val="0"/>
          <w:bCs w:val="0"/>
          <w:rtl/>
        </w:rPr>
      </w:pPr>
      <w:r w:rsidRPr="00DF19D3">
        <w:rPr>
          <w:b w:val="0"/>
          <w:bCs w:val="0"/>
        </w:rPr>
        <w:t>KBIA</w:t>
      </w:r>
      <w:r w:rsidRPr="00DF19D3">
        <w:rPr>
          <w:b w:val="0"/>
          <w:bCs w:val="0"/>
          <w:rtl/>
        </w:rPr>
        <w:t xml:space="preserve"> : رأس المال اللازم لمواجهة مخاطر ا</w:t>
      </w:r>
      <w:r w:rsidR="00DF19D3">
        <w:rPr>
          <w:b w:val="0"/>
          <w:bCs w:val="0"/>
          <w:rtl/>
        </w:rPr>
        <w:t>لتشغيل حسب طريقة المؤشر الأساسي</w:t>
      </w:r>
      <w:r w:rsidRPr="00DF19D3">
        <w:rPr>
          <w:b w:val="0"/>
          <w:bCs w:val="0"/>
          <w:rtl/>
        </w:rPr>
        <w:t>.</w:t>
      </w:r>
    </w:p>
    <w:p w:rsidR="007D2859" w:rsidRPr="00DF19D3" w:rsidRDefault="007D2859" w:rsidP="00DF19D3">
      <w:pPr>
        <w:spacing w:after="0"/>
        <w:ind w:left="2592" w:hanging="994"/>
        <w:contextualSpacing/>
        <w:jc w:val="lowKashida"/>
        <w:rPr>
          <w:b w:val="0"/>
          <w:bCs w:val="0"/>
          <w:rtl/>
        </w:rPr>
      </w:pPr>
      <w:r w:rsidRPr="00DF19D3">
        <w:rPr>
          <w:b w:val="0"/>
          <w:bCs w:val="0"/>
        </w:rPr>
        <w:t>GI</w:t>
      </w:r>
      <w:r w:rsidRPr="00DF19D3">
        <w:rPr>
          <w:b w:val="0"/>
          <w:bCs w:val="0"/>
          <w:rtl/>
        </w:rPr>
        <w:t xml:space="preserve">     : إجمالي الدخ</w:t>
      </w:r>
      <w:r w:rsidR="00DE0559" w:rsidRPr="00DF19D3">
        <w:rPr>
          <w:b w:val="0"/>
          <w:bCs w:val="0"/>
          <w:rtl/>
        </w:rPr>
        <w:t>ل السنوي الموجب لآخر ثلاث سنوات</w:t>
      </w:r>
      <w:r w:rsidRPr="00DF19D3">
        <w:rPr>
          <w:b w:val="0"/>
          <w:bCs w:val="0"/>
          <w:rtl/>
        </w:rPr>
        <w:t>.</w:t>
      </w:r>
    </w:p>
    <w:p w:rsidR="007D2859" w:rsidRPr="00DF19D3" w:rsidRDefault="007D2859" w:rsidP="00DF19D3">
      <w:pPr>
        <w:spacing w:after="0"/>
        <w:ind w:left="2592" w:hanging="994"/>
        <w:contextualSpacing/>
        <w:jc w:val="lowKashida"/>
        <w:rPr>
          <w:b w:val="0"/>
          <w:bCs w:val="0"/>
          <w:rtl/>
        </w:rPr>
      </w:pPr>
      <w:r w:rsidRPr="00DF19D3">
        <w:rPr>
          <w:b w:val="0"/>
          <w:bCs w:val="0"/>
        </w:rPr>
        <w:t>n</w:t>
      </w:r>
      <w:r w:rsidR="00DE0559" w:rsidRPr="00DF19D3">
        <w:rPr>
          <w:b w:val="0"/>
          <w:bCs w:val="0"/>
          <w:rtl/>
        </w:rPr>
        <w:t xml:space="preserve">     </w:t>
      </w:r>
      <w:r w:rsidR="00DF19D3">
        <w:rPr>
          <w:rFonts w:hint="cs"/>
          <w:b w:val="0"/>
          <w:bCs w:val="0"/>
          <w:rtl/>
        </w:rPr>
        <w:t xml:space="preserve"> </w:t>
      </w:r>
      <w:r w:rsidR="00DE0559" w:rsidRPr="00DF19D3">
        <w:rPr>
          <w:b w:val="0"/>
          <w:bCs w:val="0"/>
          <w:rtl/>
        </w:rPr>
        <w:t xml:space="preserve"> </w:t>
      </w:r>
      <w:r w:rsidRPr="00DF19D3">
        <w:rPr>
          <w:b w:val="0"/>
          <w:bCs w:val="0"/>
          <w:rtl/>
        </w:rPr>
        <w:t>: عدد السنوات التي يكون فيها إجمالي الدخل السنوي موجباً لآخر ثلاث سنوات.</w:t>
      </w:r>
    </w:p>
    <w:p w:rsidR="00DE0559" w:rsidRPr="00DF19D3" w:rsidRDefault="007D2859" w:rsidP="00DF19D3">
      <w:pPr>
        <w:spacing w:after="0"/>
        <w:ind w:left="2592" w:hanging="994"/>
        <w:contextualSpacing/>
        <w:jc w:val="lowKashida"/>
        <w:rPr>
          <w:b w:val="0"/>
          <w:bCs w:val="0"/>
        </w:rPr>
      </w:pPr>
      <w:r w:rsidRPr="00DF19D3">
        <w:rPr>
          <w:rFonts w:ascii="Times New Roman" w:hAnsi="Times New Roman" w:cs="Times New Roman" w:hint="cs"/>
          <w:b w:val="0"/>
          <w:bCs w:val="0"/>
          <w:rtl/>
        </w:rPr>
        <w:t>α</w:t>
      </w:r>
      <w:r w:rsidRPr="00DF19D3">
        <w:rPr>
          <w:b w:val="0"/>
          <w:bCs w:val="0"/>
          <w:rtl/>
        </w:rPr>
        <w:t xml:space="preserve">  </w:t>
      </w:r>
      <w:r w:rsidR="00DF19D3">
        <w:rPr>
          <w:rFonts w:hint="cs"/>
          <w:b w:val="0"/>
          <w:bCs w:val="0"/>
          <w:rtl/>
        </w:rPr>
        <w:t xml:space="preserve"> </w:t>
      </w:r>
      <w:r w:rsidRPr="00DF19D3">
        <w:rPr>
          <w:b w:val="0"/>
          <w:bCs w:val="0"/>
          <w:rtl/>
        </w:rPr>
        <w:t xml:space="preserve">   </w:t>
      </w:r>
      <w:r w:rsidR="00DF19D3" w:rsidRPr="00DF19D3">
        <w:rPr>
          <w:b w:val="0"/>
          <w:bCs w:val="0"/>
          <w:rtl/>
        </w:rPr>
        <w:t xml:space="preserve">:  15%. </w:t>
      </w:r>
    </w:p>
    <w:p w:rsidR="007D2859" w:rsidRPr="00BE7B8B" w:rsidRDefault="00DE0559" w:rsidP="00BA56CF">
      <w:pPr>
        <w:spacing w:after="0"/>
        <w:ind w:left="1275" w:hanging="709"/>
        <w:rPr>
          <w:b w:val="0"/>
          <w:bCs w:val="0"/>
          <w:rtl/>
        </w:rPr>
      </w:pPr>
      <w:r w:rsidRPr="00BE7B8B">
        <w:rPr>
          <w:b w:val="0"/>
          <w:bCs w:val="0"/>
          <w:rtl/>
        </w:rPr>
        <w:t>2.2</w:t>
      </w:r>
      <w:r w:rsidR="00DF19D3">
        <w:rPr>
          <w:rFonts w:hint="cs"/>
          <w:b w:val="0"/>
          <w:bCs w:val="0"/>
          <w:rtl/>
        </w:rPr>
        <w:t>.</w:t>
      </w:r>
      <w:r w:rsidR="00BA56CF">
        <w:rPr>
          <w:rFonts w:hint="cs"/>
          <w:b w:val="0"/>
          <w:bCs w:val="0"/>
          <w:rtl/>
        </w:rPr>
        <w:tab/>
      </w:r>
      <w:r w:rsidR="007D2859" w:rsidRPr="00C77C11">
        <w:rPr>
          <w:b w:val="0"/>
          <w:bCs w:val="0"/>
          <w:rtl/>
        </w:rPr>
        <w:t>تعريف</w:t>
      </w:r>
      <w:r w:rsidR="007D2859" w:rsidRPr="00BE7B8B">
        <w:rPr>
          <w:b w:val="0"/>
          <w:bCs w:val="0"/>
          <w:rtl/>
        </w:rPr>
        <w:t xml:space="preserve"> إجمالي الدخل</w:t>
      </w:r>
      <w:r w:rsidR="00DF19D3">
        <w:rPr>
          <w:rFonts w:hint="cs"/>
          <w:b w:val="0"/>
          <w:bCs w:val="0"/>
          <w:rtl/>
        </w:rPr>
        <w:t>:</w:t>
      </w:r>
    </w:p>
    <w:p w:rsidR="00D50078" w:rsidRPr="00BE7B8B" w:rsidRDefault="00DE0559" w:rsidP="00BA56CF">
      <w:pPr>
        <w:ind w:left="2126" w:hanging="851"/>
        <w:rPr>
          <w:b w:val="0"/>
          <w:bCs w:val="0"/>
        </w:rPr>
      </w:pPr>
      <w:r w:rsidRPr="00BE7B8B">
        <w:rPr>
          <w:b w:val="0"/>
          <w:bCs w:val="0"/>
          <w:rtl/>
        </w:rPr>
        <w:t>1.2.2</w:t>
      </w:r>
      <w:r w:rsidR="00DF19D3">
        <w:rPr>
          <w:rFonts w:hint="cs"/>
          <w:b w:val="0"/>
          <w:bCs w:val="0"/>
          <w:rtl/>
        </w:rPr>
        <w:t>.</w:t>
      </w:r>
      <w:r w:rsidRPr="00BE7B8B">
        <w:rPr>
          <w:b w:val="0"/>
          <w:bCs w:val="0"/>
          <w:rtl/>
        </w:rPr>
        <w:tab/>
      </w:r>
      <w:r w:rsidR="007D2859" w:rsidRPr="00BE7B8B">
        <w:rPr>
          <w:b w:val="0"/>
          <w:bCs w:val="0"/>
          <w:rtl/>
        </w:rPr>
        <w:t>يعرف إجمالي الدخل بأنه صافي الدخل من الفوائد والعمولات مضافا إليه صافي الدخل من غير الفو</w:t>
      </w:r>
      <w:r w:rsidR="00BE7B8B">
        <w:rPr>
          <w:b w:val="0"/>
          <w:bCs w:val="0"/>
          <w:rtl/>
        </w:rPr>
        <w:t>ائد والعمولات ويحتسب كما يلي :-</w:t>
      </w:r>
    </w:p>
    <w:tbl>
      <w:tblPr>
        <w:bidiVisual/>
        <w:tblW w:w="44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tblGrid>
      <w:tr w:rsidR="007D2859" w:rsidRPr="005A5C26" w:rsidTr="0088487E">
        <w:trPr>
          <w:jc w:val="right"/>
        </w:trPr>
        <w:tc>
          <w:tcPr>
            <w:tcW w:w="5000" w:type="pct"/>
            <w:vAlign w:val="center"/>
          </w:tcPr>
          <w:p w:rsidR="007D2859" w:rsidRPr="005A5C26" w:rsidRDefault="007D2859" w:rsidP="00BE7B8B">
            <w:pPr>
              <w:jc w:val="center"/>
              <w:rPr>
                <w:b w:val="0"/>
                <w:bCs w:val="0"/>
                <w:sz w:val="24"/>
                <w:szCs w:val="24"/>
              </w:rPr>
            </w:pPr>
            <w:r w:rsidRPr="005A5C26">
              <w:rPr>
                <w:b w:val="0"/>
                <w:bCs w:val="0"/>
                <w:sz w:val="24"/>
                <w:szCs w:val="24"/>
                <w:rtl/>
              </w:rPr>
              <w:t>صافي إيرادات الفوائد والعمـولات</w:t>
            </w:r>
          </w:p>
        </w:tc>
      </w:tr>
      <w:tr w:rsidR="007D2859" w:rsidRPr="005A5C26" w:rsidTr="0088487E">
        <w:trPr>
          <w:jc w:val="right"/>
        </w:trPr>
        <w:tc>
          <w:tcPr>
            <w:tcW w:w="5000" w:type="pct"/>
            <w:vAlign w:val="center"/>
          </w:tcPr>
          <w:p w:rsidR="007D2859" w:rsidRPr="005A5C26" w:rsidRDefault="007D2859" w:rsidP="00BE7B8B">
            <w:pPr>
              <w:jc w:val="center"/>
              <w:rPr>
                <w:b w:val="0"/>
                <w:bCs w:val="0"/>
                <w:sz w:val="24"/>
                <w:szCs w:val="24"/>
                <w:rtl/>
              </w:rPr>
            </w:pPr>
            <w:r w:rsidRPr="005A5C26">
              <w:rPr>
                <w:b w:val="0"/>
                <w:bCs w:val="0"/>
                <w:sz w:val="24"/>
                <w:szCs w:val="24"/>
                <w:rtl/>
              </w:rPr>
              <w:t>+ أرباح (خسـائر) العمـلات الأجنبيـة</w:t>
            </w:r>
          </w:p>
        </w:tc>
      </w:tr>
      <w:tr w:rsidR="007D2859" w:rsidRPr="005A5C26" w:rsidTr="0088487E">
        <w:trPr>
          <w:jc w:val="right"/>
        </w:trPr>
        <w:tc>
          <w:tcPr>
            <w:tcW w:w="5000" w:type="pct"/>
            <w:vAlign w:val="center"/>
          </w:tcPr>
          <w:p w:rsidR="007D2859" w:rsidRPr="005A5C26" w:rsidRDefault="007D2859" w:rsidP="00BE7B8B">
            <w:pPr>
              <w:jc w:val="center"/>
              <w:rPr>
                <w:b w:val="0"/>
                <w:bCs w:val="0"/>
                <w:sz w:val="24"/>
                <w:szCs w:val="24"/>
                <w:rtl/>
                <w:lang w:bidi="ar-JO"/>
              </w:rPr>
            </w:pPr>
            <w:r w:rsidRPr="005A5C26">
              <w:rPr>
                <w:b w:val="0"/>
                <w:bCs w:val="0"/>
                <w:sz w:val="24"/>
                <w:szCs w:val="24"/>
                <w:rtl/>
              </w:rPr>
              <w:t>+ أرباح (خسـائر) الموجـودات المالية للمتاجـرة</w:t>
            </w:r>
          </w:p>
        </w:tc>
      </w:tr>
      <w:tr w:rsidR="007D2859" w:rsidRPr="005A5C26" w:rsidTr="0088487E">
        <w:trPr>
          <w:jc w:val="right"/>
        </w:trPr>
        <w:tc>
          <w:tcPr>
            <w:tcW w:w="5000" w:type="pct"/>
            <w:vAlign w:val="center"/>
          </w:tcPr>
          <w:p w:rsidR="007D2859" w:rsidRPr="005A5C26" w:rsidRDefault="007D2859" w:rsidP="00BE7B8B">
            <w:pPr>
              <w:ind w:left="215" w:hanging="215"/>
              <w:jc w:val="center"/>
              <w:rPr>
                <w:b w:val="0"/>
                <w:bCs w:val="0"/>
                <w:sz w:val="24"/>
                <w:szCs w:val="24"/>
                <w:rtl/>
              </w:rPr>
            </w:pPr>
            <w:r w:rsidRPr="005A5C26">
              <w:rPr>
                <w:b w:val="0"/>
                <w:bCs w:val="0"/>
                <w:sz w:val="24"/>
                <w:szCs w:val="24"/>
                <w:rtl/>
              </w:rPr>
              <w:t>+ أرباح (خسـائر) الموجودات الماليـة المحـددة بال</w:t>
            </w:r>
            <w:r w:rsidR="00DE0559" w:rsidRPr="005A5C26">
              <w:rPr>
                <w:b w:val="0"/>
                <w:bCs w:val="0"/>
                <w:sz w:val="24"/>
                <w:szCs w:val="24"/>
                <w:rtl/>
              </w:rPr>
              <w:t>قيمة العادلة من خلال بيان الدخل</w:t>
            </w:r>
            <w:r w:rsidRPr="005A5C26">
              <w:rPr>
                <w:b w:val="0"/>
                <w:bCs w:val="0"/>
                <w:sz w:val="24"/>
                <w:szCs w:val="24"/>
                <w:rtl/>
              </w:rPr>
              <w:t>.</w:t>
            </w:r>
          </w:p>
        </w:tc>
      </w:tr>
      <w:tr w:rsidR="007D2859" w:rsidRPr="005A5C26" w:rsidTr="0088487E">
        <w:trPr>
          <w:jc w:val="right"/>
        </w:trPr>
        <w:tc>
          <w:tcPr>
            <w:tcW w:w="5000" w:type="pct"/>
            <w:vAlign w:val="center"/>
          </w:tcPr>
          <w:p w:rsidR="007D2859" w:rsidRPr="005A5C26" w:rsidRDefault="007D2859" w:rsidP="00BE7B8B">
            <w:pPr>
              <w:jc w:val="center"/>
              <w:rPr>
                <w:b w:val="0"/>
                <w:bCs w:val="0"/>
                <w:sz w:val="24"/>
                <w:szCs w:val="24"/>
                <w:rtl/>
              </w:rPr>
            </w:pPr>
            <w:r w:rsidRPr="005A5C26">
              <w:rPr>
                <w:b w:val="0"/>
                <w:bCs w:val="0"/>
                <w:sz w:val="24"/>
                <w:szCs w:val="24"/>
                <w:rtl/>
              </w:rPr>
              <w:t>+ عوائد التوزيعـات من ا</w:t>
            </w:r>
            <w:r w:rsidR="00DE0559" w:rsidRPr="005A5C26">
              <w:rPr>
                <w:b w:val="0"/>
                <w:bCs w:val="0"/>
                <w:sz w:val="24"/>
                <w:szCs w:val="24"/>
                <w:rtl/>
              </w:rPr>
              <w:t xml:space="preserve">لموجودات المالية </w:t>
            </w:r>
            <w:r w:rsidR="0018514B" w:rsidRPr="005A5C26">
              <w:rPr>
                <w:b w:val="0"/>
                <w:bCs w:val="0"/>
                <w:sz w:val="24"/>
                <w:szCs w:val="24"/>
                <w:rtl/>
              </w:rPr>
              <w:t>من خلال بنود قائمة الدخل الشامل الأخرى.</w:t>
            </w:r>
          </w:p>
        </w:tc>
      </w:tr>
      <w:tr w:rsidR="007D2859" w:rsidRPr="005A5C26" w:rsidTr="0088487E">
        <w:trPr>
          <w:jc w:val="right"/>
        </w:trPr>
        <w:tc>
          <w:tcPr>
            <w:tcW w:w="5000" w:type="pct"/>
            <w:vAlign w:val="center"/>
          </w:tcPr>
          <w:p w:rsidR="007D2859" w:rsidRPr="005A5C26" w:rsidRDefault="007D2859" w:rsidP="00BE7B8B">
            <w:pPr>
              <w:jc w:val="center"/>
              <w:rPr>
                <w:b w:val="0"/>
                <w:bCs w:val="0"/>
                <w:sz w:val="24"/>
                <w:szCs w:val="24"/>
                <w:rtl/>
              </w:rPr>
            </w:pPr>
            <w:r w:rsidRPr="005A5C26">
              <w:rPr>
                <w:b w:val="0"/>
                <w:bCs w:val="0"/>
                <w:sz w:val="24"/>
                <w:szCs w:val="24"/>
                <w:rtl/>
              </w:rPr>
              <w:t>+ حصة البن</w:t>
            </w:r>
            <w:r w:rsidR="00DE0559" w:rsidRPr="005A5C26">
              <w:rPr>
                <w:b w:val="0"/>
                <w:bCs w:val="0"/>
                <w:sz w:val="24"/>
                <w:szCs w:val="24"/>
                <w:rtl/>
              </w:rPr>
              <w:t>ك من أرباح /(خسائر) شركات حليفة</w:t>
            </w:r>
            <w:r w:rsidRPr="005A5C26">
              <w:rPr>
                <w:b w:val="0"/>
                <w:bCs w:val="0"/>
                <w:sz w:val="24"/>
                <w:szCs w:val="24"/>
                <w:rtl/>
              </w:rPr>
              <w:t>.</w:t>
            </w:r>
          </w:p>
        </w:tc>
      </w:tr>
      <w:tr w:rsidR="007D2859" w:rsidRPr="005A5C26" w:rsidTr="0088487E">
        <w:trPr>
          <w:jc w:val="right"/>
        </w:trPr>
        <w:tc>
          <w:tcPr>
            <w:tcW w:w="5000" w:type="pct"/>
            <w:vAlign w:val="center"/>
          </w:tcPr>
          <w:p w:rsidR="007D2859" w:rsidRPr="005A5C26" w:rsidRDefault="007D2859" w:rsidP="00BE7B8B">
            <w:pPr>
              <w:ind w:left="215" w:hanging="215"/>
              <w:jc w:val="center"/>
              <w:rPr>
                <w:b w:val="0"/>
                <w:bCs w:val="0"/>
                <w:sz w:val="24"/>
                <w:szCs w:val="24"/>
                <w:rtl/>
              </w:rPr>
            </w:pPr>
            <w:r w:rsidRPr="005A5C26">
              <w:rPr>
                <w:b w:val="0"/>
                <w:bCs w:val="0"/>
                <w:sz w:val="24"/>
                <w:szCs w:val="24"/>
                <w:rtl/>
              </w:rPr>
              <w:t>+ حصة البنك من توزيعات أرباح /شركات تابعة وحليفة (في</w:t>
            </w:r>
            <w:r w:rsidR="00DE0559" w:rsidRPr="005A5C26">
              <w:rPr>
                <w:b w:val="0"/>
                <w:bCs w:val="0"/>
                <w:sz w:val="24"/>
                <w:szCs w:val="24"/>
                <w:rtl/>
              </w:rPr>
              <w:t xml:space="preserve"> البيانات المالية غير الموحـدة)</w:t>
            </w:r>
            <w:r w:rsidRPr="005A5C26">
              <w:rPr>
                <w:b w:val="0"/>
                <w:bCs w:val="0"/>
                <w:sz w:val="24"/>
                <w:szCs w:val="24"/>
                <w:rtl/>
              </w:rPr>
              <w:t>.</w:t>
            </w:r>
          </w:p>
        </w:tc>
      </w:tr>
      <w:tr w:rsidR="007D2859" w:rsidRPr="005A5C26" w:rsidTr="0088487E">
        <w:trPr>
          <w:jc w:val="right"/>
        </w:trPr>
        <w:tc>
          <w:tcPr>
            <w:tcW w:w="5000" w:type="pct"/>
            <w:vAlign w:val="center"/>
          </w:tcPr>
          <w:p w:rsidR="007D2859" w:rsidRPr="005A5C26" w:rsidRDefault="007D2859" w:rsidP="00BE7B8B">
            <w:pPr>
              <w:ind w:left="215" w:hanging="215"/>
              <w:jc w:val="center"/>
              <w:rPr>
                <w:b w:val="0"/>
                <w:bCs w:val="0"/>
                <w:sz w:val="24"/>
                <w:szCs w:val="24"/>
                <w:rtl/>
              </w:rPr>
            </w:pPr>
            <w:r w:rsidRPr="005A5C26">
              <w:rPr>
                <w:b w:val="0"/>
                <w:bCs w:val="0"/>
                <w:sz w:val="24"/>
                <w:szCs w:val="24"/>
                <w:rtl/>
              </w:rPr>
              <w:t>+ الإيرادات الأخرى (تذكر</w:t>
            </w:r>
            <w:r w:rsidR="00DE0559" w:rsidRPr="005A5C26">
              <w:rPr>
                <w:b w:val="0"/>
                <w:bCs w:val="0"/>
                <w:sz w:val="24"/>
                <w:szCs w:val="24"/>
                <w:rtl/>
              </w:rPr>
              <w:t xml:space="preserve"> بالتفصيل) ويستثنى منها</w:t>
            </w:r>
            <w:r w:rsidRPr="005A5C26">
              <w:rPr>
                <w:b w:val="0"/>
                <w:bCs w:val="0"/>
                <w:sz w:val="24"/>
                <w:szCs w:val="24"/>
                <w:rtl/>
              </w:rPr>
              <w:t>:</w:t>
            </w:r>
          </w:p>
          <w:p w:rsidR="007D2859" w:rsidRPr="005A5C26" w:rsidRDefault="007D2859" w:rsidP="00BE7B8B">
            <w:pPr>
              <w:ind w:left="215" w:hanging="215"/>
              <w:jc w:val="center"/>
              <w:rPr>
                <w:b w:val="0"/>
                <w:bCs w:val="0"/>
                <w:sz w:val="24"/>
                <w:szCs w:val="24"/>
                <w:rtl/>
              </w:rPr>
            </w:pPr>
            <w:r w:rsidRPr="005A5C26">
              <w:rPr>
                <w:b w:val="0"/>
                <w:bCs w:val="0"/>
                <w:sz w:val="24"/>
                <w:szCs w:val="24"/>
                <w:rtl/>
              </w:rPr>
              <w:t>- الإيرا</w:t>
            </w:r>
            <w:r w:rsidR="00DE0559" w:rsidRPr="005A5C26">
              <w:rPr>
                <w:b w:val="0"/>
                <w:bCs w:val="0"/>
                <w:sz w:val="24"/>
                <w:szCs w:val="24"/>
                <w:rtl/>
              </w:rPr>
              <w:t>دات الناتجـة عن عمليـات التأمين</w:t>
            </w:r>
            <w:r w:rsidRPr="005A5C26">
              <w:rPr>
                <w:b w:val="0"/>
                <w:bCs w:val="0"/>
                <w:sz w:val="24"/>
                <w:szCs w:val="24"/>
                <w:rtl/>
              </w:rPr>
              <w:t>.</w:t>
            </w:r>
          </w:p>
          <w:p w:rsidR="007D2859" w:rsidRPr="005A5C26" w:rsidRDefault="007D2859" w:rsidP="00BE7B8B">
            <w:pPr>
              <w:ind w:left="215" w:hanging="215"/>
              <w:jc w:val="center"/>
              <w:rPr>
                <w:b w:val="0"/>
                <w:bCs w:val="0"/>
                <w:sz w:val="24"/>
                <w:szCs w:val="24"/>
                <w:rtl/>
              </w:rPr>
            </w:pPr>
            <w:r w:rsidRPr="005A5C26">
              <w:rPr>
                <w:b w:val="0"/>
                <w:bCs w:val="0"/>
                <w:sz w:val="24"/>
                <w:szCs w:val="24"/>
                <w:rtl/>
              </w:rPr>
              <w:t>- الإيراد</w:t>
            </w:r>
            <w:r w:rsidR="00DE0559" w:rsidRPr="005A5C26">
              <w:rPr>
                <w:b w:val="0"/>
                <w:bCs w:val="0"/>
                <w:sz w:val="24"/>
                <w:szCs w:val="24"/>
                <w:rtl/>
              </w:rPr>
              <w:t>ات غير المتكررة وغير الاعتيادية</w:t>
            </w:r>
            <w:r w:rsidRPr="005A5C26">
              <w:rPr>
                <w:b w:val="0"/>
                <w:bCs w:val="0"/>
                <w:sz w:val="24"/>
                <w:szCs w:val="24"/>
                <w:rtl/>
              </w:rPr>
              <w:t>.</w:t>
            </w:r>
          </w:p>
          <w:p w:rsidR="007D2859" w:rsidRPr="005A5C26" w:rsidRDefault="00DE0559" w:rsidP="00BE7B8B">
            <w:pPr>
              <w:ind w:left="215" w:hanging="215"/>
              <w:jc w:val="center"/>
              <w:rPr>
                <w:b w:val="0"/>
                <w:bCs w:val="0"/>
                <w:sz w:val="24"/>
                <w:szCs w:val="24"/>
                <w:rtl/>
              </w:rPr>
            </w:pPr>
            <w:r w:rsidRPr="005A5C26">
              <w:rPr>
                <w:b w:val="0"/>
                <w:bCs w:val="0"/>
                <w:sz w:val="24"/>
                <w:szCs w:val="24"/>
                <w:rtl/>
              </w:rPr>
              <w:t>(تذكـر بالتفصيـل)</w:t>
            </w:r>
            <w:r w:rsidR="007D2859" w:rsidRPr="005A5C26">
              <w:rPr>
                <w:b w:val="0"/>
                <w:bCs w:val="0"/>
                <w:sz w:val="24"/>
                <w:szCs w:val="24"/>
                <w:rtl/>
              </w:rPr>
              <w:t>.</w:t>
            </w:r>
          </w:p>
        </w:tc>
      </w:tr>
      <w:tr w:rsidR="007D2859" w:rsidRPr="005A5C26" w:rsidTr="0088487E">
        <w:trPr>
          <w:jc w:val="right"/>
        </w:trPr>
        <w:tc>
          <w:tcPr>
            <w:tcW w:w="5000" w:type="pct"/>
            <w:vAlign w:val="center"/>
          </w:tcPr>
          <w:p w:rsidR="007D2859" w:rsidRPr="005A5C26" w:rsidRDefault="00DE0559" w:rsidP="00BE7B8B">
            <w:pPr>
              <w:ind w:left="215" w:hanging="215"/>
              <w:jc w:val="center"/>
              <w:rPr>
                <w:b w:val="0"/>
                <w:bCs w:val="0"/>
                <w:sz w:val="24"/>
                <w:szCs w:val="24"/>
                <w:rtl/>
              </w:rPr>
            </w:pPr>
            <w:r w:rsidRPr="005A5C26">
              <w:rPr>
                <w:b w:val="0"/>
                <w:bCs w:val="0"/>
                <w:sz w:val="24"/>
                <w:szCs w:val="24"/>
                <w:rtl/>
              </w:rPr>
              <w:t>إجمالي الدخـل</w:t>
            </w:r>
            <w:r w:rsidR="007D2859" w:rsidRPr="005A5C26">
              <w:rPr>
                <w:b w:val="0"/>
                <w:bCs w:val="0"/>
                <w:sz w:val="24"/>
                <w:szCs w:val="24"/>
                <w:rtl/>
              </w:rPr>
              <w:t>.</w:t>
            </w:r>
          </w:p>
        </w:tc>
      </w:tr>
    </w:tbl>
    <w:p w:rsidR="007D2859" w:rsidRPr="00DF19D3" w:rsidRDefault="00DE0559" w:rsidP="005A5C26">
      <w:pPr>
        <w:spacing w:after="0"/>
        <w:ind w:left="2126" w:hanging="851"/>
        <w:rPr>
          <w:b w:val="0"/>
          <w:bCs w:val="0"/>
          <w:rtl/>
        </w:rPr>
      </w:pPr>
      <w:r w:rsidRPr="00DF19D3">
        <w:rPr>
          <w:b w:val="0"/>
          <w:bCs w:val="0"/>
          <w:rtl/>
        </w:rPr>
        <w:t>2.2.2</w:t>
      </w:r>
      <w:r w:rsidR="00DF19D3">
        <w:rPr>
          <w:rFonts w:hint="cs"/>
          <w:b w:val="0"/>
          <w:bCs w:val="0"/>
          <w:rtl/>
        </w:rPr>
        <w:t>.</w:t>
      </w:r>
      <w:r w:rsidRPr="00DF19D3">
        <w:rPr>
          <w:b w:val="0"/>
          <w:bCs w:val="0"/>
          <w:rtl/>
        </w:rPr>
        <w:tab/>
      </w:r>
      <w:r w:rsidR="007D2859" w:rsidRPr="00DF19D3">
        <w:rPr>
          <w:b w:val="0"/>
          <w:bCs w:val="0"/>
          <w:rtl/>
        </w:rPr>
        <w:t xml:space="preserve">على البنوك أن تلتزم بتوصيات لجنة بازل الصادرة </w:t>
      </w:r>
      <w:r w:rsidR="0038022F" w:rsidRPr="00DF19D3">
        <w:rPr>
          <w:b w:val="0"/>
          <w:bCs w:val="0"/>
          <w:rtl/>
        </w:rPr>
        <w:t>بشهر حزيران 2011</w:t>
      </w:r>
      <w:r w:rsidR="007D2859" w:rsidRPr="00DF19D3">
        <w:rPr>
          <w:b w:val="0"/>
          <w:bCs w:val="0"/>
          <w:rtl/>
        </w:rPr>
        <w:t xml:space="preserve"> والمتعلقة بالممارسات السليمة للإدارة والإشراف على مخاطر التشغيل، وفي حال تبين للبنك المركزي وجود قصور في تطبيق هذه الممارسات فسيتم زيادة معامل (</w:t>
      </w:r>
      <w:r w:rsidR="007D2859" w:rsidRPr="00DF19D3">
        <w:rPr>
          <w:rFonts w:ascii="Times New Roman" w:hAnsi="Times New Roman" w:cs="Times New Roman" w:hint="cs"/>
          <w:b w:val="0"/>
          <w:bCs w:val="0"/>
          <w:rtl/>
        </w:rPr>
        <w:t>α</w:t>
      </w:r>
      <w:r w:rsidR="007D2859" w:rsidRPr="00DF19D3">
        <w:rPr>
          <w:b w:val="0"/>
          <w:bCs w:val="0"/>
          <w:rtl/>
        </w:rPr>
        <w:t>) المذكور في معادلة الاحتساب المبينة آنفاً.</w:t>
      </w:r>
    </w:p>
    <w:p w:rsidR="007D2859" w:rsidRPr="00DF19D3" w:rsidRDefault="00DE0559" w:rsidP="00580899">
      <w:pPr>
        <w:ind w:left="2126" w:hanging="851"/>
        <w:rPr>
          <w:b w:val="0"/>
          <w:bCs w:val="0"/>
        </w:rPr>
      </w:pPr>
      <w:r w:rsidRPr="00DF19D3">
        <w:rPr>
          <w:b w:val="0"/>
          <w:bCs w:val="0"/>
          <w:rtl/>
        </w:rPr>
        <w:t>3.2.2</w:t>
      </w:r>
      <w:r w:rsidR="00DF19D3" w:rsidRPr="00DF19D3">
        <w:rPr>
          <w:rFonts w:hint="cs"/>
          <w:b w:val="0"/>
          <w:bCs w:val="0"/>
          <w:rtl/>
        </w:rPr>
        <w:t>.</w:t>
      </w:r>
      <w:r w:rsidRPr="00DF19D3">
        <w:rPr>
          <w:b w:val="0"/>
          <w:bCs w:val="0"/>
          <w:rtl/>
        </w:rPr>
        <w:tab/>
      </w:r>
      <w:r w:rsidR="007D2859" w:rsidRPr="00C77C11">
        <w:rPr>
          <w:b w:val="0"/>
          <w:bCs w:val="0"/>
          <w:rtl/>
        </w:rPr>
        <w:t>على</w:t>
      </w:r>
      <w:r w:rsidR="007D2859" w:rsidRPr="00DF19D3">
        <w:rPr>
          <w:b w:val="0"/>
          <w:bCs w:val="0"/>
          <w:rtl/>
        </w:rPr>
        <w:t xml:space="preserve"> البنوك الراغبة في الانتقال إلى </w:t>
      </w:r>
      <w:r w:rsidR="00CB0691" w:rsidRPr="00DF19D3">
        <w:rPr>
          <w:b w:val="0"/>
          <w:bCs w:val="0"/>
          <w:rtl/>
        </w:rPr>
        <w:t xml:space="preserve">الطريقة </w:t>
      </w:r>
      <w:r w:rsidR="007D2859" w:rsidRPr="00DF19D3">
        <w:rPr>
          <w:b w:val="0"/>
          <w:bCs w:val="0"/>
          <w:rtl/>
        </w:rPr>
        <w:t>المعياري</w:t>
      </w:r>
      <w:r w:rsidR="00CB0691" w:rsidRPr="00DF19D3">
        <w:rPr>
          <w:b w:val="0"/>
          <w:bCs w:val="0"/>
          <w:rtl/>
        </w:rPr>
        <w:t>ة</w:t>
      </w:r>
      <w:r w:rsidR="007D2859" w:rsidRPr="00DF19D3">
        <w:rPr>
          <w:b w:val="0"/>
          <w:bCs w:val="0"/>
          <w:rtl/>
        </w:rPr>
        <w:t xml:space="preserve"> (</w:t>
      </w:r>
      <w:r w:rsidRPr="00DF19D3">
        <w:rPr>
          <w:b w:val="0"/>
          <w:bCs w:val="0"/>
        </w:rPr>
        <w:t>Standardized</w:t>
      </w:r>
      <w:r w:rsidR="007D2859" w:rsidRPr="00DF19D3">
        <w:rPr>
          <w:b w:val="0"/>
          <w:bCs w:val="0"/>
        </w:rPr>
        <w:t xml:space="preserve"> Approach</w:t>
      </w:r>
      <w:r w:rsidR="007D2859" w:rsidRPr="00DF19D3">
        <w:rPr>
          <w:b w:val="0"/>
          <w:bCs w:val="0"/>
          <w:rtl/>
        </w:rPr>
        <w:t xml:space="preserve">) لاحتساب مخاطر التشغيل استيفاء كافة المتطلبات الكمية والنوعية التي تؤهلها لذلك حسب مقررات بازل وخصوصاً تقسيم أعمالها إلى ثمانية خطوط </w:t>
      </w:r>
      <w:r w:rsidR="007D2859" w:rsidRPr="00DF19D3">
        <w:rPr>
          <w:b w:val="0"/>
          <w:bCs w:val="0"/>
          <w:rtl/>
        </w:rPr>
        <w:lastRenderedPageBreak/>
        <w:t xml:space="preserve">عمل (وحسب واقع الحال لديها) شريطة الحصول على الموافقة المسبقة من البنك المركزي قبل </w:t>
      </w:r>
      <w:r w:rsidR="00DF19D3">
        <w:rPr>
          <w:b w:val="0"/>
          <w:bCs w:val="0"/>
          <w:rtl/>
        </w:rPr>
        <w:t>البدء بالانتقال إلى هذا المنهج.</w:t>
      </w:r>
    </w:p>
    <w:p w:rsidR="00DE0559" w:rsidRPr="00DF19D3" w:rsidRDefault="0088487E" w:rsidP="005A5C26">
      <w:pPr>
        <w:spacing w:after="0" w:line="276" w:lineRule="auto"/>
        <w:ind w:left="708" w:hanging="425"/>
        <w:rPr>
          <w:rtl/>
        </w:rPr>
      </w:pPr>
      <w:r>
        <w:rPr>
          <w:rtl/>
        </w:rPr>
        <w:t>3.</w:t>
      </w:r>
      <w:r>
        <w:rPr>
          <w:rFonts w:hint="cs"/>
          <w:rtl/>
        </w:rPr>
        <w:t xml:space="preserve"> </w:t>
      </w:r>
      <w:r w:rsidR="00DE0559" w:rsidRPr="00DF19D3">
        <w:rPr>
          <w:rtl/>
        </w:rPr>
        <w:t>الطريقة المعيارية (</w:t>
      </w:r>
      <w:r w:rsidR="00DE0559" w:rsidRPr="00DF19D3">
        <w:t>Standardized Approach</w:t>
      </w:r>
      <w:r w:rsidR="00DE0559" w:rsidRPr="00DF19D3">
        <w:rPr>
          <w:rtl/>
        </w:rPr>
        <w:t>)/ الطريقة المعيارية البديلة</w:t>
      </w:r>
      <w:r w:rsidR="00DE0559" w:rsidRPr="00DF19D3">
        <w:rPr>
          <w:rtl/>
        </w:rPr>
        <w:br/>
      </w:r>
      <w:r w:rsidR="00DE0559" w:rsidRPr="00DF19D3">
        <w:t>The Alternative Standardized Approach)</w:t>
      </w:r>
      <w:r w:rsidR="00DE0559" w:rsidRPr="00DF19D3">
        <w:rPr>
          <w:rtl/>
        </w:rPr>
        <w:t>):</w:t>
      </w:r>
    </w:p>
    <w:p w:rsidR="00AA08AF" w:rsidRPr="00DF19D3" w:rsidRDefault="004A6EAB" w:rsidP="005A5C26">
      <w:pPr>
        <w:ind w:left="1275" w:hanging="709"/>
        <w:rPr>
          <w:b w:val="0"/>
          <w:bCs w:val="0"/>
          <w:rtl/>
        </w:rPr>
      </w:pPr>
      <w:r w:rsidRPr="00DF19D3">
        <w:rPr>
          <w:b w:val="0"/>
          <w:bCs w:val="0"/>
          <w:rtl/>
        </w:rPr>
        <w:t>1.3</w:t>
      </w:r>
      <w:r w:rsidR="0088487E">
        <w:rPr>
          <w:rFonts w:hint="cs"/>
          <w:b w:val="0"/>
          <w:bCs w:val="0"/>
          <w:rtl/>
        </w:rPr>
        <w:t>.</w:t>
      </w:r>
      <w:r w:rsidRPr="00DF19D3">
        <w:rPr>
          <w:b w:val="0"/>
          <w:bCs w:val="0"/>
          <w:rtl/>
        </w:rPr>
        <w:tab/>
      </w:r>
      <w:r w:rsidR="00AA08AF" w:rsidRPr="00C77C11">
        <w:rPr>
          <w:b w:val="0"/>
          <w:bCs w:val="0"/>
          <w:rtl/>
        </w:rPr>
        <w:t>الطريقة</w:t>
      </w:r>
      <w:r w:rsidR="00AA08AF" w:rsidRPr="00DF19D3">
        <w:rPr>
          <w:b w:val="0"/>
          <w:bCs w:val="0"/>
          <w:rtl/>
        </w:rPr>
        <w:t xml:space="preserve"> المعيارية: </w:t>
      </w:r>
    </w:p>
    <w:p w:rsidR="00DE0559" w:rsidRPr="00DF19D3" w:rsidRDefault="00DE0559" w:rsidP="005A5C26">
      <w:pPr>
        <w:spacing w:after="0" w:line="276" w:lineRule="auto"/>
        <w:ind w:left="1100" w:firstLine="175"/>
        <w:rPr>
          <w:rtl/>
        </w:rPr>
      </w:pPr>
      <w:r w:rsidRPr="00DF19D3">
        <w:rPr>
          <w:rtl/>
        </w:rPr>
        <w:t xml:space="preserve">لتطبيق الطريقة المعيارية فإنه يتوجب على البنك ما يلي: </w:t>
      </w:r>
    </w:p>
    <w:p w:rsidR="00DE0559" w:rsidRPr="00DF19D3" w:rsidRDefault="004A6EAB" w:rsidP="008B011C">
      <w:pPr>
        <w:ind w:left="2126" w:hanging="851"/>
        <w:rPr>
          <w:b w:val="0"/>
          <w:bCs w:val="0"/>
          <w:rtl/>
        </w:rPr>
      </w:pPr>
      <w:r w:rsidRPr="00DF19D3">
        <w:rPr>
          <w:b w:val="0"/>
          <w:bCs w:val="0"/>
          <w:rtl/>
        </w:rPr>
        <w:t>1.1.3</w:t>
      </w:r>
      <w:r w:rsidR="0088487E">
        <w:rPr>
          <w:rFonts w:hint="cs"/>
          <w:b w:val="0"/>
          <w:bCs w:val="0"/>
          <w:rtl/>
        </w:rPr>
        <w:t>.</w:t>
      </w:r>
      <w:r w:rsidR="00B259A6" w:rsidRPr="00DF19D3">
        <w:rPr>
          <w:b w:val="0"/>
          <w:bCs w:val="0"/>
          <w:rtl/>
        </w:rPr>
        <w:tab/>
        <w:t xml:space="preserve">ان يتم تقسيم انشطة </w:t>
      </w:r>
      <w:r w:rsidR="00D50078" w:rsidRPr="00DF19D3">
        <w:rPr>
          <w:b w:val="0"/>
          <w:bCs w:val="0"/>
          <w:rtl/>
        </w:rPr>
        <w:t>البنك</w:t>
      </w:r>
      <w:r w:rsidR="00B259A6" w:rsidRPr="00DF19D3">
        <w:rPr>
          <w:b w:val="0"/>
          <w:bCs w:val="0"/>
          <w:rtl/>
        </w:rPr>
        <w:t xml:space="preserve"> الى ثمانية انشطة (خطوط) عمل وهي تمويل الشركات، والتداول والمبيعات، والخدمات المصرفية للأفراد (التجزئة)، والخدمات المصرفية التجارية، والدفع والتسوية، وخدمات الوكالة، وادارة</w:t>
      </w:r>
      <w:r w:rsidR="00DE0559" w:rsidRPr="00DF19D3">
        <w:rPr>
          <w:b w:val="0"/>
          <w:bCs w:val="0"/>
          <w:rtl/>
        </w:rPr>
        <w:t xml:space="preserve"> الأصول، وخدمات الوساطة للأفراد،</w:t>
      </w:r>
      <w:r w:rsidR="00B259A6" w:rsidRPr="00DF19D3">
        <w:rPr>
          <w:b w:val="0"/>
          <w:bCs w:val="0"/>
          <w:rtl/>
        </w:rPr>
        <w:t xml:space="preserve"> وقد تم تعريف انشطة ( خطوط) العمل هذه في الملحق</w:t>
      </w:r>
      <w:r w:rsidR="00D50078" w:rsidRPr="00DF19D3">
        <w:rPr>
          <w:b w:val="0"/>
          <w:bCs w:val="0"/>
          <w:rtl/>
        </w:rPr>
        <w:t xml:space="preserve"> رقم</w:t>
      </w:r>
      <w:r w:rsidR="00B259A6" w:rsidRPr="00DF19D3">
        <w:rPr>
          <w:b w:val="0"/>
          <w:bCs w:val="0"/>
          <w:rtl/>
        </w:rPr>
        <w:t xml:space="preserve"> (</w:t>
      </w:r>
      <w:r w:rsidR="008B011C">
        <w:rPr>
          <w:rFonts w:hint="cs"/>
          <w:b w:val="0"/>
          <w:bCs w:val="0"/>
          <w:rtl/>
        </w:rPr>
        <w:t>14</w:t>
      </w:r>
      <w:r w:rsidR="00B259A6" w:rsidRPr="00DF19D3">
        <w:rPr>
          <w:b w:val="0"/>
          <w:bCs w:val="0"/>
          <w:rtl/>
        </w:rPr>
        <w:t>).</w:t>
      </w:r>
      <w:r w:rsidR="00DE0559" w:rsidRPr="00DF19D3">
        <w:rPr>
          <w:b w:val="0"/>
          <w:bCs w:val="0"/>
          <w:rtl/>
        </w:rPr>
        <w:t xml:space="preserve"> </w:t>
      </w:r>
    </w:p>
    <w:p w:rsidR="00DE0559" w:rsidRPr="00DF19D3" w:rsidRDefault="004A6EAB" w:rsidP="00580899">
      <w:pPr>
        <w:ind w:left="2126" w:hanging="851"/>
        <w:rPr>
          <w:b w:val="0"/>
          <w:bCs w:val="0"/>
          <w:rtl/>
        </w:rPr>
      </w:pPr>
      <w:r w:rsidRPr="00DF19D3">
        <w:rPr>
          <w:b w:val="0"/>
          <w:bCs w:val="0"/>
          <w:rtl/>
        </w:rPr>
        <w:t>2.1.3</w:t>
      </w:r>
      <w:r w:rsidR="0088487E">
        <w:rPr>
          <w:rFonts w:hint="cs"/>
          <w:b w:val="0"/>
          <w:bCs w:val="0"/>
          <w:rtl/>
        </w:rPr>
        <w:t>.</w:t>
      </w:r>
      <w:r w:rsidR="00DE0559" w:rsidRPr="00DF19D3">
        <w:rPr>
          <w:b w:val="0"/>
          <w:bCs w:val="0"/>
          <w:rtl/>
        </w:rPr>
        <w:tab/>
      </w:r>
      <w:r w:rsidR="00B259A6" w:rsidRPr="00DF19D3">
        <w:rPr>
          <w:b w:val="0"/>
          <w:bCs w:val="0"/>
          <w:rtl/>
        </w:rPr>
        <w:t xml:space="preserve">وبالنسبة لكل نشاط (خط) فان اجمالي الدخل يعتبر مؤشراً عاماً يعمل </w:t>
      </w:r>
      <w:r w:rsidR="00B259A6" w:rsidRPr="00C77C11">
        <w:rPr>
          <w:b w:val="0"/>
          <w:bCs w:val="0"/>
          <w:rtl/>
        </w:rPr>
        <w:t>كأداة</w:t>
      </w:r>
      <w:r w:rsidR="00B259A6" w:rsidRPr="00DF19D3">
        <w:rPr>
          <w:b w:val="0"/>
          <w:bCs w:val="0"/>
          <w:rtl/>
        </w:rPr>
        <w:t xml:space="preserve"> لقياس عمليات البنك ويكون مقياساً للإنكشافات للمخاطر التشغ</w:t>
      </w:r>
      <w:r w:rsidR="00D5251D" w:rsidRPr="00DF19D3">
        <w:rPr>
          <w:b w:val="0"/>
          <w:bCs w:val="0"/>
          <w:rtl/>
        </w:rPr>
        <w:t>يلية ضمن كل نشاط من انشطة العمل</w:t>
      </w:r>
      <w:r w:rsidR="00B259A6" w:rsidRPr="00DF19D3">
        <w:rPr>
          <w:b w:val="0"/>
          <w:bCs w:val="0"/>
          <w:rtl/>
        </w:rPr>
        <w:t>.</w:t>
      </w:r>
      <w:r w:rsidR="00DE0559" w:rsidRPr="00DF19D3">
        <w:rPr>
          <w:b w:val="0"/>
          <w:bCs w:val="0"/>
          <w:rtl/>
        </w:rPr>
        <w:t xml:space="preserve"> </w:t>
      </w:r>
    </w:p>
    <w:p w:rsidR="00DE0559" w:rsidRPr="00DF19D3" w:rsidRDefault="004A6EAB" w:rsidP="00580899">
      <w:pPr>
        <w:ind w:left="2126" w:hanging="851"/>
        <w:rPr>
          <w:b w:val="0"/>
          <w:bCs w:val="0"/>
          <w:rtl/>
        </w:rPr>
      </w:pPr>
      <w:r w:rsidRPr="00DF19D3">
        <w:rPr>
          <w:b w:val="0"/>
          <w:bCs w:val="0"/>
          <w:rtl/>
        </w:rPr>
        <w:t>3.1.3</w:t>
      </w:r>
      <w:r w:rsidR="0088487E">
        <w:rPr>
          <w:rFonts w:hint="cs"/>
          <w:b w:val="0"/>
          <w:bCs w:val="0"/>
          <w:rtl/>
        </w:rPr>
        <w:t>.</w:t>
      </w:r>
      <w:r w:rsidR="00DE0559" w:rsidRPr="00DF19D3">
        <w:rPr>
          <w:b w:val="0"/>
          <w:bCs w:val="0"/>
          <w:rtl/>
        </w:rPr>
        <w:tab/>
      </w:r>
      <w:r w:rsidR="00B259A6" w:rsidRPr="00DF19D3">
        <w:rPr>
          <w:b w:val="0"/>
          <w:bCs w:val="0"/>
          <w:rtl/>
        </w:rPr>
        <w:t xml:space="preserve">يتم </w:t>
      </w:r>
      <w:r w:rsidR="00B259A6" w:rsidRPr="00C77C11">
        <w:rPr>
          <w:b w:val="0"/>
          <w:bCs w:val="0"/>
          <w:rtl/>
        </w:rPr>
        <w:t>احتساب</w:t>
      </w:r>
      <w:r w:rsidR="00B259A6" w:rsidRPr="00DF19D3">
        <w:rPr>
          <w:b w:val="0"/>
          <w:bCs w:val="0"/>
          <w:rtl/>
        </w:rPr>
        <w:t xml:space="preserve"> المتطلبات الرأسمالية للمخاطر التشغيلية لكل نشاط من خلال ضرب اجمالي الدخل في المعامل المحدد لذلك النشاط (معامل بيتا). ويستخدم معامل بيتا (</w:t>
      </w:r>
      <w:r w:rsidR="00B259A6" w:rsidRPr="00DF19D3">
        <w:rPr>
          <w:b w:val="0"/>
          <w:bCs w:val="0"/>
        </w:rPr>
        <w:t>Beta</w:t>
      </w:r>
      <w:r w:rsidR="00B259A6" w:rsidRPr="00DF19D3">
        <w:rPr>
          <w:b w:val="0"/>
          <w:bCs w:val="0"/>
          <w:rtl/>
        </w:rPr>
        <w:t xml:space="preserve">) كأداة قياس للعلاقة بين الخسائر التشغيلية لنشاط العمل واجمالي الدخل لذلك النشاط. ويجدر الملاحظة بان اجمالي الدخل يتم قياسه لكل نشاط عمل وليس للمؤسسة ككل، وهذا يعني بالنسبة للخدمات المصرفية للأفراد (التجزئة) ان المؤشر هو اجمالي الدخل الناتج </w:t>
      </w:r>
      <w:r w:rsidR="00D5251D" w:rsidRPr="00DF19D3">
        <w:rPr>
          <w:b w:val="0"/>
          <w:bCs w:val="0"/>
          <w:rtl/>
        </w:rPr>
        <w:t>من</w:t>
      </w:r>
      <w:r w:rsidR="00B259A6" w:rsidRPr="00DF19D3">
        <w:rPr>
          <w:b w:val="0"/>
          <w:bCs w:val="0"/>
          <w:rtl/>
        </w:rPr>
        <w:t xml:space="preserve"> نشاط الخدمات المصرفية للأفراد والتجزئة.</w:t>
      </w:r>
    </w:p>
    <w:p w:rsidR="004A6EAB" w:rsidRDefault="004A6EAB" w:rsidP="00580899">
      <w:pPr>
        <w:ind w:left="2126" w:hanging="851"/>
        <w:rPr>
          <w:b w:val="0"/>
          <w:bCs w:val="0"/>
          <w:rtl/>
        </w:rPr>
      </w:pPr>
      <w:r w:rsidRPr="00DF19D3">
        <w:rPr>
          <w:b w:val="0"/>
          <w:bCs w:val="0"/>
          <w:rtl/>
        </w:rPr>
        <w:t>4.1.3</w:t>
      </w:r>
      <w:r w:rsidR="0088487E">
        <w:rPr>
          <w:rFonts w:hint="cs"/>
          <w:b w:val="0"/>
          <w:bCs w:val="0"/>
          <w:rtl/>
        </w:rPr>
        <w:t>.</w:t>
      </w:r>
      <w:r w:rsidR="00B259A6" w:rsidRPr="00DF19D3">
        <w:rPr>
          <w:b w:val="0"/>
          <w:bCs w:val="0"/>
          <w:rtl/>
        </w:rPr>
        <w:tab/>
        <w:t xml:space="preserve">يتم </w:t>
      </w:r>
      <w:r w:rsidR="00B259A6" w:rsidRPr="00C77C11">
        <w:rPr>
          <w:b w:val="0"/>
          <w:bCs w:val="0"/>
          <w:rtl/>
        </w:rPr>
        <w:t>احتساب</w:t>
      </w:r>
      <w:r w:rsidR="00B259A6" w:rsidRPr="00DF19D3">
        <w:rPr>
          <w:b w:val="0"/>
          <w:bCs w:val="0"/>
          <w:rtl/>
        </w:rPr>
        <w:t xml:space="preserve"> اجمالي المتطلبات الرأسمالية للمخاطر التشغيلية كمتوسط ثلاث سنوات لإجمالي الدخل مضروباً في معامل بيتا لكل نشاط من انشطة العمل لكل سنة. وفي أي سنة معينة فان اجمالي الدخل السلبي في أي نشاط عمل يطفي </w:t>
      </w:r>
      <w:r w:rsidR="00DF19D3" w:rsidRPr="00DF19D3">
        <w:rPr>
          <w:rFonts w:hint="cs"/>
          <w:b w:val="0"/>
          <w:bCs w:val="0"/>
          <w:rtl/>
        </w:rPr>
        <w:t>إجمالي</w:t>
      </w:r>
      <w:r w:rsidR="00B259A6" w:rsidRPr="00DF19D3">
        <w:rPr>
          <w:b w:val="0"/>
          <w:bCs w:val="0"/>
          <w:rtl/>
        </w:rPr>
        <w:t xml:space="preserve"> الدخل </w:t>
      </w:r>
      <w:r w:rsidR="00DF19D3" w:rsidRPr="00DF19D3">
        <w:rPr>
          <w:rFonts w:hint="cs"/>
          <w:b w:val="0"/>
          <w:bCs w:val="0"/>
          <w:rtl/>
        </w:rPr>
        <w:t>الإيجابي</w:t>
      </w:r>
      <w:r w:rsidR="00B259A6" w:rsidRPr="00DF19D3">
        <w:rPr>
          <w:b w:val="0"/>
          <w:bCs w:val="0"/>
          <w:rtl/>
        </w:rPr>
        <w:t xml:space="preserve"> في انشطة العمل الاخرى. وعلى اية حال وفي الحالات التي يكون فيها اجمالي الدخل في جميع انشطة العمل في سنة معينة سلبياً فان بسط النسبة لتلك السنة لحساب متوسط اجمالي الدخل سيكون صفر. ويمكن ان يتم التعبير عن اجمالي المتطلبات الرأسمالية</w:t>
      </w:r>
      <w:r w:rsidRPr="00DF19D3">
        <w:rPr>
          <w:b w:val="0"/>
          <w:bCs w:val="0"/>
          <w:rtl/>
        </w:rPr>
        <w:t xml:space="preserve"> كما يلي</w:t>
      </w:r>
      <w:r w:rsidR="00B259A6" w:rsidRPr="00DF19D3">
        <w:rPr>
          <w:b w:val="0"/>
          <w:bCs w:val="0"/>
          <w:rtl/>
        </w:rPr>
        <w:t>:</w:t>
      </w:r>
    </w:p>
    <w:tbl>
      <w:tblPr>
        <w:tblStyle w:val="TableGrid"/>
        <w:bidiVisual/>
        <w:tblW w:w="4176" w:type="pct"/>
        <w:jc w:val="right"/>
        <w:tblLook w:val="04A0" w:firstRow="1" w:lastRow="0" w:firstColumn="1" w:lastColumn="0" w:noHBand="0" w:noVBand="1"/>
      </w:tblPr>
      <w:tblGrid>
        <w:gridCol w:w="7639"/>
      </w:tblGrid>
      <w:tr w:rsidR="00DF19D3" w:rsidRPr="00DF19D3" w:rsidTr="0088487E">
        <w:trPr>
          <w:jc w:val="right"/>
        </w:trPr>
        <w:tc>
          <w:tcPr>
            <w:tcW w:w="5000" w:type="pct"/>
            <w:vAlign w:val="center"/>
          </w:tcPr>
          <w:p w:rsidR="00DF19D3" w:rsidRPr="00DF19D3" w:rsidRDefault="00DF19D3" w:rsidP="0088487E">
            <w:pPr>
              <w:ind w:left="98" w:hanging="27"/>
              <w:jc w:val="center"/>
              <w:rPr>
                <w:b w:val="0"/>
                <w:bCs w:val="0"/>
                <w:rtl/>
              </w:rPr>
            </w:pPr>
            <w:r w:rsidRPr="00DF19D3">
              <w:rPr>
                <w:b w:val="0"/>
                <w:bCs w:val="0"/>
              </w:rPr>
              <w:t>K=</w:t>
            </w:r>
            <w:r w:rsidRPr="00DF19D3">
              <w:rPr>
                <w:rFonts w:ascii="Times New Roman" w:hAnsi="Times New Roman" w:cs="Times New Roman"/>
                <w:b w:val="0"/>
                <w:bCs w:val="0"/>
              </w:rPr>
              <w:t>∑</w:t>
            </w:r>
            <w:r w:rsidRPr="00DF19D3">
              <w:rPr>
                <w:b w:val="0"/>
                <w:bCs w:val="0"/>
              </w:rPr>
              <w:t xml:space="preserve"> business lines 1-8{max [(</w:t>
            </w:r>
            <w:r w:rsidRPr="00DF19D3">
              <w:rPr>
                <w:rFonts w:ascii="Times New Roman" w:hAnsi="Times New Roman" w:cs="Times New Roman"/>
                <w:b w:val="0"/>
                <w:bCs w:val="0"/>
              </w:rPr>
              <w:t>∑</w:t>
            </w:r>
            <w:r w:rsidRPr="00DF19D3">
              <w:rPr>
                <w:b w:val="0"/>
                <w:bCs w:val="0"/>
              </w:rPr>
              <w:t>years1-3 GI</w:t>
            </w:r>
            <w:r w:rsidRPr="00DF19D3">
              <w:rPr>
                <w:b w:val="0"/>
                <w:bCs w:val="0"/>
                <w:vertAlign w:val="subscript"/>
              </w:rPr>
              <w:t>1-8</w:t>
            </w:r>
            <w:r w:rsidRPr="00DF19D3">
              <w:rPr>
                <w:b w:val="0"/>
                <w:bCs w:val="0"/>
              </w:rPr>
              <w:t xml:space="preserve"> / 3) X </w:t>
            </w:r>
            <w:r w:rsidRPr="00DF19D3">
              <w:rPr>
                <w:rFonts w:ascii="Times New Roman" w:hAnsi="Times New Roman" w:cs="Times New Roman"/>
                <w:b w:val="0"/>
                <w:bCs w:val="0"/>
              </w:rPr>
              <w:t>β</w:t>
            </w:r>
            <w:r w:rsidRPr="00DF19D3">
              <w:rPr>
                <w:b w:val="0"/>
                <w:bCs w:val="0"/>
                <w:vertAlign w:val="subscript"/>
              </w:rPr>
              <w:t>1-8</w:t>
            </w:r>
            <w:r w:rsidRPr="00DF19D3">
              <w:rPr>
                <w:b w:val="0"/>
                <w:bCs w:val="0"/>
              </w:rPr>
              <w:t>}, 0]</w:t>
            </w:r>
          </w:p>
        </w:tc>
      </w:tr>
    </w:tbl>
    <w:p w:rsidR="005A5C26" w:rsidRDefault="005A5C26" w:rsidP="0088487E">
      <w:pPr>
        <w:ind w:left="1745"/>
        <w:jc w:val="left"/>
        <w:rPr>
          <w:rtl/>
        </w:rPr>
      </w:pPr>
    </w:p>
    <w:p w:rsidR="005A5C26" w:rsidRDefault="005A5C26" w:rsidP="0088487E">
      <w:pPr>
        <w:ind w:left="1745"/>
        <w:jc w:val="left"/>
        <w:rPr>
          <w:rtl/>
        </w:rPr>
      </w:pPr>
    </w:p>
    <w:p w:rsidR="004A6EAB" w:rsidRPr="0088487E" w:rsidRDefault="00B259A6" w:rsidP="005A5C26">
      <w:pPr>
        <w:ind w:left="1745"/>
        <w:jc w:val="left"/>
        <w:rPr>
          <w:rtl/>
          <w:lang w:bidi="ar-EG"/>
        </w:rPr>
      </w:pPr>
      <w:r w:rsidRPr="0088487E">
        <w:rPr>
          <w:rtl/>
        </w:rPr>
        <w:lastRenderedPageBreak/>
        <w:t>حيث:</w:t>
      </w:r>
    </w:p>
    <w:p w:rsidR="004A6EAB" w:rsidRPr="00DF19D3" w:rsidRDefault="00B259A6" w:rsidP="0088487E">
      <w:pPr>
        <w:spacing w:after="0"/>
        <w:ind w:left="2555" w:hanging="720"/>
        <w:rPr>
          <w:b w:val="0"/>
          <w:bCs w:val="0"/>
          <w:rtl/>
        </w:rPr>
      </w:pPr>
      <w:r w:rsidRPr="00DF19D3">
        <w:rPr>
          <w:b w:val="0"/>
          <w:bCs w:val="0"/>
          <w:lang w:bidi="ar-EG"/>
        </w:rPr>
        <w:t>K</w:t>
      </w:r>
      <w:r w:rsidR="00DF19D3">
        <w:rPr>
          <w:rFonts w:hint="cs"/>
          <w:b w:val="0"/>
          <w:bCs w:val="0"/>
          <w:rtl/>
          <w:lang w:bidi="ar-EG"/>
        </w:rPr>
        <w:t xml:space="preserve">    </w:t>
      </w:r>
      <w:r w:rsidRPr="00DF19D3">
        <w:rPr>
          <w:b w:val="0"/>
          <w:bCs w:val="0"/>
          <w:rtl/>
        </w:rPr>
        <w:t xml:space="preserve"> </w:t>
      </w:r>
      <w:r w:rsidR="0088487E">
        <w:rPr>
          <w:rFonts w:hint="cs"/>
          <w:b w:val="0"/>
          <w:bCs w:val="0"/>
          <w:rtl/>
        </w:rPr>
        <w:t>:</w:t>
      </w:r>
      <w:r w:rsidRPr="00DF19D3">
        <w:rPr>
          <w:b w:val="0"/>
          <w:bCs w:val="0"/>
          <w:rtl/>
        </w:rPr>
        <w:t xml:space="preserve"> المتطلبات الرأسمالية</w:t>
      </w:r>
      <w:r w:rsidR="004A6EAB" w:rsidRPr="00DF19D3">
        <w:rPr>
          <w:b w:val="0"/>
          <w:bCs w:val="0"/>
          <w:rtl/>
        </w:rPr>
        <w:t>.</w:t>
      </w:r>
    </w:p>
    <w:p w:rsidR="004A6EAB" w:rsidRPr="00DF19D3" w:rsidRDefault="004A6EAB" w:rsidP="0088487E">
      <w:pPr>
        <w:spacing w:after="0"/>
        <w:ind w:left="2555" w:hanging="720"/>
        <w:rPr>
          <w:b w:val="0"/>
          <w:bCs w:val="0"/>
          <w:rtl/>
          <w:lang w:bidi="ar-JO"/>
        </w:rPr>
      </w:pPr>
      <w:r w:rsidRPr="00DF19D3">
        <w:rPr>
          <w:b w:val="0"/>
          <w:bCs w:val="0"/>
          <w:lang w:bidi="ar-EG"/>
        </w:rPr>
        <w:t>GI</w:t>
      </w:r>
      <w:r w:rsidRPr="00DF19D3">
        <w:rPr>
          <w:b w:val="0"/>
          <w:bCs w:val="0"/>
          <w:vertAlign w:val="subscript"/>
        </w:rPr>
        <w:t>1-8</w:t>
      </w:r>
      <w:r w:rsidRPr="00DF19D3">
        <w:rPr>
          <w:b w:val="0"/>
          <w:bCs w:val="0"/>
          <w:rtl/>
          <w:lang w:bidi="ar-JO"/>
        </w:rPr>
        <w:t xml:space="preserve"> </w:t>
      </w:r>
      <w:r w:rsidR="0088487E">
        <w:rPr>
          <w:rFonts w:hint="cs"/>
          <w:b w:val="0"/>
          <w:bCs w:val="0"/>
          <w:rtl/>
          <w:lang w:bidi="ar-JO"/>
        </w:rPr>
        <w:t>:</w:t>
      </w:r>
      <w:r w:rsidRPr="00DF19D3">
        <w:rPr>
          <w:b w:val="0"/>
          <w:bCs w:val="0"/>
          <w:rtl/>
          <w:lang w:bidi="ar-JO"/>
        </w:rPr>
        <w:t xml:space="preserve"> اجمالي الدخل السنوي (نهاية السنة) لكل نشاط من الأنشطة الثمانية. </w:t>
      </w:r>
    </w:p>
    <w:p w:rsidR="00D5251D" w:rsidRPr="00DF19D3" w:rsidRDefault="004A6EAB" w:rsidP="0088487E">
      <w:pPr>
        <w:spacing w:after="0"/>
        <w:ind w:left="2555" w:hanging="720"/>
        <w:rPr>
          <w:b w:val="0"/>
          <w:bCs w:val="0"/>
          <w:rtl/>
          <w:lang w:bidi="ar-JO"/>
        </w:rPr>
      </w:pPr>
      <w:r w:rsidRPr="00DF19D3">
        <w:rPr>
          <w:rFonts w:ascii="Times New Roman" w:hAnsi="Times New Roman" w:cs="Times New Roman"/>
          <w:b w:val="0"/>
          <w:bCs w:val="0"/>
        </w:rPr>
        <w:t>β</w:t>
      </w:r>
      <w:r w:rsidRPr="00DF19D3">
        <w:rPr>
          <w:b w:val="0"/>
          <w:bCs w:val="0"/>
          <w:vertAlign w:val="subscript"/>
        </w:rPr>
        <w:t>1-8</w:t>
      </w:r>
      <w:r w:rsidR="00DF19D3">
        <w:rPr>
          <w:rFonts w:hint="cs"/>
          <w:b w:val="0"/>
          <w:bCs w:val="0"/>
          <w:vertAlign w:val="subscript"/>
          <w:rtl/>
        </w:rPr>
        <w:t xml:space="preserve">   </w:t>
      </w:r>
      <w:r w:rsidR="0088487E">
        <w:rPr>
          <w:rFonts w:hint="cs"/>
          <w:b w:val="0"/>
          <w:bCs w:val="0"/>
          <w:rtl/>
          <w:lang w:bidi="ar-JO"/>
        </w:rPr>
        <w:t>:</w:t>
      </w:r>
      <w:r w:rsidRPr="00DF19D3">
        <w:rPr>
          <w:b w:val="0"/>
          <w:bCs w:val="0"/>
          <w:rtl/>
          <w:lang w:bidi="ar-JO"/>
        </w:rPr>
        <w:t xml:space="preserve"> نسبة ثابتة محددة لكل نش</w:t>
      </w:r>
      <w:r w:rsidR="00DF19D3">
        <w:rPr>
          <w:b w:val="0"/>
          <w:bCs w:val="0"/>
          <w:rtl/>
          <w:lang w:bidi="ar-JO"/>
        </w:rPr>
        <w:t>اط من الأنشطة الثمانية كما يلي:</w:t>
      </w:r>
    </w:p>
    <w:tbl>
      <w:tblPr>
        <w:tblStyle w:val="TableGrid"/>
        <w:tblpPr w:leftFromText="180" w:rightFromText="180" w:vertAnchor="text" w:tblpY="1"/>
        <w:tblOverlap w:val="never"/>
        <w:bidiVisual/>
        <w:tblW w:w="0" w:type="auto"/>
        <w:tblLook w:val="04A0" w:firstRow="1" w:lastRow="0" w:firstColumn="1" w:lastColumn="0" w:noHBand="0" w:noVBand="1"/>
      </w:tblPr>
      <w:tblGrid>
        <w:gridCol w:w="4863"/>
        <w:gridCol w:w="2596"/>
      </w:tblGrid>
      <w:tr w:rsidR="00DF19D3" w:rsidRPr="00DF19D3" w:rsidTr="00C51591">
        <w:trPr>
          <w:cantSplit/>
          <w:trHeight w:hRule="exact" w:val="432"/>
        </w:trPr>
        <w:tc>
          <w:tcPr>
            <w:tcW w:w="4863" w:type="dxa"/>
            <w:vAlign w:val="center"/>
          </w:tcPr>
          <w:p w:rsidR="00DF19D3" w:rsidRPr="00C51591" w:rsidRDefault="00DF19D3" w:rsidP="00DF19D3">
            <w:pPr>
              <w:jc w:val="center"/>
              <w:rPr>
                <w:sz w:val="24"/>
                <w:szCs w:val="24"/>
                <w:rtl/>
                <w:lang w:bidi="ar-JO"/>
              </w:rPr>
            </w:pPr>
            <w:bookmarkStart w:id="1616" w:name="_Toc414888414"/>
            <w:bookmarkStart w:id="1617" w:name="_Toc451176602"/>
            <w:bookmarkStart w:id="1618" w:name="_Toc451180499"/>
            <w:r w:rsidRPr="00C51591">
              <w:rPr>
                <w:sz w:val="24"/>
                <w:szCs w:val="24"/>
                <w:rtl/>
                <w:lang w:bidi="ar-JO"/>
              </w:rPr>
              <w:t>أنشطة (خطوط) أعمال</w:t>
            </w:r>
          </w:p>
        </w:tc>
        <w:tc>
          <w:tcPr>
            <w:tcW w:w="2596" w:type="dxa"/>
            <w:vAlign w:val="center"/>
          </w:tcPr>
          <w:p w:rsidR="00DF19D3" w:rsidRPr="00C51591" w:rsidRDefault="00DF19D3" w:rsidP="008677AB">
            <w:pPr>
              <w:jc w:val="center"/>
              <w:rPr>
                <w:sz w:val="24"/>
                <w:szCs w:val="24"/>
                <w:rtl/>
                <w:lang w:bidi="ar-JO"/>
              </w:rPr>
            </w:pPr>
            <w:r w:rsidRPr="00C51591">
              <w:rPr>
                <w:sz w:val="24"/>
                <w:szCs w:val="24"/>
                <w:rtl/>
                <w:lang w:bidi="ar-JO"/>
              </w:rPr>
              <w:t>معامل بيتا (%)</w:t>
            </w:r>
          </w:p>
        </w:tc>
      </w:tr>
      <w:tr w:rsidR="00DF19D3" w:rsidRPr="00DF19D3" w:rsidTr="00C51591">
        <w:trPr>
          <w:cantSplit/>
          <w:trHeight w:hRule="exact" w:val="432"/>
        </w:trPr>
        <w:tc>
          <w:tcPr>
            <w:tcW w:w="4863" w:type="dxa"/>
            <w:vAlign w:val="center"/>
          </w:tcPr>
          <w:p w:rsidR="00DF19D3" w:rsidRPr="00C51591" w:rsidRDefault="00DF19D3" w:rsidP="008677AB">
            <w:pPr>
              <w:jc w:val="left"/>
              <w:rPr>
                <w:b w:val="0"/>
                <w:bCs w:val="0"/>
                <w:noProof/>
                <w:sz w:val="24"/>
                <w:szCs w:val="24"/>
              </w:rPr>
            </w:pPr>
            <w:bookmarkStart w:id="1619" w:name="_Toc414888406"/>
            <w:bookmarkStart w:id="1620" w:name="_Toc451176594"/>
            <w:bookmarkStart w:id="1621" w:name="_Toc451180491"/>
            <w:r w:rsidRPr="00C51591">
              <w:rPr>
                <w:b w:val="0"/>
                <w:bCs w:val="0"/>
                <w:sz w:val="24"/>
                <w:szCs w:val="24"/>
                <w:rtl/>
              </w:rPr>
              <w:t>تمويل الشركات</w:t>
            </w:r>
            <w:bookmarkEnd w:id="1619"/>
            <w:bookmarkEnd w:id="1620"/>
            <w:bookmarkEnd w:id="1621"/>
          </w:p>
        </w:tc>
        <w:tc>
          <w:tcPr>
            <w:tcW w:w="2596" w:type="dxa"/>
            <w:vMerge w:val="restart"/>
            <w:vAlign w:val="center"/>
          </w:tcPr>
          <w:p w:rsidR="00DF19D3" w:rsidRPr="00C51591" w:rsidRDefault="00DF19D3" w:rsidP="008677AB">
            <w:pPr>
              <w:jc w:val="center"/>
              <w:rPr>
                <w:sz w:val="24"/>
                <w:szCs w:val="24"/>
                <w:rtl/>
                <w:lang w:bidi="ar-JO"/>
              </w:rPr>
            </w:pPr>
            <w:r w:rsidRPr="00C51591">
              <w:rPr>
                <w:sz w:val="24"/>
                <w:szCs w:val="24"/>
                <w:rtl/>
                <w:lang w:bidi="ar-JO"/>
              </w:rPr>
              <w:t>18</w:t>
            </w:r>
          </w:p>
        </w:tc>
      </w:tr>
      <w:tr w:rsidR="00DF19D3" w:rsidRPr="00DF19D3" w:rsidTr="00C51591">
        <w:trPr>
          <w:cantSplit/>
          <w:trHeight w:hRule="exact" w:val="432"/>
        </w:trPr>
        <w:tc>
          <w:tcPr>
            <w:tcW w:w="4863" w:type="dxa"/>
            <w:vAlign w:val="center"/>
          </w:tcPr>
          <w:p w:rsidR="00DF19D3" w:rsidRPr="00C51591" w:rsidRDefault="00DF19D3" w:rsidP="008677AB">
            <w:pPr>
              <w:jc w:val="left"/>
              <w:rPr>
                <w:b w:val="0"/>
                <w:bCs w:val="0"/>
                <w:noProof/>
                <w:sz w:val="24"/>
                <w:szCs w:val="24"/>
              </w:rPr>
            </w:pPr>
            <w:bookmarkStart w:id="1622" w:name="_Toc414888407"/>
            <w:bookmarkStart w:id="1623" w:name="_Toc451176595"/>
            <w:bookmarkStart w:id="1624" w:name="_Toc451180492"/>
            <w:r w:rsidRPr="00C51591">
              <w:rPr>
                <w:b w:val="0"/>
                <w:bCs w:val="0"/>
                <w:sz w:val="24"/>
                <w:szCs w:val="24"/>
                <w:rtl/>
              </w:rPr>
              <w:t>التداول والمبيعات</w:t>
            </w:r>
            <w:bookmarkEnd w:id="1622"/>
            <w:bookmarkEnd w:id="1623"/>
            <w:bookmarkEnd w:id="1624"/>
          </w:p>
        </w:tc>
        <w:tc>
          <w:tcPr>
            <w:tcW w:w="2596" w:type="dxa"/>
            <w:vMerge/>
            <w:vAlign w:val="center"/>
          </w:tcPr>
          <w:p w:rsidR="00DF19D3" w:rsidRPr="00C51591" w:rsidRDefault="00DF19D3" w:rsidP="008677AB">
            <w:pPr>
              <w:jc w:val="center"/>
              <w:rPr>
                <w:sz w:val="24"/>
                <w:szCs w:val="24"/>
                <w:rtl/>
                <w:lang w:bidi="ar-JO"/>
              </w:rPr>
            </w:pPr>
          </w:p>
        </w:tc>
      </w:tr>
      <w:tr w:rsidR="00DF19D3" w:rsidRPr="00DF19D3" w:rsidTr="00C51591">
        <w:trPr>
          <w:cantSplit/>
          <w:trHeight w:hRule="exact" w:val="432"/>
        </w:trPr>
        <w:tc>
          <w:tcPr>
            <w:tcW w:w="4863" w:type="dxa"/>
            <w:vAlign w:val="center"/>
          </w:tcPr>
          <w:p w:rsidR="00DF19D3" w:rsidRPr="00C51591" w:rsidRDefault="00DF19D3" w:rsidP="008677AB">
            <w:pPr>
              <w:jc w:val="left"/>
              <w:rPr>
                <w:b w:val="0"/>
                <w:bCs w:val="0"/>
                <w:noProof/>
                <w:sz w:val="24"/>
                <w:szCs w:val="24"/>
              </w:rPr>
            </w:pPr>
            <w:bookmarkStart w:id="1625" w:name="_Toc414888408"/>
            <w:bookmarkStart w:id="1626" w:name="_Toc451176596"/>
            <w:bookmarkStart w:id="1627" w:name="_Toc451180493"/>
            <w:r w:rsidRPr="00C51591">
              <w:rPr>
                <w:b w:val="0"/>
                <w:bCs w:val="0"/>
                <w:sz w:val="24"/>
                <w:szCs w:val="24"/>
                <w:rtl/>
              </w:rPr>
              <w:t>الدفع والتسوية</w:t>
            </w:r>
            <w:bookmarkEnd w:id="1625"/>
            <w:bookmarkEnd w:id="1626"/>
            <w:bookmarkEnd w:id="1627"/>
          </w:p>
        </w:tc>
        <w:tc>
          <w:tcPr>
            <w:tcW w:w="2596" w:type="dxa"/>
            <w:vMerge/>
            <w:vAlign w:val="center"/>
          </w:tcPr>
          <w:p w:rsidR="00DF19D3" w:rsidRPr="00C51591" w:rsidRDefault="00DF19D3" w:rsidP="008677AB">
            <w:pPr>
              <w:jc w:val="center"/>
              <w:rPr>
                <w:sz w:val="24"/>
                <w:szCs w:val="24"/>
                <w:rtl/>
                <w:lang w:bidi="ar-JO"/>
              </w:rPr>
            </w:pPr>
          </w:p>
        </w:tc>
      </w:tr>
      <w:tr w:rsidR="00DF19D3" w:rsidRPr="00DF19D3" w:rsidTr="00C51591">
        <w:trPr>
          <w:cantSplit/>
          <w:trHeight w:hRule="exact" w:val="432"/>
        </w:trPr>
        <w:tc>
          <w:tcPr>
            <w:tcW w:w="4863" w:type="dxa"/>
            <w:vAlign w:val="center"/>
          </w:tcPr>
          <w:p w:rsidR="00DF19D3" w:rsidRPr="00C51591" w:rsidRDefault="00DF19D3" w:rsidP="008677AB">
            <w:pPr>
              <w:jc w:val="left"/>
              <w:rPr>
                <w:b w:val="0"/>
                <w:bCs w:val="0"/>
                <w:noProof/>
                <w:sz w:val="24"/>
                <w:szCs w:val="24"/>
              </w:rPr>
            </w:pPr>
            <w:bookmarkStart w:id="1628" w:name="_Toc414888409"/>
            <w:bookmarkStart w:id="1629" w:name="_Toc451176597"/>
            <w:bookmarkStart w:id="1630" w:name="_Toc451180494"/>
            <w:r w:rsidRPr="00C51591">
              <w:rPr>
                <w:b w:val="0"/>
                <w:bCs w:val="0"/>
                <w:sz w:val="24"/>
                <w:szCs w:val="24"/>
                <w:rtl/>
              </w:rPr>
              <w:t>الخدمات المصرفية التجارية</w:t>
            </w:r>
            <w:bookmarkEnd w:id="1628"/>
            <w:bookmarkEnd w:id="1629"/>
            <w:bookmarkEnd w:id="1630"/>
          </w:p>
        </w:tc>
        <w:tc>
          <w:tcPr>
            <w:tcW w:w="2596" w:type="dxa"/>
            <w:vMerge w:val="restart"/>
            <w:vAlign w:val="center"/>
          </w:tcPr>
          <w:p w:rsidR="00DF19D3" w:rsidRPr="00C51591" w:rsidRDefault="00DF19D3" w:rsidP="008677AB">
            <w:pPr>
              <w:jc w:val="center"/>
              <w:rPr>
                <w:sz w:val="24"/>
                <w:szCs w:val="24"/>
                <w:rtl/>
                <w:lang w:bidi="ar-JO"/>
              </w:rPr>
            </w:pPr>
            <w:r w:rsidRPr="00C51591">
              <w:rPr>
                <w:sz w:val="24"/>
                <w:szCs w:val="24"/>
                <w:rtl/>
                <w:lang w:bidi="ar-JO"/>
              </w:rPr>
              <w:t>15</w:t>
            </w:r>
          </w:p>
        </w:tc>
      </w:tr>
      <w:tr w:rsidR="00DF19D3" w:rsidRPr="00DF19D3" w:rsidTr="00C51591">
        <w:trPr>
          <w:cantSplit/>
          <w:trHeight w:hRule="exact" w:val="432"/>
        </w:trPr>
        <w:tc>
          <w:tcPr>
            <w:tcW w:w="4863" w:type="dxa"/>
            <w:tcBorders>
              <w:bottom w:val="single" w:sz="4" w:space="0" w:color="auto"/>
            </w:tcBorders>
            <w:vAlign w:val="center"/>
          </w:tcPr>
          <w:p w:rsidR="00DF19D3" w:rsidRPr="00C51591" w:rsidRDefault="00DF19D3" w:rsidP="008677AB">
            <w:pPr>
              <w:jc w:val="left"/>
              <w:rPr>
                <w:b w:val="0"/>
                <w:bCs w:val="0"/>
                <w:noProof/>
                <w:sz w:val="24"/>
                <w:szCs w:val="24"/>
              </w:rPr>
            </w:pPr>
            <w:bookmarkStart w:id="1631" w:name="_Toc414888410"/>
            <w:bookmarkStart w:id="1632" w:name="_Toc451176598"/>
            <w:bookmarkStart w:id="1633" w:name="_Toc451180495"/>
            <w:r w:rsidRPr="00C51591">
              <w:rPr>
                <w:b w:val="0"/>
                <w:bCs w:val="0"/>
                <w:sz w:val="24"/>
                <w:szCs w:val="24"/>
                <w:rtl/>
              </w:rPr>
              <w:t>خدمات الوكالة</w:t>
            </w:r>
            <w:bookmarkEnd w:id="1631"/>
            <w:bookmarkEnd w:id="1632"/>
            <w:bookmarkEnd w:id="1633"/>
          </w:p>
        </w:tc>
        <w:tc>
          <w:tcPr>
            <w:tcW w:w="2596" w:type="dxa"/>
            <w:vMerge/>
            <w:tcBorders>
              <w:bottom w:val="single" w:sz="4" w:space="0" w:color="auto"/>
            </w:tcBorders>
            <w:vAlign w:val="center"/>
          </w:tcPr>
          <w:p w:rsidR="00DF19D3" w:rsidRPr="00C51591" w:rsidRDefault="00DF19D3" w:rsidP="008677AB">
            <w:pPr>
              <w:jc w:val="center"/>
              <w:rPr>
                <w:sz w:val="24"/>
                <w:szCs w:val="24"/>
                <w:rtl/>
                <w:lang w:bidi="ar-JO"/>
              </w:rPr>
            </w:pPr>
          </w:p>
        </w:tc>
      </w:tr>
      <w:tr w:rsidR="00DF19D3" w:rsidRPr="00DF19D3" w:rsidTr="00C51591">
        <w:trPr>
          <w:cantSplit/>
          <w:trHeight w:hRule="exact" w:val="432"/>
        </w:trPr>
        <w:tc>
          <w:tcPr>
            <w:tcW w:w="4863" w:type="dxa"/>
            <w:tcBorders>
              <w:top w:val="single" w:sz="4" w:space="0" w:color="auto"/>
              <w:left w:val="single" w:sz="4" w:space="0" w:color="auto"/>
              <w:bottom w:val="single" w:sz="4" w:space="0" w:color="auto"/>
              <w:right w:val="single" w:sz="4" w:space="0" w:color="auto"/>
            </w:tcBorders>
            <w:vAlign w:val="center"/>
          </w:tcPr>
          <w:p w:rsidR="00DF19D3" w:rsidRPr="00C51591" w:rsidRDefault="00DF19D3" w:rsidP="008677AB">
            <w:pPr>
              <w:jc w:val="left"/>
              <w:rPr>
                <w:b w:val="0"/>
                <w:bCs w:val="0"/>
                <w:noProof/>
                <w:sz w:val="24"/>
                <w:szCs w:val="24"/>
              </w:rPr>
            </w:pPr>
            <w:bookmarkStart w:id="1634" w:name="_Toc414888411"/>
            <w:bookmarkStart w:id="1635" w:name="_Toc451176599"/>
            <w:bookmarkStart w:id="1636" w:name="_Toc451180496"/>
            <w:r w:rsidRPr="00C51591">
              <w:rPr>
                <w:b w:val="0"/>
                <w:bCs w:val="0"/>
                <w:sz w:val="24"/>
                <w:szCs w:val="24"/>
                <w:rtl/>
              </w:rPr>
              <w:t>الخدمات  المصرفية للأفراد (التجزئة)</w:t>
            </w:r>
            <w:bookmarkEnd w:id="1634"/>
            <w:bookmarkEnd w:id="1635"/>
            <w:bookmarkEnd w:id="1636"/>
          </w:p>
        </w:tc>
        <w:tc>
          <w:tcPr>
            <w:tcW w:w="2596" w:type="dxa"/>
            <w:vMerge w:val="restart"/>
            <w:tcBorders>
              <w:top w:val="single" w:sz="4" w:space="0" w:color="auto"/>
              <w:left w:val="single" w:sz="4" w:space="0" w:color="auto"/>
              <w:bottom w:val="single" w:sz="4" w:space="0" w:color="auto"/>
              <w:right w:val="single" w:sz="4" w:space="0" w:color="auto"/>
            </w:tcBorders>
            <w:vAlign w:val="center"/>
          </w:tcPr>
          <w:p w:rsidR="00DF19D3" w:rsidRPr="00C51591" w:rsidRDefault="00DF19D3" w:rsidP="008677AB">
            <w:pPr>
              <w:jc w:val="center"/>
              <w:rPr>
                <w:sz w:val="24"/>
                <w:szCs w:val="24"/>
                <w:rtl/>
                <w:lang w:bidi="ar-JO"/>
              </w:rPr>
            </w:pPr>
            <w:r w:rsidRPr="00C51591">
              <w:rPr>
                <w:sz w:val="24"/>
                <w:szCs w:val="24"/>
                <w:rtl/>
                <w:lang w:bidi="ar-JO"/>
              </w:rPr>
              <w:t>12</w:t>
            </w:r>
          </w:p>
        </w:tc>
      </w:tr>
      <w:tr w:rsidR="00DF19D3" w:rsidRPr="00DF19D3" w:rsidTr="00F96D49">
        <w:trPr>
          <w:cantSplit/>
          <w:trHeight w:hRule="exact" w:val="510"/>
        </w:trPr>
        <w:tc>
          <w:tcPr>
            <w:tcW w:w="4863" w:type="dxa"/>
            <w:tcBorders>
              <w:top w:val="single" w:sz="4" w:space="0" w:color="auto"/>
              <w:left w:val="single" w:sz="4" w:space="0" w:color="auto"/>
              <w:bottom w:val="single" w:sz="4" w:space="0" w:color="auto"/>
              <w:right w:val="single" w:sz="4" w:space="0" w:color="auto"/>
            </w:tcBorders>
            <w:vAlign w:val="center"/>
          </w:tcPr>
          <w:p w:rsidR="00DF19D3" w:rsidRPr="00C51591" w:rsidRDefault="00DF19D3" w:rsidP="008677AB">
            <w:pPr>
              <w:jc w:val="left"/>
              <w:rPr>
                <w:b w:val="0"/>
                <w:bCs w:val="0"/>
                <w:noProof/>
                <w:sz w:val="24"/>
                <w:szCs w:val="24"/>
              </w:rPr>
            </w:pPr>
            <w:bookmarkStart w:id="1637" w:name="_Toc414888412"/>
            <w:bookmarkStart w:id="1638" w:name="_Toc451176600"/>
            <w:bookmarkStart w:id="1639" w:name="_Toc451180497"/>
            <w:r w:rsidRPr="00C51591">
              <w:rPr>
                <w:rFonts w:hint="cs"/>
                <w:b w:val="0"/>
                <w:bCs w:val="0"/>
                <w:sz w:val="24"/>
                <w:szCs w:val="24"/>
                <w:rtl/>
              </w:rPr>
              <w:t>إدارة</w:t>
            </w:r>
            <w:r w:rsidRPr="00C51591">
              <w:rPr>
                <w:b w:val="0"/>
                <w:bCs w:val="0"/>
                <w:sz w:val="24"/>
                <w:szCs w:val="24"/>
                <w:rtl/>
              </w:rPr>
              <w:t xml:space="preserve"> </w:t>
            </w:r>
            <w:bookmarkEnd w:id="1637"/>
            <w:bookmarkEnd w:id="1638"/>
            <w:bookmarkEnd w:id="1639"/>
            <w:r w:rsidRPr="00C51591">
              <w:rPr>
                <w:rFonts w:hint="cs"/>
                <w:b w:val="0"/>
                <w:bCs w:val="0"/>
                <w:sz w:val="24"/>
                <w:szCs w:val="24"/>
                <w:rtl/>
              </w:rPr>
              <w:t>الأصول</w:t>
            </w:r>
          </w:p>
        </w:tc>
        <w:tc>
          <w:tcPr>
            <w:tcW w:w="2596" w:type="dxa"/>
            <w:vMerge/>
            <w:tcBorders>
              <w:top w:val="single" w:sz="4" w:space="0" w:color="auto"/>
              <w:left w:val="single" w:sz="4" w:space="0" w:color="auto"/>
              <w:bottom w:val="single" w:sz="4" w:space="0" w:color="auto"/>
              <w:right w:val="single" w:sz="4" w:space="0" w:color="auto"/>
            </w:tcBorders>
            <w:vAlign w:val="center"/>
          </w:tcPr>
          <w:p w:rsidR="00DF19D3" w:rsidRPr="00DF19D3" w:rsidRDefault="00DF19D3" w:rsidP="008677AB">
            <w:pPr>
              <w:jc w:val="center"/>
              <w:rPr>
                <w:b w:val="0"/>
                <w:bCs w:val="0"/>
                <w:rtl/>
                <w:lang w:bidi="ar-JO"/>
              </w:rPr>
            </w:pPr>
          </w:p>
        </w:tc>
      </w:tr>
      <w:tr w:rsidR="00DF19D3" w:rsidRPr="00DF19D3" w:rsidTr="00C51591">
        <w:trPr>
          <w:cantSplit/>
          <w:trHeight w:hRule="exact" w:val="432"/>
        </w:trPr>
        <w:tc>
          <w:tcPr>
            <w:tcW w:w="4863" w:type="dxa"/>
            <w:tcBorders>
              <w:top w:val="single" w:sz="4" w:space="0" w:color="auto"/>
              <w:left w:val="single" w:sz="4" w:space="0" w:color="auto"/>
              <w:bottom w:val="single" w:sz="4" w:space="0" w:color="auto"/>
              <w:right w:val="single" w:sz="4" w:space="0" w:color="auto"/>
            </w:tcBorders>
            <w:vAlign w:val="center"/>
          </w:tcPr>
          <w:p w:rsidR="00DF19D3" w:rsidRPr="00C51591" w:rsidRDefault="00DF19D3" w:rsidP="008677AB">
            <w:pPr>
              <w:jc w:val="left"/>
              <w:rPr>
                <w:b w:val="0"/>
                <w:bCs w:val="0"/>
                <w:noProof/>
                <w:sz w:val="24"/>
                <w:szCs w:val="24"/>
              </w:rPr>
            </w:pPr>
            <w:bookmarkStart w:id="1640" w:name="_Toc414888413"/>
            <w:bookmarkStart w:id="1641" w:name="_Toc451176601"/>
            <w:bookmarkStart w:id="1642" w:name="_Toc451180498"/>
            <w:r w:rsidRPr="00C51591">
              <w:rPr>
                <w:b w:val="0"/>
                <w:bCs w:val="0"/>
                <w:sz w:val="24"/>
                <w:szCs w:val="24"/>
                <w:rtl/>
              </w:rPr>
              <w:t>خدمات الوساطة للأفراد</w:t>
            </w:r>
            <w:bookmarkEnd w:id="1640"/>
            <w:bookmarkEnd w:id="1641"/>
            <w:bookmarkEnd w:id="1642"/>
          </w:p>
        </w:tc>
        <w:tc>
          <w:tcPr>
            <w:tcW w:w="2596" w:type="dxa"/>
            <w:vMerge/>
            <w:tcBorders>
              <w:top w:val="single" w:sz="4" w:space="0" w:color="auto"/>
              <w:left w:val="single" w:sz="4" w:space="0" w:color="auto"/>
              <w:bottom w:val="single" w:sz="4" w:space="0" w:color="auto"/>
              <w:right w:val="single" w:sz="4" w:space="0" w:color="auto"/>
            </w:tcBorders>
            <w:vAlign w:val="center"/>
          </w:tcPr>
          <w:p w:rsidR="00DF19D3" w:rsidRPr="00DF19D3" w:rsidRDefault="00DF19D3" w:rsidP="008677AB">
            <w:pPr>
              <w:jc w:val="center"/>
              <w:rPr>
                <w:b w:val="0"/>
                <w:bCs w:val="0"/>
                <w:rtl/>
                <w:lang w:bidi="ar-JO"/>
              </w:rPr>
            </w:pPr>
          </w:p>
        </w:tc>
      </w:tr>
    </w:tbl>
    <w:p w:rsidR="00DF19D3" w:rsidRDefault="00DF19D3" w:rsidP="00C77C11">
      <w:pPr>
        <w:spacing w:line="276" w:lineRule="auto"/>
        <w:ind w:left="835" w:hanging="806"/>
        <w:rPr>
          <w:rtl/>
        </w:rPr>
      </w:pPr>
    </w:p>
    <w:p w:rsidR="00DF19D3" w:rsidRDefault="00DF19D3" w:rsidP="0088487E">
      <w:pPr>
        <w:spacing w:line="276" w:lineRule="auto"/>
        <w:rPr>
          <w:rtl/>
        </w:rPr>
      </w:pPr>
    </w:p>
    <w:p w:rsidR="00C51591" w:rsidRDefault="00C51591" w:rsidP="0088487E">
      <w:pPr>
        <w:ind w:left="1565" w:hanging="810"/>
        <w:rPr>
          <w:b w:val="0"/>
          <w:bCs w:val="0"/>
        </w:rPr>
      </w:pPr>
    </w:p>
    <w:p w:rsidR="00C51591" w:rsidRDefault="00C51591" w:rsidP="0088487E">
      <w:pPr>
        <w:ind w:left="1565" w:hanging="810"/>
        <w:rPr>
          <w:b w:val="0"/>
          <w:bCs w:val="0"/>
        </w:rPr>
      </w:pPr>
    </w:p>
    <w:p w:rsidR="00C51591" w:rsidRDefault="00C51591" w:rsidP="0088487E">
      <w:pPr>
        <w:ind w:left="1565" w:hanging="810"/>
        <w:rPr>
          <w:b w:val="0"/>
          <w:bCs w:val="0"/>
        </w:rPr>
      </w:pPr>
    </w:p>
    <w:p w:rsidR="00C51591" w:rsidRDefault="00C51591" w:rsidP="0088487E">
      <w:pPr>
        <w:ind w:left="1565" w:hanging="810"/>
        <w:rPr>
          <w:b w:val="0"/>
          <w:bCs w:val="0"/>
        </w:rPr>
      </w:pPr>
    </w:p>
    <w:p w:rsidR="00C51591" w:rsidRDefault="00C51591" w:rsidP="0088487E">
      <w:pPr>
        <w:ind w:left="1565" w:hanging="810"/>
        <w:rPr>
          <w:b w:val="0"/>
          <w:bCs w:val="0"/>
        </w:rPr>
      </w:pPr>
    </w:p>
    <w:p w:rsidR="005A5C26" w:rsidRDefault="005A5C26" w:rsidP="00580899">
      <w:pPr>
        <w:ind w:left="2126" w:hanging="851"/>
        <w:rPr>
          <w:b w:val="0"/>
          <w:bCs w:val="0"/>
          <w:rtl/>
        </w:rPr>
      </w:pPr>
    </w:p>
    <w:p w:rsidR="00AA08AF" w:rsidRPr="00DF19D3" w:rsidRDefault="00C51591" w:rsidP="00580899">
      <w:pPr>
        <w:ind w:left="2126" w:hanging="851"/>
        <w:rPr>
          <w:b w:val="0"/>
          <w:bCs w:val="0"/>
          <w:rtl/>
        </w:rPr>
      </w:pPr>
      <w:r w:rsidRPr="00DF19D3">
        <w:rPr>
          <w:b w:val="0"/>
          <w:bCs w:val="0"/>
          <w:rtl/>
        </w:rPr>
        <w:t>5.1.3</w:t>
      </w:r>
      <w:r w:rsidR="005A5C26">
        <w:rPr>
          <w:rFonts w:hint="cs"/>
          <w:b w:val="0"/>
          <w:bCs w:val="0"/>
          <w:rtl/>
        </w:rPr>
        <w:t>.</w:t>
      </w:r>
      <w:r w:rsidR="005A5C26">
        <w:rPr>
          <w:rFonts w:hint="cs"/>
          <w:b w:val="0"/>
          <w:bCs w:val="0"/>
          <w:rtl/>
        </w:rPr>
        <w:tab/>
      </w:r>
      <w:r w:rsidR="00AA08AF" w:rsidRPr="00DF19D3">
        <w:rPr>
          <w:b w:val="0"/>
          <w:bCs w:val="0"/>
          <w:rtl/>
        </w:rPr>
        <w:t>في حالة كون اجمالي الدخل سلبي للثلاثة سنوات الماضية للبنك المرخص او في حالة وجود بنك مرخص حديث تقل عملياته عن ثلاث سنوات او في حالة الدمج او الشراء او اعادة الهيكلة الجوهرية يقوم البنك المركزي الاردني بالتفاوض مع البنك المرخص بخصوص الاسلوب البديل لاحتساب المتطلبات الرأسمالية على المخاطر التشغيلية. وعلي سبيل المثال فانه قد يطلب من البنك المرخص حديثاً باستخدام اجمالي الدخل المتوقع في خطة العمل للثلاث سنوات القادمة، ويتمثل الاسلوب الآخر بان البنك المركزي الأردني قد يطلب من تلك البنوك التقيد بمعايير اعلى لمعدل كفاية راس المال (</w:t>
      </w:r>
      <w:r w:rsidR="00AA08AF" w:rsidRPr="00DF19D3">
        <w:rPr>
          <w:b w:val="0"/>
          <w:bCs w:val="0"/>
        </w:rPr>
        <w:t>CAR</w:t>
      </w:r>
      <w:r w:rsidR="00AA08AF" w:rsidRPr="00DF19D3">
        <w:rPr>
          <w:b w:val="0"/>
          <w:bCs w:val="0"/>
          <w:rtl/>
        </w:rPr>
        <w:t>).</w:t>
      </w:r>
      <w:bookmarkEnd w:id="1616"/>
      <w:bookmarkEnd w:id="1617"/>
      <w:bookmarkEnd w:id="1618"/>
    </w:p>
    <w:p w:rsidR="00B259A6" w:rsidRPr="00DF19D3" w:rsidRDefault="00B259A6" w:rsidP="005A5C26">
      <w:pPr>
        <w:spacing w:after="0"/>
        <w:ind w:left="1275" w:hanging="709"/>
        <w:rPr>
          <w:b w:val="0"/>
          <w:bCs w:val="0"/>
          <w:rtl/>
        </w:rPr>
      </w:pPr>
      <w:bookmarkStart w:id="1643" w:name="_Toc451176603"/>
      <w:bookmarkStart w:id="1644" w:name="_Toc451180500"/>
      <w:r w:rsidRPr="00DF19D3">
        <w:rPr>
          <w:b w:val="0"/>
          <w:bCs w:val="0"/>
          <w:rtl/>
        </w:rPr>
        <w:t>2.</w:t>
      </w:r>
      <w:r w:rsidR="00AA08AF" w:rsidRPr="00DF19D3">
        <w:rPr>
          <w:b w:val="0"/>
          <w:bCs w:val="0"/>
          <w:rtl/>
        </w:rPr>
        <w:t>3</w:t>
      </w:r>
      <w:r w:rsidR="00DF19D3" w:rsidRPr="00DF19D3">
        <w:rPr>
          <w:rFonts w:hint="cs"/>
          <w:b w:val="0"/>
          <w:bCs w:val="0"/>
          <w:rtl/>
        </w:rPr>
        <w:t>.</w:t>
      </w:r>
      <w:r w:rsidRPr="00DF19D3">
        <w:rPr>
          <w:b w:val="0"/>
          <w:bCs w:val="0"/>
          <w:rtl/>
        </w:rPr>
        <w:tab/>
        <w:t>الطريقة المعيارية البديلة</w:t>
      </w:r>
      <w:bookmarkEnd w:id="1643"/>
      <w:bookmarkEnd w:id="1644"/>
    </w:p>
    <w:p w:rsidR="00B259A6" w:rsidRDefault="00B259A6" w:rsidP="00580899">
      <w:pPr>
        <w:ind w:left="2126" w:hanging="851"/>
        <w:rPr>
          <w:b w:val="0"/>
          <w:bCs w:val="0"/>
          <w:rtl/>
        </w:rPr>
      </w:pPr>
      <w:bookmarkStart w:id="1645" w:name="_Toc414888416"/>
      <w:bookmarkStart w:id="1646" w:name="_Toc451176604"/>
      <w:bookmarkStart w:id="1647" w:name="_Toc451180501"/>
      <w:r w:rsidRPr="00DF19D3">
        <w:rPr>
          <w:b w:val="0"/>
          <w:bCs w:val="0"/>
          <w:rtl/>
        </w:rPr>
        <w:t>1.2.</w:t>
      </w:r>
      <w:r w:rsidR="00AA08AF" w:rsidRPr="00DF19D3">
        <w:rPr>
          <w:b w:val="0"/>
          <w:bCs w:val="0"/>
          <w:rtl/>
        </w:rPr>
        <w:t>3</w:t>
      </w:r>
      <w:r w:rsidR="00DF19D3" w:rsidRPr="00DF19D3">
        <w:rPr>
          <w:rFonts w:hint="cs"/>
          <w:b w:val="0"/>
          <w:bCs w:val="0"/>
          <w:rtl/>
        </w:rPr>
        <w:t>.</w:t>
      </w:r>
      <w:r w:rsidRPr="00DF19D3">
        <w:rPr>
          <w:b w:val="0"/>
          <w:bCs w:val="0"/>
          <w:rtl/>
        </w:rPr>
        <w:tab/>
        <w:t>بناء على الطريقة المعيارية البديلة، فان منهجية احتساب راس المال لمواجهة مخاطر التشغيل مشابهه للطريقة المعيارية باستثناء طريقة الاحتساب لخطي اعمال الخدمات المصرفية للأفراد (التجزئة) و</w:t>
      </w:r>
      <w:r w:rsidR="00D5251D" w:rsidRPr="00DF19D3">
        <w:rPr>
          <w:b w:val="0"/>
          <w:bCs w:val="0"/>
          <w:rtl/>
        </w:rPr>
        <w:t>الخدمات المصرفية التجارية</w:t>
      </w:r>
      <w:r w:rsidRPr="00DF19D3">
        <w:rPr>
          <w:b w:val="0"/>
          <w:bCs w:val="0"/>
          <w:rtl/>
        </w:rPr>
        <w:t>، حيث يجوز للبنوك تحت الطريقة المعيارية البديلة استعمال معدل ثلاث سنوات للقروض والسلف بدلا من اجمالي الدخل. ان قيمة معامل بيتا (</w:t>
      </w:r>
      <w:r w:rsidRPr="00DF19D3">
        <w:rPr>
          <w:b w:val="0"/>
          <w:bCs w:val="0"/>
        </w:rPr>
        <w:t>Beta</w:t>
      </w:r>
      <w:r w:rsidRPr="00DF19D3">
        <w:rPr>
          <w:b w:val="0"/>
          <w:bCs w:val="0"/>
          <w:rtl/>
        </w:rPr>
        <w:t xml:space="preserve">) فيما يخص محفظة الخدمات المصرفية للأفراد (التجزئة) ومحفظة الخدمات المصرفية التجارية هي نفسها المطبقة في الطريقة المعيارية. ان معادلة الطريقة المعيارية البديلة لاحتساب راس المال لمواجهة </w:t>
      </w:r>
      <w:r w:rsidRPr="00DF19D3">
        <w:rPr>
          <w:b w:val="0"/>
          <w:bCs w:val="0"/>
          <w:rtl/>
        </w:rPr>
        <w:lastRenderedPageBreak/>
        <w:t>مخاطر التشغيل لمحفظة الخدمات المصرفية للأفراد (التجزئة) "هي نفسها لمحفظة الخدمات المصرفية التجارية" وهي كما يلي:</w:t>
      </w:r>
      <w:bookmarkEnd w:id="1645"/>
      <w:bookmarkEnd w:id="1646"/>
      <w:bookmarkEnd w:id="1647"/>
    </w:p>
    <w:tbl>
      <w:tblPr>
        <w:tblStyle w:val="TableGrid"/>
        <w:bidiVisual/>
        <w:tblW w:w="0" w:type="auto"/>
        <w:jc w:val="center"/>
        <w:tblLook w:val="04A0" w:firstRow="1" w:lastRow="0" w:firstColumn="1" w:lastColumn="0" w:noHBand="0" w:noVBand="1"/>
      </w:tblPr>
      <w:tblGrid>
        <w:gridCol w:w="4032"/>
      </w:tblGrid>
      <w:tr w:rsidR="00DF19D3" w:rsidRPr="00B2749A" w:rsidTr="00B2749A">
        <w:trPr>
          <w:jc w:val="center"/>
        </w:trPr>
        <w:tc>
          <w:tcPr>
            <w:tcW w:w="4032" w:type="dxa"/>
            <w:vAlign w:val="center"/>
          </w:tcPr>
          <w:p w:rsidR="00DF19D3" w:rsidRPr="00B2749A" w:rsidRDefault="00DF19D3" w:rsidP="00B2749A">
            <w:pPr>
              <w:jc w:val="center"/>
              <w:rPr>
                <w:b w:val="0"/>
                <w:bCs w:val="0"/>
                <w:rtl/>
                <w:lang w:bidi="ar-JO"/>
              </w:rPr>
            </w:pPr>
            <w:bookmarkStart w:id="1648" w:name="_Toc414888417"/>
            <w:bookmarkStart w:id="1649" w:name="_Toc451176605"/>
            <w:bookmarkStart w:id="1650" w:name="_Toc451180502"/>
            <w:r w:rsidRPr="00B2749A">
              <w:rPr>
                <w:b w:val="0"/>
                <w:bCs w:val="0"/>
              </w:rPr>
              <w:t>K</w:t>
            </w:r>
            <w:r w:rsidRPr="00B2749A">
              <w:rPr>
                <w:b w:val="0"/>
                <w:bCs w:val="0"/>
                <w:vertAlign w:val="subscript"/>
              </w:rPr>
              <w:t>RB</w:t>
            </w:r>
            <w:r w:rsidRPr="00B2749A">
              <w:rPr>
                <w:b w:val="0"/>
                <w:bCs w:val="0"/>
              </w:rPr>
              <w:t xml:space="preserve"> = </w:t>
            </w:r>
            <w:r w:rsidRPr="00B2749A">
              <w:rPr>
                <w:rFonts w:ascii="Times New Roman" w:hAnsi="Times New Roman" w:cs="Times New Roman"/>
                <w:b w:val="0"/>
                <w:bCs w:val="0"/>
              </w:rPr>
              <w:t>β</w:t>
            </w:r>
            <w:r w:rsidRPr="00B2749A">
              <w:rPr>
                <w:b w:val="0"/>
                <w:bCs w:val="0"/>
                <w:vertAlign w:val="subscript"/>
              </w:rPr>
              <w:t>RB</w:t>
            </w:r>
            <w:r w:rsidRPr="00B2749A">
              <w:rPr>
                <w:b w:val="0"/>
                <w:bCs w:val="0"/>
              </w:rPr>
              <w:t xml:space="preserve"> x m x LA</w:t>
            </w:r>
            <w:r w:rsidRPr="00B2749A">
              <w:rPr>
                <w:b w:val="0"/>
                <w:bCs w:val="0"/>
                <w:vertAlign w:val="subscript"/>
              </w:rPr>
              <w:t>RB</w:t>
            </w:r>
            <w:bookmarkEnd w:id="1648"/>
            <w:bookmarkEnd w:id="1649"/>
            <w:bookmarkEnd w:id="1650"/>
          </w:p>
        </w:tc>
      </w:tr>
    </w:tbl>
    <w:p w:rsidR="00B259A6" w:rsidRPr="00136C4D" w:rsidRDefault="00B259A6" w:rsidP="0088487E">
      <w:pPr>
        <w:ind w:left="1295" w:hanging="90"/>
        <w:rPr>
          <w:b w:val="0"/>
          <w:bCs w:val="0"/>
          <w:rtl/>
        </w:rPr>
      </w:pPr>
      <w:r w:rsidRPr="006D6E07">
        <w:rPr>
          <w:rtl/>
        </w:rPr>
        <w:tab/>
      </w:r>
      <w:bookmarkStart w:id="1651" w:name="_Toc414888418"/>
      <w:bookmarkStart w:id="1652" w:name="_Toc451176606"/>
      <w:bookmarkStart w:id="1653" w:name="_Toc451180503"/>
      <w:r w:rsidRPr="00136C4D">
        <w:rPr>
          <w:b w:val="0"/>
          <w:bCs w:val="0"/>
          <w:rtl/>
        </w:rPr>
        <w:t>حيث أن :</w:t>
      </w:r>
      <w:bookmarkEnd w:id="1651"/>
      <w:bookmarkEnd w:id="1652"/>
      <w:bookmarkEnd w:id="1653"/>
    </w:p>
    <w:p w:rsidR="00B259A6" w:rsidRPr="001E0FE2" w:rsidRDefault="00B259A6" w:rsidP="00136C4D">
      <w:pPr>
        <w:spacing w:after="0"/>
        <w:ind w:left="2450" w:hanging="810"/>
        <w:rPr>
          <w:b w:val="0"/>
          <w:bCs w:val="0"/>
          <w:rtl/>
        </w:rPr>
      </w:pPr>
      <w:bookmarkStart w:id="1654" w:name="_Toc414888419"/>
      <w:bookmarkStart w:id="1655" w:name="_Toc451176607"/>
      <w:bookmarkStart w:id="1656" w:name="_Toc451180504"/>
      <w:r w:rsidRPr="001E0FE2">
        <w:rPr>
          <w:b w:val="0"/>
          <w:bCs w:val="0"/>
        </w:rPr>
        <w:t>K</w:t>
      </w:r>
      <w:r w:rsidRPr="001E0FE2">
        <w:rPr>
          <w:b w:val="0"/>
          <w:bCs w:val="0"/>
          <w:vertAlign w:val="subscript"/>
        </w:rPr>
        <w:t>RB</w:t>
      </w:r>
      <w:r w:rsidRPr="001E0FE2">
        <w:rPr>
          <w:b w:val="0"/>
          <w:bCs w:val="0"/>
          <w:rtl/>
        </w:rPr>
        <w:t xml:space="preserve"> </w:t>
      </w:r>
      <w:r w:rsidR="0088487E">
        <w:rPr>
          <w:rFonts w:hint="cs"/>
          <w:b w:val="0"/>
          <w:bCs w:val="0"/>
          <w:rtl/>
        </w:rPr>
        <w:t xml:space="preserve"> </w:t>
      </w:r>
      <w:r w:rsidR="001E0FE2">
        <w:rPr>
          <w:rFonts w:hint="cs"/>
          <w:b w:val="0"/>
          <w:bCs w:val="0"/>
          <w:rtl/>
        </w:rPr>
        <w:t xml:space="preserve"> </w:t>
      </w:r>
      <w:r w:rsidR="00136C4D">
        <w:rPr>
          <w:b w:val="0"/>
          <w:bCs w:val="0"/>
        </w:rPr>
        <w:t xml:space="preserve"> </w:t>
      </w:r>
      <w:r w:rsidR="0088487E">
        <w:rPr>
          <w:rFonts w:hint="cs"/>
          <w:b w:val="0"/>
          <w:bCs w:val="0"/>
          <w:rtl/>
        </w:rPr>
        <w:t>:</w:t>
      </w:r>
      <w:r w:rsidR="001E0FE2">
        <w:rPr>
          <w:rFonts w:hint="cs"/>
          <w:b w:val="0"/>
          <w:bCs w:val="0"/>
          <w:rtl/>
        </w:rPr>
        <w:t xml:space="preserve"> </w:t>
      </w:r>
      <w:r w:rsidRPr="001E0FE2">
        <w:rPr>
          <w:b w:val="0"/>
          <w:bCs w:val="0"/>
          <w:rtl/>
        </w:rPr>
        <w:t>تمثل قيمة راس المال لخط أعمال محفظة الخدمات المصرفية للأفراد (التجزئة).</w:t>
      </w:r>
      <w:bookmarkEnd w:id="1654"/>
      <w:bookmarkEnd w:id="1655"/>
      <w:bookmarkEnd w:id="1656"/>
    </w:p>
    <w:p w:rsidR="00B259A6" w:rsidRPr="001E0FE2" w:rsidRDefault="00B259A6" w:rsidP="00136C4D">
      <w:pPr>
        <w:spacing w:after="0"/>
        <w:ind w:left="2450" w:hanging="810"/>
        <w:rPr>
          <w:b w:val="0"/>
          <w:bCs w:val="0"/>
          <w:rtl/>
        </w:rPr>
      </w:pPr>
      <w:bookmarkStart w:id="1657" w:name="_Toc414888420"/>
      <w:bookmarkStart w:id="1658" w:name="_Toc451176608"/>
      <w:bookmarkStart w:id="1659" w:name="_Toc451180505"/>
      <w:r w:rsidRPr="001E0FE2">
        <w:rPr>
          <w:rFonts w:ascii="Times New Roman" w:hAnsi="Times New Roman" w:cs="Times New Roman"/>
          <w:b w:val="0"/>
          <w:bCs w:val="0"/>
        </w:rPr>
        <w:t>β</w:t>
      </w:r>
      <w:r w:rsidRPr="001E0FE2">
        <w:rPr>
          <w:b w:val="0"/>
          <w:bCs w:val="0"/>
          <w:vertAlign w:val="subscript"/>
        </w:rPr>
        <w:t>RB</w:t>
      </w:r>
      <w:r w:rsidRPr="001E0FE2">
        <w:rPr>
          <w:b w:val="0"/>
          <w:bCs w:val="0"/>
          <w:rtl/>
        </w:rPr>
        <w:t xml:space="preserve"> </w:t>
      </w:r>
      <w:r w:rsidR="0088487E">
        <w:rPr>
          <w:rFonts w:hint="cs"/>
          <w:b w:val="0"/>
          <w:bCs w:val="0"/>
          <w:rtl/>
        </w:rPr>
        <w:t xml:space="preserve"> </w:t>
      </w:r>
      <w:r w:rsidR="001E0FE2">
        <w:rPr>
          <w:rFonts w:hint="cs"/>
          <w:b w:val="0"/>
          <w:bCs w:val="0"/>
          <w:rtl/>
        </w:rPr>
        <w:t xml:space="preserve"> </w:t>
      </w:r>
      <w:r w:rsidR="0088487E">
        <w:rPr>
          <w:rFonts w:hint="cs"/>
          <w:b w:val="0"/>
          <w:bCs w:val="0"/>
          <w:rtl/>
        </w:rPr>
        <w:t xml:space="preserve">  :</w:t>
      </w:r>
      <w:r w:rsidR="001E0FE2">
        <w:rPr>
          <w:rFonts w:hint="cs"/>
          <w:b w:val="0"/>
          <w:bCs w:val="0"/>
          <w:rtl/>
        </w:rPr>
        <w:t xml:space="preserve"> </w:t>
      </w:r>
      <w:r w:rsidRPr="001E0FE2">
        <w:rPr>
          <w:b w:val="0"/>
          <w:bCs w:val="0"/>
          <w:rtl/>
        </w:rPr>
        <w:t>تمثل معامل بيتا لخط اعمال لمحفظة الخدمات المصرفية للأفراد (التجزئة).</w:t>
      </w:r>
      <w:bookmarkEnd w:id="1657"/>
      <w:bookmarkEnd w:id="1658"/>
      <w:bookmarkEnd w:id="1659"/>
    </w:p>
    <w:p w:rsidR="00B259A6" w:rsidRPr="001E0FE2" w:rsidRDefault="00B259A6" w:rsidP="00136C4D">
      <w:pPr>
        <w:spacing w:after="0"/>
        <w:ind w:left="2450" w:hanging="990"/>
        <w:rPr>
          <w:b w:val="0"/>
          <w:bCs w:val="0"/>
          <w:rtl/>
        </w:rPr>
      </w:pPr>
      <w:bookmarkStart w:id="1660" w:name="_Toc414888421"/>
      <w:bookmarkStart w:id="1661" w:name="_Toc451176609"/>
      <w:bookmarkStart w:id="1662" w:name="_Toc451180506"/>
      <w:r w:rsidRPr="001E0FE2">
        <w:rPr>
          <w:b w:val="0"/>
          <w:bCs w:val="0"/>
        </w:rPr>
        <w:t>LA</w:t>
      </w:r>
      <w:r w:rsidRPr="001E0FE2">
        <w:rPr>
          <w:b w:val="0"/>
          <w:bCs w:val="0"/>
          <w:vertAlign w:val="subscript"/>
        </w:rPr>
        <w:t>RB</w:t>
      </w:r>
      <w:r w:rsidRPr="001E0FE2">
        <w:rPr>
          <w:b w:val="0"/>
          <w:bCs w:val="0"/>
          <w:rtl/>
        </w:rPr>
        <w:t xml:space="preserve"> </w:t>
      </w:r>
      <w:r w:rsidR="0088487E">
        <w:rPr>
          <w:rFonts w:hint="cs"/>
          <w:b w:val="0"/>
          <w:bCs w:val="0"/>
          <w:rtl/>
        </w:rPr>
        <w:t xml:space="preserve">  : </w:t>
      </w:r>
      <w:r w:rsidRPr="001E0FE2">
        <w:rPr>
          <w:b w:val="0"/>
          <w:bCs w:val="0"/>
          <w:rtl/>
        </w:rPr>
        <w:t xml:space="preserve">تمثل قيمة محفظة قروض التجزئة والسلف القائمة (غير مرجحة بالمخاطر ومطروحاً منها </w:t>
      </w:r>
      <w:r w:rsidR="0088487E">
        <w:rPr>
          <w:rFonts w:hint="cs"/>
          <w:b w:val="0"/>
          <w:bCs w:val="0"/>
          <w:rtl/>
        </w:rPr>
        <w:t xml:space="preserve"> </w:t>
      </w:r>
      <w:r w:rsidRPr="001E0FE2">
        <w:rPr>
          <w:b w:val="0"/>
          <w:bCs w:val="0"/>
          <w:rtl/>
        </w:rPr>
        <w:t>المخصصات) كمتوسط اخر ثلاثة سنوات.</w:t>
      </w:r>
      <w:bookmarkEnd w:id="1660"/>
      <w:bookmarkEnd w:id="1661"/>
      <w:bookmarkEnd w:id="1662"/>
    </w:p>
    <w:p w:rsidR="00B259A6" w:rsidRPr="0088487E" w:rsidRDefault="00B259A6" w:rsidP="00136C4D">
      <w:pPr>
        <w:spacing w:after="240"/>
        <w:ind w:left="2450" w:hanging="634"/>
        <w:rPr>
          <w:b w:val="0"/>
          <w:bCs w:val="0"/>
          <w:rtl/>
        </w:rPr>
      </w:pPr>
      <w:bookmarkStart w:id="1663" w:name="_Toc414888422"/>
      <w:bookmarkStart w:id="1664" w:name="_Toc451176610"/>
      <w:bookmarkStart w:id="1665" w:name="_Toc451180507"/>
      <w:r w:rsidRPr="001E0FE2">
        <w:rPr>
          <w:b w:val="0"/>
          <w:bCs w:val="0"/>
        </w:rPr>
        <w:t>m</w:t>
      </w:r>
      <w:r w:rsidRPr="001E0FE2">
        <w:rPr>
          <w:b w:val="0"/>
          <w:bCs w:val="0"/>
          <w:rtl/>
        </w:rPr>
        <w:t xml:space="preserve"> </w:t>
      </w:r>
      <w:r w:rsidR="001E0FE2">
        <w:rPr>
          <w:rFonts w:hint="cs"/>
          <w:b w:val="0"/>
          <w:bCs w:val="0"/>
          <w:rtl/>
        </w:rPr>
        <w:t xml:space="preserve"> </w:t>
      </w:r>
      <w:r w:rsidR="0088487E">
        <w:rPr>
          <w:rFonts w:hint="cs"/>
          <w:b w:val="0"/>
          <w:bCs w:val="0"/>
          <w:rtl/>
        </w:rPr>
        <w:t xml:space="preserve"> </w:t>
      </w:r>
      <w:r w:rsidR="001E0FE2">
        <w:rPr>
          <w:rFonts w:hint="cs"/>
          <w:b w:val="0"/>
          <w:bCs w:val="0"/>
          <w:rtl/>
        </w:rPr>
        <w:t xml:space="preserve">  </w:t>
      </w:r>
      <w:r w:rsidR="0088487E">
        <w:rPr>
          <w:rFonts w:hint="cs"/>
          <w:b w:val="0"/>
          <w:bCs w:val="0"/>
          <w:rtl/>
        </w:rPr>
        <w:t xml:space="preserve">: </w:t>
      </w:r>
      <w:r w:rsidR="001E0FE2">
        <w:rPr>
          <w:rFonts w:hint="cs"/>
          <w:b w:val="0"/>
          <w:bCs w:val="0"/>
          <w:rtl/>
        </w:rPr>
        <w:t xml:space="preserve"> </w:t>
      </w:r>
      <w:r w:rsidRPr="001E0FE2">
        <w:rPr>
          <w:b w:val="0"/>
          <w:bCs w:val="0"/>
          <w:rtl/>
        </w:rPr>
        <w:t xml:space="preserve">وتساوي </w:t>
      </w:r>
      <w:bookmarkEnd w:id="1663"/>
      <w:r w:rsidR="00D5251D" w:rsidRPr="001E0FE2">
        <w:rPr>
          <w:b w:val="0"/>
          <w:bCs w:val="0"/>
          <w:rtl/>
        </w:rPr>
        <w:t>0.035</w:t>
      </w:r>
      <w:bookmarkEnd w:id="1664"/>
      <w:bookmarkEnd w:id="1665"/>
    </w:p>
    <w:p w:rsidR="00B259A6" w:rsidRPr="001E0FE2" w:rsidRDefault="00B259A6" w:rsidP="00580899">
      <w:pPr>
        <w:ind w:left="2126" w:hanging="851"/>
        <w:rPr>
          <w:b w:val="0"/>
          <w:bCs w:val="0"/>
          <w:rtl/>
        </w:rPr>
      </w:pPr>
      <w:bookmarkStart w:id="1666" w:name="_Toc414888423"/>
      <w:bookmarkStart w:id="1667" w:name="_Toc451176611"/>
      <w:bookmarkStart w:id="1668" w:name="_Toc451180508"/>
      <w:r w:rsidRPr="001E0FE2">
        <w:rPr>
          <w:b w:val="0"/>
          <w:bCs w:val="0"/>
          <w:rtl/>
        </w:rPr>
        <w:t>2.2.</w:t>
      </w:r>
      <w:r w:rsidR="00AA08AF" w:rsidRPr="001E0FE2">
        <w:rPr>
          <w:b w:val="0"/>
          <w:bCs w:val="0"/>
          <w:rtl/>
        </w:rPr>
        <w:t>3</w:t>
      </w:r>
      <w:r w:rsidR="001E0FE2">
        <w:rPr>
          <w:rFonts w:hint="cs"/>
          <w:b w:val="0"/>
          <w:bCs w:val="0"/>
          <w:rtl/>
        </w:rPr>
        <w:t>.</w:t>
      </w:r>
      <w:r w:rsidRPr="001E0FE2">
        <w:rPr>
          <w:b w:val="0"/>
          <w:bCs w:val="0"/>
          <w:rtl/>
        </w:rPr>
        <w:tab/>
        <w:t>لغايات الطريقة البديلة فان اجمالي القروض والسلف في خط اعمال محفظة الخدمات المصرفية للأفراد (التجزئة).</w:t>
      </w:r>
      <w:bookmarkEnd w:id="1666"/>
      <w:bookmarkEnd w:id="1667"/>
      <w:bookmarkEnd w:id="1668"/>
    </w:p>
    <w:p w:rsidR="00B259A6" w:rsidRPr="001E0FE2" w:rsidRDefault="00B259A6" w:rsidP="005A5C26">
      <w:pPr>
        <w:spacing w:after="0"/>
        <w:ind w:left="2126"/>
        <w:rPr>
          <w:b w:val="0"/>
          <w:bCs w:val="0"/>
          <w:rtl/>
        </w:rPr>
      </w:pPr>
      <w:bookmarkStart w:id="1669" w:name="_Toc414888424"/>
      <w:bookmarkStart w:id="1670" w:name="_Toc451176612"/>
      <w:bookmarkStart w:id="1671" w:name="_Toc451180509"/>
      <w:r w:rsidRPr="001E0FE2">
        <w:rPr>
          <w:b w:val="0"/>
          <w:bCs w:val="0"/>
          <w:rtl/>
        </w:rPr>
        <w:t>تمثل قيمة المبالغ المسحوبة من محفظة القروض وكما يلي:</w:t>
      </w:r>
      <w:bookmarkEnd w:id="1669"/>
      <w:bookmarkEnd w:id="1670"/>
      <w:bookmarkEnd w:id="1671"/>
    </w:p>
    <w:p w:rsidR="00B259A6" w:rsidRPr="001E0FE2" w:rsidRDefault="00AA08AF" w:rsidP="005A5C26">
      <w:pPr>
        <w:spacing w:after="240"/>
        <w:ind w:left="2126"/>
        <w:rPr>
          <w:b w:val="0"/>
          <w:bCs w:val="0"/>
          <w:rtl/>
        </w:rPr>
      </w:pPr>
      <w:bookmarkStart w:id="1672" w:name="_Toc414888425"/>
      <w:bookmarkStart w:id="1673" w:name="_Toc451176613"/>
      <w:bookmarkStart w:id="1674" w:name="_Toc451180510"/>
      <w:r w:rsidRPr="001E0FE2">
        <w:rPr>
          <w:b w:val="0"/>
          <w:bCs w:val="0"/>
          <w:rtl/>
        </w:rPr>
        <w:t>قروض التجزئة، قروض المؤسسات الصغيرة</w:t>
      </w:r>
      <w:r w:rsidR="00B259A6" w:rsidRPr="001E0FE2">
        <w:rPr>
          <w:b w:val="0"/>
          <w:bCs w:val="0"/>
          <w:rtl/>
        </w:rPr>
        <w:t>، ومتوسطة الحجم والتي تعامل كمعاملة قروض التجزئة، والذمم الدائنة المشتراه للأفراد، اما فيما يخص خط اعمال محفظة الخدمات المصرفية التجارية فان اجمالي القروض والسلف تمثل قيمة المبالغ المسحوبة من محفظة القروض وكما يلي: قروض الشركات، القروض للدول، القروض للبنوك، القروض للمؤسسات الصغيرة ومتوسطة الحجم والتي تعامل معاملة قروض الشركات والذمم الدائنة المشتراه من الشركات، بالإضافة الى ذلك فانه يجب تضمين القيمة الدفترية للأوراق المالية المصنفة في المحفظة المصرفية.</w:t>
      </w:r>
      <w:bookmarkEnd w:id="1672"/>
      <w:bookmarkEnd w:id="1673"/>
      <w:bookmarkEnd w:id="1674"/>
    </w:p>
    <w:p w:rsidR="00B259A6" w:rsidRPr="001E0FE2" w:rsidRDefault="00B259A6" w:rsidP="00580899">
      <w:pPr>
        <w:ind w:left="2126" w:hanging="851"/>
        <w:rPr>
          <w:b w:val="0"/>
          <w:bCs w:val="0"/>
          <w:rtl/>
        </w:rPr>
      </w:pPr>
      <w:bookmarkStart w:id="1675" w:name="_Toc451176614"/>
      <w:bookmarkStart w:id="1676" w:name="_Toc451180511"/>
      <w:bookmarkStart w:id="1677" w:name="_Toc414888426"/>
      <w:r w:rsidRPr="001E0FE2">
        <w:rPr>
          <w:b w:val="0"/>
          <w:bCs w:val="0"/>
          <w:rtl/>
        </w:rPr>
        <w:t>3.2.</w:t>
      </w:r>
      <w:r w:rsidR="00AA08AF" w:rsidRPr="001E0FE2">
        <w:rPr>
          <w:b w:val="0"/>
          <w:bCs w:val="0"/>
          <w:rtl/>
        </w:rPr>
        <w:t>3</w:t>
      </w:r>
      <w:r w:rsidR="001E0FE2">
        <w:rPr>
          <w:rFonts w:hint="cs"/>
          <w:b w:val="0"/>
          <w:bCs w:val="0"/>
          <w:rtl/>
        </w:rPr>
        <w:t>.</w:t>
      </w:r>
      <w:r w:rsidRPr="001E0FE2">
        <w:rPr>
          <w:b w:val="0"/>
          <w:bCs w:val="0"/>
          <w:rtl/>
        </w:rPr>
        <w:tab/>
        <w:t>بناء على الطريقة المعيارية البديلة، فانه يمكن للبنوك – اذا رغبت- بتجميع خط محفظة الخدمات المصرفية للأفراد (التجزئة) وخط اعمال محفظة الخدمات المصرفية التجارية استعمال معامل بيتا (</w:t>
      </w:r>
      <w:r w:rsidRPr="001E0FE2">
        <w:rPr>
          <w:b w:val="0"/>
          <w:bCs w:val="0"/>
        </w:rPr>
        <w:t>Beta</w:t>
      </w:r>
      <w:r w:rsidRPr="001E0FE2">
        <w:rPr>
          <w:b w:val="0"/>
          <w:bCs w:val="0"/>
          <w:rtl/>
        </w:rPr>
        <w:t>) بنسبة 15%. وكذلك وبالنسبة للبنوك التي لا تستطيع فصل اجمالي الدخل الى خطوط الاعمال الستة الأخرى، فانه يمكنهم استعمال معامل بيتا (</w:t>
      </w:r>
      <w:r w:rsidRPr="001E0FE2">
        <w:rPr>
          <w:b w:val="0"/>
          <w:bCs w:val="0"/>
        </w:rPr>
        <w:t>Beta</w:t>
      </w:r>
      <w:r w:rsidRPr="001E0FE2">
        <w:rPr>
          <w:b w:val="0"/>
          <w:bCs w:val="0"/>
          <w:rtl/>
        </w:rPr>
        <w:t>) بنسبة 18% مع ملاحظة معالجة الدخل الاجمالي السالب</w:t>
      </w:r>
      <w:r w:rsidR="00E4019C" w:rsidRPr="001E0FE2">
        <w:rPr>
          <w:b w:val="0"/>
          <w:bCs w:val="0"/>
          <w:rtl/>
        </w:rPr>
        <w:t>.</w:t>
      </w:r>
      <w:bookmarkEnd w:id="1675"/>
      <w:bookmarkEnd w:id="1676"/>
      <w:r w:rsidR="00E4019C" w:rsidRPr="001E0FE2">
        <w:rPr>
          <w:b w:val="0"/>
          <w:bCs w:val="0"/>
          <w:rtl/>
        </w:rPr>
        <w:t xml:space="preserve"> </w:t>
      </w:r>
      <w:bookmarkEnd w:id="1677"/>
    </w:p>
    <w:p w:rsidR="00B259A6" w:rsidRDefault="00B259A6" w:rsidP="00580899">
      <w:pPr>
        <w:ind w:left="2126" w:hanging="851"/>
        <w:rPr>
          <w:b w:val="0"/>
          <w:bCs w:val="0"/>
          <w:rtl/>
        </w:rPr>
      </w:pPr>
      <w:bookmarkStart w:id="1678" w:name="_Toc414888427"/>
      <w:bookmarkStart w:id="1679" w:name="_Toc451176615"/>
      <w:bookmarkStart w:id="1680" w:name="_Toc451180512"/>
      <w:r w:rsidRPr="001E0FE2">
        <w:rPr>
          <w:b w:val="0"/>
          <w:bCs w:val="0"/>
          <w:rtl/>
        </w:rPr>
        <w:t>4.2.</w:t>
      </w:r>
      <w:r w:rsidR="00AA08AF" w:rsidRPr="001E0FE2">
        <w:rPr>
          <w:b w:val="0"/>
          <w:bCs w:val="0"/>
          <w:rtl/>
        </w:rPr>
        <w:t>3</w:t>
      </w:r>
      <w:r w:rsidR="001E0FE2">
        <w:rPr>
          <w:rFonts w:hint="cs"/>
          <w:b w:val="0"/>
          <w:bCs w:val="0"/>
          <w:rtl/>
        </w:rPr>
        <w:t>.</w:t>
      </w:r>
      <w:r w:rsidRPr="001E0FE2">
        <w:rPr>
          <w:b w:val="0"/>
          <w:bCs w:val="0"/>
          <w:rtl/>
        </w:rPr>
        <w:tab/>
        <w:t>كما في الطريقة المعيارية، فان اجمالي</w:t>
      </w:r>
      <w:r w:rsidR="00DD461F" w:rsidRPr="001E0FE2">
        <w:rPr>
          <w:b w:val="0"/>
          <w:bCs w:val="0"/>
          <w:rtl/>
        </w:rPr>
        <w:t xml:space="preserve"> رأ</w:t>
      </w:r>
      <w:r w:rsidR="00C1545B" w:rsidRPr="001E0FE2">
        <w:rPr>
          <w:b w:val="0"/>
          <w:bCs w:val="0"/>
          <w:rtl/>
        </w:rPr>
        <w:t>س المال تحت</w:t>
      </w:r>
      <w:r w:rsidRPr="001E0FE2">
        <w:rPr>
          <w:b w:val="0"/>
          <w:bCs w:val="0"/>
          <w:rtl/>
        </w:rPr>
        <w:t xml:space="preserve"> الطريقة المعيارية البديلة ي</w:t>
      </w:r>
      <w:r w:rsidR="00DD461F" w:rsidRPr="001E0FE2">
        <w:rPr>
          <w:b w:val="0"/>
          <w:bCs w:val="0"/>
          <w:rtl/>
        </w:rPr>
        <w:t>حتسب كمجموع جبري لقيمة رأس المال  لخطوط الأ</w:t>
      </w:r>
      <w:r w:rsidRPr="001E0FE2">
        <w:rPr>
          <w:b w:val="0"/>
          <w:bCs w:val="0"/>
          <w:rtl/>
        </w:rPr>
        <w:t>عمال الثمانية.</w:t>
      </w:r>
      <w:bookmarkEnd w:id="1678"/>
      <w:bookmarkEnd w:id="1679"/>
      <w:bookmarkEnd w:id="1680"/>
    </w:p>
    <w:p w:rsidR="005A5C26" w:rsidRPr="001E0FE2" w:rsidRDefault="005A5C26" w:rsidP="00580899">
      <w:pPr>
        <w:ind w:left="2126" w:hanging="851"/>
        <w:rPr>
          <w:b w:val="0"/>
          <w:bCs w:val="0"/>
          <w:rtl/>
        </w:rPr>
      </w:pPr>
    </w:p>
    <w:p w:rsidR="00B259A6" w:rsidRPr="001E0FE2" w:rsidRDefault="00B259A6" w:rsidP="005A5C26">
      <w:pPr>
        <w:ind w:left="1275" w:hanging="709"/>
        <w:rPr>
          <w:b w:val="0"/>
          <w:bCs w:val="0"/>
          <w:rtl/>
        </w:rPr>
      </w:pPr>
      <w:bookmarkStart w:id="1681" w:name="_Toc451176616"/>
      <w:bookmarkStart w:id="1682" w:name="_Toc451180513"/>
      <w:r w:rsidRPr="001E0FE2">
        <w:rPr>
          <w:b w:val="0"/>
          <w:bCs w:val="0"/>
          <w:rtl/>
        </w:rPr>
        <w:lastRenderedPageBreak/>
        <w:t>3.</w:t>
      </w:r>
      <w:r w:rsidR="00AA08AF" w:rsidRPr="001E0FE2">
        <w:rPr>
          <w:b w:val="0"/>
          <w:bCs w:val="0"/>
          <w:rtl/>
        </w:rPr>
        <w:t>3</w:t>
      </w:r>
      <w:r w:rsidR="001E0FE2" w:rsidRPr="001E0FE2">
        <w:rPr>
          <w:rFonts w:hint="cs"/>
          <w:b w:val="0"/>
          <w:bCs w:val="0"/>
          <w:rtl/>
        </w:rPr>
        <w:t>.</w:t>
      </w:r>
      <w:r w:rsidRPr="001E0FE2">
        <w:rPr>
          <w:b w:val="0"/>
          <w:bCs w:val="0"/>
          <w:rtl/>
        </w:rPr>
        <w:tab/>
        <w:t>مبادئ التنظيم</w:t>
      </w:r>
      <w:bookmarkEnd w:id="1681"/>
      <w:bookmarkEnd w:id="1682"/>
    </w:p>
    <w:p w:rsidR="00B259A6" w:rsidRPr="001E0FE2" w:rsidRDefault="00B259A6" w:rsidP="00580899">
      <w:pPr>
        <w:ind w:left="2126" w:hanging="851"/>
        <w:rPr>
          <w:b w:val="0"/>
          <w:bCs w:val="0"/>
          <w:rtl/>
        </w:rPr>
      </w:pPr>
      <w:bookmarkStart w:id="1683" w:name="_Toc414888429"/>
      <w:bookmarkStart w:id="1684" w:name="_Toc451176617"/>
      <w:bookmarkStart w:id="1685" w:name="_Toc451180514"/>
      <w:r w:rsidRPr="001E0FE2">
        <w:rPr>
          <w:b w:val="0"/>
          <w:bCs w:val="0"/>
          <w:rtl/>
        </w:rPr>
        <w:t>1.3.</w:t>
      </w:r>
      <w:r w:rsidR="00AA08AF" w:rsidRPr="001E0FE2">
        <w:rPr>
          <w:b w:val="0"/>
          <w:bCs w:val="0"/>
          <w:rtl/>
        </w:rPr>
        <w:t>3</w:t>
      </w:r>
      <w:r w:rsidR="001E0FE2" w:rsidRPr="001E0FE2">
        <w:rPr>
          <w:rFonts w:hint="cs"/>
          <w:b w:val="0"/>
          <w:bCs w:val="0"/>
          <w:rtl/>
        </w:rPr>
        <w:t>.</w:t>
      </w:r>
      <w:r w:rsidRPr="001E0FE2">
        <w:rPr>
          <w:b w:val="0"/>
          <w:bCs w:val="0"/>
          <w:rtl/>
        </w:rPr>
        <w:tab/>
        <w:t xml:space="preserve">تلتزم جميع البنوك بتطوير سياسات محددة واجراءات موثقة لاستخراج اجمالي الدخل من انشطة الاعمال المعرفة مسبقاً. ويجب ان تكون قادرة </w:t>
      </w:r>
      <w:r w:rsidR="00CB0691" w:rsidRPr="001E0FE2">
        <w:rPr>
          <w:b w:val="0"/>
          <w:bCs w:val="0"/>
          <w:rtl/>
        </w:rPr>
        <w:t>نوعياً وكمياً للوفاء بمتطلبات هذه الطريقة وعليها</w:t>
      </w:r>
      <w:r w:rsidRPr="001E0FE2">
        <w:rPr>
          <w:b w:val="0"/>
          <w:bCs w:val="0"/>
          <w:rtl/>
        </w:rPr>
        <w:t xml:space="preserve"> ايضاح اسباب هذا الاستخراج وفقا لما </w:t>
      </w:r>
      <w:r w:rsidR="00305DB1" w:rsidRPr="001E0FE2">
        <w:rPr>
          <w:b w:val="0"/>
          <w:bCs w:val="0"/>
          <w:rtl/>
        </w:rPr>
        <w:t>يرتئيه</w:t>
      </w:r>
      <w:r w:rsidRPr="001E0FE2">
        <w:rPr>
          <w:b w:val="0"/>
          <w:bCs w:val="0"/>
          <w:rtl/>
        </w:rPr>
        <w:t xml:space="preserve"> البنك المركزي الأردني. ويجب ان يتم مراجعة هذه السياسات والاجراءات وتعديلها بشكل منتظم لأنشطة العمل الجديدة او المتغيرة.</w:t>
      </w:r>
      <w:bookmarkEnd w:id="1683"/>
      <w:bookmarkEnd w:id="1684"/>
      <w:bookmarkEnd w:id="1685"/>
    </w:p>
    <w:p w:rsidR="00B259A6" w:rsidRPr="001E0FE2" w:rsidRDefault="00B259A6" w:rsidP="00580899">
      <w:pPr>
        <w:ind w:left="2126" w:hanging="851"/>
        <w:rPr>
          <w:b w:val="0"/>
          <w:bCs w:val="0"/>
          <w:rtl/>
        </w:rPr>
      </w:pPr>
      <w:bookmarkStart w:id="1686" w:name="_Toc414888430"/>
      <w:bookmarkStart w:id="1687" w:name="_Toc451176618"/>
      <w:bookmarkStart w:id="1688" w:name="_Toc451180515"/>
      <w:r w:rsidRPr="001E0FE2">
        <w:rPr>
          <w:b w:val="0"/>
          <w:bCs w:val="0"/>
          <w:rtl/>
        </w:rPr>
        <w:t>2.3.</w:t>
      </w:r>
      <w:r w:rsidR="00AA08AF" w:rsidRPr="001E0FE2">
        <w:rPr>
          <w:b w:val="0"/>
          <w:bCs w:val="0"/>
          <w:rtl/>
        </w:rPr>
        <w:t>3</w:t>
      </w:r>
      <w:r w:rsidR="001E0FE2">
        <w:rPr>
          <w:rFonts w:hint="cs"/>
          <w:b w:val="0"/>
          <w:bCs w:val="0"/>
          <w:rtl/>
        </w:rPr>
        <w:t>.</w:t>
      </w:r>
      <w:r w:rsidRPr="001E0FE2">
        <w:rPr>
          <w:b w:val="0"/>
          <w:bCs w:val="0"/>
          <w:rtl/>
        </w:rPr>
        <w:tab/>
        <w:t>ان الاسلوب المستخدم من قبل البنك لتحديد انشطته في ثمانية انشطة (خطوط) اعمال يجب ان يفي بالمتطلبات التالية :</w:t>
      </w:r>
      <w:bookmarkEnd w:id="1686"/>
      <w:bookmarkEnd w:id="1687"/>
      <w:bookmarkEnd w:id="1688"/>
    </w:p>
    <w:p w:rsidR="00B259A6" w:rsidRPr="001E0FE2" w:rsidRDefault="00B259A6" w:rsidP="005A5C26">
      <w:pPr>
        <w:pStyle w:val="ListParagraph"/>
        <w:numPr>
          <w:ilvl w:val="0"/>
          <w:numId w:val="29"/>
        </w:numPr>
        <w:ind w:left="2551" w:hanging="425"/>
        <w:rPr>
          <w:b w:val="0"/>
          <w:bCs w:val="0"/>
          <w:rtl/>
        </w:rPr>
      </w:pPr>
      <w:bookmarkStart w:id="1689" w:name="_Toc414888431"/>
      <w:bookmarkStart w:id="1690" w:name="_Toc451176619"/>
      <w:bookmarkStart w:id="1691" w:name="_Toc451180516"/>
      <w:r w:rsidRPr="001E0FE2">
        <w:rPr>
          <w:b w:val="0"/>
          <w:bCs w:val="0"/>
          <w:rtl/>
        </w:rPr>
        <w:t>يجب ان تكون الادارة العليا مسؤولة عن سياسة (التنظيم) التحديد التي يجب اعتمادها بشكل مناسب من قبل مجلس الإدارة.</w:t>
      </w:r>
      <w:bookmarkEnd w:id="1689"/>
      <w:bookmarkEnd w:id="1690"/>
      <w:bookmarkEnd w:id="1691"/>
    </w:p>
    <w:p w:rsidR="00DD461F" w:rsidRPr="001E0FE2" w:rsidRDefault="00DD461F" w:rsidP="005A5C26">
      <w:pPr>
        <w:pStyle w:val="ListParagraph"/>
        <w:numPr>
          <w:ilvl w:val="0"/>
          <w:numId w:val="29"/>
        </w:numPr>
        <w:ind w:left="2551" w:hanging="425"/>
        <w:rPr>
          <w:b w:val="0"/>
          <w:bCs w:val="0"/>
          <w:rtl/>
        </w:rPr>
      </w:pPr>
      <w:r w:rsidRPr="001E0FE2">
        <w:rPr>
          <w:b w:val="0"/>
          <w:bCs w:val="0"/>
          <w:rtl/>
        </w:rPr>
        <w:t xml:space="preserve">يجب أن يكون لدى البنك الموارد الكافية لاستخدام هذه الطريقة لتصنيف نشاطاته إلى ثمانية خطوط بالإضافة إلى رقابة وتدقيق على ذلك. </w:t>
      </w:r>
    </w:p>
    <w:p w:rsidR="00B259A6" w:rsidRPr="001E0FE2" w:rsidRDefault="00B259A6" w:rsidP="005A5C26">
      <w:pPr>
        <w:pStyle w:val="ListParagraph"/>
        <w:numPr>
          <w:ilvl w:val="0"/>
          <w:numId w:val="29"/>
        </w:numPr>
        <w:ind w:left="2551" w:hanging="425"/>
        <w:rPr>
          <w:b w:val="0"/>
          <w:bCs w:val="0"/>
          <w:rtl/>
        </w:rPr>
      </w:pPr>
      <w:bookmarkStart w:id="1692" w:name="_Toc414888432"/>
      <w:bookmarkStart w:id="1693" w:name="_Toc451176620"/>
      <w:bookmarkStart w:id="1694" w:name="_Toc451180517"/>
      <w:r w:rsidRPr="001E0FE2">
        <w:rPr>
          <w:b w:val="0"/>
          <w:bCs w:val="0"/>
          <w:rtl/>
        </w:rPr>
        <w:t xml:space="preserve">يجب </w:t>
      </w:r>
      <w:r w:rsidR="00D21FF5" w:rsidRPr="001E0FE2">
        <w:rPr>
          <w:b w:val="0"/>
          <w:bCs w:val="0"/>
          <w:rtl/>
        </w:rPr>
        <w:t>أ</w:t>
      </w:r>
      <w:r w:rsidRPr="001E0FE2">
        <w:rPr>
          <w:b w:val="0"/>
          <w:bCs w:val="0"/>
          <w:rtl/>
        </w:rPr>
        <w:t xml:space="preserve">ن يتم </w:t>
      </w:r>
      <w:r w:rsidRPr="008F60C0">
        <w:rPr>
          <w:b w:val="0"/>
          <w:bCs w:val="0"/>
          <w:rtl/>
        </w:rPr>
        <w:t>تحديد</w:t>
      </w:r>
      <w:r w:rsidRPr="001E0FE2">
        <w:rPr>
          <w:b w:val="0"/>
          <w:bCs w:val="0"/>
          <w:rtl/>
        </w:rPr>
        <w:t xml:space="preserve"> جميع </w:t>
      </w:r>
      <w:r w:rsidR="00D21FF5" w:rsidRPr="001E0FE2">
        <w:rPr>
          <w:b w:val="0"/>
          <w:bCs w:val="0"/>
          <w:rtl/>
        </w:rPr>
        <w:t>أ</w:t>
      </w:r>
      <w:r w:rsidRPr="001E0FE2">
        <w:rPr>
          <w:b w:val="0"/>
          <w:bCs w:val="0"/>
          <w:rtl/>
        </w:rPr>
        <w:t>نشطة عمل البنك المرخص على هيئة ثمانية انشطة عمل من المستوى الاول بأسلوب شامل وحصري.</w:t>
      </w:r>
      <w:bookmarkEnd w:id="1692"/>
      <w:bookmarkEnd w:id="1693"/>
      <w:bookmarkEnd w:id="1694"/>
    </w:p>
    <w:p w:rsidR="00AA08AF" w:rsidRPr="001E0FE2" w:rsidRDefault="00D21FF5" w:rsidP="005A5C26">
      <w:pPr>
        <w:pStyle w:val="ListParagraph"/>
        <w:numPr>
          <w:ilvl w:val="0"/>
          <w:numId w:val="29"/>
        </w:numPr>
        <w:ind w:left="2551" w:hanging="425"/>
        <w:rPr>
          <w:b w:val="0"/>
          <w:bCs w:val="0"/>
          <w:rtl/>
        </w:rPr>
      </w:pPr>
      <w:bookmarkStart w:id="1695" w:name="_Toc414888433"/>
      <w:bookmarkStart w:id="1696" w:name="_Toc451176621"/>
      <w:bookmarkStart w:id="1697" w:name="_Toc451180518"/>
      <w:r w:rsidRPr="001E0FE2">
        <w:rPr>
          <w:b w:val="0"/>
          <w:bCs w:val="0"/>
          <w:rtl/>
        </w:rPr>
        <w:t>إ</w:t>
      </w:r>
      <w:r w:rsidR="00B259A6" w:rsidRPr="001E0FE2">
        <w:rPr>
          <w:b w:val="0"/>
          <w:bCs w:val="0"/>
          <w:rtl/>
        </w:rPr>
        <w:t xml:space="preserve">ن أي </w:t>
      </w:r>
      <w:r w:rsidRPr="001E0FE2">
        <w:rPr>
          <w:b w:val="0"/>
          <w:bCs w:val="0"/>
          <w:rtl/>
        </w:rPr>
        <w:t>أ</w:t>
      </w:r>
      <w:r w:rsidR="00B259A6" w:rsidRPr="001E0FE2">
        <w:rPr>
          <w:b w:val="0"/>
          <w:bCs w:val="0"/>
          <w:rtl/>
        </w:rPr>
        <w:t xml:space="preserve">نشطة </w:t>
      </w:r>
      <w:r w:rsidR="00B259A6" w:rsidRPr="008F60C0">
        <w:rPr>
          <w:b w:val="0"/>
          <w:bCs w:val="0"/>
          <w:rtl/>
        </w:rPr>
        <w:t>مصرفية</w:t>
      </w:r>
      <w:r w:rsidR="00B259A6" w:rsidRPr="001E0FE2">
        <w:rPr>
          <w:b w:val="0"/>
          <w:bCs w:val="0"/>
          <w:rtl/>
        </w:rPr>
        <w:t xml:space="preserve"> </w:t>
      </w:r>
      <w:r w:rsidRPr="001E0FE2">
        <w:rPr>
          <w:b w:val="0"/>
          <w:bCs w:val="0"/>
          <w:rtl/>
        </w:rPr>
        <w:t>أ</w:t>
      </w:r>
      <w:r w:rsidR="00B259A6" w:rsidRPr="001E0FE2">
        <w:rPr>
          <w:b w:val="0"/>
          <w:bCs w:val="0"/>
          <w:rtl/>
        </w:rPr>
        <w:t>و غير مصرفية لا يمكن تحديدها بسهولة ضمن اطار انشطة العمل والتي تمثل نشاطاً ملحقاً للنشاط الاصلي المدرج في اطار العمل، يجب ان يتم تخصيصها لنشاط العمل الذي تدعمه</w:t>
      </w:r>
      <w:r w:rsidR="00D026CE" w:rsidRPr="001E0FE2">
        <w:rPr>
          <w:b w:val="0"/>
          <w:bCs w:val="0"/>
          <w:rtl/>
        </w:rPr>
        <w:t xml:space="preserve"> (تضمينها لأقرب خط عمل)</w:t>
      </w:r>
      <w:r w:rsidR="00B259A6" w:rsidRPr="001E0FE2">
        <w:rPr>
          <w:b w:val="0"/>
          <w:bCs w:val="0"/>
          <w:rtl/>
        </w:rPr>
        <w:t>.</w:t>
      </w:r>
      <w:bookmarkEnd w:id="1695"/>
      <w:bookmarkEnd w:id="1696"/>
      <w:bookmarkEnd w:id="1697"/>
      <w:r w:rsidR="00B259A6" w:rsidRPr="001E0FE2">
        <w:rPr>
          <w:b w:val="0"/>
          <w:bCs w:val="0"/>
          <w:rtl/>
        </w:rPr>
        <w:t xml:space="preserve"> </w:t>
      </w:r>
    </w:p>
    <w:p w:rsidR="00B259A6" w:rsidRPr="001E0FE2" w:rsidRDefault="00D21FF5" w:rsidP="005A5C26">
      <w:pPr>
        <w:pStyle w:val="ListParagraph"/>
        <w:numPr>
          <w:ilvl w:val="0"/>
          <w:numId w:val="29"/>
        </w:numPr>
        <w:ind w:left="2551" w:hanging="425"/>
        <w:rPr>
          <w:b w:val="0"/>
          <w:bCs w:val="0"/>
          <w:rtl/>
        </w:rPr>
      </w:pPr>
      <w:bookmarkStart w:id="1698" w:name="_Toc414888434"/>
      <w:bookmarkStart w:id="1699" w:name="_Toc451176622"/>
      <w:bookmarkStart w:id="1700" w:name="_Toc451180519"/>
      <w:r w:rsidRPr="001E0FE2">
        <w:rPr>
          <w:b w:val="0"/>
          <w:bCs w:val="0"/>
          <w:rtl/>
        </w:rPr>
        <w:t>عند تحديد اجمالي الدخل وإ</w:t>
      </w:r>
      <w:r w:rsidR="00B259A6" w:rsidRPr="001E0FE2">
        <w:rPr>
          <w:b w:val="0"/>
          <w:bCs w:val="0"/>
          <w:rtl/>
        </w:rPr>
        <w:t xml:space="preserve">ذا لم يكن بالإمكان تحديد نشاط ما في خطة نشاط محددة فان نشاط </w:t>
      </w:r>
      <w:r w:rsidR="00B259A6" w:rsidRPr="008F60C0">
        <w:rPr>
          <w:b w:val="0"/>
          <w:bCs w:val="0"/>
          <w:rtl/>
        </w:rPr>
        <w:t>البنك</w:t>
      </w:r>
      <w:r w:rsidRPr="001E0FE2">
        <w:rPr>
          <w:b w:val="0"/>
          <w:bCs w:val="0"/>
          <w:rtl/>
        </w:rPr>
        <w:t xml:space="preserve"> الذي يحقق اعلى نسبة من متطلب رأس المال يجب أ</w:t>
      </w:r>
      <w:r w:rsidR="00B259A6" w:rsidRPr="001E0FE2">
        <w:rPr>
          <w:b w:val="0"/>
          <w:bCs w:val="0"/>
          <w:rtl/>
        </w:rPr>
        <w:t>ن</w:t>
      </w:r>
      <w:r w:rsidR="00E4019C" w:rsidRPr="001E0FE2">
        <w:rPr>
          <w:b w:val="0"/>
          <w:bCs w:val="0"/>
          <w:rtl/>
        </w:rPr>
        <w:t xml:space="preserve"> يتم استخدامه (18%)،</w:t>
      </w:r>
      <w:r w:rsidR="00B259A6" w:rsidRPr="001E0FE2">
        <w:rPr>
          <w:b w:val="0"/>
          <w:bCs w:val="0"/>
          <w:rtl/>
        </w:rPr>
        <w:t xml:space="preserve"> كما ان اية انشطة ملحقة ومصاحبة له ستخضع لنفس المعالجة لنشاط العمل.</w:t>
      </w:r>
      <w:bookmarkEnd w:id="1698"/>
      <w:bookmarkEnd w:id="1699"/>
      <w:bookmarkEnd w:id="1700"/>
    </w:p>
    <w:p w:rsidR="00B259A6" w:rsidRPr="001E0FE2" w:rsidRDefault="00B259A6" w:rsidP="005A5C26">
      <w:pPr>
        <w:pStyle w:val="ListParagraph"/>
        <w:numPr>
          <w:ilvl w:val="0"/>
          <w:numId w:val="29"/>
        </w:numPr>
        <w:ind w:left="2551" w:hanging="425"/>
        <w:rPr>
          <w:b w:val="0"/>
          <w:bCs w:val="0"/>
          <w:rtl/>
        </w:rPr>
      </w:pPr>
      <w:bookmarkStart w:id="1701" w:name="_Toc414888435"/>
      <w:bookmarkStart w:id="1702" w:name="_Toc451176623"/>
      <w:bookmarkStart w:id="1703" w:name="_Toc451180520"/>
      <w:r w:rsidRPr="001E0FE2">
        <w:rPr>
          <w:b w:val="0"/>
          <w:bCs w:val="0"/>
          <w:rtl/>
        </w:rPr>
        <w:t xml:space="preserve">ان عملية التنظيم للأنشطة المستخدمة يجب ان يتم توثيقها بوضوح وتفصيل بياناتها الى الاطراف الاخرى </w:t>
      </w:r>
      <w:r w:rsidRPr="008F60C0">
        <w:rPr>
          <w:b w:val="0"/>
          <w:bCs w:val="0"/>
          <w:rtl/>
        </w:rPr>
        <w:t>وذلك</w:t>
      </w:r>
      <w:r w:rsidRPr="001E0FE2">
        <w:rPr>
          <w:b w:val="0"/>
          <w:bCs w:val="0"/>
          <w:rtl/>
        </w:rPr>
        <w:t xml:space="preserve"> لبيان تنظيم مجالات العمل، كما ان أي استثناءات او تجاوزات يجب ان يتم توثيقها بشكل مناسب.</w:t>
      </w:r>
      <w:bookmarkEnd w:id="1701"/>
      <w:bookmarkEnd w:id="1702"/>
      <w:bookmarkEnd w:id="1703"/>
    </w:p>
    <w:p w:rsidR="00B259A6" w:rsidRPr="001E0FE2" w:rsidRDefault="00B259A6" w:rsidP="005A5C26">
      <w:pPr>
        <w:pStyle w:val="ListParagraph"/>
        <w:numPr>
          <w:ilvl w:val="0"/>
          <w:numId w:val="29"/>
        </w:numPr>
        <w:ind w:left="2551" w:hanging="425"/>
        <w:rPr>
          <w:b w:val="0"/>
          <w:bCs w:val="0"/>
          <w:rtl/>
        </w:rPr>
      </w:pPr>
      <w:bookmarkStart w:id="1704" w:name="_Toc414888436"/>
      <w:bookmarkStart w:id="1705" w:name="_Toc451176624"/>
      <w:bookmarkStart w:id="1706" w:name="_Toc451180521"/>
      <w:r w:rsidRPr="001E0FE2">
        <w:rPr>
          <w:b w:val="0"/>
          <w:bCs w:val="0"/>
          <w:rtl/>
        </w:rPr>
        <w:t>يجب ان تكون هناك اجراءات لتعريف تنظيم اية انشطة او منتجات جديدة</w:t>
      </w:r>
      <w:bookmarkEnd w:id="1704"/>
      <w:r w:rsidR="00D026CE" w:rsidRPr="001E0FE2">
        <w:rPr>
          <w:b w:val="0"/>
          <w:bCs w:val="0"/>
          <w:rtl/>
        </w:rPr>
        <w:t>.</w:t>
      </w:r>
      <w:bookmarkEnd w:id="1705"/>
      <w:bookmarkEnd w:id="1706"/>
    </w:p>
    <w:p w:rsidR="00B259A6" w:rsidRPr="001E0FE2" w:rsidRDefault="00B259A6" w:rsidP="005A5C26">
      <w:pPr>
        <w:pStyle w:val="ListParagraph"/>
        <w:numPr>
          <w:ilvl w:val="0"/>
          <w:numId w:val="29"/>
        </w:numPr>
        <w:ind w:left="2551" w:hanging="425"/>
        <w:rPr>
          <w:b w:val="0"/>
          <w:bCs w:val="0"/>
          <w:rtl/>
        </w:rPr>
      </w:pPr>
      <w:bookmarkStart w:id="1707" w:name="_Toc414888437"/>
      <w:bookmarkStart w:id="1708" w:name="_Toc451176625"/>
      <w:bookmarkStart w:id="1709" w:name="_Toc451180522"/>
      <w:r w:rsidRPr="001E0FE2">
        <w:rPr>
          <w:b w:val="0"/>
          <w:bCs w:val="0"/>
          <w:rtl/>
        </w:rPr>
        <w:t>يجب ان تخضع عملية التنظيم لمراجعة دورية مستقلة من قبل قسم ادارة المخاطر والمدققين الداخليين والخارجيين.</w:t>
      </w:r>
      <w:bookmarkEnd w:id="1707"/>
      <w:bookmarkEnd w:id="1708"/>
      <w:bookmarkEnd w:id="1709"/>
    </w:p>
    <w:p w:rsidR="00AA08AF" w:rsidRPr="0086621F" w:rsidRDefault="0014080B" w:rsidP="005A5C26">
      <w:pPr>
        <w:pStyle w:val="ListParagraph"/>
        <w:numPr>
          <w:ilvl w:val="0"/>
          <w:numId w:val="29"/>
        </w:numPr>
        <w:ind w:left="2551" w:hanging="425"/>
        <w:rPr>
          <w:b w:val="0"/>
          <w:bCs w:val="0"/>
          <w:rtl/>
        </w:rPr>
      </w:pPr>
      <w:r w:rsidRPr="001E0FE2">
        <w:rPr>
          <w:b w:val="0"/>
          <w:bCs w:val="0"/>
          <w:rtl/>
        </w:rPr>
        <w:t xml:space="preserve">للبنك المركزي الأردني الحق وقبل اعتماد استخدام هذه الطريقة بشكل نهائي لأغراض احتساب رأس المال التنظيمي لمخاطر التشغيل مراقبة تجربة البنك في </w:t>
      </w:r>
      <w:r w:rsidRPr="001E0FE2">
        <w:rPr>
          <w:b w:val="0"/>
          <w:bCs w:val="0"/>
          <w:rtl/>
        </w:rPr>
        <w:lastRenderedPageBreak/>
        <w:t>التطبيق لفترة زمنية والتأكد من التزامه بالمعايير الكمية والنوعية، وفي حال عدم تحقيق البنك للمتطلبات فإنه لن يسمح للبنك بالتحول إلى هذه الطريقة.</w:t>
      </w:r>
    </w:p>
    <w:p w:rsidR="00B259A6" w:rsidRPr="00B6517F" w:rsidRDefault="00AA08AF" w:rsidP="005A5C26">
      <w:pPr>
        <w:spacing w:after="0"/>
        <w:ind w:left="1275" w:hanging="709"/>
        <w:rPr>
          <w:b w:val="0"/>
          <w:bCs w:val="0"/>
          <w:rtl/>
        </w:rPr>
      </w:pPr>
      <w:bookmarkStart w:id="1710" w:name="_Toc451176626"/>
      <w:bookmarkStart w:id="1711" w:name="_Toc451180523"/>
      <w:r w:rsidRPr="00B6517F">
        <w:rPr>
          <w:b w:val="0"/>
          <w:bCs w:val="0"/>
          <w:rtl/>
        </w:rPr>
        <w:t>4.3</w:t>
      </w:r>
      <w:r w:rsidR="00B6517F">
        <w:rPr>
          <w:rFonts w:hint="cs"/>
          <w:b w:val="0"/>
          <w:bCs w:val="0"/>
          <w:rtl/>
        </w:rPr>
        <w:t>.</w:t>
      </w:r>
      <w:r w:rsidRPr="00B6517F">
        <w:rPr>
          <w:b w:val="0"/>
          <w:bCs w:val="0"/>
          <w:rtl/>
        </w:rPr>
        <w:tab/>
      </w:r>
      <w:r w:rsidR="009058CD" w:rsidRPr="00B6517F">
        <w:rPr>
          <w:b w:val="0"/>
          <w:bCs w:val="0"/>
          <w:rtl/>
        </w:rPr>
        <w:t xml:space="preserve">الموجودات </w:t>
      </w:r>
      <w:r w:rsidR="00B259A6" w:rsidRPr="00B6517F">
        <w:rPr>
          <w:b w:val="0"/>
          <w:bCs w:val="0"/>
          <w:rtl/>
        </w:rPr>
        <w:t>المرجحة بمخاطر التشغيل.</w:t>
      </w:r>
      <w:bookmarkEnd w:id="1710"/>
      <w:bookmarkEnd w:id="1711"/>
    </w:p>
    <w:p w:rsidR="0086621F" w:rsidRPr="0086621F" w:rsidRDefault="00B259A6" w:rsidP="005A5C26">
      <w:pPr>
        <w:spacing w:line="276" w:lineRule="auto"/>
        <w:ind w:left="1275"/>
        <w:rPr>
          <w:b w:val="0"/>
          <w:bCs w:val="0"/>
          <w:rtl/>
        </w:rPr>
      </w:pPr>
      <w:bookmarkStart w:id="1712" w:name="_Toc414888439"/>
      <w:bookmarkStart w:id="1713" w:name="_Toc451176627"/>
      <w:bookmarkStart w:id="1714" w:name="_Toc451180524"/>
      <w:r w:rsidRPr="00B6517F">
        <w:rPr>
          <w:b w:val="0"/>
          <w:bCs w:val="0"/>
          <w:rtl/>
        </w:rPr>
        <w:t>يتم تحديد اجمالي الانكشافات الموزونة لمخاطر التشغيل من خلال ضرب المتطلبات الرأسمالية للمخاطر التشغيلية في</w:t>
      </w:r>
      <w:r w:rsidR="00E4019C" w:rsidRPr="00B6517F">
        <w:rPr>
          <w:b w:val="0"/>
          <w:bCs w:val="0"/>
          <w:rtl/>
        </w:rPr>
        <w:t xml:space="preserve"> (12.5)</w:t>
      </w:r>
      <w:r w:rsidRPr="00B6517F">
        <w:rPr>
          <w:b w:val="0"/>
          <w:bCs w:val="0"/>
          <w:rtl/>
        </w:rPr>
        <w:t xml:space="preserve"> واضافة الناتج الى مجموع </w:t>
      </w:r>
      <w:r w:rsidR="009058CD" w:rsidRPr="00B6517F">
        <w:rPr>
          <w:b w:val="0"/>
          <w:bCs w:val="0"/>
          <w:rtl/>
        </w:rPr>
        <w:t xml:space="preserve"> الموجودات </w:t>
      </w:r>
      <w:r w:rsidRPr="00B6517F">
        <w:rPr>
          <w:b w:val="0"/>
          <w:bCs w:val="0"/>
          <w:rtl/>
        </w:rPr>
        <w:t xml:space="preserve">الائتمانية والسوقية ذات المخاطر </w:t>
      </w:r>
      <w:r w:rsidR="0026227C" w:rsidRPr="00B6517F">
        <w:rPr>
          <w:b w:val="0"/>
          <w:bCs w:val="0"/>
          <w:rtl/>
        </w:rPr>
        <w:t>المرجحة</w:t>
      </w:r>
      <w:r w:rsidRPr="00B6517F">
        <w:rPr>
          <w:b w:val="0"/>
          <w:bCs w:val="0"/>
          <w:rtl/>
        </w:rPr>
        <w:t xml:space="preserve"> للحصول على اجمالي الانكشافات ذات المخاطر الموزونة التي سيتم</w:t>
      </w:r>
      <w:r w:rsidR="00A40C09" w:rsidRPr="00B6517F">
        <w:rPr>
          <w:b w:val="0"/>
          <w:bCs w:val="0"/>
          <w:rtl/>
        </w:rPr>
        <w:t xml:space="preserve"> استخدامها لاحتساب معدل كفاية رأ</w:t>
      </w:r>
      <w:r w:rsidRPr="00B6517F">
        <w:rPr>
          <w:b w:val="0"/>
          <w:bCs w:val="0"/>
          <w:rtl/>
        </w:rPr>
        <w:t xml:space="preserve">س المال </w:t>
      </w:r>
      <w:r w:rsidRPr="00B6517F">
        <w:rPr>
          <w:b w:val="0"/>
          <w:bCs w:val="0"/>
        </w:rPr>
        <w:t>CAR)</w:t>
      </w:r>
      <w:r w:rsidRPr="00B6517F">
        <w:rPr>
          <w:b w:val="0"/>
          <w:bCs w:val="0"/>
          <w:rtl/>
        </w:rPr>
        <w:t>).</w:t>
      </w:r>
      <w:bookmarkEnd w:id="1712"/>
      <w:bookmarkEnd w:id="1713"/>
      <w:bookmarkEnd w:id="1714"/>
      <w:r w:rsidR="0088487E">
        <w:rPr>
          <w:b w:val="0"/>
          <w:bCs w:val="0"/>
          <w:rtl/>
        </w:rPr>
        <w:tab/>
      </w:r>
      <w:bookmarkStart w:id="1715" w:name="_Toc451176628"/>
      <w:bookmarkStart w:id="1716" w:name="_Toc451180525"/>
      <w:bookmarkStart w:id="1717" w:name="_Toc451260333"/>
    </w:p>
    <w:p w:rsidR="00B259A6" w:rsidRPr="006D6E07" w:rsidRDefault="00AA08AF" w:rsidP="00136C4D">
      <w:pPr>
        <w:pStyle w:val="Heading2"/>
        <w:rPr>
          <w:rtl/>
        </w:rPr>
      </w:pPr>
      <w:r w:rsidRPr="006D6E07">
        <w:rPr>
          <w:rtl/>
        </w:rPr>
        <w:t xml:space="preserve">رابعاً: </w:t>
      </w:r>
      <w:r w:rsidR="00B259A6" w:rsidRPr="006D6E07">
        <w:rPr>
          <w:rtl/>
        </w:rPr>
        <w:t xml:space="preserve">مخاطر السوق (الطريقة المعيارية) </w:t>
      </w:r>
      <w:r w:rsidR="00B259A6" w:rsidRPr="006D6E07">
        <w:t>Market Risk – Standardized Approach</w:t>
      </w:r>
      <w:bookmarkEnd w:id="1715"/>
      <w:bookmarkEnd w:id="1716"/>
      <w:bookmarkEnd w:id="1717"/>
    </w:p>
    <w:p w:rsidR="00B6517F" w:rsidRPr="00B6517F" w:rsidRDefault="00B260BB" w:rsidP="00B6517F">
      <w:pPr>
        <w:ind w:left="608"/>
        <w:rPr>
          <w:b w:val="0"/>
          <w:bCs w:val="0"/>
          <w:rtl/>
        </w:rPr>
      </w:pPr>
      <w:r w:rsidRPr="00B6517F">
        <w:rPr>
          <w:b w:val="0"/>
          <w:bCs w:val="0"/>
          <w:rtl/>
          <w:lang w:bidi="ar-JO"/>
        </w:rPr>
        <w:t>ي</w:t>
      </w:r>
      <w:r w:rsidRPr="00B6517F">
        <w:rPr>
          <w:b w:val="0"/>
          <w:bCs w:val="0"/>
          <w:rtl/>
        </w:rPr>
        <w:t>هدف هذا البند من</w:t>
      </w:r>
      <w:r w:rsidR="00B259A6" w:rsidRPr="00B6517F">
        <w:rPr>
          <w:b w:val="0"/>
          <w:bCs w:val="0"/>
          <w:rtl/>
        </w:rPr>
        <w:t xml:space="preserve"> التعليمات إلى التأكد من أن جميع البنوك العاملة في المملكة والتي تمارس نشاطات يترتب عليها مخاطر مرتبطة بالتغيرات المحتملة في أسعار السوق تطبق ال</w:t>
      </w:r>
      <w:r w:rsidR="00AA08AF" w:rsidRPr="00B6517F">
        <w:rPr>
          <w:b w:val="0"/>
          <w:bCs w:val="0"/>
          <w:rtl/>
        </w:rPr>
        <w:t xml:space="preserve">حد الأدنى من </w:t>
      </w:r>
      <w:r w:rsidR="00CB0691" w:rsidRPr="00B6517F">
        <w:rPr>
          <w:b w:val="0"/>
          <w:bCs w:val="0"/>
          <w:rtl/>
        </w:rPr>
        <w:t xml:space="preserve"> المتطلبات </w:t>
      </w:r>
      <w:r w:rsidR="00AA08AF" w:rsidRPr="00B6517F">
        <w:rPr>
          <w:b w:val="0"/>
          <w:bCs w:val="0"/>
          <w:rtl/>
        </w:rPr>
        <w:t xml:space="preserve">الإدارية </w:t>
      </w:r>
      <w:r w:rsidR="00B259A6" w:rsidRPr="00B6517F">
        <w:rPr>
          <w:b w:val="0"/>
          <w:bCs w:val="0"/>
          <w:rtl/>
        </w:rPr>
        <w:t>والإشرافية وتلتزم بشكل مستمر بمتطلبات رأس المال التن</w:t>
      </w:r>
      <w:r w:rsidR="00B6517F">
        <w:rPr>
          <w:b w:val="0"/>
          <w:bCs w:val="0"/>
          <w:rtl/>
        </w:rPr>
        <w:t>ظيمي بما يتناسب مع هذه المخاطر.</w:t>
      </w:r>
    </w:p>
    <w:p w:rsidR="00B259A6" w:rsidRPr="00B6517F" w:rsidRDefault="00C75B5F" w:rsidP="0016569E">
      <w:pPr>
        <w:spacing w:after="0" w:line="276" w:lineRule="auto"/>
        <w:ind w:left="708" w:hanging="425"/>
        <w:rPr>
          <w:rtl/>
        </w:rPr>
      </w:pPr>
      <w:r>
        <w:rPr>
          <w:rtl/>
        </w:rPr>
        <w:t>1.</w:t>
      </w:r>
      <w:r>
        <w:rPr>
          <w:rFonts w:hint="cs"/>
          <w:rtl/>
        </w:rPr>
        <w:t xml:space="preserve"> </w:t>
      </w:r>
      <w:r w:rsidR="00B259A6" w:rsidRPr="00B6517F">
        <w:rPr>
          <w:rtl/>
        </w:rPr>
        <w:t>تعاريف:</w:t>
      </w:r>
    </w:p>
    <w:p w:rsidR="00B259A6" w:rsidRPr="005A5C26" w:rsidRDefault="00B259A6" w:rsidP="005A5C26">
      <w:pPr>
        <w:ind w:left="566"/>
        <w:rPr>
          <w:b w:val="0"/>
          <w:bCs w:val="0"/>
          <w:rtl/>
        </w:rPr>
      </w:pPr>
      <w:r w:rsidRPr="005A5C26">
        <w:rPr>
          <w:b w:val="0"/>
          <w:bCs w:val="0"/>
          <w:rtl/>
        </w:rPr>
        <w:t>تُعرَف مخاطر السوق على أنها الخسائر التي قد يتعرض لها البنك نتيجة</w:t>
      </w:r>
      <w:r w:rsidR="00CB0691" w:rsidRPr="005A5C26">
        <w:rPr>
          <w:b w:val="0"/>
          <w:bCs w:val="0"/>
          <w:rtl/>
        </w:rPr>
        <w:t xml:space="preserve"> احتفاظه</w:t>
      </w:r>
      <w:r w:rsidRPr="005A5C26">
        <w:rPr>
          <w:b w:val="0"/>
          <w:bCs w:val="0"/>
          <w:rtl/>
        </w:rPr>
        <w:t xml:space="preserve"> </w:t>
      </w:r>
      <w:r w:rsidR="002D1D82" w:rsidRPr="005A5C26">
        <w:rPr>
          <w:b w:val="0"/>
          <w:bCs w:val="0"/>
          <w:rtl/>
        </w:rPr>
        <w:t>ب</w:t>
      </w:r>
      <w:r w:rsidRPr="005A5C26">
        <w:rPr>
          <w:b w:val="0"/>
          <w:bCs w:val="0"/>
          <w:rtl/>
        </w:rPr>
        <w:t>أي مراكز مالية</w:t>
      </w:r>
      <w:r w:rsidRPr="005A5C26">
        <w:rPr>
          <w:b w:val="0"/>
          <w:bCs w:val="0"/>
          <w:rtl/>
          <w:lang w:bidi="ar-JO"/>
        </w:rPr>
        <w:t xml:space="preserve"> </w:t>
      </w:r>
      <w:r w:rsidRPr="005A5C26">
        <w:rPr>
          <w:b w:val="0"/>
          <w:bCs w:val="0"/>
          <w:rtl/>
        </w:rPr>
        <w:t>(</w:t>
      </w:r>
      <w:r w:rsidRPr="005A5C26">
        <w:rPr>
          <w:b w:val="0"/>
          <w:bCs w:val="0"/>
        </w:rPr>
        <w:t>Financial Positions</w:t>
      </w:r>
      <w:r w:rsidRPr="005A5C26">
        <w:rPr>
          <w:b w:val="0"/>
          <w:bCs w:val="0"/>
          <w:rtl/>
        </w:rPr>
        <w:t>) داخل أو خارج الميزانية جراء أي تغيرات تحدث في أسعار السوق.</w:t>
      </w:r>
    </w:p>
    <w:p w:rsidR="00B259A6" w:rsidRPr="00B6517F" w:rsidRDefault="00B259A6" w:rsidP="005A5C26">
      <w:pPr>
        <w:spacing w:after="0"/>
        <w:ind w:left="1275" w:hanging="709"/>
        <w:rPr>
          <w:b w:val="0"/>
          <w:bCs w:val="0"/>
        </w:rPr>
      </w:pPr>
      <w:r w:rsidRPr="00B6517F">
        <w:rPr>
          <w:b w:val="0"/>
          <w:bCs w:val="0"/>
          <w:rtl/>
        </w:rPr>
        <w:t>1.1</w:t>
      </w:r>
      <w:r w:rsidR="00B6517F">
        <w:rPr>
          <w:rFonts w:hint="cs"/>
          <w:b w:val="0"/>
          <w:bCs w:val="0"/>
          <w:rtl/>
        </w:rPr>
        <w:t>.</w:t>
      </w:r>
      <w:r w:rsidRPr="00B6517F">
        <w:rPr>
          <w:b w:val="0"/>
          <w:bCs w:val="0"/>
          <w:rtl/>
        </w:rPr>
        <w:tab/>
        <w:t>يندرج ضمن تعريف هذه المخاطر أي مراكز مالية فعلية أو أي مراكز مالية ناتجة عن المشتقات المالية.</w:t>
      </w:r>
    </w:p>
    <w:p w:rsidR="00B259A6" w:rsidRPr="00B6517F" w:rsidRDefault="00B259A6" w:rsidP="005A5C26">
      <w:pPr>
        <w:spacing w:after="0"/>
        <w:ind w:left="1275" w:hanging="709"/>
        <w:rPr>
          <w:b w:val="0"/>
          <w:bCs w:val="0"/>
          <w:rtl/>
        </w:rPr>
      </w:pPr>
      <w:r w:rsidRPr="00B6517F">
        <w:rPr>
          <w:b w:val="0"/>
          <w:bCs w:val="0"/>
          <w:rtl/>
        </w:rPr>
        <w:t>2.1</w:t>
      </w:r>
      <w:r w:rsidR="00B6517F">
        <w:rPr>
          <w:rFonts w:hint="cs"/>
          <w:b w:val="0"/>
          <w:bCs w:val="0"/>
          <w:rtl/>
        </w:rPr>
        <w:t>.</w:t>
      </w:r>
      <w:r w:rsidRPr="00B6517F">
        <w:rPr>
          <w:b w:val="0"/>
          <w:bCs w:val="0"/>
          <w:rtl/>
        </w:rPr>
        <w:tab/>
        <w:t xml:space="preserve">تقسم مخاطر السوق إلى أربع فئات رئيسية وهي:- </w:t>
      </w:r>
    </w:p>
    <w:p w:rsidR="00B259A6" w:rsidRPr="00B6517F" w:rsidRDefault="00B259A6" w:rsidP="00580899">
      <w:pPr>
        <w:spacing w:after="0"/>
        <w:ind w:left="2126" w:hanging="851"/>
        <w:rPr>
          <w:b w:val="0"/>
          <w:bCs w:val="0"/>
          <w:rtl/>
        </w:rPr>
      </w:pPr>
      <w:r w:rsidRPr="00B6517F">
        <w:rPr>
          <w:b w:val="0"/>
          <w:bCs w:val="0"/>
          <w:rtl/>
        </w:rPr>
        <w:t>1.2.1</w:t>
      </w:r>
      <w:r w:rsidR="00B6517F">
        <w:rPr>
          <w:rFonts w:hint="cs"/>
          <w:b w:val="0"/>
          <w:bCs w:val="0"/>
          <w:rtl/>
        </w:rPr>
        <w:t>.</w:t>
      </w:r>
      <w:r w:rsidRPr="00B6517F">
        <w:rPr>
          <w:b w:val="0"/>
          <w:bCs w:val="0"/>
          <w:rtl/>
        </w:rPr>
        <w:tab/>
        <w:t>مخاطر أسعار الفائدة.</w:t>
      </w:r>
    </w:p>
    <w:p w:rsidR="00B259A6" w:rsidRPr="00B6517F" w:rsidRDefault="00B259A6" w:rsidP="00580899">
      <w:pPr>
        <w:spacing w:after="0"/>
        <w:ind w:left="2126" w:hanging="851"/>
        <w:rPr>
          <w:b w:val="0"/>
          <w:bCs w:val="0"/>
          <w:rtl/>
        </w:rPr>
      </w:pPr>
      <w:r w:rsidRPr="00B6517F">
        <w:rPr>
          <w:b w:val="0"/>
          <w:bCs w:val="0"/>
          <w:rtl/>
        </w:rPr>
        <w:t>2.2.1</w:t>
      </w:r>
      <w:r w:rsidR="00B6517F">
        <w:rPr>
          <w:rFonts w:hint="cs"/>
          <w:b w:val="0"/>
          <w:bCs w:val="0"/>
          <w:rtl/>
        </w:rPr>
        <w:t>.</w:t>
      </w:r>
      <w:r w:rsidRPr="00B6517F">
        <w:rPr>
          <w:b w:val="0"/>
          <w:bCs w:val="0"/>
          <w:rtl/>
        </w:rPr>
        <w:tab/>
        <w:t>مخاطر أسعار الصرف.</w:t>
      </w:r>
    </w:p>
    <w:p w:rsidR="00B259A6" w:rsidRPr="00B6517F" w:rsidRDefault="00B259A6" w:rsidP="00580899">
      <w:pPr>
        <w:spacing w:after="0"/>
        <w:ind w:left="2126" w:hanging="851"/>
        <w:rPr>
          <w:b w:val="0"/>
          <w:bCs w:val="0"/>
          <w:rtl/>
        </w:rPr>
      </w:pPr>
      <w:r w:rsidRPr="00B6517F">
        <w:rPr>
          <w:b w:val="0"/>
          <w:bCs w:val="0"/>
          <w:rtl/>
        </w:rPr>
        <w:t>3.2.1</w:t>
      </w:r>
      <w:r w:rsidR="00B6517F">
        <w:rPr>
          <w:rFonts w:hint="cs"/>
          <w:b w:val="0"/>
          <w:bCs w:val="0"/>
          <w:rtl/>
        </w:rPr>
        <w:t>.</w:t>
      </w:r>
      <w:r w:rsidRPr="00B6517F">
        <w:rPr>
          <w:b w:val="0"/>
          <w:bCs w:val="0"/>
          <w:rtl/>
        </w:rPr>
        <w:tab/>
        <w:t>مخاطر أدوات الملكية.</w:t>
      </w:r>
    </w:p>
    <w:p w:rsidR="00B259A6" w:rsidRPr="00B6517F" w:rsidRDefault="00B6517F" w:rsidP="00580899">
      <w:pPr>
        <w:ind w:left="2126" w:hanging="851"/>
        <w:rPr>
          <w:b w:val="0"/>
          <w:bCs w:val="0"/>
          <w:rtl/>
        </w:rPr>
      </w:pPr>
      <w:r>
        <w:rPr>
          <w:b w:val="0"/>
          <w:bCs w:val="0"/>
          <w:rtl/>
        </w:rPr>
        <w:t>4.2.1</w:t>
      </w:r>
      <w:r>
        <w:rPr>
          <w:rFonts w:hint="cs"/>
          <w:b w:val="0"/>
          <w:bCs w:val="0"/>
          <w:rtl/>
        </w:rPr>
        <w:t>.</w:t>
      </w:r>
      <w:r>
        <w:rPr>
          <w:b w:val="0"/>
          <w:bCs w:val="0"/>
          <w:rtl/>
        </w:rPr>
        <w:tab/>
        <w:t>مخاطر البضائع.</w:t>
      </w:r>
    </w:p>
    <w:p w:rsidR="00B259A6" w:rsidRPr="006D6E07" w:rsidRDefault="00B259A6" w:rsidP="005A5C26">
      <w:pPr>
        <w:spacing w:after="0"/>
        <w:ind w:left="1275" w:hanging="709"/>
        <w:rPr>
          <w:b w:val="0"/>
          <w:bCs w:val="0"/>
          <w:rtl/>
        </w:rPr>
      </w:pPr>
      <w:r w:rsidRPr="006D6E07">
        <w:rPr>
          <w:b w:val="0"/>
          <w:bCs w:val="0"/>
          <w:rtl/>
        </w:rPr>
        <w:t>3.1</w:t>
      </w:r>
      <w:r w:rsidR="00B6517F">
        <w:rPr>
          <w:rFonts w:hint="cs"/>
          <w:b w:val="0"/>
          <w:bCs w:val="0"/>
          <w:rtl/>
        </w:rPr>
        <w:t>.</w:t>
      </w:r>
      <w:r w:rsidRPr="006D6E07">
        <w:rPr>
          <w:b w:val="0"/>
          <w:bCs w:val="0"/>
          <w:rtl/>
        </w:rPr>
        <w:tab/>
        <w:t>تتألف مخاطر السوق من نوعين رئيسيين :</w:t>
      </w:r>
    </w:p>
    <w:p w:rsidR="00B259A6" w:rsidRPr="008F60C0" w:rsidRDefault="00B259A6" w:rsidP="005A5C26">
      <w:pPr>
        <w:spacing w:after="0"/>
        <w:ind w:left="2126" w:hanging="851"/>
        <w:rPr>
          <w:b w:val="0"/>
          <w:bCs w:val="0"/>
          <w:rtl/>
        </w:rPr>
      </w:pPr>
      <w:r w:rsidRPr="008F60C0">
        <w:rPr>
          <w:b w:val="0"/>
          <w:bCs w:val="0"/>
          <w:rtl/>
        </w:rPr>
        <w:t>1.3.1</w:t>
      </w:r>
      <w:r w:rsidR="00B6517F">
        <w:rPr>
          <w:rFonts w:hint="cs"/>
          <w:b w:val="0"/>
          <w:bCs w:val="0"/>
          <w:rtl/>
        </w:rPr>
        <w:t>.</w:t>
      </w:r>
      <w:r w:rsidRPr="008F60C0">
        <w:rPr>
          <w:b w:val="0"/>
          <w:bCs w:val="0"/>
          <w:rtl/>
        </w:rPr>
        <w:tab/>
        <w:t>مخاطر السوق العامة (</w:t>
      </w:r>
      <w:r w:rsidRPr="008F60C0">
        <w:rPr>
          <w:b w:val="0"/>
          <w:bCs w:val="0"/>
        </w:rPr>
        <w:t>General Market Risk</w:t>
      </w:r>
      <w:r w:rsidRPr="008F60C0">
        <w:rPr>
          <w:b w:val="0"/>
          <w:bCs w:val="0"/>
          <w:rtl/>
        </w:rPr>
        <w:t>):</w:t>
      </w:r>
    </w:p>
    <w:p w:rsidR="00C75B5F" w:rsidRPr="008F60C0" w:rsidRDefault="00B259A6" w:rsidP="005A5C26">
      <w:pPr>
        <w:spacing w:after="0" w:line="276" w:lineRule="auto"/>
        <w:ind w:left="2126"/>
        <w:rPr>
          <w:b w:val="0"/>
          <w:bCs w:val="0"/>
          <w:rtl/>
        </w:rPr>
      </w:pPr>
      <w:r w:rsidRPr="008F60C0">
        <w:rPr>
          <w:b w:val="0"/>
          <w:bCs w:val="0"/>
          <w:rtl/>
        </w:rPr>
        <w:t>وهي مخاطر الخسائر الناتجة عن التغير في المستوى العام لأسعار السوق أو أسعار الفائدة والتي تؤثر على قيمة المراكز المالية المتعلقة بأسعار الفائدة، أدوات الملكية، أسعار الصرف والبضائع.</w:t>
      </w:r>
    </w:p>
    <w:p w:rsidR="00B259A6" w:rsidRPr="008F60C0" w:rsidRDefault="00B259A6" w:rsidP="00580899">
      <w:pPr>
        <w:spacing w:after="0"/>
        <w:ind w:left="2126" w:hanging="851"/>
        <w:rPr>
          <w:b w:val="0"/>
          <w:bCs w:val="0"/>
          <w:rtl/>
        </w:rPr>
      </w:pPr>
      <w:r w:rsidRPr="008F60C0">
        <w:rPr>
          <w:b w:val="0"/>
          <w:bCs w:val="0"/>
          <w:rtl/>
        </w:rPr>
        <w:t>2.3.1</w:t>
      </w:r>
      <w:r w:rsidR="00B6517F">
        <w:rPr>
          <w:rFonts w:hint="cs"/>
          <w:b w:val="0"/>
          <w:bCs w:val="0"/>
          <w:rtl/>
        </w:rPr>
        <w:t>.</w:t>
      </w:r>
      <w:r w:rsidRPr="008F60C0">
        <w:rPr>
          <w:b w:val="0"/>
          <w:bCs w:val="0"/>
          <w:rtl/>
        </w:rPr>
        <w:tab/>
        <w:t>المخاطر الخاصة (</w:t>
      </w:r>
      <w:r w:rsidRPr="008F60C0">
        <w:rPr>
          <w:b w:val="0"/>
          <w:bCs w:val="0"/>
        </w:rPr>
        <w:t>Specific Risk</w:t>
      </w:r>
      <w:r w:rsidRPr="008F60C0">
        <w:rPr>
          <w:b w:val="0"/>
          <w:bCs w:val="0"/>
          <w:rtl/>
        </w:rPr>
        <w:t>):</w:t>
      </w:r>
    </w:p>
    <w:p w:rsidR="00B6517F" w:rsidRPr="00C75B5F" w:rsidRDefault="00B259A6" w:rsidP="005A5C26">
      <w:pPr>
        <w:spacing w:line="276" w:lineRule="auto"/>
        <w:ind w:left="2126"/>
        <w:rPr>
          <w:b w:val="0"/>
          <w:bCs w:val="0"/>
          <w:rtl/>
        </w:rPr>
      </w:pPr>
      <w:r w:rsidRPr="008F60C0">
        <w:rPr>
          <w:b w:val="0"/>
          <w:bCs w:val="0"/>
          <w:rtl/>
        </w:rPr>
        <w:t>مخاطر تغير سعر الأداة المالية بسبب عناصر خاصة بالجهة المصدرة وتنطبق على المراكز المالية المتعلقة بأسعار الفائدة وأدوا</w:t>
      </w:r>
      <w:r w:rsidR="00C75B5F">
        <w:rPr>
          <w:b w:val="0"/>
          <w:bCs w:val="0"/>
          <w:rtl/>
        </w:rPr>
        <w:t>ت الملكية الصادرة عن هذه الجهة.</w:t>
      </w:r>
    </w:p>
    <w:p w:rsidR="00B259A6" w:rsidRPr="00B6517F" w:rsidRDefault="00B259A6" w:rsidP="005A5C26">
      <w:pPr>
        <w:spacing w:after="0"/>
        <w:ind w:left="708" w:hanging="425"/>
        <w:jc w:val="lowKashida"/>
        <w:rPr>
          <w:vanish/>
          <w:rtl/>
          <w:lang w:bidi="ar-JO"/>
        </w:rPr>
      </w:pPr>
      <w:r w:rsidRPr="00B6517F">
        <w:rPr>
          <w:vanish/>
          <w:rtl/>
          <w:lang w:bidi="ar-JO"/>
        </w:rPr>
        <w:lastRenderedPageBreak/>
        <w:t>سعارأسأ</w:t>
      </w:r>
    </w:p>
    <w:p w:rsidR="00B259A6" w:rsidRPr="00B6517F" w:rsidRDefault="00C75B5F" w:rsidP="005A5C26">
      <w:pPr>
        <w:spacing w:after="0" w:line="276" w:lineRule="auto"/>
        <w:ind w:left="708" w:hanging="425"/>
        <w:rPr>
          <w:rtl/>
        </w:rPr>
      </w:pPr>
      <w:r>
        <w:rPr>
          <w:rtl/>
        </w:rPr>
        <w:t>2.</w:t>
      </w:r>
      <w:r>
        <w:rPr>
          <w:rFonts w:hint="cs"/>
          <w:rtl/>
        </w:rPr>
        <w:t xml:space="preserve"> </w:t>
      </w:r>
      <w:r w:rsidR="00B259A6" w:rsidRPr="00B6517F">
        <w:rPr>
          <w:rtl/>
        </w:rPr>
        <w:t>المبادئ الرئيسية (</w:t>
      </w:r>
      <w:r w:rsidR="00B259A6" w:rsidRPr="00B6517F">
        <w:t>Key Principles</w:t>
      </w:r>
      <w:r w:rsidR="00B259A6" w:rsidRPr="00B6517F">
        <w:rPr>
          <w:rtl/>
        </w:rPr>
        <w:t>):</w:t>
      </w:r>
    </w:p>
    <w:p w:rsidR="00B259A6" w:rsidRPr="006D6E07" w:rsidRDefault="00B259A6" w:rsidP="005A5C26">
      <w:pPr>
        <w:ind w:left="1275" w:hanging="709"/>
        <w:rPr>
          <w:b w:val="0"/>
          <w:bCs w:val="0"/>
          <w:rtl/>
        </w:rPr>
      </w:pPr>
      <w:r w:rsidRPr="006D6E07">
        <w:rPr>
          <w:b w:val="0"/>
          <w:bCs w:val="0"/>
          <w:rtl/>
        </w:rPr>
        <w:t>1.2</w:t>
      </w:r>
      <w:r w:rsidR="00C92C63">
        <w:rPr>
          <w:rFonts w:hint="cs"/>
          <w:b w:val="0"/>
          <w:bCs w:val="0"/>
          <w:rtl/>
        </w:rPr>
        <w:t>.</w:t>
      </w:r>
      <w:r w:rsidRPr="006D6E07">
        <w:rPr>
          <w:b w:val="0"/>
          <w:bCs w:val="0"/>
          <w:rtl/>
        </w:rPr>
        <w:tab/>
        <w:t>على البنوك تزويد البنك المركزي بسياسة خاصة بمحفظة المتاجرة(</w:t>
      </w:r>
      <w:r w:rsidRPr="006D6E07">
        <w:rPr>
          <w:b w:val="0"/>
          <w:bCs w:val="0"/>
        </w:rPr>
        <w:t>Trading Book Policy</w:t>
      </w:r>
      <w:r w:rsidRPr="006D6E07">
        <w:rPr>
          <w:b w:val="0"/>
          <w:bCs w:val="0"/>
          <w:rtl/>
        </w:rPr>
        <w:t>) توضح بشكل محدد كافة النشاطات والمراكز المالية التي تندرج ضمن هذه المحفظة.</w:t>
      </w:r>
    </w:p>
    <w:p w:rsidR="00B259A6" w:rsidRPr="006D6E07" w:rsidRDefault="00B259A6" w:rsidP="005A5C26">
      <w:pPr>
        <w:ind w:left="1275" w:hanging="709"/>
        <w:rPr>
          <w:b w:val="0"/>
          <w:bCs w:val="0"/>
          <w:rtl/>
        </w:rPr>
      </w:pPr>
      <w:r w:rsidRPr="006D6E07">
        <w:rPr>
          <w:b w:val="0"/>
          <w:bCs w:val="0"/>
          <w:rtl/>
        </w:rPr>
        <w:t>2.2</w:t>
      </w:r>
      <w:r w:rsidR="00C92C63">
        <w:rPr>
          <w:rFonts w:hint="cs"/>
          <w:b w:val="0"/>
          <w:bCs w:val="0"/>
          <w:rtl/>
        </w:rPr>
        <w:t>.</w:t>
      </w:r>
      <w:r w:rsidRPr="006D6E07">
        <w:rPr>
          <w:b w:val="0"/>
          <w:bCs w:val="0"/>
          <w:rtl/>
        </w:rPr>
        <w:tab/>
        <w:t>يجب أن يتوفر لدى البنك سياسات وإجراءات حصيفة لتقييم المراكز ضمن محفظة المتاجرة إضافة إلى وجود أنظمة فعالة لقياس وإدارة مخاطر السوق.</w:t>
      </w:r>
    </w:p>
    <w:p w:rsidR="00D026CE" w:rsidRPr="00C92C63" w:rsidRDefault="00B259A6" w:rsidP="005A5C26">
      <w:pPr>
        <w:ind w:left="1275" w:hanging="709"/>
        <w:rPr>
          <w:b w:val="0"/>
          <w:bCs w:val="0"/>
          <w:rtl/>
        </w:rPr>
      </w:pPr>
      <w:r w:rsidRPr="006D6E07">
        <w:rPr>
          <w:b w:val="0"/>
          <w:bCs w:val="0"/>
          <w:rtl/>
        </w:rPr>
        <w:t>3.2</w:t>
      </w:r>
      <w:r w:rsidR="00C92C63">
        <w:rPr>
          <w:rFonts w:hint="cs"/>
          <w:b w:val="0"/>
          <w:bCs w:val="0"/>
          <w:rtl/>
        </w:rPr>
        <w:t>.</w:t>
      </w:r>
      <w:r w:rsidRPr="006D6E07">
        <w:rPr>
          <w:b w:val="0"/>
          <w:bCs w:val="0"/>
          <w:rtl/>
        </w:rPr>
        <w:tab/>
        <w:t xml:space="preserve">تحتسب مخاطر السوق بنهاية كل يوم عمل ويجب أن تدرج قيم عملية الاحتساب ضمن التقرير الربعي عن كافة أيام العمل خلال تلك الفترة. </w:t>
      </w:r>
      <w:r w:rsidRPr="006D6E07">
        <w:rPr>
          <w:b w:val="0"/>
          <w:bCs w:val="0"/>
          <w:rtl/>
        </w:rPr>
        <w:tab/>
      </w:r>
    </w:p>
    <w:p w:rsidR="00B259A6" w:rsidRPr="00C92C63" w:rsidRDefault="005D4A0A" w:rsidP="005A5C26">
      <w:pPr>
        <w:spacing w:after="0" w:line="276" w:lineRule="auto"/>
        <w:ind w:left="708" w:hanging="425"/>
        <w:rPr>
          <w:rtl/>
        </w:rPr>
      </w:pPr>
      <w:r w:rsidRPr="00C92C63">
        <w:rPr>
          <w:rtl/>
        </w:rPr>
        <w:t>3.</w:t>
      </w:r>
      <w:r w:rsidR="00C75B5F">
        <w:rPr>
          <w:rFonts w:hint="cs"/>
          <w:rtl/>
        </w:rPr>
        <w:t xml:space="preserve"> </w:t>
      </w:r>
      <w:r w:rsidR="00B259A6" w:rsidRPr="00C92C63">
        <w:rPr>
          <w:rtl/>
        </w:rPr>
        <w:t>مسؤوليات مجلس الإدارة والإدارة التنفيذية:</w:t>
      </w:r>
    </w:p>
    <w:p w:rsidR="00B259A6" w:rsidRPr="006D6E07" w:rsidRDefault="00B259A6" w:rsidP="005A5C26">
      <w:pPr>
        <w:ind w:left="1275" w:hanging="709"/>
        <w:rPr>
          <w:b w:val="0"/>
          <w:bCs w:val="0"/>
          <w:rtl/>
        </w:rPr>
      </w:pPr>
      <w:r w:rsidRPr="006D6E07">
        <w:rPr>
          <w:b w:val="0"/>
          <w:bCs w:val="0"/>
          <w:rtl/>
        </w:rPr>
        <w:t>1.3</w:t>
      </w:r>
      <w:r w:rsidRPr="006D6E07">
        <w:rPr>
          <w:b w:val="0"/>
          <w:bCs w:val="0"/>
          <w:rtl/>
        </w:rPr>
        <w:tab/>
        <w:t>على مجلس الإدارة اعتماد الاستراتيجيات والسياسات المتعلقة بمخاطر السوق والتأكد من أن الإدارة التنفيذية تتخذ كافة الخطوات الضرورية لمراقبة وضبط هذه المخاطر.</w:t>
      </w:r>
    </w:p>
    <w:p w:rsidR="00B259A6" w:rsidRPr="006D6E07" w:rsidRDefault="00B259A6" w:rsidP="0016569E">
      <w:pPr>
        <w:spacing w:after="0"/>
        <w:ind w:left="1275" w:hanging="709"/>
        <w:rPr>
          <w:b w:val="0"/>
          <w:bCs w:val="0"/>
          <w:rtl/>
        </w:rPr>
      </w:pPr>
      <w:r w:rsidRPr="006D6E07">
        <w:rPr>
          <w:b w:val="0"/>
          <w:bCs w:val="0"/>
          <w:rtl/>
        </w:rPr>
        <w:t>2.3</w:t>
      </w:r>
      <w:r w:rsidRPr="006D6E07">
        <w:rPr>
          <w:b w:val="0"/>
          <w:bCs w:val="0"/>
          <w:rtl/>
        </w:rPr>
        <w:tab/>
        <w:t xml:space="preserve">على مجلس الإدارة التأكد من أن البنك يتوفر لديه أنظمة كافية لتحديد، قياس، مراقبة وضبط </w:t>
      </w:r>
      <w:r w:rsidRPr="006D6E07">
        <w:rPr>
          <w:b w:val="0"/>
          <w:bCs w:val="0"/>
        </w:rPr>
        <w:t>(</w:t>
      </w:r>
      <w:r w:rsidRPr="0016569E">
        <w:rPr>
          <w:rFonts w:asciiTheme="majorBidi" w:hAnsiTheme="majorBidi" w:cstheme="majorBidi"/>
          <w:b w:val="0"/>
          <w:bCs w:val="0"/>
        </w:rPr>
        <w:t>Identify, Measure, Monitor, and Control</w:t>
      </w:r>
      <w:r w:rsidRPr="006D6E07">
        <w:rPr>
          <w:b w:val="0"/>
          <w:bCs w:val="0"/>
        </w:rPr>
        <w:t>)</w:t>
      </w:r>
      <w:r w:rsidRPr="006D6E07">
        <w:rPr>
          <w:b w:val="0"/>
          <w:bCs w:val="0"/>
          <w:rtl/>
        </w:rPr>
        <w:t xml:space="preserve"> مخاطر السوق بما في ذلك تحديد المسؤوليات، فصل المهام وتجنب أي تضارب في المصالح. كما يتوجب على البنك إعلام البنك المركزي بأي تغيرات جوهرية تطرأ على هذه الأنظمة وكذلك على هيكل مخاطر السوق لديه (</w:t>
      </w:r>
      <w:r w:rsidRPr="006D6E07">
        <w:rPr>
          <w:b w:val="0"/>
          <w:bCs w:val="0"/>
        </w:rPr>
        <w:t>Market Risk Profile</w:t>
      </w:r>
      <w:r w:rsidRPr="006D6E07">
        <w:rPr>
          <w:b w:val="0"/>
          <w:bCs w:val="0"/>
          <w:rtl/>
        </w:rPr>
        <w:t>).</w:t>
      </w:r>
    </w:p>
    <w:p w:rsidR="00B259A6" w:rsidRPr="006D6E07" w:rsidRDefault="00B259A6" w:rsidP="005A5C26">
      <w:pPr>
        <w:ind w:left="1275" w:hanging="709"/>
        <w:rPr>
          <w:b w:val="0"/>
          <w:bCs w:val="0"/>
          <w:rtl/>
        </w:rPr>
      </w:pPr>
      <w:r w:rsidRPr="006D6E07">
        <w:rPr>
          <w:b w:val="0"/>
          <w:bCs w:val="0"/>
          <w:rtl/>
        </w:rPr>
        <w:t>3.3</w:t>
      </w:r>
      <w:r w:rsidRPr="006D6E07">
        <w:rPr>
          <w:b w:val="0"/>
          <w:bCs w:val="0"/>
          <w:rtl/>
        </w:rPr>
        <w:tab/>
        <w:t>على مجلس الإدارة التأكد من التزام البنك بمتطلبات كفاية رأس المال لمواجهة مخاطر السوق بشكل مستمر مع عدم المبالغة في أخذ المراكز النهارية.</w:t>
      </w:r>
    </w:p>
    <w:p w:rsidR="00B259A6" w:rsidRPr="00C92C63" w:rsidRDefault="00C75B5F" w:rsidP="005A5C26">
      <w:pPr>
        <w:spacing w:after="0" w:line="276" w:lineRule="auto"/>
        <w:ind w:left="708" w:hanging="425"/>
        <w:rPr>
          <w:rtl/>
        </w:rPr>
      </w:pPr>
      <w:r>
        <w:rPr>
          <w:rtl/>
        </w:rPr>
        <w:t>4.</w:t>
      </w:r>
      <w:r>
        <w:rPr>
          <w:rFonts w:hint="cs"/>
          <w:rtl/>
        </w:rPr>
        <w:t xml:space="preserve"> </w:t>
      </w:r>
      <w:r w:rsidR="00B259A6" w:rsidRPr="00C92C63">
        <w:rPr>
          <w:rtl/>
        </w:rPr>
        <w:t>محفظة المتاجرة (</w:t>
      </w:r>
      <w:r w:rsidR="00B259A6" w:rsidRPr="00C92C63">
        <w:t>Trading Book</w:t>
      </w:r>
      <w:r w:rsidR="00B259A6" w:rsidRPr="00C92C63">
        <w:rPr>
          <w:rtl/>
        </w:rPr>
        <w:t>):</w:t>
      </w:r>
    </w:p>
    <w:p w:rsidR="00B259A6" w:rsidRPr="006D6E07" w:rsidRDefault="00B259A6" w:rsidP="005A5C26">
      <w:pPr>
        <w:ind w:left="1275" w:hanging="709"/>
        <w:rPr>
          <w:b w:val="0"/>
          <w:bCs w:val="0"/>
          <w:rtl/>
        </w:rPr>
      </w:pPr>
      <w:r w:rsidRPr="006D6E07">
        <w:rPr>
          <w:b w:val="0"/>
          <w:bCs w:val="0"/>
          <w:rtl/>
        </w:rPr>
        <w:t>1.4</w:t>
      </w:r>
      <w:r w:rsidR="00C92C63">
        <w:rPr>
          <w:rFonts w:hint="cs"/>
          <w:b w:val="0"/>
          <w:bCs w:val="0"/>
          <w:rtl/>
        </w:rPr>
        <w:t>.</w:t>
      </w:r>
      <w:r w:rsidRPr="006D6E07">
        <w:rPr>
          <w:b w:val="0"/>
          <w:bCs w:val="0"/>
          <w:rtl/>
        </w:rPr>
        <w:tab/>
        <w:t xml:space="preserve">تتكون محفظة المتاجرة من المراكز في الأدوات المالية والبضائع والمشتقات والأدوات خارج الميزانية المحتفظ بها إما بنية المتاجرة أو بغرض التحوط لمكونات أخرى ضمن محفظة المتاجرة، علماً بأن المراكز المتخذة بنية المتاجرة هي تلك التي ينطبق عليها </w:t>
      </w:r>
      <w:r w:rsidRPr="008F60C0">
        <w:rPr>
          <w:b w:val="0"/>
          <w:bCs w:val="0"/>
          <w:rtl/>
        </w:rPr>
        <w:t>أي</w:t>
      </w:r>
      <w:r w:rsidRPr="006D6E07">
        <w:rPr>
          <w:b w:val="0"/>
          <w:bCs w:val="0"/>
          <w:rtl/>
        </w:rPr>
        <w:t xml:space="preserve"> من الشروط التالية:</w:t>
      </w:r>
    </w:p>
    <w:p w:rsidR="00B259A6" w:rsidRPr="008F60C0" w:rsidRDefault="00B259A6" w:rsidP="00580899">
      <w:pPr>
        <w:spacing w:after="0"/>
        <w:ind w:left="2126" w:hanging="851"/>
        <w:rPr>
          <w:b w:val="0"/>
          <w:bCs w:val="0"/>
          <w:rtl/>
        </w:rPr>
      </w:pPr>
      <w:r w:rsidRPr="008F60C0">
        <w:rPr>
          <w:b w:val="0"/>
          <w:bCs w:val="0"/>
          <w:rtl/>
        </w:rPr>
        <w:t>1.1.4</w:t>
      </w:r>
      <w:r w:rsidR="00C92C63">
        <w:rPr>
          <w:rFonts w:hint="cs"/>
          <w:b w:val="0"/>
          <w:bCs w:val="0"/>
          <w:rtl/>
        </w:rPr>
        <w:t>.</w:t>
      </w:r>
      <w:r w:rsidRPr="008F60C0">
        <w:rPr>
          <w:b w:val="0"/>
          <w:bCs w:val="0"/>
          <w:rtl/>
        </w:rPr>
        <w:tab/>
        <w:t>محتفظ بها بهدف إعادة بيعها في الأجل القصير (ويعرف الأجل القصير لهذه الغاية بمدة لا تزيد عن 90 يوم).</w:t>
      </w:r>
    </w:p>
    <w:p w:rsidR="00B259A6" w:rsidRPr="008F60C0" w:rsidRDefault="00B259A6" w:rsidP="00580899">
      <w:pPr>
        <w:spacing w:after="0"/>
        <w:ind w:left="2126" w:hanging="851"/>
        <w:rPr>
          <w:b w:val="0"/>
          <w:bCs w:val="0"/>
          <w:rtl/>
        </w:rPr>
      </w:pPr>
      <w:r w:rsidRPr="008F60C0">
        <w:rPr>
          <w:b w:val="0"/>
          <w:bCs w:val="0"/>
          <w:rtl/>
        </w:rPr>
        <w:t>2.1.4</w:t>
      </w:r>
      <w:r w:rsidR="00C92C63">
        <w:rPr>
          <w:rFonts w:hint="cs"/>
          <w:b w:val="0"/>
          <w:bCs w:val="0"/>
          <w:rtl/>
        </w:rPr>
        <w:t>.</w:t>
      </w:r>
      <w:r w:rsidRPr="008F60C0">
        <w:rPr>
          <w:b w:val="0"/>
          <w:bCs w:val="0"/>
          <w:rtl/>
        </w:rPr>
        <w:tab/>
        <w:t xml:space="preserve">محتفظ بها بنية الاستفادة من الفروقات الفعلية و/أو المتوقعة في الأجل القصير بين أسعار الشراء وأسعار البيع أو تغيرات أسعار الفائدة أو التغيرات في مدخلات السوق. </w:t>
      </w:r>
    </w:p>
    <w:p w:rsidR="00B259A6" w:rsidRPr="008F60C0" w:rsidRDefault="00B259A6" w:rsidP="00580899">
      <w:pPr>
        <w:spacing w:after="0"/>
        <w:ind w:left="2126" w:hanging="851"/>
        <w:rPr>
          <w:b w:val="0"/>
          <w:bCs w:val="0"/>
          <w:rtl/>
        </w:rPr>
      </w:pPr>
      <w:r w:rsidRPr="008F60C0">
        <w:rPr>
          <w:b w:val="0"/>
          <w:bCs w:val="0"/>
          <w:rtl/>
        </w:rPr>
        <w:t>3.1.4</w:t>
      </w:r>
      <w:r w:rsidR="00C92C63">
        <w:rPr>
          <w:rFonts w:hint="cs"/>
          <w:b w:val="0"/>
          <w:bCs w:val="0"/>
          <w:rtl/>
        </w:rPr>
        <w:t>.</w:t>
      </w:r>
      <w:r w:rsidRPr="008F60C0">
        <w:rPr>
          <w:b w:val="0"/>
          <w:bCs w:val="0"/>
          <w:rtl/>
        </w:rPr>
        <w:tab/>
        <w:t>ناتجة عن عمليات الوساطة (</w:t>
      </w:r>
      <w:r w:rsidRPr="008F60C0">
        <w:rPr>
          <w:b w:val="0"/>
          <w:bCs w:val="0"/>
        </w:rPr>
        <w:t>Brokerage</w:t>
      </w:r>
      <w:r w:rsidRPr="008F60C0">
        <w:rPr>
          <w:b w:val="0"/>
          <w:bCs w:val="0"/>
          <w:rtl/>
        </w:rPr>
        <w:t>) وصناعة السوق (</w:t>
      </w:r>
      <w:r w:rsidRPr="008F60C0">
        <w:rPr>
          <w:b w:val="0"/>
          <w:bCs w:val="0"/>
        </w:rPr>
        <w:t>Market Making</w:t>
      </w:r>
      <w:r w:rsidRPr="008F60C0">
        <w:rPr>
          <w:b w:val="0"/>
          <w:bCs w:val="0"/>
          <w:rtl/>
        </w:rPr>
        <w:t>).</w:t>
      </w:r>
    </w:p>
    <w:p w:rsidR="00B259A6" w:rsidRPr="006D6E07" w:rsidRDefault="00B259A6" w:rsidP="005A5C26">
      <w:pPr>
        <w:ind w:left="1275" w:hanging="709"/>
        <w:rPr>
          <w:b w:val="0"/>
          <w:bCs w:val="0"/>
          <w:rtl/>
        </w:rPr>
      </w:pPr>
      <w:r w:rsidRPr="006D6E07">
        <w:rPr>
          <w:b w:val="0"/>
          <w:bCs w:val="0"/>
          <w:rtl/>
        </w:rPr>
        <w:t>2.4</w:t>
      </w:r>
      <w:r w:rsidR="00C92C63">
        <w:rPr>
          <w:rFonts w:hint="cs"/>
          <w:b w:val="0"/>
          <w:bCs w:val="0"/>
          <w:rtl/>
        </w:rPr>
        <w:t>.</w:t>
      </w:r>
      <w:r w:rsidR="0016569E">
        <w:rPr>
          <w:b w:val="0"/>
          <w:bCs w:val="0"/>
          <w:rtl/>
        </w:rPr>
        <w:tab/>
      </w:r>
      <w:r w:rsidRPr="006D6E07">
        <w:rPr>
          <w:b w:val="0"/>
          <w:bCs w:val="0"/>
          <w:rtl/>
        </w:rPr>
        <w:t>حتى تتأهل المراكز للحصول على معاملة محفظة المتاجرة لغايات كفاية رأس المال يجب أن يتوفر لدى البنك كل مما يلي:</w:t>
      </w:r>
    </w:p>
    <w:p w:rsidR="00126B60" w:rsidRPr="008F60C0" w:rsidRDefault="00B259A6" w:rsidP="00580899">
      <w:pPr>
        <w:spacing w:after="0"/>
        <w:ind w:left="2126" w:hanging="851"/>
        <w:rPr>
          <w:b w:val="0"/>
          <w:bCs w:val="0"/>
          <w:rtl/>
        </w:rPr>
      </w:pPr>
      <w:r w:rsidRPr="008F60C0">
        <w:rPr>
          <w:b w:val="0"/>
          <w:bCs w:val="0"/>
          <w:rtl/>
        </w:rPr>
        <w:lastRenderedPageBreak/>
        <w:t>1.2.4</w:t>
      </w:r>
      <w:r w:rsidR="00C92C63">
        <w:rPr>
          <w:rFonts w:hint="cs"/>
          <w:b w:val="0"/>
          <w:bCs w:val="0"/>
          <w:rtl/>
        </w:rPr>
        <w:t>.</w:t>
      </w:r>
      <w:r w:rsidRPr="008F60C0">
        <w:rPr>
          <w:b w:val="0"/>
          <w:bCs w:val="0"/>
          <w:rtl/>
        </w:rPr>
        <w:tab/>
        <w:t>استراتيجية تداول واضحة وموثقة للمراكز، و/أو الأدوات المالية و/أو المحافظ مقرة من الإدارة التنفيذية (على أن تتضمن هذه الاستراتيجية فترة الاحتفاظ القصوى</w:t>
      </w:r>
      <w:r w:rsidR="00126B60" w:rsidRPr="008F60C0">
        <w:rPr>
          <w:b w:val="0"/>
          <w:bCs w:val="0"/>
          <w:rtl/>
        </w:rPr>
        <w:t xml:space="preserve"> </w:t>
      </w:r>
      <w:r w:rsidR="00126B60" w:rsidRPr="008F60C0">
        <w:rPr>
          <w:b w:val="0"/>
          <w:bCs w:val="0"/>
        </w:rPr>
        <w:t>Holding Horizon</w:t>
      </w:r>
      <w:r w:rsidR="0016569E">
        <w:rPr>
          <w:rFonts w:hint="cs"/>
          <w:b w:val="0"/>
          <w:bCs w:val="0"/>
          <w:rtl/>
        </w:rPr>
        <w:t xml:space="preserve">). </w:t>
      </w:r>
    </w:p>
    <w:p w:rsidR="00B259A6" w:rsidRPr="008F60C0" w:rsidRDefault="00B259A6" w:rsidP="00580899">
      <w:pPr>
        <w:spacing w:after="0"/>
        <w:ind w:left="2126" w:hanging="851"/>
        <w:rPr>
          <w:b w:val="0"/>
          <w:bCs w:val="0"/>
          <w:rtl/>
        </w:rPr>
      </w:pPr>
      <w:r w:rsidRPr="008F60C0">
        <w:rPr>
          <w:b w:val="0"/>
          <w:bCs w:val="0"/>
          <w:rtl/>
        </w:rPr>
        <w:t>2.2.4</w:t>
      </w:r>
      <w:r w:rsidR="00C92C63">
        <w:rPr>
          <w:rFonts w:hint="cs"/>
          <w:b w:val="0"/>
          <w:bCs w:val="0"/>
          <w:rtl/>
        </w:rPr>
        <w:t>.</w:t>
      </w:r>
      <w:r w:rsidRPr="008F60C0">
        <w:rPr>
          <w:b w:val="0"/>
          <w:bCs w:val="0"/>
          <w:rtl/>
        </w:rPr>
        <w:tab/>
        <w:t>سياسات وإجراءات واضحة لإدارة المراكز والتي تضمن الآتي:</w:t>
      </w:r>
    </w:p>
    <w:p w:rsidR="00B259A6" w:rsidRPr="00C92C63" w:rsidRDefault="00B259A6" w:rsidP="00BC3653">
      <w:pPr>
        <w:pStyle w:val="ListParagraph"/>
        <w:numPr>
          <w:ilvl w:val="0"/>
          <w:numId w:val="29"/>
        </w:numPr>
        <w:ind w:left="2551" w:hanging="425"/>
        <w:rPr>
          <w:b w:val="0"/>
          <w:bCs w:val="0"/>
          <w:rtl/>
        </w:rPr>
      </w:pPr>
      <w:r w:rsidRPr="00C92C63">
        <w:rPr>
          <w:b w:val="0"/>
          <w:bCs w:val="0"/>
          <w:rtl/>
        </w:rPr>
        <w:t>وجود وحدة متاجرة (</w:t>
      </w:r>
      <w:r w:rsidRPr="00C92C63">
        <w:rPr>
          <w:b w:val="0"/>
          <w:bCs w:val="0"/>
        </w:rPr>
        <w:t>Trading Desk</w:t>
      </w:r>
      <w:r w:rsidRPr="00C92C63">
        <w:rPr>
          <w:b w:val="0"/>
          <w:bCs w:val="0"/>
          <w:rtl/>
        </w:rPr>
        <w:t>) تناط بها مسؤولية إدارة المراكز.</w:t>
      </w:r>
    </w:p>
    <w:p w:rsidR="00B259A6" w:rsidRPr="00C92C63" w:rsidRDefault="00B259A6" w:rsidP="00BC3653">
      <w:pPr>
        <w:pStyle w:val="ListParagraph"/>
        <w:numPr>
          <w:ilvl w:val="0"/>
          <w:numId w:val="29"/>
        </w:numPr>
        <w:ind w:left="2551" w:hanging="425"/>
        <w:rPr>
          <w:b w:val="0"/>
          <w:bCs w:val="0"/>
          <w:rtl/>
        </w:rPr>
      </w:pPr>
      <w:r w:rsidRPr="00C92C63">
        <w:rPr>
          <w:b w:val="0"/>
          <w:bCs w:val="0"/>
          <w:rtl/>
        </w:rPr>
        <w:t>مراقبة مدى ملاءمة السقوف المحددة للمراكز.</w:t>
      </w:r>
    </w:p>
    <w:p w:rsidR="00B259A6" w:rsidRPr="00C92C63" w:rsidRDefault="00B259A6" w:rsidP="00BC3653">
      <w:pPr>
        <w:pStyle w:val="ListParagraph"/>
        <w:numPr>
          <w:ilvl w:val="0"/>
          <w:numId w:val="29"/>
        </w:numPr>
        <w:ind w:left="2551" w:hanging="425"/>
        <w:rPr>
          <w:b w:val="0"/>
          <w:bCs w:val="0"/>
          <w:rtl/>
        </w:rPr>
      </w:pPr>
      <w:r w:rsidRPr="00C92C63">
        <w:rPr>
          <w:b w:val="0"/>
          <w:bCs w:val="0"/>
          <w:rtl/>
        </w:rPr>
        <w:t>تفويض صلاحيات للمتعاملين (</w:t>
      </w:r>
      <w:r w:rsidRPr="00C92C63">
        <w:rPr>
          <w:b w:val="0"/>
          <w:bCs w:val="0"/>
        </w:rPr>
        <w:t>Dealers</w:t>
      </w:r>
      <w:r w:rsidRPr="00C92C63">
        <w:rPr>
          <w:b w:val="0"/>
          <w:bCs w:val="0"/>
          <w:rtl/>
        </w:rPr>
        <w:t>) بما يمكنهم من إدارة المراكز ضمن السقوف المحددة في الاستراتيجية المعتمدة.</w:t>
      </w:r>
    </w:p>
    <w:p w:rsidR="00B259A6" w:rsidRPr="00C92C63" w:rsidRDefault="00B259A6" w:rsidP="00C76D5F">
      <w:pPr>
        <w:pStyle w:val="ListParagraph"/>
        <w:numPr>
          <w:ilvl w:val="0"/>
          <w:numId w:val="29"/>
        </w:numPr>
        <w:ind w:left="2551" w:hanging="425"/>
        <w:rPr>
          <w:b w:val="0"/>
          <w:bCs w:val="0"/>
          <w:rtl/>
        </w:rPr>
      </w:pPr>
      <w:r w:rsidRPr="00C92C63">
        <w:rPr>
          <w:b w:val="0"/>
          <w:bCs w:val="0"/>
          <w:rtl/>
        </w:rPr>
        <w:t>تقييم المراكز بشكل يومي اعتماداً على الأسعار السوقية</w:t>
      </w:r>
      <w:r w:rsidR="00C76D5F">
        <w:rPr>
          <w:rFonts w:hint="cs"/>
          <w:b w:val="0"/>
          <w:bCs w:val="0"/>
          <w:rtl/>
        </w:rPr>
        <w:br/>
      </w:r>
      <w:r w:rsidRPr="00C92C63">
        <w:rPr>
          <w:b w:val="0"/>
          <w:bCs w:val="0"/>
          <w:rtl/>
        </w:rPr>
        <w:t>(</w:t>
      </w:r>
      <w:r w:rsidRPr="00C92C63">
        <w:rPr>
          <w:b w:val="0"/>
          <w:bCs w:val="0"/>
        </w:rPr>
        <w:t>Marked to Market</w:t>
      </w:r>
      <w:r w:rsidRPr="00C92C63">
        <w:rPr>
          <w:b w:val="0"/>
          <w:bCs w:val="0"/>
          <w:rtl/>
        </w:rPr>
        <w:t>) وفي حال تقييمها اعتماداً على نماذج التقييم</w:t>
      </w:r>
      <w:r w:rsidR="00C76D5F">
        <w:rPr>
          <w:rFonts w:hint="cs"/>
          <w:b w:val="0"/>
          <w:bCs w:val="0"/>
          <w:rtl/>
        </w:rPr>
        <w:t xml:space="preserve"> </w:t>
      </w:r>
      <w:r w:rsidRPr="00C92C63">
        <w:rPr>
          <w:b w:val="0"/>
          <w:bCs w:val="0"/>
          <w:rtl/>
        </w:rPr>
        <w:t>(</w:t>
      </w:r>
      <w:r w:rsidRPr="00C92C63">
        <w:rPr>
          <w:b w:val="0"/>
          <w:bCs w:val="0"/>
        </w:rPr>
        <w:t>Marked to Model</w:t>
      </w:r>
      <w:r w:rsidRPr="00C92C63">
        <w:rPr>
          <w:b w:val="0"/>
          <w:bCs w:val="0"/>
          <w:rtl/>
        </w:rPr>
        <w:t>) فيجب تقييم مدخلات النماذج (</w:t>
      </w:r>
      <w:r w:rsidRPr="00C92C63">
        <w:rPr>
          <w:b w:val="0"/>
          <w:bCs w:val="0"/>
        </w:rPr>
        <w:t>Parameters</w:t>
      </w:r>
      <w:r w:rsidRPr="00C92C63">
        <w:rPr>
          <w:b w:val="0"/>
          <w:bCs w:val="0"/>
          <w:rtl/>
        </w:rPr>
        <w:t>) على أساس يومي.</w:t>
      </w:r>
    </w:p>
    <w:p w:rsidR="00B259A6" w:rsidRPr="00C92C63" w:rsidRDefault="00B259A6" w:rsidP="00BC3653">
      <w:pPr>
        <w:pStyle w:val="ListParagraph"/>
        <w:numPr>
          <w:ilvl w:val="0"/>
          <w:numId w:val="29"/>
        </w:numPr>
        <w:ind w:left="2551" w:hanging="425"/>
        <w:rPr>
          <w:b w:val="0"/>
          <w:bCs w:val="0"/>
          <w:rtl/>
        </w:rPr>
      </w:pPr>
      <w:r w:rsidRPr="00C92C63">
        <w:rPr>
          <w:b w:val="0"/>
          <w:bCs w:val="0"/>
          <w:rtl/>
        </w:rPr>
        <w:t>ضرورة رفع تقارير بالمراكز إلى الإدارة التنفيذية كجزء مكمل لعملية إدارة المخاطر في البنك.</w:t>
      </w:r>
    </w:p>
    <w:p w:rsidR="00B259A6" w:rsidRPr="00C92C63" w:rsidRDefault="00B259A6" w:rsidP="00BC3653">
      <w:pPr>
        <w:pStyle w:val="ListParagraph"/>
        <w:numPr>
          <w:ilvl w:val="0"/>
          <w:numId w:val="29"/>
        </w:numPr>
        <w:ind w:left="2551" w:hanging="425"/>
        <w:rPr>
          <w:b w:val="0"/>
          <w:bCs w:val="0"/>
          <w:rtl/>
        </w:rPr>
      </w:pPr>
      <w:r w:rsidRPr="00C92C63">
        <w:rPr>
          <w:b w:val="0"/>
          <w:bCs w:val="0"/>
          <w:rtl/>
        </w:rPr>
        <w:t>مراقبة المراكز اعتماداً على مصادر المعلومات في السوق وبحيث تتم التقييمات على أساس سيولة السوق و/أو القدرة على التحوط للمراكز و/أو مستوى المخاطر في المحفظة.</w:t>
      </w:r>
    </w:p>
    <w:p w:rsidR="002E12E2" w:rsidRPr="00C92C63" w:rsidRDefault="00B259A6" w:rsidP="00BC3653">
      <w:pPr>
        <w:pStyle w:val="ListParagraph"/>
        <w:numPr>
          <w:ilvl w:val="0"/>
          <w:numId w:val="29"/>
        </w:numPr>
        <w:ind w:left="2551" w:hanging="425"/>
        <w:rPr>
          <w:b w:val="0"/>
          <w:bCs w:val="0"/>
          <w:rtl/>
        </w:rPr>
      </w:pPr>
      <w:r w:rsidRPr="00C92C63">
        <w:rPr>
          <w:b w:val="0"/>
          <w:bCs w:val="0"/>
          <w:rtl/>
        </w:rPr>
        <w:t xml:space="preserve">ضرورة تقييم جودة وتوفر المدخلات اللازمة لعملية التقييم، معدل الدوران وأحجام المراكز المتداولة في السوق (تقييم عمق السوق </w:t>
      </w:r>
      <w:r w:rsidRPr="00C92C63">
        <w:rPr>
          <w:b w:val="0"/>
          <w:bCs w:val="0"/>
        </w:rPr>
        <w:t>Market Depth</w:t>
      </w:r>
      <w:r w:rsidRPr="00C92C63">
        <w:rPr>
          <w:b w:val="0"/>
          <w:bCs w:val="0"/>
          <w:rtl/>
        </w:rPr>
        <w:t>)</w:t>
      </w:r>
      <w:r w:rsidR="002E12E2" w:rsidRPr="00C92C63">
        <w:rPr>
          <w:b w:val="0"/>
          <w:bCs w:val="0"/>
          <w:rtl/>
        </w:rPr>
        <w:t>.</w:t>
      </w:r>
    </w:p>
    <w:p w:rsidR="002E12E2" w:rsidRPr="006D6E07" w:rsidRDefault="00B259A6" w:rsidP="0016569E">
      <w:pPr>
        <w:ind w:left="1275" w:hanging="709"/>
        <w:rPr>
          <w:b w:val="0"/>
          <w:bCs w:val="0"/>
          <w:rtl/>
        </w:rPr>
      </w:pPr>
      <w:r w:rsidRPr="008F60C0">
        <w:rPr>
          <w:b w:val="0"/>
          <w:bCs w:val="0"/>
          <w:rtl/>
        </w:rPr>
        <w:t>3.4</w:t>
      </w:r>
      <w:r w:rsidR="00C92C63">
        <w:rPr>
          <w:rFonts w:hint="cs"/>
          <w:b w:val="0"/>
          <w:bCs w:val="0"/>
          <w:rtl/>
        </w:rPr>
        <w:t>.</w:t>
      </w:r>
      <w:r w:rsidRPr="008F60C0">
        <w:rPr>
          <w:b w:val="0"/>
          <w:bCs w:val="0"/>
          <w:rtl/>
        </w:rPr>
        <w:tab/>
        <w:t xml:space="preserve">في حال قيام البنك </w:t>
      </w:r>
      <w:r w:rsidR="0016569E">
        <w:rPr>
          <w:rFonts w:hint="cs"/>
          <w:b w:val="0"/>
          <w:bCs w:val="0"/>
          <w:rtl/>
        </w:rPr>
        <w:t>بتمويل استثماراته في مراكز مالية</w:t>
      </w:r>
      <w:r w:rsidRPr="008F60C0">
        <w:rPr>
          <w:b w:val="0"/>
          <w:bCs w:val="0"/>
          <w:rtl/>
        </w:rPr>
        <w:t xml:space="preserve"> من خلال إصدار أوراق مالية، يتم إدراج مثل هذه الأوراق ضمن محفظة المتاجرة فقط إذا انطبقت عليها أحكام محفظة المتاجرة الواردة في البند رقم (4) أعلاه.</w:t>
      </w:r>
    </w:p>
    <w:p w:rsidR="00285F98" w:rsidRPr="006D6E07" w:rsidRDefault="00B259A6" w:rsidP="005A5C26">
      <w:pPr>
        <w:ind w:left="1275" w:hanging="709"/>
        <w:rPr>
          <w:b w:val="0"/>
          <w:bCs w:val="0"/>
          <w:rtl/>
        </w:rPr>
      </w:pPr>
      <w:r w:rsidRPr="008F60C0">
        <w:rPr>
          <w:b w:val="0"/>
          <w:bCs w:val="0"/>
          <w:rtl/>
        </w:rPr>
        <w:t>4.4</w:t>
      </w:r>
      <w:r w:rsidR="00C92C63">
        <w:rPr>
          <w:rFonts w:hint="cs"/>
          <w:b w:val="0"/>
          <w:bCs w:val="0"/>
          <w:rtl/>
        </w:rPr>
        <w:t>.</w:t>
      </w:r>
      <w:r w:rsidRPr="008F60C0">
        <w:rPr>
          <w:b w:val="0"/>
          <w:bCs w:val="0"/>
          <w:rtl/>
        </w:rPr>
        <w:tab/>
        <w:t>إذا قام البنك بالتحوط لتعرض ائتماني مصنف ضمن المحفظة البنكية باستخدام مشتقة ائتمانية مصنفة ضمن محفظة المتاجرة فلا يتم الاعتراف بهذا التحوط لأغراض كفاية رأس المال إلا إذا استوفت هذه المشتقة كافة الشروط المنصوص عليها في البندين</w:t>
      </w:r>
      <w:r w:rsidR="00B260BB" w:rsidRPr="008F60C0">
        <w:rPr>
          <w:b w:val="0"/>
          <w:bCs w:val="0"/>
          <w:rtl/>
        </w:rPr>
        <w:t xml:space="preserve"> رقم (15) و(17) من البند ثانياً (مخففات مخاطر الائتمان) من الفصل الرابع، </w:t>
      </w:r>
      <w:r w:rsidRPr="008F60C0">
        <w:rPr>
          <w:b w:val="0"/>
          <w:bCs w:val="0"/>
          <w:rtl/>
        </w:rPr>
        <w:t xml:space="preserve">وبعكس ذلك تدرج المشتقة ضمن </w:t>
      </w:r>
      <w:r w:rsidR="00CB0691" w:rsidRPr="008F60C0">
        <w:rPr>
          <w:b w:val="0"/>
          <w:bCs w:val="0"/>
          <w:rtl/>
        </w:rPr>
        <w:t>ال</w:t>
      </w:r>
      <w:r w:rsidRPr="008F60C0">
        <w:rPr>
          <w:b w:val="0"/>
          <w:bCs w:val="0"/>
          <w:rtl/>
        </w:rPr>
        <w:t>محفظة</w:t>
      </w:r>
      <w:r w:rsidR="00CB0691" w:rsidRPr="008F60C0">
        <w:rPr>
          <w:b w:val="0"/>
          <w:bCs w:val="0"/>
          <w:rtl/>
        </w:rPr>
        <w:t xml:space="preserve"> البنكية</w:t>
      </w:r>
      <w:r w:rsidRPr="008F60C0">
        <w:rPr>
          <w:b w:val="0"/>
          <w:bCs w:val="0"/>
          <w:rtl/>
        </w:rPr>
        <w:t>.</w:t>
      </w:r>
    </w:p>
    <w:p w:rsidR="00B259A6" w:rsidRPr="008F60C0" w:rsidRDefault="00B259A6" w:rsidP="005A5C26">
      <w:pPr>
        <w:ind w:left="1275" w:hanging="709"/>
        <w:rPr>
          <w:b w:val="0"/>
          <w:bCs w:val="0"/>
          <w:rtl/>
        </w:rPr>
      </w:pPr>
      <w:r w:rsidRPr="008F60C0">
        <w:rPr>
          <w:b w:val="0"/>
          <w:bCs w:val="0"/>
          <w:rtl/>
        </w:rPr>
        <w:t>5.4</w:t>
      </w:r>
      <w:r w:rsidR="00C92C63">
        <w:rPr>
          <w:rFonts w:hint="cs"/>
          <w:b w:val="0"/>
          <w:bCs w:val="0"/>
          <w:rtl/>
        </w:rPr>
        <w:t>.</w:t>
      </w:r>
      <w:r w:rsidRPr="008F60C0">
        <w:rPr>
          <w:b w:val="0"/>
          <w:bCs w:val="0"/>
          <w:rtl/>
        </w:rPr>
        <w:tab/>
        <w:t xml:space="preserve">يجب على البنك إدراج اتفاقيات إعادة الشراء وما في حكمها المصنفة ضمن المحفظة البنكية ضمن محفظة المتاجرة لغايات احتساب كفاية رأس المال فقط إذا كانت هذه الاتفاقيات مستوفية أحكام محفظة المتاجرة وبحيث تكون هذه الاتفاقيات مبنية على نقد أو أوراق مالية مصنفة ضمن محفظة المتاجرة، وفي جميع الأحوال يجب إخضاع هذه الاتفاقيات لمتطلبات رأس المال </w:t>
      </w:r>
      <w:r w:rsidRPr="008F60C0">
        <w:rPr>
          <w:b w:val="0"/>
          <w:bCs w:val="0"/>
          <w:rtl/>
        </w:rPr>
        <w:lastRenderedPageBreak/>
        <w:t>لمقابلة مخاطر الائتمان الخاصة بالطرف المقابل وبغض النظر عن تصنيف المحفظة المدرجة ضمنها هذه الاتفاقية.</w:t>
      </w:r>
    </w:p>
    <w:p w:rsidR="00B259A6" w:rsidRPr="008F60C0" w:rsidRDefault="00B259A6" w:rsidP="005A5C26">
      <w:pPr>
        <w:ind w:left="1275" w:hanging="709"/>
        <w:rPr>
          <w:b w:val="0"/>
          <w:bCs w:val="0"/>
          <w:rtl/>
        </w:rPr>
      </w:pPr>
      <w:r w:rsidRPr="006D6E07">
        <w:rPr>
          <w:b w:val="0"/>
          <w:bCs w:val="0"/>
          <w:rtl/>
        </w:rPr>
        <w:t>6.4</w:t>
      </w:r>
      <w:r w:rsidR="00C92C63">
        <w:rPr>
          <w:rFonts w:hint="cs"/>
          <w:b w:val="0"/>
          <w:bCs w:val="0"/>
          <w:rtl/>
        </w:rPr>
        <w:t>.</w:t>
      </w:r>
      <w:r w:rsidRPr="006D6E07">
        <w:rPr>
          <w:b w:val="0"/>
          <w:bCs w:val="0"/>
          <w:rtl/>
        </w:rPr>
        <w:tab/>
        <w:t>على البنك إخضاع عملية تصنيف أي مركز أو أداة ضمن المحفظة البنكية أو محفظة المتاجرة للتدقيق الداخلي حال نشوئها، للتأكد من استيفائها لكافة الشروط الواردة في هذه التعليمات.</w:t>
      </w:r>
    </w:p>
    <w:p w:rsidR="00B259A6" w:rsidRPr="00C92C63" w:rsidRDefault="006E1CD4" w:rsidP="00BC3653">
      <w:pPr>
        <w:spacing w:after="0" w:line="276" w:lineRule="auto"/>
        <w:ind w:left="708" w:hanging="425"/>
        <w:rPr>
          <w:rtl/>
        </w:rPr>
      </w:pPr>
      <w:r w:rsidRPr="00C92C63">
        <w:rPr>
          <w:rtl/>
        </w:rPr>
        <w:t>5.</w:t>
      </w:r>
      <w:r w:rsidR="00B259A6" w:rsidRPr="00C92C63">
        <w:rPr>
          <w:rtl/>
        </w:rPr>
        <w:tab/>
        <w:t>سياسة محفظة المتاجرة:</w:t>
      </w:r>
    </w:p>
    <w:p w:rsidR="00B259A6" w:rsidRPr="006D6E07" w:rsidRDefault="00B259A6" w:rsidP="00BC3653">
      <w:pPr>
        <w:spacing w:after="0"/>
        <w:ind w:left="1275" w:hanging="709"/>
        <w:rPr>
          <w:b w:val="0"/>
          <w:bCs w:val="0"/>
          <w:rtl/>
        </w:rPr>
      </w:pPr>
      <w:r w:rsidRPr="006D6E07">
        <w:rPr>
          <w:b w:val="0"/>
          <w:bCs w:val="0"/>
          <w:rtl/>
        </w:rPr>
        <w:t>1.5</w:t>
      </w:r>
      <w:r w:rsidR="00C92C63">
        <w:rPr>
          <w:rFonts w:hint="cs"/>
          <w:b w:val="0"/>
          <w:bCs w:val="0"/>
          <w:rtl/>
        </w:rPr>
        <w:t>.</w:t>
      </w:r>
      <w:r w:rsidRPr="006D6E07">
        <w:rPr>
          <w:b w:val="0"/>
          <w:bCs w:val="0"/>
          <w:rtl/>
        </w:rPr>
        <w:tab/>
        <w:t>يجب أن تتضمن سياسة محفظة المتاجرة المعدة من البنك ما يلي:</w:t>
      </w:r>
    </w:p>
    <w:p w:rsidR="00B259A6" w:rsidRPr="00FF0658" w:rsidRDefault="00B259A6" w:rsidP="00580899">
      <w:pPr>
        <w:spacing w:after="0"/>
        <w:ind w:left="2126" w:hanging="851"/>
        <w:rPr>
          <w:b w:val="0"/>
          <w:bCs w:val="0"/>
          <w:rtl/>
        </w:rPr>
      </w:pPr>
      <w:r w:rsidRPr="00FF0658">
        <w:rPr>
          <w:b w:val="0"/>
          <w:bCs w:val="0"/>
          <w:rtl/>
        </w:rPr>
        <w:t>1.1.5</w:t>
      </w:r>
      <w:r w:rsidR="00C92C63" w:rsidRPr="00FF0658">
        <w:rPr>
          <w:rFonts w:hint="cs"/>
          <w:b w:val="0"/>
          <w:bCs w:val="0"/>
          <w:rtl/>
        </w:rPr>
        <w:t>.</w:t>
      </w:r>
      <w:r w:rsidRPr="00FF0658">
        <w:rPr>
          <w:b w:val="0"/>
          <w:bCs w:val="0"/>
          <w:rtl/>
        </w:rPr>
        <w:tab/>
        <w:t>الجهة المخولة بالموافقة على السياسة أو تعديلها.</w:t>
      </w:r>
    </w:p>
    <w:p w:rsidR="00B259A6" w:rsidRPr="00FF0658" w:rsidRDefault="00B259A6" w:rsidP="00580899">
      <w:pPr>
        <w:spacing w:after="0"/>
        <w:ind w:left="2126" w:hanging="851"/>
        <w:rPr>
          <w:b w:val="0"/>
          <w:bCs w:val="0"/>
          <w:rtl/>
        </w:rPr>
      </w:pPr>
      <w:r w:rsidRPr="00FF0658">
        <w:rPr>
          <w:b w:val="0"/>
          <w:bCs w:val="0"/>
          <w:rtl/>
        </w:rPr>
        <w:t>2.1.5</w:t>
      </w:r>
      <w:r w:rsidR="00C92C63" w:rsidRPr="00FF0658">
        <w:rPr>
          <w:rFonts w:hint="cs"/>
          <w:b w:val="0"/>
          <w:bCs w:val="0"/>
          <w:rtl/>
        </w:rPr>
        <w:t>.</w:t>
      </w:r>
      <w:r w:rsidRPr="00FF0658">
        <w:rPr>
          <w:b w:val="0"/>
          <w:bCs w:val="0"/>
          <w:rtl/>
        </w:rPr>
        <w:tab/>
      </w:r>
      <w:r w:rsidRPr="008F60C0">
        <w:rPr>
          <w:b w:val="0"/>
          <w:bCs w:val="0"/>
          <w:rtl/>
        </w:rPr>
        <w:t>الأنشطة</w:t>
      </w:r>
      <w:r w:rsidRPr="00FF0658">
        <w:rPr>
          <w:b w:val="0"/>
          <w:bCs w:val="0"/>
          <w:rtl/>
        </w:rPr>
        <w:t xml:space="preserve"> والأدوات التي تعتبر ضمن محفظة المتاجرة لأغراض احتساب كفاية رأس المال.</w:t>
      </w:r>
    </w:p>
    <w:p w:rsidR="00B259A6" w:rsidRPr="00FF0658" w:rsidRDefault="00B259A6" w:rsidP="00580899">
      <w:pPr>
        <w:spacing w:after="0"/>
        <w:ind w:left="2126" w:hanging="851"/>
        <w:rPr>
          <w:b w:val="0"/>
          <w:bCs w:val="0"/>
          <w:rtl/>
        </w:rPr>
      </w:pPr>
      <w:r w:rsidRPr="00FF0658">
        <w:rPr>
          <w:b w:val="0"/>
          <w:bCs w:val="0"/>
          <w:rtl/>
        </w:rPr>
        <w:t>3.1.5</w:t>
      </w:r>
      <w:r w:rsidR="00FF0658">
        <w:rPr>
          <w:rFonts w:hint="cs"/>
          <w:b w:val="0"/>
          <w:bCs w:val="0"/>
          <w:rtl/>
        </w:rPr>
        <w:t>.</w:t>
      </w:r>
      <w:r w:rsidRPr="00FF0658">
        <w:rPr>
          <w:b w:val="0"/>
          <w:bCs w:val="0"/>
          <w:rtl/>
        </w:rPr>
        <w:tab/>
        <w:t xml:space="preserve">منهجية </w:t>
      </w:r>
      <w:r w:rsidRPr="008F60C0">
        <w:rPr>
          <w:b w:val="0"/>
          <w:bCs w:val="0"/>
          <w:rtl/>
        </w:rPr>
        <w:t>التقييم</w:t>
      </w:r>
      <w:r w:rsidRPr="00FF0658">
        <w:rPr>
          <w:b w:val="0"/>
          <w:bCs w:val="0"/>
          <w:rtl/>
        </w:rPr>
        <w:t xml:space="preserve"> لمراكز محفظة المتاجرة متضمنة ما يلي:</w:t>
      </w:r>
    </w:p>
    <w:p w:rsidR="00B259A6" w:rsidRPr="00FF0658" w:rsidRDefault="00B259A6" w:rsidP="00BC3653">
      <w:pPr>
        <w:pStyle w:val="ListParagraph"/>
        <w:numPr>
          <w:ilvl w:val="0"/>
          <w:numId w:val="29"/>
        </w:numPr>
        <w:ind w:left="2409" w:hanging="283"/>
        <w:rPr>
          <w:b w:val="0"/>
          <w:bCs w:val="0"/>
          <w:rtl/>
        </w:rPr>
      </w:pPr>
      <w:r w:rsidRPr="00FF0658">
        <w:rPr>
          <w:b w:val="0"/>
          <w:bCs w:val="0"/>
          <w:rtl/>
        </w:rPr>
        <w:t>المدى الذي يمكن للمراكز أن تقيم به يومياً حسب أسعار السوق</w:t>
      </w:r>
      <w:r w:rsidR="00A804B1">
        <w:rPr>
          <w:b w:val="0"/>
          <w:bCs w:val="0"/>
          <w:rtl/>
        </w:rPr>
        <w:br/>
      </w:r>
      <w:r w:rsidRPr="00FF0658">
        <w:rPr>
          <w:b w:val="0"/>
          <w:bCs w:val="0"/>
          <w:rtl/>
        </w:rPr>
        <w:t>(</w:t>
      </w:r>
      <w:r w:rsidRPr="00FF0658">
        <w:rPr>
          <w:b w:val="0"/>
          <w:bCs w:val="0"/>
        </w:rPr>
        <w:t>Marked to Market</w:t>
      </w:r>
      <w:r w:rsidRPr="00FF0658">
        <w:rPr>
          <w:b w:val="0"/>
          <w:bCs w:val="0"/>
          <w:rtl/>
        </w:rPr>
        <w:t>) وذلك من خلال سوق نشطة وذات سيو</w:t>
      </w:r>
      <w:r w:rsidR="00B260BB" w:rsidRPr="00FF0658">
        <w:rPr>
          <w:b w:val="0"/>
          <w:bCs w:val="0"/>
          <w:rtl/>
        </w:rPr>
        <w:t xml:space="preserve">لة عالية بكلا الاتجاهين بيعاً </w:t>
      </w:r>
      <w:r w:rsidRPr="00FF0658">
        <w:rPr>
          <w:b w:val="0"/>
          <w:bCs w:val="0"/>
          <w:rtl/>
        </w:rPr>
        <w:t>وشراءً.</w:t>
      </w:r>
    </w:p>
    <w:p w:rsidR="00B259A6" w:rsidRPr="00FF0658" w:rsidRDefault="00B259A6" w:rsidP="00BC3653">
      <w:pPr>
        <w:pStyle w:val="ListParagraph"/>
        <w:numPr>
          <w:ilvl w:val="0"/>
          <w:numId w:val="29"/>
        </w:numPr>
        <w:ind w:left="2409" w:hanging="283"/>
        <w:rPr>
          <w:b w:val="0"/>
          <w:bCs w:val="0"/>
          <w:rtl/>
        </w:rPr>
      </w:pPr>
      <w:r w:rsidRPr="00FF0658">
        <w:rPr>
          <w:b w:val="0"/>
          <w:bCs w:val="0"/>
          <w:rtl/>
        </w:rPr>
        <w:t>فيما يتعلق بالمراكز التي يتم تقييمها بموجب نماذج التسعير</w:t>
      </w:r>
      <w:r w:rsidR="00A804B1">
        <w:rPr>
          <w:rFonts w:hint="cs"/>
          <w:b w:val="0"/>
          <w:bCs w:val="0"/>
          <w:rtl/>
        </w:rPr>
        <w:br/>
      </w:r>
      <w:r w:rsidRPr="00FF0658">
        <w:rPr>
          <w:b w:val="0"/>
          <w:bCs w:val="0"/>
          <w:rtl/>
        </w:rPr>
        <w:t>(</w:t>
      </w:r>
      <w:r w:rsidRPr="00FF0658">
        <w:rPr>
          <w:b w:val="0"/>
          <w:bCs w:val="0"/>
        </w:rPr>
        <w:t>Marked to Model</w:t>
      </w:r>
      <w:r w:rsidRPr="00FF0658">
        <w:rPr>
          <w:b w:val="0"/>
          <w:bCs w:val="0"/>
          <w:rtl/>
        </w:rPr>
        <w:t>)</w:t>
      </w:r>
      <w:r w:rsidR="00AA1657" w:rsidRPr="00FF0658">
        <w:rPr>
          <w:b w:val="0"/>
          <w:bCs w:val="0"/>
          <w:vertAlign w:val="superscript"/>
          <w:rtl/>
        </w:rPr>
        <w:footnoteReference w:id="20"/>
      </w:r>
      <w:r w:rsidRPr="00FF0658">
        <w:rPr>
          <w:b w:val="0"/>
          <w:bCs w:val="0"/>
          <w:rtl/>
        </w:rPr>
        <w:t xml:space="preserve"> فإنه يجب أن يتم بيان إلى أي مدى يمكن للبنك:</w:t>
      </w:r>
    </w:p>
    <w:p w:rsidR="00B259A6" w:rsidRPr="00FF0658" w:rsidRDefault="00BC3653" w:rsidP="00BC3653">
      <w:pPr>
        <w:spacing w:after="0"/>
        <w:ind w:left="2834" w:hanging="425"/>
        <w:jc w:val="lowKashida"/>
        <w:rPr>
          <w:b w:val="0"/>
          <w:bCs w:val="0"/>
          <w:rtl/>
        </w:rPr>
      </w:pPr>
      <w:r>
        <w:rPr>
          <w:rFonts w:hint="cs"/>
          <w:b w:val="0"/>
          <w:bCs w:val="0"/>
          <w:rtl/>
        </w:rPr>
        <w:t>أ</w:t>
      </w:r>
      <w:r w:rsidR="00AA1657" w:rsidRPr="00FF0658">
        <w:rPr>
          <w:b w:val="0"/>
          <w:bCs w:val="0"/>
          <w:rtl/>
        </w:rPr>
        <w:t>.</w:t>
      </w:r>
      <w:r w:rsidR="00B259A6" w:rsidRPr="00FF0658">
        <w:rPr>
          <w:b w:val="0"/>
          <w:bCs w:val="0"/>
          <w:rtl/>
        </w:rPr>
        <w:tab/>
        <w:t>تحديد المخاطر ذات الأثر المادي للمركز.</w:t>
      </w:r>
    </w:p>
    <w:p w:rsidR="00B259A6" w:rsidRPr="00FF0658" w:rsidRDefault="00BC3653" w:rsidP="00BC3653">
      <w:pPr>
        <w:spacing w:after="0"/>
        <w:ind w:left="2834" w:hanging="425"/>
        <w:jc w:val="lowKashida"/>
        <w:rPr>
          <w:b w:val="0"/>
          <w:bCs w:val="0"/>
          <w:rtl/>
        </w:rPr>
      </w:pPr>
      <w:r>
        <w:rPr>
          <w:rFonts w:hint="cs"/>
          <w:b w:val="0"/>
          <w:bCs w:val="0"/>
          <w:rtl/>
        </w:rPr>
        <w:t>ب</w:t>
      </w:r>
      <w:r w:rsidR="00AA1657" w:rsidRPr="00FF0658">
        <w:rPr>
          <w:b w:val="0"/>
          <w:bCs w:val="0"/>
          <w:rtl/>
        </w:rPr>
        <w:t>.</w:t>
      </w:r>
      <w:r w:rsidR="00B259A6" w:rsidRPr="00FF0658">
        <w:rPr>
          <w:b w:val="0"/>
          <w:bCs w:val="0"/>
          <w:rtl/>
        </w:rPr>
        <w:tab/>
        <w:t xml:space="preserve">التحوط للمخاطر ذات الأثر المادي للمركز والمدى الذي يتوفر فيه سوق نشطة وذات سيولة عالية باتجاهين لأدوات التحوط. </w:t>
      </w:r>
    </w:p>
    <w:p w:rsidR="00B259A6" w:rsidRPr="00FF0658" w:rsidRDefault="00BC3653" w:rsidP="00BC3653">
      <w:pPr>
        <w:spacing w:after="0"/>
        <w:ind w:left="2834" w:hanging="425"/>
        <w:jc w:val="lowKashida"/>
        <w:rPr>
          <w:b w:val="0"/>
          <w:bCs w:val="0"/>
          <w:rtl/>
        </w:rPr>
      </w:pPr>
      <w:r>
        <w:rPr>
          <w:rFonts w:hint="cs"/>
          <w:b w:val="0"/>
          <w:bCs w:val="0"/>
          <w:rtl/>
        </w:rPr>
        <w:t>ج</w:t>
      </w:r>
      <w:r w:rsidR="00B259A6" w:rsidRPr="00FF0658">
        <w:rPr>
          <w:b w:val="0"/>
          <w:bCs w:val="0"/>
          <w:rtl/>
        </w:rPr>
        <w:t>.</w:t>
      </w:r>
      <w:r w:rsidR="00B259A6" w:rsidRPr="00FF0658">
        <w:rPr>
          <w:b w:val="0"/>
          <w:bCs w:val="0"/>
          <w:rtl/>
        </w:rPr>
        <w:tab/>
        <w:t>الاعتماد على صحة وموثوقي</w:t>
      </w:r>
      <w:r w:rsidR="00126B60" w:rsidRPr="00FF0658">
        <w:rPr>
          <w:b w:val="0"/>
          <w:bCs w:val="0"/>
          <w:rtl/>
        </w:rPr>
        <w:t xml:space="preserve">ة الفرضيات والمتغيرات الرئيسية </w:t>
      </w:r>
      <w:r w:rsidR="00B259A6" w:rsidRPr="00FF0658">
        <w:rPr>
          <w:b w:val="0"/>
          <w:bCs w:val="0"/>
          <w:rtl/>
        </w:rPr>
        <w:t>(</w:t>
      </w:r>
      <w:r w:rsidR="00B259A6" w:rsidRPr="00FF0658">
        <w:rPr>
          <w:b w:val="0"/>
          <w:bCs w:val="0"/>
        </w:rPr>
        <w:t>Key</w:t>
      </w:r>
      <w:r w:rsidR="00C75B5F">
        <w:rPr>
          <w:rFonts w:hint="cs"/>
          <w:b w:val="0"/>
          <w:bCs w:val="0"/>
          <w:rtl/>
        </w:rPr>
        <w:t xml:space="preserve"> </w:t>
      </w:r>
      <w:r w:rsidR="00B259A6" w:rsidRPr="00FF0658">
        <w:rPr>
          <w:b w:val="0"/>
          <w:bCs w:val="0"/>
        </w:rPr>
        <w:t>Assumptions and Parameters</w:t>
      </w:r>
      <w:r w:rsidR="00B259A6" w:rsidRPr="00FF0658">
        <w:rPr>
          <w:b w:val="0"/>
          <w:bCs w:val="0"/>
          <w:rtl/>
        </w:rPr>
        <w:t>) المستخدمة في نماذج التقييم.</w:t>
      </w:r>
    </w:p>
    <w:p w:rsidR="00B259A6" w:rsidRPr="00FF0658" w:rsidRDefault="00B259A6" w:rsidP="009C0603">
      <w:pPr>
        <w:spacing w:after="0"/>
        <w:ind w:left="2126" w:hanging="851"/>
        <w:rPr>
          <w:b w:val="0"/>
          <w:bCs w:val="0"/>
          <w:rtl/>
        </w:rPr>
      </w:pPr>
      <w:r w:rsidRPr="00FF0658">
        <w:rPr>
          <w:b w:val="0"/>
          <w:bCs w:val="0"/>
          <w:rtl/>
        </w:rPr>
        <w:t>4.1.5</w:t>
      </w:r>
      <w:r w:rsidR="00FF0658" w:rsidRPr="00FF0658">
        <w:rPr>
          <w:rFonts w:hint="cs"/>
          <w:b w:val="0"/>
          <w:bCs w:val="0"/>
          <w:rtl/>
        </w:rPr>
        <w:t>.</w:t>
      </w:r>
      <w:r w:rsidRPr="00FF0658">
        <w:rPr>
          <w:b w:val="0"/>
          <w:bCs w:val="0"/>
          <w:rtl/>
        </w:rPr>
        <w:tab/>
        <w:t>في حال وجود مراكز هيكلية بالعملة الأجنبية (</w:t>
      </w:r>
      <w:r w:rsidRPr="00FF0658">
        <w:rPr>
          <w:b w:val="0"/>
          <w:bCs w:val="0"/>
        </w:rPr>
        <w:t>Structural Foreign Exchange Positions</w:t>
      </w:r>
      <w:r w:rsidRPr="00FF0658">
        <w:rPr>
          <w:b w:val="0"/>
          <w:bCs w:val="0"/>
          <w:rtl/>
        </w:rPr>
        <w:t>)</w:t>
      </w:r>
      <w:r w:rsidRPr="00FF0658">
        <w:rPr>
          <w:b w:val="0"/>
          <w:bCs w:val="0"/>
          <w:vertAlign w:val="superscript"/>
          <w:rtl/>
        </w:rPr>
        <w:footnoteReference w:id="21"/>
      </w:r>
      <w:r w:rsidRPr="00FF0658">
        <w:rPr>
          <w:b w:val="0"/>
          <w:bCs w:val="0"/>
          <w:rtl/>
        </w:rPr>
        <w:t xml:space="preserve"> يقع على عاتق البنك مسؤولية تعريف هذه المراكز وكيفية إدارتها وآلية فصلها عن مراكز العملة الأجنبية بمحفظة المتاجرة.</w:t>
      </w:r>
    </w:p>
    <w:p w:rsidR="00B259A6" w:rsidRPr="00FF0658" w:rsidRDefault="00B259A6" w:rsidP="00580899">
      <w:pPr>
        <w:spacing w:after="0"/>
        <w:ind w:left="2126" w:hanging="851"/>
        <w:rPr>
          <w:b w:val="0"/>
          <w:bCs w:val="0"/>
          <w:rtl/>
        </w:rPr>
      </w:pPr>
      <w:r w:rsidRPr="00FF0658">
        <w:rPr>
          <w:b w:val="0"/>
          <w:bCs w:val="0"/>
          <w:rtl/>
        </w:rPr>
        <w:t>5.1.5</w:t>
      </w:r>
      <w:r w:rsidR="00FF0658" w:rsidRPr="00FF0658">
        <w:rPr>
          <w:rFonts w:hint="cs"/>
          <w:b w:val="0"/>
          <w:bCs w:val="0"/>
          <w:rtl/>
        </w:rPr>
        <w:t>.</w:t>
      </w:r>
      <w:r w:rsidRPr="00FF0658">
        <w:rPr>
          <w:b w:val="0"/>
          <w:bCs w:val="0"/>
          <w:rtl/>
        </w:rPr>
        <w:tab/>
        <w:t>أن يتم إخضاع هذه السياسة للمراجعة الدورية، وبحد أقصى بشكل سنوي.</w:t>
      </w:r>
    </w:p>
    <w:p w:rsidR="00B259A6" w:rsidRPr="00FF0658" w:rsidRDefault="00B259A6" w:rsidP="00580899">
      <w:pPr>
        <w:spacing w:after="0"/>
        <w:ind w:left="2126" w:hanging="851"/>
        <w:rPr>
          <w:b w:val="0"/>
          <w:bCs w:val="0"/>
          <w:rtl/>
        </w:rPr>
      </w:pPr>
      <w:r w:rsidRPr="00FF0658">
        <w:rPr>
          <w:b w:val="0"/>
          <w:bCs w:val="0"/>
          <w:rtl/>
        </w:rPr>
        <w:t>6.1.5</w:t>
      </w:r>
      <w:r w:rsidR="00FF0658" w:rsidRPr="00FF0658">
        <w:rPr>
          <w:rFonts w:hint="cs"/>
          <w:b w:val="0"/>
          <w:bCs w:val="0"/>
          <w:rtl/>
        </w:rPr>
        <w:t>.</w:t>
      </w:r>
      <w:r w:rsidRPr="00FF0658">
        <w:rPr>
          <w:b w:val="0"/>
          <w:bCs w:val="0"/>
          <w:rtl/>
        </w:rPr>
        <w:tab/>
        <w:t>مدى وجود محددات قانونية و/أو متطلبات تشغيلية تعيق قدرة البنك على التسييل الفوري أو التحوط لهذه</w:t>
      </w:r>
      <w:r w:rsidR="00126B60" w:rsidRPr="00FF0658">
        <w:rPr>
          <w:b w:val="0"/>
          <w:bCs w:val="0"/>
          <w:rtl/>
        </w:rPr>
        <w:t xml:space="preserve"> المراكز </w:t>
      </w:r>
      <w:r w:rsidR="00FF0658" w:rsidRPr="00FF0658">
        <w:rPr>
          <w:rFonts w:hint="cs"/>
          <w:b w:val="0"/>
          <w:bCs w:val="0"/>
          <w:rtl/>
        </w:rPr>
        <w:t>أو</w:t>
      </w:r>
      <w:r w:rsidR="00126B60" w:rsidRPr="00FF0658">
        <w:rPr>
          <w:b w:val="0"/>
          <w:bCs w:val="0"/>
          <w:rtl/>
        </w:rPr>
        <w:t xml:space="preserve"> التعرضات الائتمانية</w:t>
      </w:r>
      <w:r w:rsidRPr="00FF0658">
        <w:rPr>
          <w:b w:val="0"/>
          <w:bCs w:val="0"/>
          <w:rtl/>
        </w:rPr>
        <w:t>.</w:t>
      </w:r>
    </w:p>
    <w:p w:rsidR="00B259A6" w:rsidRPr="00FF0658" w:rsidRDefault="00B259A6" w:rsidP="00580899">
      <w:pPr>
        <w:spacing w:after="0"/>
        <w:ind w:left="2126" w:hanging="851"/>
        <w:rPr>
          <w:b w:val="0"/>
          <w:bCs w:val="0"/>
          <w:rtl/>
        </w:rPr>
      </w:pPr>
      <w:r w:rsidRPr="00FF0658">
        <w:rPr>
          <w:b w:val="0"/>
          <w:bCs w:val="0"/>
          <w:rtl/>
        </w:rPr>
        <w:t>7.1.5</w:t>
      </w:r>
      <w:r w:rsidR="00FF0658" w:rsidRPr="00FF0658">
        <w:rPr>
          <w:rFonts w:hint="cs"/>
          <w:b w:val="0"/>
          <w:bCs w:val="0"/>
          <w:rtl/>
        </w:rPr>
        <w:t>.</w:t>
      </w:r>
      <w:r w:rsidRPr="00FF0658">
        <w:rPr>
          <w:b w:val="0"/>
          <w:bCs w:val="0"/>
          <w:rtl/>
        </w:rPr>
        <w:tab/>
        <w:t xml:space="preserve">فيما يتعلق بالتعاملات الداخلية سواء على مستوى البنك أو المجموعة البنكية:- </w:t>
      </w:r>
    </w:p>
    <w:p w:rsidR="00B259A6" w:rsidRPr="00FF0658" w:rsidRDefault="00B259A6" w:rsidP="00BC3653">
      <w:pPr>
        <w:pStyle w:val="ListParagraph"/>
        <w:numPr>
          <w:ilvl w:val="0"/>
          <w:numId w:val="29"/>
        </w:numPr>
        <w:ind w:left="2551" w:hanging="425"/>
        <w:rPr>
          <w:b w:val="0"/>
          <w:bCs w:val="0"/>
          <w:rtl/>
        </w:rPr>
      </w:pPr>
      <w:r w:rsidRPr="00FF0658">
        <w:rPr>
          <w:b w:val="0"/>
          <w:bCs w:val="0"/>
          <w:rtl/>
        </w:rPr>
        <w:lastRenderedPageBreak/>
        <w:t>يجوز للبنك تحييد أثر جميع التعاملات بين المحافظ المختلفة ضمن محفظة المتاجرة لديه قبل احتساب المراكز المالية المعرضة لمخاطر السوق أو أن يتم تضمين أي/أو جميع التعاملات الداخلية في المراكز بشرط الالتزام بإحدى الطريقتين وبشكل ثابت.</w:t>
      </w:r>
    </w:p>
    <w:p w:rsidR="00B259A6" w:rsidRPr="00FF0658" w:rsidRDefault="00B259A6" w:rsidP="00BC3653">
      <w:pPr>
        <w:pStyle w:val="ListParagraph"/>
        <w:numPr>
          <w:ilvl w:val="0"/>
          <w:numId w:val="29"/>
        </w:numPr>
        <w:ind w:left="2551" w:hanging="425"/>
        <w:rPr>
          <w:b w:val="0"/>
          <w:bCs w:val="0"/>
          <w:rtl/>
        </w:rPr>
      </w:pPr>
      <w:r w:rsidRPr="00FF0658">
        <w:rPr>
          <w:b w:val="0"/>
          <w:bCs w:val="0"/>
          <w:rtl/>
        </w:rPr>
        <w:t>لا يجوز للبنك تحييد أثر التعاملات الداخلية ما بين محفظة المتاجرة والمحفظة البنكية عند احتساب مراكز محفظة المتاجرة.</w:t>
      </w:r>
    </w:p>
    <w:p w:rsidR="00B259A6" w:rsidRPr="00FF0658" w:rsidRDefault="00B259A6" w:rsidP="00580899">
      <w:pPr>
        <w:spacing w:after="0"/>
        <w:ind w:left="2126" w:hanging="851"/>
        <w:rPr>
          <w:b w:val="0"/>
          <w:bCs w:val="0"/>
          <w:rtl/>
        </w:rPr>
      </w:pPr>
      <w:r w:rsidRPr="00FF0658">
        <w:rPr>
          <w:b w:val="0"/>
          <w:bCs w:val="0"/>
          <w:rtl/>
        </w:rPr>
        <w:t>8.1.5</w:t>
      </w:r>
      <w:r w:rsidR="00FF0658">
        <w:rPr>
          <w:rFonts w:hint="cs"/>
          <w:b w:val="0"/>
          <w:bCs w:val="0"/>
          <w:rtl/>
        </w:rPr>
        <w:t>.</w:t>
      </w:r>
      <w:r w:rsidRPr="00FF0658">
        <w:rPr>
          <w:b w:val="0"/>
          <w:bCs w:val="0"/>
          <w:rtl/>
        </w:rPr>
        <w:tab/>
        <w:t>مدى قدرة البنك على إدارة كافة مخاطر مراكز محفظة المتاجرة بصورة فعالة.</w:t>
      </w:r>
    </w:p>
    <w:p w:rsidR="00B259A6" w:rsidRPr="00FF0658" w:rsidRDefault="00B259A6" w:rsidP="00580899">
      <w:pPr>
        <w:spacing w:after="0"/>
        <w:ind w:left="2126" w:hanging="851"/>
        <w:rPr>
          <w:b w:val="0"/>
          <w:bCs w:val="0"/>
          <w:rtl/>
        </w:rPr>
      </w:pPr>
      <w:r w:rsidRPr="00FF0658">
        <w:rPr>
          <w:b w:val="0"/>
          <w:bCs w:val="0"/>
          <w:rtl/>
        </w:rPr>
        <w:t>9.1.5</w:t>
      </w:r>
      <w:r w:rsidR="00FF0658">
        <w:rPr>
          <w:rFonts w:hint="cs"/>
          <w:b w:val="0"/>
          <w:bCs w:val="0"/>
          <w:rtl/>
        </w:rPr>
        <w:t>.</w:t>
      </w:r>
      <w:r w:rsidRPr="00FF0658">
        <w:rPr>
          <w:b w:val="0"/>
          <w:bCs w:val="0"/>
          <w:rtl/>
        </w:rPr>
        <w:tab/>
        <w:t>ضرورة إعلام البنك المركزي الأردني وبشكل فوري عن أي تغيرات جوهرية تحدث عليها.</w:t>
      </w:r>
    </w:p>
    <w:p w:rsidR="00B259A6" w:rsidRPr="00FF0658" w:rsidRDefault="00B259A6" w:rsidP="00580899">
      <w:pPr>
        <w:spacing w:after="0"/>
        <w:ind w:left="2126" w:hanging="851"/>
        <w:rPr>
          <w:b w:val="0"/>
          <w:bCs w:val="0"/>
          <w:rtl/>
        </w:rPr>
      </w:pPr>
      <w:r w:rsidRPr="00FF0658">
        <w:rPr>
          <w:b w:val="0"/>
          <w:bCs w:val="0"/>
          <w:rtl/>
        </w:rPr>
        <w:t>10.1.5</w:t>
      </w:r>
      <w:r w:rsidR="00FF0658">
        <w:rPr>
          <w:rFonts w:hint="cs"/>
          <w:b w:val="0"/>
          <w:bCs w:val="0"/>
          <w:rtl/>
        </w:rPr>
        <w:t>.</w:t>
      </w:r>
      <w:r w:rsidRPr="00FF0658">
        <w:rPr>
          <w:b w:val="0"/>
          <w:bCs w:val="0"/>
          <w:rtl/>
        </w:rPr>
        <w:tab/>
        <w:t>وصف لمنظومة إدارة مخاطر السوق لدى البنك.</w:t>
      </w:r>
    </w:p>
    <w:p w:rsidR="00B259A6" w:rsidRPr="006D6E07" w:rsidRDefault="00B259A6" w:rsidP="0016569E">
      <w:pPr>
        <w:spacing w:after="0"/>
        <w:ind w:left="2126" w:hanging="851"/>
        <w:rPr>
          <w:b w:val="0"/>
          <w:bCs w:val="0"/>
          <w:rtl/>
          <w:lang w:bidi="ar-JO"/>
        </w:rPr>
      </w:pPr>
      <w:r w:rsidRPr="00FF0658">
        <w:rPr>
          <w:b w:val="0"/>
          <w:bCs w:val="0"/>
          <w:rtl/>
        </w:rPr>
        <w:t>11.1.5</w:t>
      </w:r>
      <w:r w:rsidR="00FF0658">
        <w:rPr>
          <w:rFonts w:hint="cs"/>
          <w:b w:val="0"/>
          <w:bCs w:val="0"/>
          <w:rtl/>
        </w:rPr>
        <w:t>.</w:t>
      </w:r>
      <w:r w:rsidRPr="00FF0658">
        <w:rPr>
          <w:b w:val="0"/>
          <w:bCs w:val="0"/>
          <w:rtl/>
        </w:rPr>
        <w:t xml:space="preserve"> أن </w:t>
      </w:r>
      <w:r w:rsidRPr="008F60C0">
        <w:rPr>
          <w:b w:val="0"/>
          <w:bCs w:val="0"/>
          <w:rtl/>
        </w:rPr>
        <w:t>ترد</w:t>
      </w:r>
      <w:r w:rsidRPr="00FF0658">
        <w:rPr>
          <w:b w:val="0"/>
          <w:bCs w:val="0"/>
          <w:rtl/>
        </w:rPr>
        <w:t xml:space="preserve"> هذه السياسة في تقرير الإدارة السنوي</w:t>
      </w:r>
      <w:r w:rsidRPr="00FF0658">
        <w:rPr>
          <w:b w:val="0"/>
          <w:bCs w:val="0"/>
        </w:rPr>
        <w:t xml:space="preserve"> </w:t>
      </w:r>
      <w:r w:rsidRPr="00FF0658">
        <w:rPr>
          <w:b w:val="0"/>
          <w:bCs w:val="0"/>
          <w:rtl/>
        </w:rPr>
        <w:t>(</w:t>
      </w:r>
      <w:r w:rsidRPr="00FF0658">
        <w:rPr>
          <w:b w:val="0"/>
          <w:bCs w:val="0"/>
        </w:rPr>
        <w:t>Annual Management Attestation</w:t>
      </w:r>
      <w:r w:rsidR="0016569E">
        <w:rPr>
          <w:b w:val="0"/>
          <w:bCs w:val="0"/>
          <w:rtl/>
        </w:rPr>
        <w:t>)</w:t>
      </w:r>
      <w:r w:rsidR="0016569E">
        <w:rPr>
          <w:rFonts w:hint="cs"/>
          <w:b w:val="0"/>
          <w:bCs w:val="0"/>
          <w:rtl/>
          <w:lang w:bidi="ar-JO"/>
        </w:rPr>
        <w:t>.</w:t>
      </w:r>
    </w:p>
    <w:p w:rsidR="00285F98" w:rsidRPr="00C92C63" w:rsidRDefault="00B259A6" w:rsidP="00BC3653">
      <w:pPr>
        <w:spacing w:after="0" w:line="276" w:lineRule="auto"/>
        <w:ind w:left="708" w:hanging="425"/>
        <w:rPr>
          <w:rtl/>
        </w:rPr>
      </w:pPr>
      <w:r w:rsidRPr="00C92C63">
        <w:rPr>
          <w:rtl/>
        </w:rPr>
        <w:t>6.</w:t>
      </w:r>
      <w:r w:rsidRPr="00C92C63">
        <w:rPr>
          <w:rtl/>
        </w:rPr>
        <w:tab/>
        <w:t>تقييم محفظة المتاجرة:</w:t>
      </w:r>
      <w:bookmarkStart w:id="1718" w:name="_Toc414888441"/>
    </w:p>
    <w:p w:rsidR="00FF0658" w:rsidRPr="00BC3653" w:rsidRDefault="00B259A6" w:rsidP="00BC3653">
      <w:pPr>
        <w:spacing w:after="0"/>
        <w:ind w:left="708"/>
        <w:rPr>
          <w:b w:val="0"/>
          <w:bCs w:val="0"/>
          <w:rtl/>
          <w:lang w:val="x-none" w:bidi="ar-JO"/>
        </w:rPr>
      </w:pPr>
      <w:r w:rsidRPr="00BC3653">
        <w:rPr>
          <w:b w:val="0"/>
          <w:bCs w:val="0"/>
          <w:rtl/>
          <w:lang w:val="x-none" w:bidi="ar-JO"/>
        </w:rPr>
        <w:t>أن يكون لدى البنك إطار شامل يحدد من خلاله الممارسات السليمة لتقييم مراكز محفظة المتاجرة وبحيث يتوفر لديه الأنظمة والضوابط المناسبة والكافية لإثبات مصداقية وموثوقية عملية التقيي</w:t>
      </w:r>
      <w:r w:rsidR="0016569E">
        <w:rPr>
          <w:b w:val="0"/>
          <w:bCs w:val="0"/>
          <w:rtl/>
          <w:lang w:val="x-none" w:bidi="ar-JO"/>
        </w:rPr>
        <w:t>م لإدارته العليا وللبنك المركزي</w:t>
      </w:r>
      <w:r w:rsidR="0016569E">
        <w:rPr>
          <w:rFonts w:hint="cs"/>
          <w:b w:val="0"/>
          <w:bCs w:val="0"/>
          <w:rtl/>
          <w:lang w:val="x-none" w:bidi="ar-JO"/>
        </w:rPr>
        <w:t>.</w:t>
      </w:r>
      <w:r w:rsidRPr="00BC3653">
        <w:rPr>
          <w:b w:val="0"/>
          <w:bCs w:val="0"/>
          <w:rtl/>
          <w:lang w:val="x-none" w:bidi="ar-JO"/>
        </w:rPr>
        <w:t xml:space="preserve"> وعلى أن تتكامل هذه الأنظمة مع منظومة إدارة المخاطر الأخرى لدى البنك وأن تتضمن بالحد الأدنى ما يلي:-</w:t>
      </w:r>
      <w:bookmarkEnd w:id="1718"/>
    </w:p>
    <w:p w:rsidR="00B259A6" w:rsidRPr="008F60C0" w:rsidRDefault="00B259A6" w:rsidP="00BC3653">
      <w:pPr>
        <w:spacing w:after="0"/>
        <w:ind w:left="1275" w:hanging="709"/>
        <w:rPr>
          <w:b w:val="0"/>
          <w:bCs w:val="0"/>
          <w:rtl/>
        </w:rPr>
      </w:pPr>
      <w:bookmarkStart w:id="1719" w:name="_Toc451176629"/>
      <w:bookmarkStart w:id="1720" w:name="_Toc451180526"/>
      <w:r w:rsidRPr="008F60C0">
        <w:rPr>
          <w:b w:val="0"/>
          <w:bCs w:val="0"/>
          <w:rtl/>
        </w:rPr>
        <w:t>1.6</w:t>
      </w:r>
      <w:r w:rsidR="00FF0658">
        <w:rPr>
          <w:rFonts w:hint="cs"/>
          <w:b w:val="0"/>
          <w:bCs w:val="0"/>
          <w:rtl/>
        </w:rPr>
        <w:t>.</w:t>
      </w:r>
      <w:r w:rsidRPr="008F60C0">
        <w:rPr>
          <w:b w:val="0"/>
          <w:bCs w:val="0"/>
          <w:rtl/>
        </w:rPr>
        <w:tab/>
        <w:t>سياسات وإجراءات مكتوبة لكافة عمليات التقييم تشتمل على ما يلي:</w:t>
      </w:r>
      <w:bookmarkEnd w:id="1719"/>
      <w:bookmarkEnd w:id="1720"/>
    </w:p>
    <w:p w:rsidR="00B259A6" w:rsidRPr="008F60C0" w:rsidRDefault="00B259A6" w:rsidP="00580899">
      <w:pPr>
        <w:spacing w:after="0"/>
        <w:ind w:left="2126" w:hanging="851"/>
        <w:rPr>
          <w:b w:val="0"/>
          <w:bCs w:val="0"/>
          <w:rtl/>
        </w:rPr>
      </w:pPr>
      <w:bookmarkStart w:id="1721" w:name="_Toc414888443"/>
      <w:bookmarkStart w:id="1722" w:name="_Toc451176630"/>
      <w:bookmarkStart w:id="1723" w:name="_Toc451180527"/>
      <w:r w:rsidRPr="008F60C0">
        <w:rPr>
          <w:b w:val="0"/>
          <w:bCs w:val="0"/>
          <w:rtl/>
        </w:rPr>
        <w:t>1.1.6</w:t>
      </w:r>
      <w:r w:rsidR="00FF0658">
        <w:rPr>
          <w:rFonts w:hint="cs"/>
          <w:b w:val="0"/>
          <w:bCs w:val="0"/>
          <w:rtl/>
        </w:rPr>
        <w:t>.</w:t>
      </w:r>
      <w:r w:rsidRPr="008F60C0">
        <w:rPr>
          <w:b w:val="0"/>
          <w:bCs w:val="0"/>
          <w:rtl/>
        </w:rPr>
        <w:tab/>
        <w:t>تحديد واضح لمسؤوليات كافة وحدات العمل والرقابة ذات العلاقة بعملية التقييم.</w:t>
      </w:r>
      <w:bookmarkEnd w:id="1721"/>
      <w:bookmarkEnd w:id="1722"/>
      <w:bookmarkEnd w:id="1723"/>
      <w:r w:rsidRPr="008F60C0">
        <w:rPr>
          <w:b w:val="0"/>
          <w:bCs w:val="0"/>
          <w:rtl/>
        </w:rPr>
        <w:t xml:space="preserve"> </w:t>
      </w:r>
    </w:p>
    <w:p w:rsidR="00B259A6" w:rsidRPr="008F60C0" w:rsidRDefault="00B259A6" w:rsidP="00580899">
      <w:pPr>
        <w:spacing w:after="0"/>
        <w:ind w:left="2126" w:hanging="851"/>
        <w:rPr>
          <w:b w:val="0"/>
          <w:bCs w:val="0"/>
          <w:rtl/>
        </w:rPr>
      </w:pPr>
      <w:bookmarkStart w:id="1724" w:name="_Toc414888444"/>
      <w:bookmarkStart w:id="1725" w:name="_Toc451176631"/>
      <w:bookmarkStart w:id="1726" w:name="_Toc451180528"/>
      <w:r w:rsidRPr="008F60C0">
        <w:rPr>
          <w:b w:val="0"/>
          <w:bCs w:val="0"/>
          <w:rtl/>
        </w:rPr>
        <w:t>2.1.6</w:t>
      </w:r>
      <w:r w:rsidR="00FF0658">
        <w:rPr>
          <w:rFonts w:hint="cs"/>
          <w:b w:val="0"/>
          <w:bCs w:val="0"/>
          <w:rtl/>
        </w:rPr>
        <w:t>.</w:t>
      </w:r>
      <w:r w:rsidRPr="008F60C0">
        <w:rPr>
          <w:b w:val="0"/>
          <w:bCs w:val="0"/>
          <w:rtl/>
        </w:rPr>
        <w:tab/>
        <w:t>مصادر معلومات السوق وطريقة التأكد من ملاءمتها.</w:t>
      </w:r>
      <w:bookmarkEnd w:id="1724"/>
      <w:bookmarkEnd w:id="1725"/>
      <w:bookmarkEnd w:id="1726"/>
    </w:p>
    <w:p w:rsidR="00B259A6" w:rsidRPr="008F60C0" w:rsidRDefault="00B259A6" w:rsidP="00580899">
      <w:pPr>
        <w:spacing w:after="0"/>
        <w:ind w:left="2126" w:hanging="851"/>
        <w:rPr>
          <w:b w:val="0"/>
          <w:bCs w:val="0"/>
          <w:rtl/>
        </w:rPr>
      </w:pPr>
      <w:bookmarkStart w:id="1727" w:name="_Toc414888445"/>
      <w:bookmarkStart w:id="1728" w:name="_Toc451176632"/>
      <w:bookmarkStart w:id="1729" w:name="_Toc451180529"/>
      <w:r w:rsidRPr="008F60C0">
        <w:rPr>
          <w:b w:val="0"/>
          <w:bCs w:val="0"/>
          <w:rtl/>
        </w:rPr>
        <w:t>3.1.6</w:t>
      </w:r>
      <w:r w:rsidR="00FF0658">
        <w:rPr>
          <w:rFonts w:hint="cs"/>
          <w:b w:val="0"/>
          <w:bCs w:val="0"/>
          <w:rtl/>
        </w:rPr>
        <w:t>.</w:t>
      </w:r>
      <w:r w:rsidRPr="008F60C0">
        <w:rPr>
          <w:b w:val="0"/>
          <w:bCs w:val="0"/>
          <w:rtl/>
        </w:rPr>
        <w:tab/>
        <w:t>توقيت أسعار الإغلاق المستخدمة في عملية التقييم.</w:t>
      </w:r>
      <w:bookmarkEnd w:id="1727"/>
      <w:bookmarkEnd w:id="1728"/>
      <w:bookmarkEnd w:id="1729"/>
    </w:p>
    <w:p w:rsidR="00B259A6" w:rsidRPr="008F60C0" w:rsidRDefault="00B259A6" w:rsidP="00580899">
      <w:pPr>
        <w:spacing w:after="0"/>
        <w:ind w:left="2126" w:hanging="851"/>
        <w:rPr>
          <w:b w:val="0"/>
          <w:bCs w:val="0"/>
          <w:rtl/>
        </w:rPr>
      </w:pPr>
      <w:bookmarkStart w:id="1730" w:name="_Toc414888446"/>
      <w:bookmarkStart w:id="1731" w:name="_Toc451176633"/>
      <w:bookmarkStart w:id="1732" w:name="_Toc451180530"/>
      <w:r w:rsidRPr="008F60C0">
        <w:rPr>
          <w:b w:val="0"/>
          <w:bCs w:val="0"/>
          <w:rtl/>
        </w:rPr>
        <w:t>4.1.6</w:t>
      </w:r>
      <w:r w:rsidR="00FF0658">
        <w:rPr>
          <w:rFonts w:hint="cs"/>
          <w:b w:val="0"/>
          <w:bCs w:val="0"/>
          <w:rtl/>
        </w:rPr>
        <w:t>.</w:t>
      </w:r>
      <w:r w:rsidRPr="008F60C0">
        <w:rPr>
          <w:b w:val="0"/>
          <w:bCs w:val="0"/>
          <w:rtl/>
        </w:rPr>
        <w:tab/>
        <w:t>دورية التقييم المستقل.</w:t>
      </w:r>
      <w:bookmarkEnd w:id="1730"/>
      <w:bookmarkEnd w:id="1731"/>
      <w:bookmarkEnd w:id="1732"/>
    </w:p>
    <w:p w:rsidR="00B259A6" w:rsidRPr="008F60C0" w:rsidRDefault="00B259A6" w:rsidP="00580899">
      <w:pPr>
        <w:spacing w:after="0"/>
        <w:ind w:left="2126" w:hanging="851"/>
        <w:rPr>
          <w:b w:val="0"/>
          <w:bCs w:val="0"/>
          <w:rtl/>
        </w:rPr>
      </w:pPr>
      <w:bookmarkStart w:id="1733" w:name="_Toc414888447"/>
      <w:bookmarkStart w:id="1734" w:name="_Toc451176634"/>
      <w:bookmarkStart w:id="1735" w:name="_Toc451180531"/>
      <w:r w:rsidRPr="008F60C0">
        <w:rPr>
          <w:b w:val="0"/>
          <w:bCs w:val="0"/>
          <w:rtl/>
        </w:rPr>
        <w:t>5.1.6</w:t>
      </w:r>
      <w:r w:rsidR="00FF0658">
        <w:rPr>
          <w:rFonts w:hint="cs"/>
          <w:b w:val="0"/>
          <w:bCs w:val="0"/>
          <w:rtl/>
        </w:rPr>
        <w:t>.</w:t>
      </w:r>
      <w:r w:rsidRPr="008F60C0">
        <w:rPr>
          <w:b w:val="0"/>
          <w:bCs w:val="0"/>
          <w:rtl/>
        </w:rPr>
        <w:tab/>
        <w:t>الإجراءات المتبعة لتعديل التقييمات.</w:t>
      </w:r>
      <w:bookmarkEnd w:id="1733"/>
      <w:bookmarkEnd w:id="1734"/>
      <w:bookmarkEnd w:id="1735"/>
    </w:p>
    <w:p w:rsidR="00B259A6" w:rsidRPr="008F60C0" w:rsidRDefault="00B259A6" w:rsidP="00580899">
      <w:pPr>
        <w:spacing w:after="0"/>
        <w:ind w:left="2126" w:hanging="851"/>
        <w:rPr>
          <w:b w:val="0"/>
          <w:bCs w:val="0"/>
          <w:rtl/>
        </w:rPr>
      </w:pPr>
      <w:bookmarkStart w:id="1736" w:name="_Toc414888448"/>
      <w:bookmarkStart w:id="1737" w:name="_Toc451176635"/>
      <w:bookmarkStart w:id="1738" w:name="_Toc451180532"/>
      <w:r w:rsidRPr="008F60C0">
        <w:rPr>
          <w:b w:val="0"/>
          <w:bCs w:val="0"/>
          <w:rtl/>
        </w:rPr>
        <w:t>6.1.6</w:t>
      </w:r>
      <w:r w:rsidR="00FF0658">
        <w:rPr>
          <w:rFonts w:hint="cs"/>
          <w:b w:val="0"/>
          <w:bCs w:val="0"/>
          <w:rtl/>
        </w:rPr>
        <w:t>.</w:t>
      </w:r>
      <w:r w:rsidRPr="008F60C0">
        <w:rPr>
          <w:b w:val="0"/>
          <w:bCs w:val="0"/>
          <w:rtl/>
        </w:rPr>
        <w:tab/>
        <w:t>إجراءات التحقق من صحة التقييم التي تتم بنهاية الشهر أو التقييم الذي تم لأغراض معينة.</w:t>
      </w:r>
      <w:bookmarkEnd w:id="1736"/>
      <w:bookmarkEnd w:id="1737"/>
      <w:bookmarkEnd w:id="1738"/>
    </w:p>
    <w:p w:rsidR="00A72D92" w:rsidRPr="00FF0658" w:rsidRDefault="00B259A6" w:rsidP="005A5C26">
      <w:pPr>
        <w:ind w:left="1275" w:hanging="709"/>
        <w:rPr>
          <w:b w:val="0"/>
          <w:bCs w:val="0"/>
          <w:rtl/>
        </w:rPr>
      </w:pPr>
      <w:r w:rsidRPr="006D6E07">
        <w:rPr>
          <w:b w:val="0"/>
          <w:bCs w:val="0"/>
          <w:rtl/>
        </w:rPr>
        <w:t>2.6</w:t>
      </w:r>
      <w:r w:rsidR="00FF0658">
        <w:rPr>
          <w:rFonts w:hint="cs"/>
          <w:b w:val="0"/>
          <w:bCs w:val="0"/>
          <w:rtl/>
        </w:rPr>
        <w:t>.</w:t>
      </w:r>
      <w:r w:rsidRPr="006D6E07">
        <w:rPr>
          <w:b w:val="0"/>
          <w:bCs w:val="0"/>
          <w:rtl/>
        </w:rPr>
        <w:tab/>
        <w:t>آلية رفع تقارير واضحة من قبل جهة مستقلة عن المكتب الأمامي</w:t>
      </w:r>
      <w:r w:rsidR="00E4019C" w:rsidRPr="006D6E07">
        <w:rPr>
          <w:b w:val="0"/>
          <w:bCs w:val="0"/>
          <w:rtl/>
        </w:rPr>
        <w:t xml:space="preserve"> (</w:t>
      </w:r>
      <w:r w:rsidR="00E4019C" w:rsidRPr="006D6E07">
        <w:rPr>
          <w:b w:val="0"/>
          <w:bCs w:val="0"/>
        </w:rPr>
        <w:t>Front Office</w:t>
      </w:r>
      <w:r w:rsidR="00E4019C" w:rsidRPr="006D6E07">
        <w:rPr>
          <w:b w:val="0"/>
          <w:bCs w:val="0"/>
          <w:rtl/>
        </w:rPr>
        <w:t>) وبما</w:t>
      </w:r>
      <w:r w:rsidRPr="006D6E07">
        <w:rPr>
          <w:b w:val="0"/>
          <w:bCs w:val="0"/>
          <w:rtl/>
        </w:rPr>
        <w:t xml:space="preserve"> يضمن دوماً رفع هذه التقارير</w:t>
      </w:r>
      <w:r w:rsidR="00CB0691" w:rsidRPr="006D6E07">
        <w:rPr>
          <w:b w:val="0"/>
          <w:bCs w:val="0"/>
          <w:rtl/>
        </w:rPr>
        <w:t xml:space="preserve"> لمجلس الإدارة</w:t>
      </w:r>
      <w:r w:rsidRPr="006D6E07">
        <w:rPr>
          <w:b w:val="0"/>
          <w:bCs w:val="0"/>
          <w:rtl/>
        </w:rPr>
        <w:t>.</w:t>
      </w:r>
      <w:r w:rsidRPr="006D6E07">
        <w:rPr>
          <w:b w:val="0"/>
          <w:bCs w:val="0"/>
          <w:rtl/>
        </w:rPr>
        <w:tab/>
      </w:r>
    </w:p>
    <w:p w:rsidR="00B259A6" w:rsidRPr="00C92C63" w:rsidRDefault="00AA1657" w:rsidP="00BC3653">
      <w:pPr>
        <w:spacing w:after="0" w:line="276" w:lineRule="auto"/>
        <w:ind w:left="708" w:hanging="425"/>
        <w:rPr>
          <w:rtl/>
        </w:rPr>
      </w:pPr>
      <w:bookmarkStart w:id="1739" w:name="_Toc451176636"/>
      <w:bookmarkStart w:id="1740" w:name="_Toc451180533"/>
      <w:r w:rsidRPr="00C92C63">
        <w:rPr>
          <w:rtl/>
        </w:rPr>
        <w:t>7.</w:t>
      </w:r>
      <w:r w:rsidR="00C75B5F">
        <w:rPr>
          <w:rFonts w:hint="cs"/>
          <w:rtl/>
        </w:rPr>
        <w:t xml:space="preserve"> </w:t>
      </w:r>
      <w:r w:rsidR="00B259A6" w:rsidRPr="00C92C63">
        <w:rPr>
          <w:rtl/>
        </w:rPr>
        <w:t>منهجيات التقييم:</w:t>
      </w:r>
      <w:bookmarkEnd w:id="1739"/>
      <w:bookmarkEnd w:id="1740"/>
    </w:p>
    <w:p w:rsidR="00B259A6" w:rsidRPr="008F60C0" w:rsidRDefault="00B259A6" w:rsidP="00A804B1">
      <w:pPr>
        <w:ind w:left="1275" w:hanging="709"/>
        <w:rPr>
          <w:b w:val="0"/>
          <w:bCs w:val="0"/>
          <w:rtl/>
        </w:rPr>
      </w:pPr>
      <w:bookmarkStart w:id="1741" w:name="_Toc414888450"/>
      <w:bookmarkStart w:id="1742" w:name="_Toc451176637"/>
      <w:bookmarkStart w:id="1743" w:name="_Toc451180534"/>
      <w:r w:rsidRPr="008F60C0">
        <w:rPr>
          <w:b w:val="0"/>
          <w:bCs w:val="0"/>
          <w:rtl/>
        </w:rPr>
        <w:t>1.7</w:t>
      </w:r>
      <w:r w:rsidR="00FF0658">
        <w:rPr>
          <w:rFonts w:hint="cs"/>
          <w:b w:val="0"/>
          <w:bCs w:val="0"/>
          <w:rtl/>
        </w:rPr>
        <w:t>.</w:t>
      </w:r>
      <w:r w:rsidRPr="008F60C0">
        <w:rPr>
          <w:b w:val="0"/>
          <w:bCs w:val="0"/>
          <w:rtl/>
        </w:rPr>
        <w:tab/>
        <w:t xml:space="preserve">التقييم وفقاً لأسعار السوق ( </w:t>
      </w:r>
      <w:r w:rsidRPr="008F60C0">
        <w:rPr>
          <w:b w:val="0"/>
          <w:bCs w:val="0"/>
        </w:rPr>
        <w:t xml:space="preserve"> Mark</w:t>
      </w:r>
      <w:r w:rsidR="00A804B1">
        <w:rPr>
          <w:b w:val="0"/>
          <w:bCs w:val="0"/>
        </w:rPr>
        <w:t>ed</w:t>
      </w:r>
      <w:r w:rsidRPr="008F60C0">
        <w:rPr>
          <w:b w:val="0"/>
          <w:bCs w:val="0"/>
        </w:rPr>
        <w:t xml:space="preserve"> to Market</w:t>
      </w:r>
      <w:r w:rsidRPr="008F60C0">
        <w:rPr>
          <w:b w:val="0"/>
          <w:bCs w:val="0"/>
          <w:rtl/>
        </w:rPr>
        <w:t>) :</w:t>
      </w:r>
      <w:bookmarkEnd w:id="1741"/>
      <w:bookmarkEnd w:id="1742"/>
      <w:bookmarkEnd w:id="1743"/>
    </w:p>
    <w:p w:rsidR="00B259A6" w:rsidRPr="008F60C0" w:rsidRDefault="00B259A6" w:rsidP="00580899">
      <w:pPr>
        <w:spacing w:after="0"/>
        <w:ind w:left="2126" w:hanging="851"/>
        <w:rPr>
          <w:b w:val="0"/>
          <w:bCs w:val="0"/>
          <w:rtl/>
        </w:rPr>
      </w:pPr>
      <w:bookmarkStart w:id="1744" w:name="_Toc414888451"/>
      <w:bookmarkStart w:id="1745" w:name="_Toc451176638"/>
      <w:bookmarkStart w:id="1746" w:name="_Toc451180535"/>
      <w:r w:rsidRPr="008F60C0">
        <w:rPr>
          <w:b w:val="0"/>
          <w:bCs w:val="0"/>
          <w:rtl/>
        </w:rPr>
        <w:lastRenderedPageBreak/>
        <w:t>1.1.7</w:t>
      </w:r>
      <w:r w:rsidR="00FF0658">
        <w:rPr>
          <w:rFonts w:hint="cs"/>
          <w:b w:val="0"/>
          <w:bCs w:val="0"/>
          <w:rtl/>
        </w:rPr>
        <w:t>.</w:t>
      </w:r>
      <w:r w:rsidRPr="008F60C0">
        <w:rPr>
          <w:b w:val="0"/>
          <w:bCs w:val="0"/>
          <w:rtl/>
        </w:rPr>
        <w:tab/>
        <w:t>يجب على البنك تقييم المراكز على الأقل يومياً حسب سعر الإغلاق اليومي من مصادر تقييم معتمدة ومستقلة مثل : نشرات أسواق المال العالمية و/أو أسعار الشاشة و/أو عدة وسطاء ماليين مستقلين ذوي سمعة عالمية مرموقة.</w:t>
      </w:r>
      <w:bookmarkEnd w:id="1744"/>
      <w:bookmarkEnd w:id="1745"/>
      <w:bookmarkEnd w:id="1746"/>
    </w:p>
    <w:p w:rsidR="00B259A6" w:rsidRPr="008F60C0" w:rsidRDefault="00B259A6" w:rsidP="00580899">
      <w:pPr>
        <w:spacing w:after="0"/>
        <w:ind w:left="2126" w:hanging="851"/>
        <w:rPr>
          <w:b w:val="0"/>
          <w:bCs w:val="0"/>
          <w:rtl/>
        </w:rPr>
      </w:pPr>
      <w:bookmarkStart w:id="1747" w:name="_Toc414888452"/>
      <w:bookmarkStart w:id="1748" w:name="_Toc451176639"/>
      <w:bookmarkStart w:id="1749" w:name="_Toc451180536"/>
      <w:r w:rsidRPr="008F60C0">
        <w:rPr>
          <w:b w:val="0"/>
          <w:bCs w:val="0"/>
          <w:rtl/>
        </w:rPr>
        <w:t>2.1.7</w:t>
      </w:r>
      <w:r w:rsidR="00FF0658">
        <w:rPr>
          <w:rFonts w:hint="cs"/>
          <w:b w:val="0"/>
          <w:bCs w:val="0"/>
          <w:rtl/>
        </w:rPr>
        <w:t>.</w:t>
      </w:r>
      <w:r w:rsidRPr="008F60C0">
        <w:rPr>
          <w:b w:val="0"/>
          <w:bCs w:val="0"/>
          <w:rtl/>
        </w:rPr>
        <w:tab/>
        <w:t>يجب على البنك أن يكون متحفظاً باستخدام سعر الشراء أو البيع وفقاً للمركز موضع التقييم ويمنع استخدام السعر الوسطي في عمليات التقييم.</w:t>
      </w:r>
      <w:bookmarkEnd w:id="1747"/>
      <w:bookmarkEnd w:id="1748"/>
      <w:bookmarkEnd w:id="1749"/>
    </w:p>
    <w:p w:rsidR="00B259A6" w:rsidRPr="008F60C0" w:rsidRDefault="00B259A6" w:rsidP="00A804B1">
      <w:pPr>
        <w:ind w:left="1275" w:hanging="709"/>
        <w:rPr>
          <w:b w:val="0"/>
          <w:bCs w:val="0"/>
          <w:rtl/>
        </w:rPr>
      </w:pPr>
      <w:bookmarkStart w:id="1750" w:name="_Toc414888453"/>
      <w:bookmarkStart w:id="1751" w:name="_Toc451176640"/>
      <w:bookmarkStart w:id="1752" w:name="_Toc451180537"/>
      <w:r w:rsidRPr="008F60C0">
        <w:rPr>
          <w:b w:val="0"/>
          <w:bCs w:val="0"/>
          <w:rtl/>
        </w:rPr>
        <w:t>2.7</w:t>
      </w:r>
      <w:r w:rsidR="00FF0658">
        <w:rPr>
          <w:rFonts w:hint="cs"/>
          <w:b w:val="0"/>
          <w:bCs w:val="0"/>
          <w:rtl/>
        </w:rPr>
        <w:t>.</w:t>
      </w:r>
      <w:r w:rsidRPr="008F60C0">
        <w:rPr>
          <w:b w:val="0"/>
          <w:bCs w:val="0"/>
          <w:rtl/>
        </w:rPr>
        <w:tab/>
        <w:t>التقييم وفقاً لنماذج التسعير (</w:t>
      </w:r>
      <w:r w:rsidRPr="008F60C0">
        <w:rPr>
          <w:b w:val="0"/>
          <w:bCs w:val="0"/>
        </w:rPr>
        <w:t>Mark</w:t>
      </w:r>
      <w:r w:rsidR="00A804B1">
        <w:rPr>
          <w:b w:val="0"/>
          <w:bCs w:val="0"/>
        </w:rPr>
        <w:t>ed</w:t>
      </w:r>
      <w:r w:rsidRPr="008F60C0">
        <w:rPr>
          <w:b w:val="0"/>
          <w:bCs w:val="0"/>
        </w:rPr>
        <w:t xml:space="preserve"> to Model</w:t>
      </w:r>
      <w:r w:rsidRPr="008F60C0">
        <w:rPr>
          <w:b w:val="0"/>
          <w:bCs w:val="0"/>
          <w:rtl/>
        </w:rPr>
        <w:t>) :</w:t>
      </w:r>
      <w:bookmarkEnd w:id="1750"/>
      <w:bookmarkEnd w:id="1751"/>
      <w:bookmarkEnd w:id="1752"/>
    </w:p>
    <w:p w:rsidR="00B259A6" w:rsidRPr="008F60C0" w:rsidRDefault="00B259A6" w:rsidP="00580899">
      <w:pPr>
        <w:spacing w:after="0"/>
        <w:ind w:left="2126" w:hanging="851"/>
        <w:rPr>
          <w:b w:val="0"/>
          <w:bCs w:val="0"/>
          <w:rtl/>
        </w:rPr>
      </w:pPr>
      <w:bookmarkStart w:id="1753" w:name="_Toc414888454"/>
      <w:bookmarkStart w:id="1754" w:name="_Toc451176641"/>
      <w:bookmarkStart w:id="1755" w:name="_Toc451180538"/>
      <w:r w:rsidRPr="008F60C0">
        <w:rPr>
          <w:b w:val="0"/>
          <w:bCs w:val="0"/>
          <w:rtl/>
        </w:rPr>
        <w:t>1.2.7</w:t>
      </w:r>
      <w:r w:rsidR="00FF0658">
        <w:rPr>
          <w:rFonts w:hint="cs"/>
          <w:b w:val="0"/>
          <w:bCs w:val="0"/>
          <w:rtl/>
        </w:rPr>
        <w:t>.</w:t>
      </w:r>
      <w:r w:rsidRPr="008F60C0">
        <w:rPr>
          <w:b w:val="0"/>
          <w:bCs w:val="0"/>
          <w:rtl/>
        </w:rPr>
        <w:tab/>
        <w:t>يمكن اعتماد نماذج التسعير لأغراض تحديد القيمة السوقية للأداة المالية في حال تعذر التقييم حسب السعر السوقي.</w:t>
      </w:r>
      <w:bookmarkEnd w:id="1753"/>
      <w:bookmarkEnd w:id="1754"/>
      <w:bookmarkEnd w:id="1755"/>
    </w:p>
    <w:p w:rsidR="00B259A6" w:rsidRPr="008F60C0" w:rsidRDefault="00B259A6" w:rsidP="00580899">
      <w:pPr>
        <w:spacing w:after="0"/>
        <w:ind w:left="2126" w:hanging="851"/>
        <w:rPr>
          <w:b w:val="0"/>
          <w:bCs w:val="0"/>
          <w:rtl/>
        </w:rPr>
      </w:pPr>
      <w:bookmarkStart w:id="1756" w:name="_Toc414888455"/>
      <w:bookmarkStart w:id="1757" w:name="_Toc451176642"/>
      <w:bookmarkStart w:id="1758" w:name="_Toc451180539"/>
      <w:r w:rsidRPr="008F60C0">
        <w:rPr>
          <w:b w:val="0"/>
          <w:bCs w:val="0"/>
          <w:rtl/>
        </w:rPr>
        <w:t>2.2.7</w:t>
      </w:r>
      <w:r w:rsidR="00FF0658">
        <w:rPr>
          <w:rFonts w:hint="cs"/>
          <w:b w:val="0"/>
          <w:bCs w:val="0"/>
          <w:rtl/>
        </w:rPr>
        <w:t>.</w:t>
      </w:r>
      <w:r w:rsidRPr="008F60C0">
        <w:rPr>
          <w:b w:val="0"/>
          <w:bCs w:val="0"/>
          <w:rtl/>
        </w:rPr>
        <w:tab/>
        <w:t>يشتمل التقييم حسب النماذج أي عملية تقييم يستخدم فيها البنك أسلوب القياس و/أو التقريب أو الاحتساب باستخدام المدخلات الرئيسية للسوق.</w:t>
      </w:r>
      <w:bookmarkEnd w:id="1756"/>
      <w:bookmarkEnd w:id="1757"/>
      <w:bookmarkEnd w:id="1758"/>
    </w:p>
    <w:p w:rsidR="00B259A6" w:rsidRPr="008F60C0" w:rsidRDefault="00B259A6" w:rsidP="00580899">
      <w:pPr>
        <w:spacing w:after="0"/>
        <w:ind w:left="2126" w:hanging="851"/>
        <w:rPr>
          <w:b w:val="0"/>
          <w:bCs w:val="0"/>
          <w:rtl/>
        </w:rPr>
      </w:pPr>
      <w:bookmarkStart w:id="1759" w:name="_Toc414888456"/>
      <w:bookmarkStart w:id="1760" w:name="_Toc451176643"/>
      <w:bookmarkStart w:id="1761" w:name="_Toc451180540"/>
      <w:r w:rsidRPr="008F60C0">
        <w:rPr>
          <w:b w:val="0"/>
          <w:bCs w:val="0"/>
          <w:rtl/>
        </w:rPr>
        <w:t>3.2.7</w:t>
      </w:r>
      <w:r w:rsidR="00FF0658">
        <w:rPr>
          <w:rFonts w:hint="cs"/>
          <w:b w:val="0"/>
          <w:bCs w:val="0"/>
          <w:rtl/>
        </w:rPr>
        <w:t>.</w:t>
      </w:r>
      <w:r w:rsidRPr="008F60C0">
        <w:rPr>
          <w:b w:val="0"/>
          <w:bCs w:val="0"/>
          <w:rtl/>
        </w:rPr>
        <w:tab/>
        <w:t>وفي حال استخدام هذا الأسلوب سيتم التأكد مما يلي:</w:t>
      </w:r>
      <w:bookmarkEnd w:id="1759"/>
      <w:bookmarkEnd w:id="1760"/>
      <w:bookmarkEnd w:id="1761"/>
      <w:r w:rsidRPr="008F60C0">
        <w:rPr>
          <w:b w:val="0"/>
          <w:bCs w:val="0"/>
          <w:rtl/>
        </w:rPr>
        <w:t xml:space="preserve"> </w:t>
      </w:r>
    </w:p>
    <w:p w:rsidR="00B259A6" w:rsidRPr="00FF0658" w:rsidRDefault="00B259A6" w:rsidP="00BC3653">
      <w:pPr>
        <w:pStyle w:val="ListParagraph"/>
        <w:numPr>
          <w:ilvl w:val="0"/>
          <w:numId w:val="29"/>
        </w:numPr>
        <w:ind w:left="2551" w:hanging="425"/>
        <w:rPr>
          <w:b w:val="0"/>
          <w:bCs w:val="0"/>
          <w:rtl/>
        </w:rPr>
      </w:pPr>
      <w:bookmarkStart w:id="1762" w:name="_Toc414888457"/>
      <w:bookmarkStart w:id="1763" w:name="_Toc451176644"/>
      <w:bookmarkStart w:id="1764" w:name="_Toc451180541"/>
      <w:r w:rsidRPr="00FF0658">
        <w:rPr>
          <w:b w:val="0"/>
          <w:bCs w:val="0"/>
          <w:rtl/>
        </w:rPr>
        <w:t>وعي الإدارة العليا لعناصر محفظة المتاجرة التي تخضع للتقييم حسب النماذج، ومدى مادية ومصداقية هذا الأسلوب، وأن يكون واضحاً لديها بأن هذه الاسلوب ينطوي على درجة أعلى من عدم التيقن فيما يتعلق بمخاطر وأداء البنك وتضمين ذلك في كافة التقارير.</w:t>
      </w:r>
      <w:bookmarkEnd w:id="1762"/>
      <w:bookmarkEnd w:id="1763"/>
      <w:bookmarkEnd w:id="1764"/>
      <w:r w:rsidRPr="00FF0658">
        <w:rPr>
          <w:b w:val="0"/>
          <w:bCs w:val="0"/>
          <w:rtl/>
        </w:rPr>
        <w:t xml:space="preserve">  </w:t>
      </w:r>
    </w:p>
    <w:p w:rsidR="00B259A6" w:rsidRPr="00FF0658" w:rsidRDefault="00B259A6" w:rsidP="00BC3653">
      <w:pPr>
        <w:pStyle w:val="ListParagraph"/>
        <w:numPr>
          <w:ilvl w:val="0"/>
          <w:numId w:val="29"/>
        </w:numPr>
        <w:ind w:left="2551" w:hanging="425"/>
        <w:rPr>
          <w:b w:val="0"/>
          <w:bCs w:val="0"/>
          <w:rtl/>
        </w:rPr>
      </w:pPr>
      <w:bookmarkStart w:id="1765" w:name="_Toc414888458"/>
      <w:bookmarkStart w:id="1766" w:name="_Toc451176645"/>
      <w:bookmarkStart w:id="1767" w:name="_Toc451180542"/>
      <w:r w:rsidRPr="00FF0658">
        <w:rPr>
          <w:b w:val="0"/>
          <w:bCs w:val="0"/>
          <w:rtl/>
        </w:rPr>
        <w:t>اعتماد مدخلات هذه النماذج قدر المستطاع على أسعار السوق، ومراجعة مدى ملاءمة هذه المدخلات للمركز الذي يتم تقييمه بصورة دورية لا تزيد عن شهر.</w:t>
      </w:r>
      <w:bookmarkEnd w:id="1765"/>
      <w:bookmarkEnd w:id="1766"/>
      <w:bookmarkEnd w:id="1767"/>
      <w:r w:rsidRPr="00FF0658">
        <w:rPr>
          <w:b w:val="0"/>
          <w:bCs w:val="0"/>
          <w:rtl/>
        </w:rPr>
        <w:t xml:space="preserve"> </w:t>
      </w:r>
    </w:p>
    <w:p w:rsidR="00B259A6" w:rsidRPr="00FF0658" w:rsidRDefault="00B259A6" w:rsidP="00BC3653">
      <w:pPr>
        <w:pStyle w:val="ListParagraph"/>
        <w:numPr>
          <w:ilvl w:val="0"/>
          <w:numId w:val="29"/>
        </w:numPr>
        <w:ind w:left="2551" w:hanging="425"/>
        <w:rPr>
          <w:b w:val="0"/>
          <w:bCs w:val="0"/>
          <w:rtl/>
        </w:rPr>
      </w:pPr>
      <w:bookmarkStart w:id="1768" w:name="_Toc414888459"/>
      <w:bookmarkStart w:id="1769" w:name="_Toc451176646"/>
      <w:bookmarkStart w:id="1770" w:name="_Toc451180543"/>
      <w:r w:rsidRPr="00FF0658">
        <w:rPr>
          <w:b w:val="0"/>
          <w:bCs w:val="0"/>
          <w:rtl/>
        </w:rPr>
        <w:t>استخدام نماذج التقييم الجاهزة والمقبولة عموماً في حال وجودها وحسب المنتج موضع التقييم.</w:t>
      </w:r>
      <w:bookmarkEnd w:id="1768"/>
      <w:bookmarkEnd w:id="1769"/>
      <w:bookmarkEnd w:id="1770"/>
    </w:p>
    <w:p w:rsidR="00B259A6" w:rsidRPr="00FF0658" w:rsidRDefault="00B259A6" w:rsidP="00BC3653">
      <w:pPr>
        <w:pStyle w:val="ListParagraph"/>
        <w:numPr>
          <w:ilvl w:val="0"/>
          <w:numId w:val="29"/>
        </w:numPr>
        <w:ind w:left="2551" w:hanging="425"/>
        <w:rPr>
          <w:b w:val="0"/>
          <w:bCs w:val="0"/>
          <w:rtl/>
        </w:rPr>
      </w:pPr>
      <w:bookmarkStart w:id="1771" w:name="_Toc414888460"/>
      <w:bookmarkStart w:id="1772" w:name="_Toc451176647"/>
      <w:bookmarkStart w:id="1773" w:name="_Toc451180544"/>
      <w:r w:rsidRPr="00FF0658">
        <w:rPr>
          <w:b w:val="0"/>
          <w:bCs w:val="0"/>
          <w:rtl/>
        </w:rPr>
        <w:t xml:space="preserve">في حال إعداد النموذج من قبل البنك يجب أن يعتمد على فرضيات ملائمة ويجب تقييمها وفحصها من قبل جهة مؤهلة ومستقلة عن المكتب الأمامي </w:t>
      </w:r>
      <w:r w:rsidRPr="00FF0658">
        <w:rPr>
          <w:b w:val="0"/>
          <w:bCs w:val="0"/>
        </w:rPr>
        <w:t>Front Office)</w:t>
      </w:r>
      <w:r w:rsidRPr="00FF0658">
        <w:rPr>
          <w:b w:val="0"/>
          <w:bCs w:val="0"/>
          <w:rtl/>
        </w:rPr>
        <w:t>) للتأكد من صحة النماذج الرياضية والفرضيات والبرامج الآلية المستخدمة.</w:t>
      </w:r>
      <w:bookmarkEnd w:id="1771"/>
      <w:bookmarkEnd w:id="1772"/>
      <w:bookmarkEnd w:id="1773"/>
    </w:p>
    <w:p w:rsidR="00B259A6" w:rsidRPr="00FF0658" w:rsidRDefault="00B259A6" w:rsidP="00BC3653">
      <w:pPr>
        <w:pStyle w:val="ListParagraph"/>
        <w:numPr>
          <w:ilvl w:val="0"/>
          <w:numId w:val="29"/>
        </w:numPr>
        <w:ind w:left="2551" w:hanging="425"/>
        <w:rPr>
          <w:b w:val="0"/>
          <w:bCs w:val="0"/>
          <w:rtl/>
        </w:rPr>
      </w:pPr>
      <w:bookmarkStart w:id="1774" w:name="_Toc414888461"/>
      <w:bookmarkStart w:id="1775" w:name="_Toc451176648"/>
      <w:bookmarkStart w:id="1776" w:name="_Toc451180545"/>
      <w:r w:rsidRPr="00FF0658">
        <w:rPr>
          <w:b w:val="0"/>
          <w:bCs w:val="0"/>
          <w:rtl/>
        </w:rPr>
        <w:t>توفير إجراءات تضمن ضبط أي تغيير على النموذج والاحتفاظ بنسخة أصلية منه لدى جهة مستقلة واستخدامه بشكل دوري (بحد أقصى شهرياً) للتأكد من صحة عملية التقييم.</w:t>
      </w:r>
      <w:bookmarkEnd w:id="1774"/>
      <w:bookmarkEnd w:id="1775"/>
      <w:bookmarkEnd w:id="1776"/>
    </w:p>
    <w:p w:rsidR="00B259A6" w:rsidRPr="00FF0658" w:rsidRDefault="00B259A6" w:rsidP="00BC3653">
      <w:pPr>
        <w:pStyle w:val="ListParagraph"/>
        <w:numPr>
          <w:ilvl w:val="0"/>
          <w:numId w:val="29"/>
        </w:numPr>
        <w:ind w:left="2551" w:hanging="425"/>
        <w:rPr>
          <w:b w:val="0"/>
          <w:bCs w:val="0"/>
          <w:rtl/>
        </w:rPr>
      </w:pPr>
      <w:bookmarkStart w:id="1777" w:name="_Toc414888462"/>
      <w:bookmarkStart w:id="1778" w:name="_Toc451176649"/>
      <w:bookmarkStart w:id="1779" w:name="_Toc451180546"/>
      <w:r w:rsidRPr="00FF0658">
        <w:rPr>
          <w:b w:val="0"/>
          <w:bCs w:val="0"/>
          <w:rtl/>
        </w:rPr>
        <w:t>أن تكون وحدة إدارة المخاطر في البنك على دراية تامة بنقاط الضعف في النموذج المستخدم, وآلية عكس تلك النقاط على مخرجات التقييم بالطريقة المثلى.</w:t>
      </w:r>
      <w:bookmarkEnd w:id="1777"/>
      <w:bookmarkEnd w:id="1778"/>
      <w:bookmarkEnd w:id="1779"/>
    </w:p>
    <w:p w:rsidR="00B259A6" w:rsidRPr="00FF0658" w:rsidRDefault="00B259A6" w:rsidP="00BC3653">
      <w:pPr>
        <w:pStyle w:val="ListParagraph"/>
        <w:numPr>
          <w:ilvl w:val="0"/>
          <w:numId w:val="29"/>
        </w:numPr>
        <w:ind w:left="2551" w:hanging="425"/>
        <w:rPr>
          <w:b w:val="0"/>
          <w:bCs w:val="0"/>
          <w:rtl/>
        </w:rPr>
      </w:pPr>
      <w:bookmarkStart w:id="1780" w:name="_Toc414888463"/>
      <w:bookmarkStart w:id="1781" w:name="_Toc451176650"/>
      <w:bookmarkStart w:id="1782" w:name="_Toc451180547"/>
      <w:r w:rsidRPr="00FF0658">
        <w:rPr>
          <w:b w:val="0"/>
          <w:bCs w:val="0"/>
          <w:rtl/>
        </w:rPr>
        <w:lastRenderedPageBreak/>
        <w:t>خضوع النموذج لمراجعة دورية لتحديد دقة أدائه، مثال ذلك: تقييم استمرارية كفاية الفرضيات وتحليل الأرباح والخسائر إزاء عناصر المخاطرة ومقارنة النتائج الفعلية مع المخرجات المتوقعة من النموذج.</w:t>
      </w:r>
      <w:bookmarkEnd w:id="1780"/>
      <w:bookmarkEnd w:id="1781"/>
      <w:bookmarkEnd w:id="1782"/>
    </w:p>
    <w:p w:rsidR="00B259A6" w:rsidRPr="00FF0658" w:rsidRDefault="00B259A6" w:rsidP="00BC3653">
      <w:pPr>
        <w:pStyle w:val="ListParagraph"/>
        <w:numPr>
          <w:ilvl w:val="0"/>
          <w:numId w:val="29"/>
        </w:numPr>
        <w:ind w:left="2551" w:hanging="425"/>
        <w:rPr>
          <w:b w:val="0"/>
          <w:bCs w:val="0"/>
          <w:rtl/>
        </w:rPr>
      </w:pPr>
      <w:bookmarkStart w:id="1783" w:name="_Toc414888464"/>
      <w:bookmarkStart w:id="1784" w:name="_Toc451176651"/>
      <w:bookmarkStart w:id="1785" w:name="_Toc451180548"/>
      <w:r w:rsidRPr="00FF0658">
        <w:rPr>
          <w:b w:val="0"/>
          <w:bCs w:val="0"/>
          <w:rtl/>
        </w:rPr>
        <w:t>تعديل القيمة النهائية للتقييم بحيث تعكس حقيقة عدم التأكد من دقة التقييم باستخدام النموذج.</w:t>
      </w:r>
      <w:bookmarkEnd w:id="1783"/>
      <w:bookmarkEnd w:id="1784"/>
      <w:bookmarkEnd w:id="1785"/>
    </w:p>
    <w:p w:rsidR="00B259A6" w:rsidRPr="00C92C63" w:rsidRDefault="00AA1657" w:rsidP="00BC3653">
      <w:pPr>
        <w:spacing w:after="0" w:line="276" w:lineRule="auto"/>
        <w:ind w:left="708" w:hanging="425"/>
        <w:rPr>
          <w:rtl/>
        </w:rPr>
      </w:pPr>
      <w:bookmarkStart w:id="1786" w:name="_Toc451176652"/>
      <w:bookmarkStart w:id="1787" w:name="_Toc451180549"/>
      <w:r w:rsidRPr="00C92C63">
        <w:rPr>
          <w:rtl/>
        </w:rPr>
        <w:t>8.</w:t>
      </w:r>
      <w:r w:rsidR="00C75B5F">
        <w:rPr>
          <w:rFonts w:hint="cs"/>
          <w:rtl/>
        </w:rPr>
        <w:t xml:space="preserve"> </w:t>
      </w:r>
      <w:r w:rsidR="00B259A6" w:rsidRPr="00C92C63">
        <w:rPr>
          <w:rtl/>
        </w:rPr>
        <w:t>التحقق المستقل من الأسعار</w:t>
      </w:r>
      <w:bookmarkEnd w:id="1786"/>
      <w:bookmarkEnd w:id="1787"/>
      <w:r w:rsidR="00FF0658">
        <w:rPr>
          <w:rFonts w:hint="cs"/>
          <w:rtl/>
        </w:rPr>
        <w:t>:</w:t>
      </w:r>
    </w:p>
    <w:p w:rsidR="00B259A6" w:rsidRPr="008F60C0" w:rsidRDefault="00B259A6" w:rsidP="005A5C26">
      <w:pPr>
        <w:ind w:left="1275" w:hanging="709"/>
        <w:rPr>
          <w:b w:val="0"/>
          <w:bCs w:val="0"/>
          <w:rtl/>
        </w:rPr>
      </w:pPr>
      <w:bookmarkStart w:id="1788" w:name="_Toc414888466"/>
      <w:bookmarkStart w:id="1789" w:name="_Toc451176653"/>
      <w:bookmarkStart w:id="1790" w:name="_Toc451180550"/>
      <w:r w:rsidRPr="008F60C0">
        <w:rPr>
          <w:b w:val="0"/>
          <w:bCs w:val="0"/>
          <w:rtl/>
        </w:rPr>
        <w:t>1.8</w:t>
      </w:r>
      <w:r w:rsidR="00FF0658">
        <w:rPr>
          <w:rFonts w:hint="cs"/>
          <w:b w:val="0"/>
          <w:bCs w:val="0"/>
          <w:rtl/>
        </w:rPr>
        <w:t>.</w:t>
      </w:r>
      <w:r w:rsidRPr="008F60C0">
        <w:rPr>
          <w:b w:val="0"/>
          <w:bCs w:val="0"/>
          <w:rtl/>
        </w:rPr>
        <w:tab/>
        <w:t>إن عملية التحقق من الأسعار هي عملية منفصلة عن التقييم اليومي وفق أسعار السوق فهي عملية التأكد من دقة أسعار السوق أو مدخلات النموذج , ويجب أن تتم هذه العملية من قبل طرف مستقل عن غرفة التداول وبصورة دورية (على الأقل شهرياً), وفي بعض الأحيان يمكن أن تكون دورية هذه العملية اقل من ذلك بالاعتماد على طبيعة نشاط السوق.</w:t>
      </w:r>
      <w:bookmarkEnd w:id="1788"/>
      <w:bookmarkEnd w:id="1789"/>
      <w:bookmarkEnd w:id="1790"/>
    </w:p>
    <w:p w:rsidR="00B259A6" w:rsidRPr="008F60C0" w:rsidRDefault="00B259A6" w:rsidP="005A5C26">
      <w:pPr>
        <w:ind w:left="1275" w:hanging="709"/>
        <w:rPr>
          <w:b w:val="0"/>
          <w:bCs w:val="0"/>
        </w:rPr>
      </w:pPr>
      <w:bookmarkStart w:id="1791" w:name="_Toc414888467"/>
      <w:bookmarkStart w:id="1792" w:name="_Toc451176654"/>
      <w:bookmarkStart w:id="1793" w:name="_Toc451180551"/>
      <w:r w:rsidRPr="008F60C0">
        <w:rPr>
          <w:b w:val="0"/>
          <w:bCs w:val="0"/>
          <w:rtl/>
        </w:rPr>
        <w:t>2.8</w:t>
      </w:r>
      <w:r w:rsidR="00FF0658">
        <w:rPr>
          <w:rFonts w:hint="cs"/>
          <w:b w:val="0"/>
          <w:bCs w:val="0"/>
          <w:rtl/>
        </w:rPr>
        <w:t>.</w:t>
      </w:r>
      <w:r w:rsidRPr="008F60C0">
        <w:rPr>
          <w:b w:val="0"/>
          <w:bCs w:val="0"/>
          <w:rtl/>
        </w:rPr>
        <w:tab/>
        <w:t>في الحالات التي تكون فيها مصادر التسعير غير موضوعية بصورة كبيرة (على سبيل المثال أن يكون السعر متوفر من خلال وسيط واحد فقط) يفضل استخدام إجراءات احترازية (مثل تعديلات التقييم).</w:t>
      </w:r>
      <w:bookmarkEnd w:id="1791"/>
      <w:bookmarkEnd w:id="1792"/>
      <w:bookmarkEnd w:id="1793"/>
    </w:p>
    <w:p w:rsidR="00285F98" w:rsidRPr="008F60C0" w:rsidRDefault="00B259A6" w:rsidP="005A5C26">
      <w:pPr>
        <w:ind w:left="1275" w:hanging="709"/>
        <w:rPr>
          <w:b w:val="0"/>
          <w:bCs w:val="0"/>
          <w:rtl/>
        </w:rPr>
      </w:pPr>
      <w:bookmarkStart w:id="1794" w:name="_Toc414888468"/>
      <w:bookmarkStart w:id="1795" w:name="_Toc451176655"/>
      <w:bookmarkStart w:id="1796" w:name="_Toc451180552"/>
      <w:r w:rsidRPr="008F60C0">
        <w:rPr>
          <w:b w:val="0"/>
          <w:bCs w:val="0"/>
          <w:rtl/>
        </w:rPr>
        <w:t>3.8</w:t>
      </w:r>
      <w:r w:rsidR="00FF0658">
        <w:rPr>
          <w:rFonts w:hint="cs"/>
          <w:b w:val="0"/>
          <w:bCs w:val="0"/>
          <w:rtl/>
        </w:rPr>
        <w:t>.</w:t>
      </w:r>
      <w:r w:rsidRPr="008F60C0">
        <w:rPr>
          <w:b w:val="0"/>
          <w:bCs w:val="0"/>
          <w:rtl/>
        </w:rPr>
        <w:tab/>
        <w:t>يجب على البنك مراعاة إجراء تعديلات و/أو بنــاء احتياطيــات التقييــــــم</w:t>
      </w:r>
      <w:r w:rsidRPr="008F60C0">
        <w:rPr>
          <w:b w:val="0"/>
          <w:bCs w:val="0"/>
        </w:rPr>
        <w:t xml:space="preserve"> (Valuation Adjustments  or Reserves)</w:t>
      </w:r>
      <w:r w:rsidRPr="008F60C0">
        <w:rPr>
          <w:b w:val="0"/>
          <w:bCs w:val="0"/>
          <w:rtl/>
        </w:rPr>
        <w:t xml:space="preserve"> </w:t>
      </w:r>
      <w:r w:rsidRPr="008F60C0">
        <w:rPr>
          <w:b w:val="0"/>
          <w:bCs w:val="0"/>
        </w:rPr>
        <w:t xml:space="preserve"> </w:t>
      </w:r>
      <w:r w:rsidR="00126B60" w:rsidRPr="008F60C0">
        <w:rPr>
          <w:b w:val="0"/>
          <w:bCs w:val="0"/>
          <w:rtl/>
        </w:rPr>
        <w:t>و</w:t>
      </w:r>
      <w:r w:rsidRPr="008F60C0">
        <w:rPr>
          <w:b w:val="0"/>
          <w:bCs w:val="0"/>
          <w:rtl/>
        </w:rPr>
        <w:t>الاحتفاظ بها. وعلى البنوك التي تستخدم تقييم طرف ثالث أو تستخدم طريقة التقييم باستخدام نموذج تسعير</w:t>
      </w:r>
      <w:r w:rsidR="00A804B1">
        <w:rPr>
          <w:b w:val="0"/>
          <w:bCs w:val="0"/>
        </w:rPr>
        <w:t>Marked</w:t>
      </w:r>
      <w:r w:rsidRPr="008F60C0">
        <w:rPr>
          <w:b w:val="0"/>
          <w:bCs w:val="0"/>
        </w:rPr>
        <w:t xml:space="preserve"> to Model)</w:t>
      </w:r>
      <w:r w:rsidRPr="008F60C0">
        <w:rPr>
          <w:b w:val="0"/>
          <w:bCs w:val="0"/>
          <w:rtl/>
        </w:rPr>
        <w:t>) أن تأخذ بعين الاعتبار فيما إذا كان من الضروري إجراء تعديلات للتقييم.</w:t>
      </w:r>
      <w:bookmarkEnd w:id="1794"/>
      <w:bookmarkEnd w:id="1795"/>
      <w:bookmarkEnd w:id="1796"/>
    </w:p>
    <w:p w:rsidR="00B259A6" w:rsidRPr="008F60C0" w:rsidRDefault="00B259A6" w:rsidP="005A5C26">
      <w:pPr>
        <w:ind w:left="1275" w:hanging="709"/>
        <w:rPr>
          <w:b w:val="0"/>
          <w:bCs w:val="0"/>
        </w:rPr>
      </w:pPr>
      <w:bookmarkStart w:id="1797" w:name="_Toc414888469"/>
      <w:bookmarkStart w:id="1798" w:name="_Toc451176656"/>
      <w:bookmarkStart w:id="1799" w:name="_Toc451180553"/>
      <w:r w:rsidRPr="008F60C0">
        <w:rPr>
          <w:b w:val="0"/>
          <w:bCs w:val="0"/>
          <w:rtl/>
        </w:rPr>
        <w:t>4.8</w:t>
      </w:r>
      <w:r w:rsidR="00FF0658">
        <w:rPr>
          <w:rFonts w:hint="cs"/>
          <w:b w:val="0"/>
          <w:bCs w:val="0"/>
          <w:rtl/>
        </w:rPr>
        <w:t>.</w:t>
      </w:r>
      <w:r w:rsidRPr="008F60C0">
        <w:rPr>
          <w:b w:val="0"/>
          <w:bCs w:val="0"/>
          <w:rtl/>
        </w:rPr>
        <w:tab/>
        <w:t>يجب على البنك مراعاة إجراء تعديلات و/أو بناء احتياطيات التقييم التالية أينما تطلب الأمر ذلك:</w:t>
      </w:r>
      <w:bookmarkEnd w:id="1797"/>
      <w:bookmarkEnd w:id="1798"/>
      <w:bookmarkEnd w:id="1799"/>
    </w:p>
    <w:p w:rsidR="00B259A6" w:rsidRPr="008F60C0" w:rsidRDefault="00B259A6" w:rsidP="00580899">
      <w:pPr>
        <w:spacing w:after="0"/>
        <w:ind w:left="2126" w:hanging="851"/>
        <w:rPr>
          <w:b w:val="0"/>
          <w:bCs w:val="0"/>
          <w:rtl/>
        </w:rPr>
      </w:pPr>
      <w:bookmarkStart w:id="1800" w:name="_Toc414888470"/>
      <w:bookmarkStart w:id="1801" w:name="_Toc451176657"/>
      <w:bookmarkStart w:id="1802" w:name="_Toc451180554"/>
      <w:r w:rsidRPr="008F60C0">
        <w:rPr>
          <w:b w:val="0"/>
          <w:bCs w:val="0"/>
          <w:rtl/>
        </w:rPr>
        <w:t>1.4.8</w:t>
      </w:r>
      <w:r w:rsidR="008677AB">
        <w:rPr>
          <w:rFonts w:hint="cs"/>
          <w:b w:val="0"/>
          <w:bCs w:val="0"/>
          <w:rtl/>
        </w:rPr>
        <w:t>.</w:t>
      </w:r>
      <w:r w:rsidRPr="008F60C0">
        <w:rPr>
          <w:b w:val="0"/>
          <w:bCs w:val="0"/>
          <w:rtl/>
        </w:rPr>
        <w:tab/>
        <w:t>الهوامش الائتمانية غير المكتسبة</w:t>
      </w:r>
      <w:r w:rsidR="00E4019C" w:rsidRPr="008F60C0">
        <w:rPr>
          <w:b w:val="0"/>
          <w:bCs w:val="0"/>
          <w:rtl/>
        </w:rPr>
        <w:t xml:space="preserve"> (</w:t>
      </w:r>
      <w:r w:rsidR="00E4019C" w:rsidRPr="008F60C0">
        <w:rPr>
          <w:b w:val="0"/>
          <w:bCs w:val="0"/>
        </w:rPr>
        <w:t>Unearned Credit Spreads</w:t>
      </w:r>
      <w:r w:rsidR="00E4019C" w:rsidRPr="008F60C0">
        <w:rPr>
          <w:b w:val="0"/>
          <w:bCs w:val="0"/>
          <w:rtl/>
        </w:rPr>
        <w:t>)</w:t>
      </w:r>
      <w:bookmarkEnd w:id="1800"/>
      <w:r w:rsidR="00E4019C" w:rsidRPr="008F60C0">
        <w:rPr>
          <w:b w:val="0"/>
          <w:bCs w:val="0"/>
          <w:rtl/>
        </w:rPr>
        <w:t>.</w:t>
      </w:r>
      <w:bookmarkEnd w:id="1801"/>
      <w:bookmarkEnd w:id="1802"/>
    </w:p>
    <w:p w:rsidR="00B259A6" w:rsidRPr="008F60C0" w:rsidRDefault="00B259A6" w:rsidP="00580899">
      <w:pPr>
        <w:spacing w:after="0"/>
        <w:ind w:left="2126" w:hanging="851"/>
        <w:rPr>
          <w:b w:val="0"/>
          <w:bCs w:val="0"/>
        </w:rPr>
      </w:pPr>
      <w:bookmarkStart w:id="1803" w:name="_Toc414888471"/>
      <w:bookmarkStart w:id="1804" w:name="_Toc451176658"/>
      <w:bookmarkStart w:id="1805" w:name="_Toc451180555"/>
      <w:r w:rsidRPr="008F60C0">
        <w:rPr>
          <w:b w:val="0"/>
          <w:bCs w:val="0"/>
          <w:rtl/>
        </w:rPr>
        <w:t>2.4.8</w:t>
      </w:r>
      <w:r w:rsidR="008677AB">
        <w:rPr>
          <w:rFonts w:hint="cs"/>
          <w:b w:val="0"/>
          <w:bCs w:val="0"/>
          <w:rtl/>
        </w:rPr>
        <w:t>.</w:t>
      </w:r>
      <w:r w:rsidRPr="008F60C0">
        <w:rPr>
          <w:b w:val="0"/>
          <w:bCs w:val="0"/>
          <w:rtl/>
        </w:rPr>
        <w:tab/>
        <w:t>تكاليف إغلاق المركز.</w:t>
      </w:r>
      <w:bookmarkEnd w:id="1803"/>
      <w:bookmarkEnd w:id="1804"/>
      <w:bookmarkEnd w:id="1805"/>
    </w:p>
    <w:p w:rsidR="00B259A6" w:rsidRPr="008F60C0" w:rsidRDefault="00B259A6" w:rsidP="00580899">
      <w:pPr>
        <w:spacing w:after="0"/>
        <w:ind w:left="2126" w:hanging="851"/>
        <w:rPr>
          <w:b w:val="0"/>
          <w:bCs w:val="0"/>
          <w:rtl/>
        </w:rPr>
      </w:pPr>
      <w:bookmarkStart w:id="1806" w:name="_Toc414888472"/>
      <w:bookmarkStart w:id="1807" w:name="_Toc451176659"/>
      <w:bookmarkStart w:id="1808" w:name="_Toc451180556"/>
      <w:r w:rsidRPr="008F60C0">
        <w:rPr>
          <w:b w:val="0"/>
          <w:bCs w:val="0"/>
          <w:rtl/>
        </w:rPr>
        <w:t>3.4.8</w:t>
      </w:r>
      <w:r w:rsidR="008677AB">
        <w:rPr>
          <w:rFonts w:hint="cs"/>
          <w:b w:val="0"/>
          <w:bCs w:val="0"/>
          <w:rtl/>
        </w:rPr>
        <w:t>.</w:t>
      </w:r>
      <w:r w:rsidRPr="008F60C0">
        <w:rPr>
          <w:b w:val="0"/>
          <w:bCs w:val="0"/>
          <w:rtl/>
        </w:rPr>
        <w:tab/>
        <w:t>المخاطر التشغيلية.</w:t>
      </w:r>
      <w:bookmarkEnd w:id="1806"/>
      <w:bookmarkEnd w:id="1807"/>
      <w:bookmarkEnd w:id="1808"/>
    </w:p>
    <w:p w:rsidR="00B259A6" w:rsidRPr="008F60C0" w:rsidRDefault="00B259A6" w:rsidP="00580899">
      <w:pPr>
        <w:spacing w:after="0"/>
        <w:ind w:left="2126" w:hanging="851"/>
        <w:rPr>
          <w:b w:val="0"/>
          <w:bCs w:val="0"/>
          <w:rtl/>
        </w:rPr>
      </w:pPr>
      <w:bookmarkStart w:id="1809" w:name="_Toc414888473"/>
      <w:bookmarkStart w:id="1810" w:name="_Toc451176660"/>
      <w:bookmarkStart w:id="1811" w:name="_Toc451180557"/>
      <w:r w:rsidRPr="008F60C0">
        <w:rPr>
          <w:b w:val="0"/>
          <w:bCs w:val="0"/>
          <w:rtl/>
        </w:rPr>
        <w:t>4.4.8</w:t>
      </w:r>
      <w:r w:rsidR="008677AB">
        <w:rPr>
          <w:rFonts w:hint="cs"/>
          <w:b w:val="0"/>
          <w:bCs w:val="0"/>
          <w:rtl/>
        </w:rPr>
        <w:t>.</w:t>
      </w:r>
      <w:r w:rsidRPr="008F60C0">
        <w:rPr>
          <w:b w:val="0"/>
          <w:bCs w:val="0"/>
          <w:rtl/>
        </w:rPr>
        <w:tab/>
        <w:t xml:space="preserve">التصفية المبكرة ( </w:t>
      </w:r>
      <w:r w:rsidRPr="008F60C0">
        <w:rPr>
          <w:b w:val="0"/>
          <w:bCs w:val="0"/>
        </w:rPr>
        <w:t>Early Termination</w:t>
      </w:r>
      <w:r w:rsidRPr="008F60C0">
        <w:rPr>
          <w:b w:val="0"/>
          <w:bCs w:val="0"/>
          <w:rtl/>
        </w:rPr>
        <w:t xml:space="preserve"> ).</w:t>
      </w:r>
      <w:bookmarkEnd w:id="1809"/>
      <w:bookmarkEnd w:id="1810"/>
      <w:bookmarkEnd w:id="1811"/>
    </w:p>
    <w:p w:rsidR="00B259A6" w:rsidRPr="008F60C0" w:rsidRDefault="00B259A6" w:rsidP="00580899">
      <w:pPr>
        <w:spacing w:after="0"/>
        <w:ind w:left="2126" w:hanging="851"/>
        <w:rPr>
          <w:b w:val="0"/>
          <w:bCs w:val="0"/>
        </w:rPr>
      </w:pPr>
      <w:bookmarkStart w:id="1812" w:name="_Toc414888474"/>
      <w:bookmarkStart w:id="1813" w:name="_Toc451176661"/>
      <w:bookmarkStart w:id="1814" w:name="_Toc451180558"/>
      <w:r w:rsidRPr="008F60C0">
        <w:rPr>
          <w:b w:val="0"/>
          <w:bCs w:val="0"/>
          <w:rtl/>
        </w:rPr>
        <w:t>5.4.8</w:t>
      </w:r>
      <w:r w:rsidR="008677AB">
        <w:rPr>
          <w:rFonts w:hint="cs"/>
          <w:b w:val="0"/>
          <w:bCs w:val="0"/>
          <w:rtl/>
        </w:rPr>
        <w:t>.</w:t>
      </w:r>
      <w:r w:rsidRPr="008F60C0">
        <w:rPr>
          <w:b w:val="0"/>
          <w:bCs w:val="0"/>
          <w:rtl/>
        </w:rPr>
        <w:tab/>
        <w:t>تكاليف الاستثمار والتمويل.</w:t>
      </w:r>
      <w:bookmarkEnd w:id="1812"/>
      <w:bookmarkEnd w:id="1813"/>
      <w:bookmarkEnd w:id="1814"/>
    </w:p>
    <w:p w:rsidR="00B259A6" w:rsidRPr="008F60C0" w:rsidRDefault="00B259A6" w:rsidP="00580899">
      <w:pPr>
        <w:spacing w:after="0"/>
        <w:ind w:left="2126" w:hanging="851"/>
        <w:rPr>
          <w:b w:val="0"/>
          <w:bCs w:val="0"/>
        </w:rPr>
      </w:pPr>
      <w:bookmarkStart w:id="1815" w:name="_Toc414888475"/>
      <w:bookmarkStart w:id="1816" w:name="_Toc451176662"/>
      <w:bookmarkStart w:id="1817" w:name="_Toc451180559"/>
      <w:r w:rsidRPr="008F60C0">
        <w:rPr>
          <w:b w:val="0"/>
          <w:bCs w:val="0"/>
          <w:rtl/>
        </w:rPr>
        <w:t>6.4.8</w:t>
      </w:r>
      <w:r w:rsidR="008677AB">
        <w:rPr>
          <w:rFonts w:hint="cs"/>
          <w:b w:val="0"/>
          <w:bCs w:val="0"/>
          <w:rtl/>
        </w:rPr>
        <w:t>.</w:t>
      </w:r>
      <w:r w:rsidRPr="008F60C0">
        <w:rPr>
          <w:b w:val="0"/>
          <w:bCs w:val="0"/>
          <w:rtl/>
        </w:rPr>
        <w:tab/>
        <w:t>التكاليف الإدارية المستقبلية.</w:t>
      </w:r>
      <w:bookmarkEnd w:id="1815"/>
      <w:bookmarkEnd w:id="1816"/>
      <w:bookmarkEnd w:id="1817"/>
    </w:p>
    <w:p w:rsidR="00B259A6" w:rsidRPr="008F60C0" w:rsidRDefault="00B259A6" w:rsidP="00580899">
      <w:pPr>
        <w:ind w:left="2126" w:hanging="851"/>
        <w:rPr>
          <w:b w:val="0"/>
          <w:bCs w:val="0"/>
          <w:rtl/>
        </w:rPr>
      </w:pPr>
      <w:bookmarkStart w:id="1818" w:name="_Toc414888476"/>
      <w:bookmarkStart w:id="1819" w:name="_Toc451176663"/>
      <w:bookmarkStart w:id="1820" w:name="_Toc451180560"/>
      <w:r w:rsidRPr="008F60C0">
        <w:rPr>
          <w:b w:val="0"/>
          <w:bCs w:val="0"/>
          <w:rtl/>
        </w:rPr>
        <w:t>7.4.8</w:t>
      </w:r>
      <w:r w:rsidR="008677AB">
        <w:rPr>
          <w:rFonts w:hint="cs"/>
          <w:b w:val="0"/>
          <w:bCs w:val="0"/>
          <w:rtl/>
        </w:rPr>
        <w:t>.</w:t>
      </w:r>
      <w:r w:rsidRPr="008F60C0">
        <w:rPr>
          <w:b w:val="0"/>
          <w:bCs w:val="0"/>
          <w:rtl/>
        </w:rPr>
        <w:tab/>
        <w:t>مخاطر النموذج.</w:t>
      </w:r>
      <w:bookmarkEnd w:id="1818"/>
      <w:bookmarkEnd w:id="1819"/>
      <w:bookmarkEnd w:id="1820"/>
    </w:p>
    <w:p w:rsidR="00B259A6" w:rsidRPr="008F60C0" w:rsidRDefault="00B259A6" w:rsidP="005A5C26">
      <w:pPr>
        <w:ind w:left="1275" w:hanging="709"/>
        <w:rPr>
          <w:b w:val="0"/>
          <w:bCs w:val="0"/>
        </w:rPr>
      </w:pPr>
      <w:bookmarkStart w:id="1821" w:name="_Toc414888477"/>
      <w:bookmarkStart w:id="1822" w:name="_Toc451176664"/>
      <w:bookmarkStart w:id="1823" w:name="_Toc451180561"/>
      <w:r w:rsidRPr="008F60C0">
        <w:rPr>
          <w:b w:val="0"/>
          <w:bCs w:val="0"/>
          <w:rtl/>
        </w:rPr>
        <w:t>5.8</w:t>
      </w:r>
      <w:r w:rsidR="008677AB">
        <w:rPr>
          <w:rFonts w:hint="cs"/>
          <w:b w:val="0"/>
          <w:bCs w:val="0"/>
          <w:rtl/>
          <w:lang w:bidi="ar-JO"/>
        </w:rPr>
        <w:t>.</w:t>
      </w:r>
      <w:r w:rsidRPr="008F60C0">
        <w:rPr>
          <w:b w:val="0"/>
          <w:bCs w:val="0"/>
          <w:rtl/>
        </w:rPr>
        <w:tab/>
        <w:t>يجب على البنك مراعاة إجراء تعديلات و/أو بناء احتياطيات تقييم للمراكز متدنية السيولة، ومراجعة ملاءمتها بشكل مستمر، ويجب الأخذ بعين الاعتبار جميع العوامل ذات العلاقة عند تحديد مدى ملاءمة هذه التعديلات/ الاحتياطيات للمراكز متدنية السيولة على أن تتضمن هذه العوامل على سبيل المثال لا الحصر الآتي:-</w:t>
      </w:r>
      <w:bookmarkEnd w:id="1821"/>
      <w:bookmarkEnd w:id="1822"/>
      <w:bookmarkEnd w:id="1823"/>
      <w:r w:rsidRPr="008F60C0">
        <w:rPr>
          <w:b w:val="0"/>
          <w:bCs w:val="0"/>
          <w:rtl/>
        </w:rPr>
        <w:t xml:space="preserve"> </w:t>
      </w:r>
    </w:p>
    <w:p w:rsidR="00B259A6" w:rsidRPr="008F60C0" w:rsidRDefault="00B259A6" w:rsidP="00580899">
      <w:pPr>
        <w:spacing w:after="0"/>
        <w:ind w:left="2126" w:hanging="851"/>
        <w:rPr>
          <w:b w:val="0"/>
          <w:bCs w:val="0"/>
          <w:rtl/>
        </w:rPr>
      </w:pPr>
      <w:bookmarkStart w:id="1824" w:name="_Toc414888478"/>
      <w:bookmarkStart w:id="1825" w:name="_Toc451176665"/>
      <w:bookmarkStart w:id="1826" w:name="_Toc451180562"/>
      <w:r w:rsidRPr="008F60C0">
        <w:rPr>
          <w:b w:val="0"/>
          <w:bCs w:val="0"/>
          <w:rtl/>
        </w:rPr>
        <w:lastRenderedPageBreak/>
        <w:t>1.5.8</w:t>
      </w:r>
      <w:r w:rsidR="008677AB">
        <w:rPr>
          <w:rFonts w:hint="cs"/>
          <w:b w:val="0"/>
          <w:bCs w:val="0"/>
          <w:rtl/>
        </w:rPr>
        <w:t>.</w:t>
      </w:r>
      <w:r w:rsidRPr="008F60C0">
        <w:rPr>
          <w:b w:val="0"/>
          <w:bCs w:val="0"/>
          <w:rtl/>
        </w:rPr>
        <w:tab/>
        <w:t>الوقت اللازم للتحوط لمخاطر المركز.</w:t>
      </w:r>
      <w:bookmarkEnd w:id="1824"/>
      <w:bookmarkEnd w:id="1825"/>
      <w:bookmarkEnd w:id="1826"/>
    </w:p>
    <w:p w:rsidR="00B259A6" w:rsidRPr="008F60C0" w:rsidRDefault="00B259A6" w:rsidP="00580899">
      <w:pPr>
        <w:spacing w:after="0"/>
        <w:ind w:left="2126" w:hanging="851"/>
        <w:rPr>
          <w:b w:val="0"/>
          <w:bCs w:val="0"/>
        </w:rPr>
      </w:pPr>
      <w:bookmarkStart w:id="1827" w:name="_Toc414888479"/>
      <w:bookmarkStart w:id="1828" w:name="_Toc451176666"/>
      <w:bookmarkStart w:id="1829" w:name="_Toc451180563"/>
      <w:r w:rsidRPr="008F60C0">
        <w:rPr>
          <w:b w:val="0"/>
          <w:bCs w:val="0"/>
          <w:rtl/>
        </w:rPr>
        <w:t>2.5.8</w:t>
      </w:r>
      <w:r w:rsidR="008677AB">
        <w:rPr>
          <w:rFonts w:hint="cs"/>
          <w:b w:val="0"/>
          <w:bCs w:val="0"/>
          <w:rtl/>
        </w:rPr>
        <w:t>.</w:t>
      </w:r>
      <w:r w:rsidRPr="008F60C0">
        <w:rPr>
          <w:b w:val="0"/>
          <w:bCs w:val="0"/>
          <w:rtl/>
        </w:rPr>
        <w:tab/>
        <w:t>معدل التذبذب لأسعار الشراء / البيع.</w:t>
      </w:r>
      <w:bookmarkEnd w:id="1827"/>
      <w:bookmarkEnd w:id="1828"/>
      <w:bookmarkEnd w:id="1829"/>
    </w:p>
    <w:p w:rsidR="00B259A6" w:rsidRPr="008F60C0" w:rsidRDefault="00B259A6" w:rsidP="00580899">
      <w:pPr>
        <w:spacing w:after="0"/>
        <w:ind w:left="2126" w:hanging="851"/>
        <w:rPr>
          <w:b w:val="0"/>
          <w:bCs w:val="0"/>
          <w:rtl/>
        </w:rPr>
      </w:pPr>
      <w:bookmarkStart w:id="1830" w:name="_Toc414888480"/>
      <w:bookmarkStart w:id="1831" w:name="_Toc451176667"/>
      <w:bookmarkStart w:id="1832" w:name="_Toc451180564"/>
      <w:r w:rsidRPr="008F60C0">
        <w:rPr>
          <w:b w:val="0"/>
          <w:bCs w:val="0"/>
          <w:rtl/>
        </w:rPr>
        <w:t>3.5.8</w:t>
      </w:r>
      <w:r w:rsidR="008677AB">
        <w:rPr>
          <w:rFonts w:hint="cs"/>
          <w:b w:val="0"/>
          <w:bCs w:val="0"/>
          <w:rtl/>
        </w:rPr>
        <w:t>.</w:t>
      </w:r>
      <w:r w:rsidRPr="008F60C0">
        <w:rPr>
          <w:b w:val="0"/>
          <w:bCs w:val="0"/>
          <w:rtl/>
        </w:rPr>
        <w:tab/>
        <w:t>مدى توفر أسعار سوق مستقلة.</w:t>
      </w:r>
      <w:bookmarkEnd w:id="1830"/>
      <w:bookmarkEnd w:id="1831"/>
      <w:bookmarkEnd w:id="1832"/>
    </w:p>
    <w:p w:rsidR="00B259A6" w:rsidRPr="008F60C0" w:rsidRDefault="00B259A6" w:rsidP="00580899">
      <w:pPr>
        <w:spacing w:after="0"/>
        <w:ind w:left="2126" w:hanging="851"/>
        <w:rPr>
          <w:b w:val="0"/>
          <w:bCs w:val="0"/>
          <w:rtl/>
        </w:rPr>
      </w:pPr>
      <w:bookmarkStart w:id="1833" w:name="_Toc414888481"/>
      <w:bookmarkStart w:id="1834" w:name="_Toc451176668"/>
      <w:bookmarkStart w:id="1835" w:name="_Toc451180565"/>
      <w:r w:rsidRPr="008F60C0">
        <w:rPr>
          <w:b w:val="0"/>
          <w:bCs w:val="0"/>
          <w:rtl/>
        </w:rPr>
        <w:t>4.5.8</w:t>
      </w:r>
      <w:r w:rsidR="008677AB">
        <w:rPr>
          <w:rFonts w:hint="cs"/>
          <w:b w:val="0"/>
          <w:bCs w:val="0"/>
          <w:rtl/>
        </w:rPr>
        <w:t>.</w:t>
      </w:r>
      <w:r w:rsidRPr="008F60C0">
        <w:rPr>
          <w:b w:val="0"/>
          <w:bCs w:val="0"/>
          <w:rtl/>
        </w:rPr>
        <w:tab/>
        <w:t>معدل تذبذب أحجام التداول.</w:t>
      </w:r>
      <w:bookmarkEnd w:id="1833"/>
      <w:bookmarkEnd w:id="1834"/>
      <w:bookmarkEnd w:id="1835"/>
    </w:p>
    <w:p w:rsidR="00B259A6" w:rsidRPr="008F60C0" w:rsidRDefault="00B259A6" w:rsidP="00580899">
      <w:pPr>
        <w:spacing w:after="0"/>
        <w:ind w:left="2126" w:hanging="851"/>
        <w:rPr>
          <w:b w:val="0"/>
          <w:bCs w:val="0"/>
          <w:rtl/>
        </w:rPr>
      </w:pPr>
      <w:bookmarkStart w:id="1836" w:name="_Toc414888482"/>
      <w:bookmarkStart w:id="1837" w:name="_Toc451176669"/>
      <w:bookmarkStart w:id="1838" w:name="_Toc451180566"/>
      <w:r w:rsidRPr="008F60C0">
        <w:rPr>
          <w:b w:val="0"/>
          <w:bCs w:val="0"/>
          <w:rtl/>
        </w:rPr>
        <w:t>5.5.8</w:t>
      </w:r>
      <w:r w:rsidR="008677AB">
        <w:rPr>
          <w:rFonts w:hint="cs"/>
          <w:b w:val="0"/>
          <w:bCs w:val="0"/>
          <w:rtl/>
        </w:rPr>
        <w:t>.</w:t>
      </w:r>
      <w:r w:rsidRPr="008F60C0">
        <w:rPr>
          <w:b w:val="0"/>
          <w:bCs w:val="0"/>
          <w:rtl/>
        </w:rPr>
        <w:tab/>
        <w:t>تركزات السوق.</w:t>
      </w:r>
      <w:bookmarkEnd w:id="1836"/>
      <w:bookmarkEnd w:id="1837"/>
      <w:bookmarkEnd w:id="1838"/>
    </w:p>
    <w:p w:rsidR="00B259A6" w:rsidRPr="008F60C0" w:rsidRDefault="00B259A6" w:rsidP="00580899">
      <w:pPr>
        <w:spacing w:after="0"/>
        <w:ind w:left="2126" w:hanging="851"/>
        <w:rPr>
          <w:b w:val="0"/>
          <w:bCs w:val="0"/>
          <w:rtl/>
        </w:rPr>
      </w:pPr>
      <w:bookmarkStart w:id="1839" w:name="_Toc414888483"/>
      <w:bookmarkStart w:id="1840" w:name="_Toc451176670"/>
      <w:bookmarkStart w:id="1841" w:name="_Toc451180567"/>
      <w:r w:rsidRPr="008F60C0">
        <w:rPr>
          <w:b w:val="0"/>
          <w:bCs w:val="0"/>
          <w:rtl/>
        </w:rPr>
        <w:t>6.5.8</w:t>
      </w:r>
      <w:r w:rsidR="008677AB">
        <w:rPr>
          <w:rFonts w:hint="cs"/>
          <w:b w:val="0"/>
          <w:bCs w:val="0"/>
          <w:rtl/>
        </w:rPr>
        <w:t>.</w:t>
      </w:r>
      <w:r w:rsidRPr="008F60C0">
        <w:rPr>
          <w:b w:val="0"/>
          <w:bCs w:val="0"/>
          <w:rtl/>
        </w:rPr>
        <w:tab/>
        <w:t>عمر المركز.</w:t>
      </w:r>
      <w:bookmarkEnd w:id="1839"/>
      <w:bookmarkEnd w:id="1840"/>
      <w:bookmarkEnd w:id="1841"/>
    </w:p>
    <w:p w:rsidR="00B259A6" w:rsidRPr="008F60C0" w:rsidRDefault="00B259A6" w:rsidP="00580899">
      <w:pPr>
        <w:spacing w:after="0"/>
        <w:ind w:left="2126" w:hanging="851"/>
        <w:rPr>
          <w:b w:val="0"/>
          <w:bCs w:val="0"/>
          <w:rtl/>
        </w:rPr>
      </w:pPr>
      <w:bookmarkStart w:id="1842" w:name="_Toc414888484"/>
      <w:bookmarkStart w:id="1843" w:name="_Toc451176671"/>
      <w:bookmarkStart w:id="1844" w:name="_Toc451180568"/>
      <w:r w:rsidRPr="008F60C0">
        <w:rPr>
          <w:b w:val="0"/>
          <w:bCs w:val="0"/>
          <w:rtl/>
        </w:rPr>
        <w:t>7.5.8</w:t>
      </w:r>
      <w:r w:rsidR="008677AB">
        <w:rPr>
          <w:rFonts w:hint="cs"/>
          <w:b w:val="0"/>
          <w:bCs w:val="0"/>
          <w:rtl/>
        </w:rPr>
        <w:t>.</w:t>
      </w:r>
      <w:r w:rsidRPr="008F60C0">
        <w:rPr>
          <w:b w:val="0"/>
          <w:bCs w:val="0"/>
          <w:rtl/>
        </w:rPr>
        <w:tab/>
        <w:t>مدى الاعتماد على نماذج التقييم.</w:t>
      </w:r>
      <w:bookmarkEnd w:id="1842"/>
      <w:bookmarkEnd w:id="1843"/>
      <w:bookmarkEnd w:id="1844"/>
    </w:p>
    <w:p w:rsidR="00B259A6" w:rsidRPr="008F60C0" w:rsidRDefault="00B259A6" w:rsidP="00580899">
      <w:pPr>
        <w:spacing w:after="0"/>
        <w:ind w:left="2126" w:hanging="851"/>
        <w:rPr>
          <w:b w:val="0"/>
          <w:bCs w:val="0"/>
          <w:rtl/>
        </w:rPr>
      </w:pPr>
      <w:bookmarkStart w:id="1845" w:name="_Toc414888485"/>
      <w:bookmarkStart w:id="1846" w:name="_Toc451176672"/>
      <w:bookmarkStart w:id="1847" w:name="_Toc451180569"/>
      <w:r w:rsidRPr="008F60C0">
        <w:rPr>
          <w:b w:val="0"/>
          <w:bCs w:val="0"/>
          <w:rtl/>
        </w:rPr>
        <w:t>8.5.8</w:t>
      </w:r>
      <w:r w:rsidR="008677AB">
        <w:rPr>
          <w:rFonts w:hint="cs"/>
          <w:b w:val="0"/>
          <w:bCs w:val="0"/>
          <w:rtl/>
        </w:rPr>
        <w:t>.</w:t>
      </w:r>
      <w:r w:rsidRPr="008F60C0">
        <w:rPr>
          <w:b w:val="0"/>
          <w:bCs w:val="0"/>
          <w:rtl/>
        </w:rPr>
        <w:tab/>
        <w:t>تأثير المخاطر الأخرى للنموذج.</w:t>
      </w:r>
      <w:bookmarkEnd w:id="1845"/>
      <w:bookmarkEnd w:id="1846"/>
      <w:bookmarkEnd w:id="1847"/>
    </w:p>
    <w:p w:rsidR="00B259A6" w:rsidRPr="00C92C63" w:rsidRDefault="0060323C" w:rsidP="00BC3653">
      <w:pPr>
        <w:spacing w:after="0" w:line="276" w:lineRule="auto"/>
        <w:ind w:left="708" w:hanging="425"/>
        <w:rPr>
          <w:rtl/>
        </w:rPr>
      </w:pPr>
      <w:bookmarkStart w:id="1848" w:name="_Toc451176673"/>
      <w:bookmarkStart w:id="1849" w:name="_Toc451180570"/>
      <w:r>
        <w:rPr>
          <w:rtl/>
        </w:rPr>
        <w:t>9.</w:t>
      </w:r>
      <w:r>
        <w:rPr>
          <w:rFonts w:hint="cs"/>
          <w:rtl/>
        </w:rPr>
        <w:t xml:space="preserve"> </w:t>
      </w:r>
      <w:r w:rsidR="00B259A6" w:rsidRPr="00C92C63">
        <w:rPr>
          <w:rtl/>
        </w:rPr>
        <w:t>المدخل المعياري (</w:t>
      </w:r>
      <w:r w:rsidR="00B259A6" w:rsidRPr="00C92C63">
        <w:t>Standardized Approach</w:t>
      </w:r>
      <w:r w:rsidR="00B259A6" w:rsidRPr="00C92C63">
        <w:rPr>
          <w:rtl/>
        </w:rPr>
        <w:t>) لقياس مخاطر السوق:-</w:t>
      </w:r>
      <w:bookmarkEnd w:id="1848"/>
      <w:bookmarkEnd w:id="1849"/>
      <w:r w:rsidR="00B259A6" w:rsidRPr="00C92C63">
        <w:rPr>
          <w:rtl/>
        </w:rPr>
        <w:t xml:space="preserve"> </w:t>
      </w:r>
    </w:p>
    <w:p w:rsidR="008677AB" w:rsidRPr="00BC3653" w:rsidRDefault="00B259A6" w:rsidP="00BC3653">
      <w:pPr>
        <w:ind w:left="566"/>
        <w:rPr>
          <w:b w:val="0"/>
          <w:bCs w:val="0"/>
          <w:rtl/>
        </w:rPr>
      </w:pPr>
      <w:bookmarkStart w:id="1850" w:name="_Toc414888487"/>
      <w:bookmarkStart w:id="1851" w:name="_Toc451176674"/>
      <w:bookmarkStart w:id="1852" w:name="_Toc451180571"/>
      <w:r w:rsidRPr="00BC3653">
        <w:rPr>
          <w:b w:val="0"/>
          <w:bCs w:val="0"/>
          <w:rtl/>
        </w:rPr>
        <w:t>في هذه الطريقة يتم استخدام نموذج جاهز معد من قبل لجنة بازل يتم فيه قياس مختلف مخاطر السوق وفيما يلي توضيح لقياس هذه المخاطر وفقاً لهذا المدخل :-</w:t>
      </w:r>
      <w:bookmarkEnd w:id="1850"/>
      <w:bookmarkEnd w:id="1851"/>
      <w:bookmarkEnd w:id="1852"/>
    </w:p>
    <w:p w:rsidR="00B259A6" w:rsidRPr="008F60C0" w:rsidRDefault="00B259A6" w:rsidP="00BC3653">
      <w:pPr>
        <w:spacing w:after="0"/>
        <w:ind w:left="1275" w:hanging="709"/>
        <w:rPr>
          <w:b w:val="0"/>
          <w:bCs w:val="0"/>
          <w:rtl/>
        </w:rPr>
      </w:pPr>
      <w:bookmarkStart w:id="1853" w:name="_Toc414888488"/>
      <w:bookmarkStart w:id="1854" w:name="_Toc451176675"/>
      <w:bookmarkStart w:id="1855" w:name="_Toc451180572"/>
      <w:r w:rsidRPr="008F60C0">
        <w:rPr>
          <w:b w:val="0"/>
          <w:bCs w:val="0"/>
          <w:rtl/>
        </w:rPr>
        <w:t>1.9</w:t>
      </w:r>
      <w:r w:rsidR="008677AB">
        <w:rPr>
          <w:rFonts w:hint="cs"/>
          <w:b w:val="0"/>
          <w:bCs w:val="0"/>
          <w:rtl/>
        </w:rPr>
        <w:t>.</w:t>
      </w:r>
      <w:r w:rsidRPr="008F60C0">
        <w:rPr>
          <w:b w:val="0"/>
          <w:bCs w:val="0"/>
          <w:rtl/>
        </w:rPr>
        <w:tab/>
        <w:t>مخاطر أسعار الفائدة:</w:t>
      </w:r>
      <w:bookmarkEnd w:id="1853"/>
      <w:bookmarkEnd w:id="1854"/>
      <w:bookmarkEnd w:id="1855"/>
    </w:p>
    <w:p w:rsidR="00B259A6" w:rsidRPr="008677AB" w:rsidRDefault="00B259A6" w:rsidP="00BC3653">
      <w:pPr>
        <w:spacing w:after="0"/>
        <w:ind w:left="1115"/>
        <w:rPr>
          <w:b w:val="0"/>
          <w:bCs w:val="0"/>
          <w:rtl/>
        </w:rPr>
      </w:pPr>
      <w:bookmarkStart w:id="1856" w:name="_Toc414888489"/>
      <w:bookmarkStart w:id="1857" w:name="_Toc451176676"/>
      <w:bookmarkStart w:id="1858" w:name="_Toc451180573"/>
      <w:r w:rsidRPr="008677AB">
        <w:rPr>
          <w:b w:val="0"/>
          <w:bCs w:val="0"/>
          <w:rtl/>
        </w:rPr>
        <w:t xml:space="preserve">هي الخسائر التي من الممكن أن تنشأ عن تقلبات أسعار الفوائد انخفاضاً وارتفاعاً والتي تؤثر على قيمة المراكز في أدوات الدين المحتفظ بها من قبل البنك، وتنطبق على أدوات الدين التي تحمل سعر فائدة ثابت أو متغير </w:t>
      </w:r>
      <w:r w:rsidR="008677AB" w:rsidRPr="008677AB">
        <w:rPr>
          <w:rFonts w:hint="cs"/>
          <w:b w:val="0"/>
          <w:bCs w:val="0"/>
          <w:rtl/>
        </w:rPr>
        <w:t>(</w:t>
      </w:r>
      <w:r w:rsidRPr="008677AB">
        <w:rPr>
          <w:b w:val="0"/>
          <w:bCs w:val="0"/>
          <w:rtl/>
        </w:rPr>
        <w:t>والمصنفة ضمن محفظة المتاجرة حسب تعريفها في البند رقم (4) آنفاً</w:t>
      </w:r>
      <w:r w:rsidR="008677AB" w:rsidRPr="008677AB">
        <w:rPr>
          <w:rFonts w:hint="cs"/>
          <w:b w:val="0"/>
          <w:bCs w:val="0"/>
          <w:rtl/>
        </w:rPr>
        <w:t>)</w:t>
      </w:r>
      <w:r w:rsidRPr="008677AB">
        <w:rPr>
          <w:b w:val="0"/>
          <w:bCs w:val="0"/>
          <w:rtl/>
        </w:rPr>
        <w:t xml:space="preserve"> والتي تتضمن ما يلي:-</w:t>
      </w:r>
      <w:bookmarkEnd w:id="1856"/>
      <w:bookmarkEnd w:id="1857"/>
      <w:bookmarkEnd w:id="1858"/>
    </w:p>
    <w:p w:rsidR="00B259A6" w:rsidRPr="008F60C0" w:rsidRDefault="004C56AD" w:rsidP="00580899">
      <w:pPr>
        <w:spacing w:after="0"/>
        <w:ind w:left="2126" w:hanging="851"/>
        <w:rPr>
          <w:b w:val="0"/>
          <w:bCs w:val="0"/>
          <w:rtl/>
        </w:rPr>
      </w:pPr>
      <w:bookmarkStart w:id="1859" w:name="_Toc414888490"/>
      <w:bookmarkStart w:id="1860" w:name="_Toc451176677"/>
      <w:bookmarkStart w:id="1861" w:name="_Toc451180574"/>
      <w:r w:rsidRPr="008F60C0">
        <w:rPr>
          <w:b w:val="0"/>
          <w:bCs w:val="0"/>
          <w:rtl/>
        </w:rPr>
        <w:t>1.1.9</w:t>
      </w:r>
      <w:r w:rsidR="001E46DE">
        <w:rPr>
          <w:rFonts w:hint="cs"/>
          <w:b w:val="0"/>
          <w:bCs w:val="0"/>
          <w:rtl/>
        </w:rPr>
        <w:t>.</w:t>
      </w:r>
      <w:r w:rsidR="00B259A6" w:rsidRPr="008F60C0">
        <w:rPr>
          <w:b w:val="0"/>
          <w:bCs w:val="0"/>
          <w:rtl/>
        </w:rPr>
        <w:tab/>
        <w:t>السندات والأسناد.</w:t>
      </w:r>
      <w:bookmarkEnd w:id="1859"/>
      <w:bookmarkEnd w:id="1860"/>
      <w:bookmarkEnd w:id="1861"/>
    </w:p>
    <w:p w:rsidR="00B259A6" w:rsidRPr="008F60C0" w:rsidRDefault="004C56AD" w:rsidP="00580899">
      <w:pPr>
        <w:spacing w:after="0"/>
        <w:ind w:left="2126" w:hanging="851"/>
        <w:rPr>
          <w:b w:val="0"/>
          <w:bCs w:val="0"/>
        </w:rPr>
      </w:pPr>
      <w:bookmarkStart w:id="1862" w:name="_Toc414888491"/>
      <w:bookmarkStart w:id="1863" w:name="_Toc451176678"/>
      <w:bookmarkStart w:id="1864" w:name="_Toc451180575"/>
      <w:r w:rsidRPr="008F60C0">
        <w:rPr>
          <w:b w:val="0"/>
          <w:bCs w:val="0"/>
          <w:rtl/>
        </w:rPr>
        <w:t>2.1.9</w:t>
      </w:r>
      <w:r w:rsidR="001E46DE">
        <w:rPr>
          <w:rFonts w:hint="cs"/>
          <w:b w:val="0"/>
          <w:bCs w:val="0"/>
          <w:rtl/>
        </w:rPr>
        <w:t>.</w:t>
      </w:r>
      <w:r w:rsidR="00B259A6" w:rsidRPr="008F60C0">
        <w:rPr>
          <w:b w:val="0"/>
          <w:bCs w:val="0"/>
          <w:rtl/>
        </w:rPr>
        <w:tab/>
        <w:t>الأسهم الممتازة (</w:t>
      </w:r>
      <w:r w:rsidR="00B259A6" w:rsidRPr="008F60C0">
        <w:rPr>
          <w:b w:val="0"/>
          <w:bCs w:val="0"/>
        </w:rPr>
        <w:t>Preferred Stocks</w:t>
      </w:r>
      <w:r w:rsidR="00B259A6" w:rsidRPr="008F60C0">
        <w:rPr>
          <w:b w:val="0"/>
          <w:bCs w:val="0"/>
          <w:rtl/>
        </w:rPr>
        <w:t xml:space="preserve"> ) غير قابلة للتحويل إلى أسهم عادية.</w:t>
      </w:r>
      <w:bookmarkEnd w:id="1862"/>
      <w:bookmarkEnd w:id="1863"/>
      <w:bookmarkEnd w:id="1864"/>
    </w:p>
    <w:p w:rsidR="00B259A6" w:rsidRPr="001E46DE" w:rsidRDefault="004C56AD" w:rsidP="00580899">
      <w:pPr>
        <w:spacing w:after="0"/>
        <w:ind w:left="2126" w:hanging="851"/>
        <w:rPr>
          <w:b w:val="0"/>
          <w:bCs w:val="0"/>
        </w:rPr>
      </w:pPr>
      <w:bookmarkStart w:id="1865" w:name="_Toc414888492"/>
      <w:bookmarkStart w:id="1866" w:name="_Toc451176679"/>
      <w:bookmarkStart w:id="1867" w:name="_Toc451180576"/>
      <w:r w:rsidRPr="001E46DE">
        <w:rPr>
          <w:b w:val="0"/>
          <w:bCs w:val="0"/>
          <w:rtl/>
        </w:rPr>
        <w:t>3.1.9</w:t>
      </w:r>
      <w:r w:rsidR="001E46DE" w:rsidRPr="001E46DE">
        <w:rPr>
          <w:rFonts w:hint="cs"/>
          <w:b w:val="0"/>
          <w:bCs w:val="0"/>
          <w:rtl/>
        </w:rPr>
        <w:t>.</w:t>
      </w:r>
      <w:r w:rsidR="00B259A6" w:rsidRPr="001E46DE">
        <w:rPr>
          <w:b w:val="0"/>
          <w:bCs w:val="0"/>
          <w:rtl/>
        </w:rPr>
        <w:tab/>
        <w:t>السندات والأسهم الممتازة القابلة للتحويل إلى أسهم عادية بسعر محدد إذا كانت تشابه في سلوكها أدوات الدين.</w:t>
      </w:r>
      <w:bookmarkEnd w:id="1865"/>
      <w:bookmarkEnd w:id="1866"/>
      <w:bookmarkEnd w:id="1867"/>
    </w:p>
    <w:p w:rsidR="00B259A6" w:rsidRPr="008F60C0" w:rsidRDefault="004C56AD" w:rsidP="00580899">
      <w:pPr>
        <w:spacing w:after="0"/>
        <w:ind w:left="2126" w:hanging="851"/>
        <w:rPr>
          <w:b w:val="0"/>
          <w:bCs w:val="0"/>
        </w:rPr>
      </w:pPr>
      <w:bookmarkStart w:id="1868" w:name="_Toc414888493"/>
      <w:bookmarkStart w:id="1869" w:name="_Toc451176680"/>
      <w:bookmarkStart w:id="1870" w:name="_Toc451180577"/>
      <w:r w:rsidRPr="008F60C0">
        <w:rPr>
          <w:b w:val="0"/>
          <w:bCs w:val="0"/>
          <w:rtl/>
        </w:rPr>
        <w:t>4.1.9</w:t>
      </w:r>
      <w:r w:rsidR="001E46DE">
        <w:rPr>
          <w:rFonts w:hint="cs"/>
          <w:b w:val="0"/>
          <w:bCs w:val="0"/>
          <w:rtl/>
        </w:rPr>
        <w:t>.</w:t>
      </w:r>
      <w:r w:rsidR="00B259A6" w:rsidRPr="008F60C0">
        <w:rPr>
          <w:b w:val="0"/>
          <w:bCs w:val="0"/>
          <w:rtl/>
        </w:rPr>
        <w:tab/>
        <w:t>أذونات الخزينة.</w:t>
      </w:r>
      <w:bookmarkEnd w:id="1868"/>
      <w:bookmarkEnd w:id="1869"/>
      <w:bookmarkEnd w:id="1870"/>
    </w:p>
    <w:p w:rsidR="00B259A6" w:rsidRPr="008F60C0" w:rsidRDefault="004C56AD" w:rsidP="00BC3653">
      <w:pPr>
        <w:spacing w:after="0"/>
        <w:ind w:left="2126" w:hanging="851"/>
        <w:rPr>
          <w:b w:val="0"/>
          <w:bCs w:val="0"/>
        </w:rPr>
      </w:pPr>
      <w:bookmarkStart w:id="1871" w:name="_Toc414888494"/>
      <w:bookmarkStart w:id="1872" w:name="_Toc451176681"/>
      <w:bookmarkStart w:id="1873" w:name="_Toc451180578"/>
      <w:r w:rsidRPr="008F60C0">
        <w:rPr>
          <w:b w:val="0"/>
          <w:bCs w:val="0"/>
          <w:rtl/>
        </w:rPr>
        <w:t>5.1.9</w:t>
      </w:r>
      <w:r w:rsidR="001E46DE">
        <w:rPr>
          <w:rFonts w:hint="cs"/>
          <w:b w:val="0"/>
          <w:bCs w:val="0"/>
          <w:rtl/>
        </w:rPr>
        <w:t>.</w:t>
      </w:r>
      <w:r w:rsidR="00B259A6" w:rsidRPr="008F60C0">
        <w:rPr>
          <w:b w:val="0"/>
          <w:bCs w:val="0"/>
          <w:rtl/>
        </w:rPr>
        <w:tab/>
        <w:t>أي أدوات مالية أخرى تشابه في سلوكها أدوات الدين.</w:t>
      </w:r>
      <w:bookmarkEnd w:id="1871"/>
      <w:bookmarkEnd w:id="1872"/>
      <w:bookmarkEnd w:id="1873"/>
    </w:p>
    <w:p w:rsidR="00B259A6" w:rsidRPr="008F60C0" w:rsidRDefault="00B259A6" w:rsidP="005A5C26">
      <w:pPr>
        <w:ind w:left="1275" w:hanging="709"/>
        <w:rPr>
          <w:b w:val="0"/>
          <w:bCs w:val="0"/>
          <w:rtl/>
        </w:rPr>
      </w:pPr>
      <w:bookmarkStart w:id="1874" w:name="_Toc414888495"/>
      <w:bookmarkStart w:id="1875" w:name="_Toc451176682"/>
      <w:bookmarkStart w:id="1876" w:name="_Toc451180579"/>
      <w:r w:rsidRPr="008F60C0">
        <w:rPr>
          <w:b w:val="0"/>
          <w:bCs w:val="0"/>
          <w:rtl/>
        </w:rPr>
        <w:t>2.9</w:t>
      </w:r>
      <w:r w:rsidR="001E46DE">
        <w:rPr>
          <w:rFonts w:hint="cs"/>
          <w:b w:val="0"/>
          <w:bCs w:val="0"/>
          <w:rtl/>
        </w:rPr>
        <w:t>.</w:t>
      </w:r>
      <w:r w:rsidRPr="008F60C0">
        <w:rPr>
          <w:b w:val="0"/>
          <w:bCs w:val="0"/>
          <w:rtl/>
        </w:rPr>
        <w:tab/>
        <w:t>يتم احتساب متطلبات رأس مال لتغطية مخاطر هذه الأدوات التي تتكون من جزأين الأول لتغطية المخاطر الخاصة لكل أداة بغض ا</w:t>
      </w:r>
      <w:r w:rsidR="00B260BB" w:rsidRPr="008F60C0">
        <w:rPr>
          <w:b w:val="0"/>
          <w:bCs w:val="0"/>
          <w:rtl/>
        </w:rPr>
        <w:t>لنظر عن كون المركز طويل أو قصير</w:t>
      </w:r>
      <w:r w:rsidRPr="008F60C0">
        <w:rPr>
          <w:b w:val="0"/>
          <w:bCs w:val="0"/>
          <w:rtl/>
        </w:rPr>
        <w:t>، والثاني لتغطية مخاطر السوق العامة والتي تسمح عند احتسابها بإجراء التقاص بين المراكز الطويلة والقصيرة.</w:t>
      </w:r>
      <w:bookmarkEnd w:id="1874"/>
      <w:bookmarkEnd w:id="1875"/>
      <w:bookmarkEnd w:id="1876"/>
      <w:r w:rsidRPr="008F60C0">
        <w:rPr>
          <w:b w:val="0"/>
          <w:bCs w:val="0"/>
          <w:rtl/>
        </w:rPr>
        <w:t xml:space="preserve"> </w:t>
      </w:r>
    </w:p>
    <w:p w:rsidR="00B259A6" w:rsidRPr="008F60C0" w:rsidRDefault="00B259A6" w:rsidP="0016569E">
      <w:pPr>
        <w:spacing w:after="0"/>
        <w:ind w:left="2126" w:hanging="851"/>
        <w:rPr>
          <w:b w:val="0"/>
          <w:bCs w:val="0"/>
          <w:rtl/>
        </w:rPr>
      </w:pPr>
      <w:bookmarkStart w:id="1877" w:name="_Toc414888496"/>
      <w:bookmarkStart w:id="1878" w:name="_Toc451176683"/>
      <w:bookmarkStart w:id="1879" w:name="_Toc451180580"/>
      <w:r w:rsidRPr="008F60C0">
        <w:rPr>
          <w:b w:val="0"/>
          <w:bCs w:val="0"/>
          <w:rtl/>
        </w:rPr>
        <w:t>1.2.9</w:t>
      </w:r>
      <w:r w:rsidR="001E46DE">
        <w:rPr>
          <w:rFonts w:hint="cs"/>
          <w:b w:val="0"/>
          <w:bCs w:val="0"/>
          <w:rtl/>
        </w:rPr>
        <w:t>.</w:t>
      </w:r>
      <w:r w:rsidRPr="008F60C0">
        <w:rPr>
          <w:b w:val="0"/>
          <w:bCs w:val="0"/>
          <w:rtl/>
        </w:rPr>
        <w:tab/>
        <w:t>مخاطر خاصة (</w:t>
      </w:r>
      <w:r w:rsidRPr="008F60C0">
        <w:rPr>
          <w:b w:val="0"/>
          <w:bCs w:val="0"/>
        </w:rPr>
        <w:t>Specific Risk</w:t>
      </w:r>
      <w:r w:rsidRPr="008F60C0">
        <w:rPr>
          <w:b w:val="0"/>
          <w:bCs w:val="0"/>
          <w:rtl/>
        </w:rPr>
        <w:t>): تمثل الخسائر التي قد تظهر جراء التحركات المعاكسة في أسعار أي من الموجودات المالية المذكورة أعلاه بس</w:t>
      </w:r>
      <w:r w:rsidR="00B260BB" w:rsidRPr="008F60C0">
        <w:rPr>
          <w:b w:val="0"/>
          <w:bCs w:val="0"/>
          <w:rtl/>
        </w:rPr>
        <w:t>بب عوامل تخص مصدر تلك الأدوات (</w:t>
      </w:r>
      <w:r w:rsidRPr="008F60C0">
        <w:rPr>
          <w:b w:val="0"/>
          <w:bCs w:val="0"/>
          <w:rtl/>
        </w:rPr>
        <w:t xml:space="preserve">مخاطر ائتمان </w:t>
      </w:r>
      <w:r w:rsidRPr="008F60C0">
        <w:rPr>
          <w:b w:val="0"/>
          <w:bCs w:val="0"/>
        </w:rPr>
        <w:t>Credit Risk</w:t>
      </w:r>
      <w:r w:rsidRPr="008F60C0">
        <w:rPr>
          <w:b w:val="0"/>
          <w:bCs w:val="0"/>
          <w:rtl/>
        </w:rPr>
        <w:t xml:space="preserve">) حيث يتم احتساب متطلبات رأس المال لمواجهة المخاطر الخاصة لأسعار الفائدة كما هو موضح في الجدول أدناه علماً بأن طريقة الاحتساب مبينة في </w:t>
      </w:r>
      <w:r w:rsidR="00B260BB" w:rsidRPr="008F60C0">
        <w:rPr>
          <w:b w:val="0"/>
          <w:bCs w:val="0"/>
          <w:rtl/>
        </w:rPr>
        <w:t>الملحق</w:t>
      </w:r>
      <w:r w:rsidRPr="008F60C0">
        <w:rPr>
          <w:b w:val="0"/>
          <w:bCs w:val="0"/>
          <w:rtl/>
        </w:rPr>
        <w:t xml:space="preserve"> رقم (</w:t>
      </w:r>
      <w:r w:rsidR="0016569E">
        <w:rPr>
          <w:rFonts w:hint="cs"/>
          <w:b w:val="0"/>
          <w:bCs w:val="0"/>
          <w:rtl/>
        </w:rPr>
        <w:t>15</w:t>
      </w:r>
      <w:r w:rsidRPr="008F60C0">
        <w:rPr>
          <w:b w:val="0"/>
          <w:bCs w:val="0"/>
          <w:rtl/>
        </w:rPr>
        <w:t>).</w:t>
      </w:r>
      <w:bookmarkEnd w:id="1877"/>
      <w:bookmarkEnd w:id="1878"/>
      <w:bookmarkEnd w:id="1879"/>
    </w:p>
    <w:p w:rsidR="00B259A6" w:rsidRPr="008F60C0" w:rsidRDefault="00B259A6" w:rsidP="00580899">
      <w:pPr>
        <w:ind w:left="2126" w:hanging="851"/>
        <w:rPr>
          <w:b w:val="0"/>
          <w:bCs w:val="0"/>
          <w:rtl/>
        </w:rPr>
      </w:pPr>
      <w:bookmarkStart w:id="1880" w:name="_Toc414888497"/>
      <w:bookmarkStart w:id="1881" w:name="_Toc451176684"/>
      <w:bookmarkStart w:id="1882" w:name="_Toc451180581"/>
      <w:r w:rsidRPr="008F60C0">
        <w:rPr>
          <w:b w:val="0"/>
          <w:bCs w:val="0"/>
          <w:rtl/>
        </w:rPr>
        <w:lastRenderedPageBreak/>
        <w:t>2.2.9</w:t>
      </w:r>
      <w:r w:rsidR="001E46DE">
        <w:rPr>
          <w:rFonts w:hint="cs"/>
          <w:b w:val="0"/>
          <w:bCs w:val="0"/>
          <w:rtl/>
        </w:rPr>
        <w:t>.</w:t>
      </w:r>
      <w:r w:rsidRPr="008F60C0">
        <w:rPr>
          <w:b w:val="0"/>
          <w:bCs w:val="0"/>
          <w:rtl/>
        </w:rPr>
        <w:tab/>
        <w:t>لا يجوز إجراء تقاص بين المراكز المختلفة في حال كونها تعود لنفس المصدر، لكن يجوز ذلك للمراكز الطويلة والقصيرة لنفس الإصدار مع مراعاة ما يلي:-</w:t>
      </w:r>
      <w:bookmarkEnd w:id="1880"/>
      <w:bookmarkEnd w:id="1881"/>
      <w:bookmarkEnd w:id="1882"/>
    </w:p>
    <w:p w:rsidR="001E46DE" w:rsidRPr="0060323C" w:rsidRDefault="00B259A6" w:rsidP="00BC3653">
      <w:pPr>
        <w:ind w:left="3815" w:hanging="1689"/>
        <w:rPr>
          <w:b w:val="0"/>
          <w:bCs w:val="0"/>
          <w:rtl/>
        </w:rPr>
      </w:pPr>
      <w:bookmarkStart w:id="1883" w:name="_Toc414888498"/>
      <w:bookmarkStart w:id="1884" w:name="_Toc451176685"/>
      <w:bookmarkStart w:id="1885" w:name="_Toc451180582"/>
      <w:r w:rsidRPr="001E46DE">
        <w:rPr>
          <w:b w:val="0"/>
          <w:bCs w:val="0"/>
          <w:rtl/>
        </w:rPr>
        <w:t xml:space="preserve">الأوراق المالية الحكومية: هي الأوراق المالية الصادرة عن الحكومة الأردنية أو بكفالتها بالدينار الأردني شريطة أن تكون مصادر تمويل هذه الأوراق بالدينار الأردني, حيث </w:t>
      </w:r>
      <w:r w:rsidR="00A40C09" w:rsidRPr="001E46DE">
        <w:rPr>
          <w:b w:val="0"/>
          <w:bCs w:val="0"/>
          <w:rtl/>
        </w:rPr>
        <w:t>لا تحتاج هذه الأوراق لمتطلبات رأس</w:t>
      </w:r>
      <w:r w:rsidRPr="001E46DE">
        <w:rPr>
          <w:b w:val="0"/>
          <w:bCs w:val="0"/>
          <w:rtl/>
        </w:rPr>
        <w:t>مال, أما إذا كانت صادرة بالعملة الأجنبية فيتم تحديد متطلبات رأس المال حسب التصنيف الائتماني للدولة.</w:t>
      </w:r>
      <w:bookmarkEnd w:id="1883"/>
      <w:bookmarkEnd w:id="1884"/>
      <w:bookmarkEnd w:id="1885"/>
    </w:p>
    <w:p w:rsidR="00B259A6" w:rsidRPr="008F60C0" w:rsidRDefault="00B259A6" w:rsidP="00580899">
      <w:pPr>
        <w:spacing w:after="0"/>
        <w:ind w:left="2126" w:hanging="851"/>
        <w:rPr>
          <w:b w:val="0"/>
          <w:bCs w:val="0"/>
          <w:rtl/>
        </w:rPr>
      </w:pPr>
      <w:bookmarkStart w:id="1886" w:name="_Toc414888499"/>
      <w:bookmarkStart w:id="1887" w:name="_Toc451176686"/>
      <w:bookmarkStart w:id="1888" w:name="_Toc451180583"/>
      <w:r w:rsidRPr="008F60C0">
        <w:rPr>
          <w:b w:val="0"/>
          <w:bCs w:val="0"/>
          <w:rtl/>
        </w:rPr>
        <w:t>3.2.9</w:t>
      </w:r>
      <w:r w:rsidR="001E46DE">
        <w:rPr>
          <w:rFonts w:hint="cs"/>
          <w:b w:val="0"/>
          <w:bCs w:val="0"/>
          <w:rtl/>
        </w:rPr>
        <w:t>.</w:t>
      </w:r>
      <w:r w:rsidRPr="008F60C0">
        <w:rPr>
          <w:b w:val="0"/>
          <w:bCs w:val="0"/>
          <w:rtl/>
        </w:rPr>
        <w:tab/>
        <w:t>الأوراق المالية المؤهلة وتشمل الآتي:</w:t>
      </w:r>
      <w:bookmarkEnd w:id="1886"/>
      <w:bookmarkEnd w:id="1887"/>
      <w:bookmarkEnd w:id="1888"/>
    </w:p>
    <w:p w:rsidR="00B259A6" w:rsidRPr="000B168B" w:rsidRDefault="00B259A6" w:rsidP="00BC3653">
      <w:pPr>
        <w:pStyle w:val="ListParagraph"/>
        <w:numPr>
          <w:ilvl w:val="0"/>
          <w:numId w:val="29"/>
        </w:numPr>
        <w:ind w:left="2409" w:hanging="283"/>
        <w:rPr>
          <w:b w:val="0"/>
          <w:bCs w:val="0"/>
          <w:rtl/>
        </w:rPr>
      </w:pPr>
      <w:bookmarkStart w:id="1889" w:name="_Toc414888500"/>
      <w:bookmarkStart w:id="1890" w:name="_Toc451176687"/>
      <w:bookmarkStart w:id="1891" w:name="_Toc451180584"/>
      <w:r w:rsidRPr="000B168B">
        <w:rPr>
          <w:b w:val="0"/>
          <w:bCs w:val="0"/>
          <w:rtl/>
        </w:rPr>
        <w:t xml:space="preserve">الأوراق المالية الصادرة عن منشآت القطاع العام وبنوك التنمية متعددة الأطراف (كما هي موضحة في </w:t>
      </w:r>
      <w:r w:rsidR="00CF7E7E" w:rsidRPr="000B168B">
        <w:rPr>
          <w:b w:val="0"/>
          <w:bCs w:val="0"/>
          <w:rtl/>
        </w:rPr>
        <w:t>البند أولاً</w:t>
      </w:r>
      <w:r w:rsidRPr="000B168B">
        <w:rPr>
          <w:b w:val="0"/>
          <w:bCs w:val="0"/>
          <w:rtl/>
        </w:rPr>
        <w:t xml:space="preserve"> </w:t>
      </w:r>
      <w:r w:rsidR="00CF7E7E" w:rsidRPr="000B168B">
        <w:rPr>
          <w:b w:val="0"/>
          <w:bCs w:val="0"/>
          <w:rtl/>
        </w:rPr>
        <w:t>(</w:t>
      </w:r>
      <w:r w:rsidRPr="000B168B">
        <w:rPr>
          <w:b w:val="0"/>
          <w:bCs w:val="0"/>
          <w:rtl/>
        </w:rPr>
        <w:t>مخاطر الائتمان)</w:t>
      </w:r>
      <w:r w:rsidR="00CF7E7E" w:rsidRPr="000B168B">
        <w:rPr>
          <w:b w:val="0"/>
          <w:bCs w:val="0"/>
          <w:rtl/>
        </w:rPr>
        <w:t xml:space="preserve"> من هذا الفصل)</w:t>
      </w:r>
      <w:r w:rsidRPr="000B168B">
        <w:rPr>
          <w:b w:val="0"/>
          <w:bCs w:val="0"/>
          <w:rtl/>
        </w:rPr>
        <w:t>.</w:t>
      </w:r>
      <w:bookmarkEnd w:id="1889"/>
      <w:bookmarkEnd w:id="1890"/>
      <w:bookmarkEnd w:id="1891"/>
    </w:p>
    <w:p w:rsidR="00B259A6" w:rsidRPr="000B168B" w:rsidRDefault="00B259A6" w:rsidP="00BC3653">
      <w:pPr>
        <w:pStyle w:val="ListParagraph"/>
        <w:numPr>
          <w:ilvl w:val="0"/>
          <w:numId w:val="29"/>
        </w:numPr>
        <w:ind w:left="2409" w:hanging="283"/>
        <w:rPr>
          <w:b w:val="0"/>
          <w:bCs w:val="0"/>
          <w:rtl/>
        </w:rPr>
      </w:pPr>
      <w:bookmarkStart w:id="1892" w:name="_Toc414888501"/>
      <w:bookmarkStart w:id="1893" w:name="_Toc451176688"/>
      <w:bookmarkStart w:id="1894" w:name="_Toc451180585"/>
      <w:r w:rsidRPr="000B168B">
        <w:rPr>
          <w:b w:val="0"/>
          <w:bCs w:val="0"/>
          <w:rtl/>
        </w:rPr>
        <w:t>الأوراق المالية التي يتوفر فيها أحد الشروط التالية :</w:t>
      </w:r>
      <w:bookmarkEnd w:id="1892"/>
      <w:bookmarkEnd w:id="1893"/>
      <w:bookmarkEnd w:id="1894"/>
    </w:p>
    <w:p w:rsidR="00B259A6" w:rsidRPr="000B168B" w:rsidRDefault="00BC3653" w:rsidP="00BC3653">
      <w:pPr>
        <w:ind w:left="2834" w:hanging="425"/>
        <w:rPr>
          <w:b w:val="0"/>
          <w:bCs w:val="0"/>
          <w:rtl/>
        </w:rPr>
      </w:pPr>
      <w:bookmarkStart w:id="1895" w:name="_Toc414888502"/>
      <w:bookmarkStart w:id="1896" w:name="_Toc451176689"/>
      <w:bookmarkStart w:id="1897" w:name="_Toc451180586"/>
      <w:r>
        <w:rPr>
          <w:rFonts w:hint="cs"/>
          <w:b w:val="0"/>
          <w:bCs w:val="0"/>
          <w:rtl/>
        </w:rPr>
        <w:t>أ</w:t>
      </w:r>
      <w:r w:rsidR="00B259A6" w:rsidRPr="000B168B">
        <w:rPr>
          <w:b w:val="0"/>
          <w:bCs w:val="0"/>
          <w:rtl/>
        </w:rPr>
        <w:t>.</w:t>
      </w:r>
      <w:r w:rsidR="00B259A6" w:rsidRPr="000B168B">
        <w:rPr>
          <w:b w:val="0"/>
          <w:bCs w:val="0"/>
          <w:rtl/>
        </w:rPr>
        <w:tab/>
        <w:t>أن تكون مصنفة بدرجة الاستثمار (</w:t>
      </w:r>
      <w:r w:rsidR="00B259A6" w:rsidRPr="000B168B">
        <w:rPr>
          <w:b w:val="0"/>
          <w:bCs w:val="0"/>
        </w:rPr>
        <w:t>Investment Grade</w:t>
      </w:r>
      <w:r w:rsidR="00B259A6" w:rsidRPr="000B168B">
        <w:rPr>
          <w:b w:val="0"/>
          <w:bCs w:val="0"/>
          <w:rtl/>
        </w:rPr>
        <w:t>) من قبل مؤسستي تصنيف على الأقل معترف بهما من قبل البنك المركزي الأردني.</w:t>
      </w:r>
      <w:bookmarkEnd w:id="1895"/>
      <w:bookmarkEnd w:id="1896"/>
      <w:bookmarkEnd w:id="1897"/>
    </w:p>
    <w:p w:rsidR="00B259A6" w:rsidRPr="000B168B" w:rsidRDefault="00BC3653" w:rsidP="00BC3653">
      <w:pPr>
        <w:ind w:left="2834" w:hanging="425"/>
        <w:rPr>
          <w:b w:val="0"/>
          <w:bCs w:val="0"/>
          <w:rtl/>
        </w:rPr>
      </w:pPr>
      <w:bookmarkStart w:id="1898" w:name="_Toc414888503"/>
      <w:bookmarkStart w:id="1899" w:name="_Toc451176690"/>
      <w:bookmarkStart w:id="1900" w:name="_Toc451180587"/>
      <w:r>
        <w:rPr>
          <w:rFonts w:hint="cs"/>
          <w:b w:val="0"/>
          <w:bCs w:val="0"/>
          <w:rtl/>
        </w:rPr>
        <w:t>ب</w:t>
      </w:r>
      <w:r w:rsidR="00B259A6" w:rsidRPr="000B168B">
        <w:rPr>
          <w:b w:val="0"/>
          <w:bCs w:val="0"/>
          <w:rtl/>
        </w:rPr>
        <w:t>.</w:t>
      </w:r>
      <w:r w:rsidR="00B259A6" w:rsidRPr="000B168B">
        <w:rPr>
          <w:b w:val="0"/>
          <w:bCs w:val="0"/>
          <w:rtl/>
        </w:rPr>
        <w:tab/>
        <w:t>أن تكون مصنفة بدرجة الاستثمار (</w:t>
      </w:r>
      <w:r w:rsidR="00B259A6" w:rsidRPr="000B168B">
        <w:rPr>
          <w:b w:val="0"/>
          <w:bCs w:val="0"/>
        </w:rPr>
        <w:t>Investment Grade</w:t>
      </w:r>
      <w:r w:rsidR="00B259A6" w:rsidRPr="000B168B">
        <w:rPr>
          <w:b w:val="0"/>
          <w:bCs w:val="0"/>
          <w:rtl/>
        </w:rPr>
        <w:t>) من قبل مؤسسة تصنيف ائتماني معترف بها من قبل البنك المركزي الأردني أو أن تكون غير مصنفة شريطة الحصول على موافقة البنك المركزي الأردني، وعلى أن يكون لمصدرها أوراق مالية مدرجة في الأسواق المالية.</w:t>
      </w:r>
      <w:bookmarkEnd w:id="1898"/>
      <w:bookmarkEnd w:id="1899"/>
      <w:bookmarkEnd w:id="1900"/>
      <w:r w:rsidR="00B259A6" w:rsidRPr="000B168B">
        <w:rPr>
          <w:b w:val="0"/>
          <w:bCs w:val="0"/>
          <w:rtl/>
        </w:rPr>
        <w:t xml:space="preserve">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899"/>
        <w:gridCol w:w="1985"/>
        <w:gridCol w:w="2235"/>
      </w:tblGrid>
      <w:tr w:rsidR="00B259A6" w:rsidRPr="00BC3653" w:rsidTr="00BC3653">
        <w:trPr>
          <w:trHeight w:val="20"/>
          <w:jc w:val="center"/>
        </w:trPr>
        <w:tc>
          <w:tcPr>
            <w:tcW w:w="1108" w:type="pct"/>
            <w:shd w:val="clear" w:color="auto" w:fill="E0E0E0"/>
            <w:vAlign w:val="center"/>
          </w:tcPr>
          <w:p w:rsidR="00B259A6" w:rsidRPr="00BC3653" w:rsidRDefault="00B259A6" w:rsidP="00BC3653">
            <w:pPr>
              <w:spacing w:after="0"/>
              <w:jc w:val="center"/>
              <w:rPr>
                <w:sz w:val="22"/>
                <w:szCs w:val="22"/>
                <w:rtl/>
              </w:rPr>
            </w:pPr>
            <w:bookmarkStart w:id="1901" w:name="_Toc414888504"/>
            <w:bookmarkStart w:id="1902" w:name="_Toc451176691"/>
            <w:bookmarkStart w:id="1903" w:name="_Toc451180588"/>
            <w:r w:rsidRPr="00BC3653">
              <w:rPr>
                <w:sz w:val="22"/>
                <w:szCs w:val="22"/>
                <w:rtl/>
              </w:rPr>
              <w:t>الفئة</w:t>
            </w:r>
            <w:bookmarkEnd w:id="1901"/>
            <w:bookmarkEnd w:id="1902"/>
            <w:bookmarkEnd w:id="1903"/>
          </w:p>
        </w:tc>
        <w:tc>
          <w:tcPr>
            <w:tcW w:w="1585" w:type="pct"/>
            <w:shd w:val="clear" w:color="auto" w:fill="E0E0E0"/>
            <w:vAlign w:val="center"/>
          </w:tcPr>
          <w:p w:rsidR="00B259A6" w:rsidRPr="00BC3653" w:rsidRDefault="00B259A6" w:rsidP="00BC3653">
            <w:pPr>
              <w:spacing w:after="0"/>
              <w:jc w:val="center"/>
              <w:rPr>
                <w:sz w:val="22"/>
                <w:szCs w:val="22"/>
                <w:rtl/>
              </w:rPr>
            </w:pPr>
            <w:bookmarkStart w:id="1904" w:name="_Toc414888505"/>
            <w:bookmarkStart w:id="1905" w:name="_Toc451176692"/>
            <w:bookmarkStart w:id="1906" w:name="_Toc451180589"/>
            <w:r w:rsidRPr="00BC3653">
              <w:rPr>
                <w:sz w:val="22"/>
                <w:szCs w:val="22"/>
                <w:rtl/>
              </w:rPr>
              <w:t>التصنيف الخارجي</w:t>
            </w:r>
            <w:bookmarkEnd w:id="1904"/>
            <w:bookmarkEnd w:id="1905"/>
            <w:bookmarkEnd w:id="1906"/>
          </w:p>
        </w:tc>
        <w:tc>
          <w:tcPr>
            <w:tcW w:w="1085" w:type="pct"/>
            <w:shd w:val="clear" w:color="auto" w:fill="E0E0E0"/>
            <w:vAlign w:val="center"/>
          </w:tcPr>
          <w:p w:rsidR="00B259A6" w:rsidRPr="00BC3653" w:rsidRDefault="00B259A6" w:rsidP="00BC3653">
            <w:pPr>
              <w:spacing w:after="0"/>
              <w:jc w:val="center"/>
              <w:rPr>
                <w:sz w:val="22"/>
                <w:szCs w:val="22"/>
                <w:rtl/>
              </w:rPr>
            </w:pPr>
            <w:bookmarkStart w:id="1907" w:name="_Toc414888506"/>
            <w:bookmarkStart w:id="1908" w:name="_Toc451176693"/>
            <w:bookmarkStart w:id="1909" w:name="_Toc451180590"/>
            <w:r w:rsidRPr="00BC3653">
              <w:rPr>
                <w:sz w:val="22"/>
                <w:szCs w:val="22"/>
                <w:rtl/>
              </w:rPr>
              <w:t>الفترة المتبقية حتى تاريخ الاستحقاق</w:t>
            </w:r>
            <w:bookmarkEnd w:id="1907"/>
            <w:bookmarkEnd w:id="1908"/>
            <w:bookmarkEnd w:id="1909"/>
          </w:p>
        </w:tc>
        <w:tc>
          <w:tcPr>
            <w:tcW w:w="1222" w:type="pct"/>
            <w:shd w:val="clear" w:color="auto" w:fill="E0E0E0"/>
            <w:vAlign w:val="center"/>
          </w:tcPr>
          <w:p w:rsidR="00B259A6" w:rsidRPr="00BC3653" w:rsidRDefault="00B259A6" w:rsidP="00BC3653">
            <w:pPr>
              <w:spacing w:after="0"/>
              <w:jc w:val="center"/>
              <w:rPr>
                <w:sz w:val="22"/>
                <w:szCs w:val="22"/>
                <w:rtl/>
              </w:rPr>
            </w:pPr>
            <w:bookmarkStart w:id="1910" w:name="_Toc414888507"/>
            <w:bookmarkStart w:id="1911" w:name="_Toc451176694"/>
            <w:bookmarkStart w:id="1912" w:name="_Toc451180591"/>
            <w:r w:rsidRPr="00BC3653">
              <w:rPr>
                <w:sz w:val="22"/>
                <w:szCs w:val="22"/>
                <w:rtl/>
              </w:rPr>
              <w:t>متطلبات رأس المال لمواجهة المخاطر الخاصة (%)</w:t>
            </w:r>
            <w:bookmarkEnd w:id="1910"/>
            <w:bookmarkEnd w:id="1911"/>
            <w:bookmarkEnd w:id="1912"/>
          </w:p>
        </w:tc>
      </w:tr>
      <w:tr w:rsidR="004C56AD" w:rsidRPr="00BC3653" w:rsidTr="00BC3653">
        <w:trPr>
          <w:trHeight w:val="20"/>
          <w:jc w:val="center"/>
        </w:trPr>
        <w:tc>
          <w:tcPr>
            <w:tcW w:w="1108" w:type="pct"/>
            <w:vMerge w:val="restart"/>
            <w:vAlign w:val="center"/>
          </w:tcPr>
          <w:p w:rsidR="004C56AD" w:rsidRPr="00BC3653" w:rsidRDefault="00EF32A4" w:rsidP="00BC3653">
            <w:pPr>
              <w:spacing w:after="0"/>
              <w:jc w:val="center"/>
              <w:rPr>
                <w:sz w:val="22"/>
                <w:szCs w:val="22"/>
                <w:rtl/>
              </w:rPr>
            </w:pPr>
            <w:bookmarkStart w:id="1913" w:name="_Toc414888508"/>
            <w:bookmarkStart w:id="1914" w:name="_Toc451176695"/>
            <w:bookmarkStart w:id="1915" w:name="_Toc451180592"/>
            <w:r w:rsidRPr="00BC3653">
              <w:rPr>
                <w:sz w:val="22"/>
                <w:szCs w:val="22"/>
                <w:rtl/>
              </w:rPr>
              <w:t>الأوراق</w:t>
            </w:r>
            <w:r w:rsidRPr="00BC3653">
              <w:rPr>
                <w:rFonts w:hint="cs"/>
                <w:sz w:val="22"/>
                <w:szCs w:val="22"/>
                <w:rtl/>
              </w:rPr>
              <w:t xml:space="preserve"> </w:t>
            </w:r>
            <w:r w:rsidR="004C56AD" w:rsidRPr="00BC3653">
              <w:rPr>
                <w:sz w:val="22"/>
                <w:szCs w:val="22"/>
                <w:rtl/>
              </w:rPr>
              <w:t>المالية الحكومية</w:t>
            </w:r>
            <w:bookmarkEnd w:id="1913"/>
            <w:bookmarkEnd w:id="1914"/>
            <w:bookmarkEnd w:id="1915"/>
          </w:p>
        </w:tc>
        <w:tc>
          <w:tcPr>
            <w:tcW w:w="1585" w:type="pct"/>
            <w:vAlign w:val="center"/>
          </w:tcPr>
          <w:p w:rsidR="004C56AD" w:rsidRPr="00BC3653" w:rsidRDefault="004C56AD" w:rsidP="00BC3653">
            <w:pPr>
              <w:spacing w:after="0"/>
              <w:jc w:val="center"/>
              <w:rPr>
                <w:b w:val="0"/>
                <w:bCs w:val="0"/>
                <w:sz w:val="22"/>
                <w:szCs w:val="22"/>
              </w:rPr>
            </w:pPr>
            <w:bookmarkStart w:id="1916" w:name="_Toc414888509"/>
            <w:bookmarkStart w:id="1917" w:name="_Toc451176696"/>
            <w:bookmarkStart w:id="1918" w:name="_Toc451180593"/>
            <w:r w:rsidRPr="00BC3653">
              <w:rPr>
                <w:b w:val="0"/>
                <w:bCs w:val="0"/>
                <w:sz w:val="22"/>
                <w:szCs w:val="22"/>
              </w:rPr>
              <w:t>AAA to AA  -</w:t>
            </w:r>
            <w:bookmarkEnd w:id="1916"/>
            <w:bookmarkEnd w:id="1917"/>
            <w:bookmarkEnd w:id="1918"/>
          </w:p>
        </w:tc>
        <w:tc>
          <w:tcPr>
            <w:tcW w:w="1085" w:type="pct"/>
          </w:tcPr>
          <w:p w:rsidR="004C56AD" w:rsidRPr="00BC3653" w:rsidRDefault="004C56AD" w:rsidP="00BC3653">
            <w:pPr>
              <w:spacing w:after="0"/>
              <w:jc w:val="center"/>
              <w:rPr>
                <w:b w:val="0"/>
                <w:bCs w:val="0"/>
                <w:sz w:val="22"/>
                <w:szCs w:val="22"/>
                <w:rtl/>
              </w:rPr>
            </w:pPr>
          </w:p>
        </w:tc>
        <w:tc>
          <w:tcPr>
            <w:tcW w:w="1222" w:type="pct"/>
            <w:vAlign w:val="center"/>
          </w:tcPr>
          <w:p w:rsidR="004C56AD" w:rsidRPr="00BC3653" w:rsidRDefault="004C56AD" w:rsidP="00BC3653">
            <w:pPr>
              <w:spacing w:after="0"/>
              <w:jc w:val="center"/>
              <w:rPr>
                <w:b w:val="0"/>
                <w:bCs w:val="0"/>
                <w:sz w:val="22"/>
                <w:szCs w:val="22"/>
                <w:rtl/>
              </w:rPr>
            </w:pPr>
            <w:bookmarkStart w:id="1919" w:name="_Toc414888510"/>
            <w:bookmarkStart w:id="1920" w:name="_Toc451176697"/>
            <w:bookmarkStart w:id="1921" w:name="_Toc451180594"/>
            <w:r w:rsidRPr="00BC3653">
              <w:rPr>
                <w:b w:val="0"/>
                <w:bCs w:val="0"/>
                <w:sz w:val="22"/>
                <w:szCs w:val="22"/>
                <w:rtl/>
              </w:rPr>
              <w:t>صفر</w:t>
            </w:r>
            <w:bookmarkEnd w:id="1919"/>
            <w:bookmarkEnd w:id="1920"/>
            <w:bookmarkEnd w:id="1921"/>
          </w:p>
        </w:tc>
      </w:tr>
      <w:tr w:rsidR="004C56AD" w:rsidRPr="00BC3653" w:rsidTr="00BC3653">
        <w:trPr>
          <w:trHeight w:val="20"/>
          <w:jc w:val="center"/>
        </w:trPr>
        <w:tc>
          <w:tcPr>
            <w:tcW w:w="1108" w:type="pct"/>
            <w:vMerge/>
            <w:vAlign w:val="center"/>
          </w:tcPr>
          <w:p w:rsidR="004C56AD" w:rsidRPr="00BC3653" w:rsidRDefault="004C56AD" w:rsidP="00BC3653">
            <w:pPr>
              <w:spacing w:after="0"/>
              <w:rPr>
                <w:sz w:val="22"/>
                <w:szCs w:val="22"/>
                <w:rtl/>
              </w:rPr>
            </w:pPr>
          </w:p>
        </w:tc>
        <w:tc>
          <w:tcPr>
            <w:tcW w:w="1585" w:type="pct"/>
            <w:vAlign w:val="center"/>
          </w:tcPr>
          <w:p w:rsidR="004C56AD" w:rsidRPr="00BC3653" w:rsidRDefault="004C56AD" w:rsidP="00BC3653">
            <w:pPr>
              <w:spacing w:after="0"/>
              <w:jc w:val="center"/>
              <w:rPr>
                <w:b w:val="0"/>
                <w:bCs w:val="0"/>
                <w:sz w:val="22"/>
                <w:szCs w:val="22"/>
              </w:rPr>
            </w:pPr>
            <w:bookmarkStart w:id="1922" w:name="_Toc414888511"/>
            <w:bookmarkStart w:id="1923" w:name="_Toc451176698"/>
            <w:bookmarkStart w:id="1924" w:name="_Toc451180595"/>
            <w:r w:rsidRPr="00BC3653">
              <w:rPr>
                <w:b w:val="0"/>
                <w:bCs w:val="0"/>
                <w:sz w:val="22"/>
                <w:szCs w:val="22"/>
              </w:rPr>
              <w:t>A+ to BBB-</w:t>
            </w:r>
            <w:bookmarkEnd w:id="1922"/>
            <w:bookmarkEnd w:id="1923"/>
            <w:bookmarkEnd w:id="1924"/>
          </w:p>
        </w:tc>
        <w:tc>
          <w:tcPr>
            <w:tcW w:w="1085" w:type="pct"/>
          </w:tcPr>
          <w:p w:rsidR="004C56AD" w:rsidRPr="00BC3653" w:rsidRDefault="004C56AD" w:rsidP="00BC3653">
            <w:pPr>
              <w:spacing w:after="0"/>
              <w:jc w:val="center"/>
              <w:rPr>
                <w:b w:val="0"/>
                <w:bCs w:val="0"/>
                <w:sz w:val="22"/>
                <w:szCs w:val="22"/>
                <w:rtl/>
              </w:rPr>
            </w:pPr>
            <w:bookmarkStart w:id="1925" w:name="_Toc414888512"/>
            <w:bookmarkStart w:id="1926" w:name="_Toc451176699"/>
            <w:bookmarkStart w:id="1927" w:name="_Toc451180596"/>
            <w:r w:rsidRPr="00BC3653">
              <w:rPr>
                <w:b w:val="0"/>
                <w:bCs w:val="0"/>
                <w:sz w:val="22"/>
                <w:szCs w:val="22"/>
                <w:rtl/>
              </w:rPr>
              <w:t>6 أشهر أو أقل</w:t>
            </w:r>
            <w:bookmarkEnd w:id="1925"/>
            <w:bookmarkEnd w:id="1926"/>
            <w:bookmarkEnd w:id="1927"/>
          </w:p>
          <w:p w:rsidR="004C56AD" w:rsidRPr="00BC3653" w:rsidRDefault="004C56AD" w:rsidP="00BC3653">
            <w:pPr>
              <w:spacing w:after="0"/>
              <w:jc w:val="center"/>
              <w:rPr>
                <w:b w:val="0"/>
                <w:bCs w:val="0"/>
                <w:sz w:val="22"/>
                <w:szCs w:val="22"/>
                <w:rtl/>
              </w:rPr>
            </w:pPr>
            <w:bookmarkStart w:id="1928" w:name="_Toc414888513"/>
            <w:bookmarkStart w:id="1929" w:name="_Toc451176700"/>
            <w:bookmarkStart w:id="1930" w:name="_Toc451180597"/>
            <w:r w:rsidRPr="00BC3653">
              <w:rPr>
                <w:b w:val="0"/>
                <w:bCs w:val="0"/>
                <w:sz w:val="22"/>
                <w:szCs w:val="22"/>
                <w:rtl/>
              </w:rPr>
              <w:t>أكثر من 6 أشهر ولغاية 24 شهر</w:t>
            </w:r>
            <w:bookmarkEnd w:id="1928"/>
            <w:bookmarkEnd w:id="1929"/>
            <w:bookmarkEnd w:id="1930"/>
          </w:p>
          <w:p w:rsidR="004C56AD" w:rsidRPr="00BC3653" w:rsidRDefault="004C56AD" w:rsidP="00BC3653">
            <w:pPr>
              <w:spacing w:after="0"/>
              <w:jc w:val="center"/>
              <w:rPr>
                <w:b w:val="0"/>
                <w:bCs w:val="0"/>
                <w:sz w:val="22"/>
                <w:szCs w:val="22"/>
                <w:rtl/>
              </w:rPr>
            </w:pPr>
            <w:bookmarkStart w:id="1931" w:name="_Toc414888514"/>
            <w:bookmarkStart w:id="1932" w:name="_Toc451176701"/>
            <w:bookmarkStart w:id="1933" w:name="_Toc451180598"/>
            <w:r w:rsidRPr="00BC3653">
              <w:rPr>
                <w:b w:val="0"/>
                <w:bCs w:val="0"/>
                <w:sz w:val="22"/>
                <w:szCs w:val="22"/>
                <w:rtl/>
              </w:rPr>
              <w:t>أكثر من 24 شهر</w:t>
            </w:r>
            <w:bookmarkEnd w:id="1931"/>
            <w:bookmarkEnd w:id="1932"/>
            <w:bookmarkEnd w:id="1933"/>
          </w:p>
        </w:tc>
        <w:tc>
          <w:tcPr>
            <w:tcW w:w="1222" w:type="pct"/>
            <w:vAlign w:val="center"/>
          </w:tcPr>
          <w:p w:rsidR="004C56AD" w:rsidRPr="00BC3653" w:rsidRDefault="004C56AD" w:rsidP="00BC3653">
            <w:pPr>
              <w:spacing w:after="0"/>
              <w:jc w:val="center"/>
              <w:rPr>
                <w:b w:val="0"/>
                <w:bCs w:val="0"/>
                <w:sz w:val="22"/>
                <w:szCs w:val="22"/>
                <w:rtl/>
              </w:rPr>
            </w:pPr>
            <w:bookmarkStart w:id="1934" w:name="_Toc414888515"/>
            <w:bookmarkStart w:id="1935" w:name="_Toc451176702"/>
            <w:bookmarkStart w:id="1936" w:name="_Toc451180599"/>
            <w:r w:rsidRPr="00BC3653">
              <w:rPr>
                <w:b w:val="0"/>
                <w:bCs w:val="0"/>
                <w:sz w:val="22"/>
                <w:szCs w:val="22"/>
                <w:rtl/>
              </w:rPr>
              <w:t>0.25</w:t>
            </w:r>
            <w:bookmarkEnd w:id="1934"/>
            <w:bookmarkEnd w:id="1935"/>
            <w:bookmarkEnd w:id="1936"/>
          </w:p>
          <w:p w:rsidR="004C56AD" w:rsidRPr="00BC3653" w:rsidRDefault="004C56AD" w:rsidP="00BC3653">
            <w:pPr>
              <w:spacing w:after="0"/>
              <w:jc w:val="center"/>
              <w:rPr>
                <w:b w:val="0"/>
                <w:bCs w:val="0"/>
                <w:sz w:val="22"/>
                <w:szCs w:val="22"/>
                <w:rtl/>
              </w:rPr>
            </w:pPr>
            <w:bookmarkStart w:id="1937" w:name="_Toc414888516"/>
            <w:bookmarkStart w:id="1938" w:name="_Toc451176703"/>
            <w:bookmarkStart w:id="1939" w:name="_Toc451180600"/>
            <w:r w:rsidRPr="00BC3653">
              <w:rPr>
                <w:b w:val="0"/>
                <w:bCs w:val="0"/>
                <w:sz w:val="22"/>
                <w:szCs w:val="22"/>
                <w:rtl/>
              </w:rPr>
              <w:t>1</w:t>
            </w:r>
            <w:bookmarkEnd w:id="1937"/>
            <w:bookmarkEnd w:id="1938"/>
            <w:bookmarkEnd w:id="1939"/>
          </w:p>
          <w:p w:rsidR="004C56AD" w:rsidRPr="00BC3653" w:rsidRDefault="004C56AD" w:rsidP="00BC3653">
            <w:pPr>
              <w:spacing w:after="0"/>
              <w:jc w:val="center"/>
              <w:rPr>
                <w:b w:val="0"/>
                <w:bCs w:val="0"/>
                <w:sz w:val="22"/>
                <w:szCs w:val="22"/>
                <w:rtl/>
              </w:rPr>
            </w:pPr>
            <w:bookmarkStart w:id="1940" w:name="_Toc414888517"/>
            <w:bookmarkStart w:id="1941" w:name="_Toc451176704"/>
            <w:bookmarkStart w:id="1942" w:name="_Toc451180601"/>
            <w:r w:rsidRPr="00BC3653">
              <w:rPr>
                <w:b w:val="0"/>
                <w:bCs w:val="0"/>
                <w:sz w:val="22"/>
                <w:szCs w:val="22"/>
                <w:rtl/>
              </w:rPr>
              <w:t>1.6</w:t>
            </w:r>
            <w:bookmarkEnd w:id="1940"/>
            <w:bookmarkEnd w:id="1941"/>
            <w:bookmarkEnd w:id="1942"/>
          </w:p>
        </w:tc>
      </w:tr>
      <w:tr w:rsidR="004C56AD" w:rsidRPr="00BC3653" w:rsidTr="00BC3653">
        <w:trPr>
          <w:trHeight w:val="144"/>
          <w:jc w:val="center"/>
        </w:trPr>
        <w:tc>
          <w:tcPr>
            <w:tcW w:w="1108" w:type="pct"/>
            <w:vMerge/>
            <w:vAlign w:val="center"/>
          </w:tcPr>
          <w:p w:rsidR="004C56AD" w:rsidRPr="00BC3653" w:rsidRDefault="004C56AD" w:rsidP="00BC3653">
            <w:pPr>
              <w:spacing w:after="0"/>
              <w:rPr>
                <w:sz w:val="22"/>
                <w:szCs w:val="22"/>
                <w:rtl/>
              </w:rPr>
            </w:pPr>
          </w:p>
        </w:tc>
        <w:tc>
          <w:tcPr>
            <w:tcW w:w="1585" w:type="pct"/>
            <w:vAlign w:val="center"/>
          </w:tcPr>
          <w:p w:rsidR="004C56AD" w:rsidRPr="00BC3653" w:rsidRDefault="004C56AD" w:rsidP="00BC3653">
            <w:pPr>
              <w:spacing w:after="0"/>
              <w:jc w:val="center"/>
              <w:rPr>
                <w:b w:val="0"/>
                <w:bCs w:val="0"/>
                <w:sz w:val="22"/>
                <w:szCs w:val="22"/>
              </w:rPr>
            </w:pPr>
            <w:bookmarkStart w:id="1943" w:name="_Toc414888518"/>
            <w:bookmarkStart w:id="1944" w:name="_Toc451176705"/>
            <w:bookmarkStart w:id="1945" w:name="_Toc451180602"/>
            <w:r w:rsidRPr="00BC3653">
              <w:rPr>
                <w:b w:val="0"/>
                <w:bCs w:val="0"/>
                <w:sz w:val="22"/>
                <w:szCs w:val="22"/>
              </w:rPr>
              <w:t>BB to B-</w:t>
            </w:r>
            <w:r w:rsidRPr="00BC3653">
              <w:rPr>
                <w:b w:val="0"/>
                <w:bCs w:val="0"/>
                <w:sz w:val="22"/>
                <w:szCs w:val="22"/>
                <w:rtl/>
              </w:rPr>
              <w:t xml:space="preserve"> أو غير مصنفة</w:t>
            </w:r>
            <w:bookmarkEnd w:id="1943"/>
            <w:bookmarkEnd w:id="1944"/>
            <w:bookmarkEnd w:id="1945"/>
          </w:p>
        </w:tc>
        <w:tc>
          <w:tcPr>
            <w:tcW w:w="1085" w:type="pct"/>
          </w:tcPr>
          <w:p w:rsidR="004C56AD" w:rsidRPr="00BC3653" w:rsidRDefault="004C56AD" w:rsidP="00BC3653">
            <w:pPr>
              <w:spacing w:after="0"/>
              <w:jc w:val="center"/>
              <w:rPr>
                <w:b w:val="0"/>
                <w:bCs w:val="0"/>
                <w:sz w:val="22"/>
                <w:szCs w:val="22"/>
                <w:rtl/>
              </w:rPr>
            </w:pPr>
          </w:p>
        </w:tc>
        <w:tc>
          <w:tcPr>
            <w:tcW w:w="1222" w:type="pct"/>
            <w:vAlign w:val="center"/>
          </w:tcPr>
          <w:p w:rsidR="004C56AD" w:rsidRPr="00BC3653" w:rsidRDefault="004C56AD" w:rsidP="00BC3653">
            <w:pPr>
              <w:spacing w:after="0"/>
              <w:jc w:val="center"/>
              <w:rPr>
                <w:b w:val="0"/>
                <w:bCs w:val="0"/>
                <w:sz w:val="22"/>
                <w:szCs w:val="22"/>
                <w:rtl/>
              </w:rPr>
            </w:pPr>
            <w:bookmarkStart w:id="1946" w:name="_Toc414888519"/>
            <w:bookmarkStart w:id="1947" w:name="_Toc451176706"/>
            <w:bookmarkStart w:id="1948" w:name="_Toc451180603"/>
            <w:r w:rsidRPr="00BC3653">
              <w:rPr>
                <w:b w:val="0"/>
                <w:bCs w:val="0"/>
                <w:sz w:val="22"/>
                <w:szCs w:val="22"/>
                <w:rtl/>
              </w:rPr>
              <w:t>8</w:t>
            </w:r>
            <w:bookmarkEnd w:id="1946"/>
            <w:bookmarkEnd w:id="1947"/>
            <w:bookmarkEnd w:id="1948"/>
          </w:p>
        </w:tc>
      </w:tr>
      <w:tr w:rsidR="004C56AD" w:rsidRPr="00BC3653" w:rsidTr="00BC3653">
        <w:trPr>
          <w:trHeight w:val="20"/>
          <w:jc w:val="center"/>
        </w:trPr>
        <w:tc>
          <w:tcPr>
            <w:tcW w:w="1108" w:type="pct"/>
            <w:vMerge/>
            <w:vAlign w:val="center"/>
          </w:tcPr>
          <w:p w:rsidR="004C56AD" w:rsidRPr="00BC3653" w:rsidRDefault="004C56AD" w:rsidP="00BC3653">
            <w:pPr>
              <w:spacing w:after="0"/>
              <w:rPr>
                <w:sz w:val="22"/>
                <w:szCs w:val="22"/>
                <w:rtl/>
              </w:rPr>
            </w:pPr>
          </w:p>
        </w:tc>
        <w:tc>
          <w:tcPr>
            <w:tcW w:w="1585" w:type="pct"/>
            <w:vAlign w:val="center"/>
          </w:tcPr>
          <w:p w:rsidR="004C56AD" w:rsidRPr="00BC3653" w:rsidRDefault="004C56AD" w:rsidP="00BC3653">
            <w:pPr>
              <w:spacing w:after="0"/>
              <w:jc w:val="center"/>
              <w:rPr>
                <w:b w:val="0"/>
                <w:bCs w:val="0"/>
                <w:sz w:val="22"/>
                <w:szCs w:val="22"/>
              </w:rPr>
            </w:pPr>
            <w:bookmarkStart w:id="1949" w:name="_Toc414888520"/>
            <w:bookmarkStart w:id="1950" w:name="_Toc451176707"/>
            <w:bookmarkStart w:id="1951" w:name="_Toc451180604"/>
            <w:r w:rsidRPr="00BC3653">
              <w:rPr>
                <w:b w:val="0"/>
                <w:bCs w:val="0"/>
                <w:sz w:val="22"/>
                <w:szCs w:val="22"/>
                <w:rtl/>
              </w:rPr>
              <w:t xml:space="preserve">أقل من </w:t>
            </w:r>
            <w:r w:rsidRPr="00BC3653">
              <w:rPr>
                <w:b w:val="0"/>
                <w:bCs w:val="0"/>
                <w:sz w:val="22"/>
                <w:szCs w:val="22"/>
              </w:rPr>
              <w:t>B-</w:t>
            </w:r>
            <w:bookmarkEnd w:id="1949"/>
            <w:bookmarkEnd w:id="1950"/>
            <w:bookmarkEnd w:id="1951"/>
          </w:p>
        </w:tc>
        <w:tc>
          <w:tcPr>
            <w:tcW w:w="1085" w:type="pct"/>
          </w:tcPr>
          <w:p w:rsidR="004C56AD" w:rsidRPr="00BC3653" w:rsidRDefault="004C56AD" w:rsidP="00BC3653">
            <w:pPr>
              <w:spacing w:after="0"/>
              <w:jc w:val="center"/>
              <w:rPr>
                <w:b w:val="0"/>
                <w:bCs w:val="0"/>
                <w:sz w:val="22"/>
                <w:szCs w:val="22"/>
                <w:rtl/>
              </w:rPr>
            </w:pPr>
          </w:p>
        </w:tc>
        <w:tc>
          <w:tcPr>
            <w:tcW w:w="1222" w:type="pct"/>
            <w:vAlign w:val="center"/>
          </w:tcPr>
          <w:p w:rsidR="004C56AD" w:rsidRPr="00BC3653" w:rsidRDefault="004C56AD" w:rsidP="00BC3653">
            <w:pPr>
              <w:spacing w:after="0"/>
              <w:jc w:val="center"/>
              <w:rPr>
                <w:b w:val="0"/>
                <w:bCs w:val="0"/>
                <w:sz w:val="22"/>
                <w:szCs w:val="22"/>
                <w:rtl/>
              </w:rPr>
            </w:pPr>
            <w:bookmarkStart w:id="1952" w:name="_Toc414888521"/>
            <w:bookmarkStart w:id="1953" w:name="_Toc451176708"/>
            <w:bookmarkStart w:id="1954" w:name="_Toc451180605"/>
            <w:r w:rsidRPr="00BC3653">
              <w:rPr>
                <w:b w:val="0"/>
                <w:bCs w:val="0"/>
                <w:sz w:val="22"/>
                <w:szCs w:val="22"/>
                <w:rtl/>
              </w:rPr>
              <w:t>12</w:t>
            </w:r>
            <w:bookmarkEnd w:id="1952"/>
            <w:bookmarkEnd w:id="1953"/>
            <w:bookmarkEnd w:id="1954"/>
          </w:p>
        </w:tc>
      </w:tr>
      <w:tr w:rsidR="000B168B" w:rsidRPr="00BC3653" w:rsidTr="00BC3653">
        <w:trPr>
          <w:trHeight w:val="20"/>
          <w:jc w:val="center"/>
        </w:trPr>
        <w:tc>
          <w:tcPr>
            <w:tcW w:w="1108" w:type="pct"/>
            <w:vMerge w:val="restart"/>
            <w:vAlign w:val="center"/>
          </w:tcPr>
          <w:p w:rsidR="000B168B" w:rsidRPr="00BC3653" w:rsidRDefault="000B168B" w:rsidP="00BC3653">
            <w:pPr>
              <w:spacing w:after="0"/>
              <w:jc w:val="center"/>
              <w:rPr>
                <w:sz w:val="22"/>
                <w:szCs w:val="22"/>
                <w:rtl/>
              </w:rPr>
            </w:pPr>
            <w:bookmarkStart w:id="1955" w:name="_Toc414888522"/>
            <w:bookmarkStart w:id="1956" w:name="_Toc451176709"/>
            <w:bookmarkStart w:id="1957" w:name="_Toc451180606"/>
            <w:r w:rsidRPr="00BC3653">
              <w:rPr>
                <w:sz w:val="22"/>
                <w:szCs w:val="22"/>
                <w:rtl/>
              </w:rPr>
              <w:t>الأوراق المالية المؤهلة</w:t>
            </w:r>
            <w:bookmarkEnd w:id="1955"/>
            <w:bookmarkEnd w:id="1956"/>
            <w:bookmarkEnd w:id="1957"/>
          </w:p>
        </w:tc>
        <w:tc>
          <w:tcPr>
            <w:tcW w:w="1585" w:type="pct"/>
            <w:vMerge w:val="restart"/>
            <w:vAlign w:val="center"/>
          </w:tcPr>
          <w:p w:rsidR="000B168B" w:rsidRPr="00BC3653" w:rsidRDefault="000B168B" w:rsidP="00BC3653">
            <w:pPr>
              <w:spacing w:after="0"/>
              <w:jc w:val="center"/>
              <w:rPr>
                <w:b w:val="0"/>
                <w:bCs w:val="0"/>
                <w:sz w:val="22"/>
                <w:szCs w:val="22"/>
                <w:rtl/>
              </w:rPr>
            </w:pPr>
          </w:p>
        </w:tc>
        <w:tc>
          <w:tcPr>
            <w:tcW w:w="1085" w:type="pct"/>
            <w:tcBorders>
              <w:bottom w:val="single" w:sz="4" w:space="0" w:color="auto"/>
            </w:tcBorders>
          </w:tcPr>
          <w:p w:rsidR="000B168B" w:rsidRPr="00BC3653" w:rsidRDefault="000B168B" w:rsidP="00BC3653">
            <w:pPr>
              <w:spacing w:after="0"/>
              <w:jc w:val="center"/>
              <w:rPr>
                <w:b w:val="0"/>
                <w:bCs w:val="0"/>
                <w:sz w:val="22"/>
                <w:szCs w:val="22"/>
                <w:rtl/>
              </w:rPr>
            </w:pPr>
            <w:bookmarkStart w:id="1958" w:name="_Toc414888523"/>
            <w:bookmarkStart w:id="1959" w:name="_Toc451176710"/>
            <w:bookmarkStart w:id="1960" w:name="_Toc451180607"/>
            <w:r w:rsidRPr="00BC3653">
              <w:rPr>
                <w:b w:val="0"/>
                <w:bCs w:val="0"/>
                <w:sz w:val="22"/>
                <w:szCs w:val="22"/>
                <w:rtl/>
              </w:rPr>
              <w:t>6 أشهر أو اقل</w:t>
            </w:r>
            <w:bookmarkEnd w:id="1958"/>
            <w:bookmarkEnd w:id="1959"/>
            <w:bookmarkEnd w:id="1960"/>
          </w:p>
        </w:tc>
        <w:tc>
          <w:tcPr>
            <w:tcW w:w="1222" w:type="pct"/>
            <w:tcBorders>
              <w:bottom w:val="single" w:sz="4" w:space="0" w:color="auto"/>
            </w:tcBorders>
            <w:vAlign w:val="center"/>
          </w:tcPr>
          <w:p w:rsidR="000B168B" w:rsidRPr="00BC3653" w:rsidRDefault="000B168B" w:rsidP="00BC3653">
            <w:pPr>
              <w:spacing w:after="0"/>
              <w:jc w:val="center"/>
              <w:rPr>
                <w:b w:val="0"/>
                <w:bCs w:val="0"/>
                <w:sz w:val="22"/>
                <w:szCs w:val="22"/>
                <w:rtl/>
              </w:rPr>
            </w:pPr>
            <w:bookmarkStart w:id="1961" w:name="_Toc414888526"/>
            <w:bookmarkStart w:id="1962" w:name="_Toc451176713"/>
            <w:bookmarkStart w:id="1963" w:name="_Toc451180610"/>
            <w:r w:rsidRPr="00BC3653">
              <w:rPr>
                <w:b w:val="0"/>
                <w:bCs w:val="0"/>
                <w:sz w:val="22"/>
                <w:szCs w:val="22"/>
                <w:rtl/>
              </w:rPr>
              <w:t>0.25</w:t>
            </w:r>
            <w:bookmarkEnd w:id="1961"/>
            <w:bookmarkEnd w:id="1962"/>
            <w:bookmarkEnd w:id="1963"/>
          </w:p>
        </w:tc>
      </w:tr>
      <w:tr w:rsidR="000B168B" w:rsidRPr="00BC3653" w:rsidTr="00BC3653">
        <w:trPr>
          <w:trHeight w:val="432"/>
          <w:jc w:val="center"/>
        </w:trPr>
        <w:tc>
          <w:tcPr>
            <w:tcW w:w="1108" w:type="pct"/>
            <w:vMerge/>
            <w:vAlign w:val="center"/>
          </w:tcPr>
          <w:p w:rsidR="000B168B" w:rsidRPr="00BC3653" w:rsidRDefault="000B168B" w:rsidP="00BC3653">
            <w:pPr>
              <w:spacing w:after="0"/>
              <w:rPr>
                <w:sz w:val="22"/>
                <w:szCs w:val="22"/>
                <w:rtl/>
              </w:rPr>
            </w:pPr>
          </w:p>
        </w:tc>
        <w:tc>
          <w:tcPr>
            <w:tcW w:w="1585" w:type="pct"/>
            <w:vMerge/>
            <w:vAlign w:val="center"/>
          </w:tcPr>
          <w:p w:rsidR="000B168B" w:rsidRPr="00BC3653" w:rsidRDefault="000B168B" w:rsidP="00BC3653">
            <w:pPr>
              <w:spacing w:after="0"/>
              <w:jc w:val="center"/>
              <w:rPr>
                <w:b w:val="0"/>
                <w:bCs w:val="0"/>
                <w:sz w:val="22"/>
                <w:szCs w:val="22"/>
                <w:rtl/>
              </w:rPr>
            </w:pPr>
          </w:p>
        </w:tc>
        <w:tc>
          <w:tcPr>
            <w:tcW w:w="1085" w:type="pct"/>
            <w:tcBorders>
              <w:top w:val="single" w:sz="4" w:space="0" w:color="auto"/>
              <w:bottom w:val="single" w:sz="4" w:space="0" w:color="auto"/>
            </w:tcBorders>
          </w:tcPr>
          <w:p w:rsidR="000B168B" w:rsidRPr="00BC3653" w:rsidRDefault="000B168B" w:rsidP="00BC3653">
            <w:pPr>
              <w:spacing w:after="0"/>
              <w:jc w:val="center"/>
              <w:rPr>
                <w:b w:val="0"/>
                <w:bCs w:val="0"/>
                <w:sz w:val="22"/>
                <w:szCs w:val="22"/>
                <w:rtl/>
              </w:rPr>
            </w:pPr>
            <w:bookmarkStart w:id="1964" w:name="_Toc414888524"/>
            <w:bookmarkStart w:id="1965" w:name="_Toc451176711"/>
            <w:bookmarkStart w:id="1966" w:name="_Toc451180608"/>
            <w:r w:rsidRPr="00BC3653">
              <w:rPr>
                <w:b w:val="0"/>
                <w:bCs w:val="0"/>
                <w:sz w:val="22"/>
                <w:szCs w:val="22"/>
                <w:rtl/>
              </w:rPr>
              <w:t>أكثر من 6 أشهر ولغاية 24 شهر</w:t>
            </w:r>
            <w:bookmarkEnd w:id="1964"/>
            <w:bookmarkEnd w:id="1965"/>
            <w:bookmarkEnd w:id="1966"/>
          </w:p>
        </w:tc>
        <w:tc>
          <w:tcPr>
            <w:tcW w:w="1222" w:type="pct"/>
            <w:tcBorders>
              <w:top w:val="single" w:sz="4" w:space="0" w:color="auto"/>
            </w:tcBorders>
            <w:vAlign w:val="center"/>
          </w:tcPr>
          <w:p w:rsidR="000B168B" w:rsidRPr="00BC3653" w:rsidRDefault="000B168B" w:rsidP="00BC3653">
            <w:pPr>
              <w:spacing w:after="0"/>
              <w:jc w:val="center"/>
              <w:rPr>
                <w:b w:val="0"/>
                <w:bCs w:val="0"/>
                <w:sz w:val="22"/>
                <w:szCs w:val="22"/>
                <w:rtl/>
              </w:rPr>
            </w:pPr>
            <w:bookmarkStart w:id="1967" w:name="_Toc414888527"/>
            <w:bookmarkStart w:id="1968" w:name="_Toc451176714"/>
            <w:bookmarkStart w:id="1969" w:name="_Toc451180611"/>
            <w:r w:rsidRPr="00BC3653">
              <w:rPr>
                <w:b w:val="0"/>
                <w:bCs w:val="0"/>
                <w:sz w:val="22"/>
                <w:szCs w:val="22"/>
                <w:rtl/>
              </w:rPr>
              <w:t>1</w:t>
            </w:r>
            <w:bookmarkEnd w:id="1967"/>
            <w:bookmarkEnd w:id="1968"/>
            <w:bookmarkEnd w:id="1969"/>
          </w:p>
        </w:tc>
      </w:tr>
      <w:tr w:rsidR="000B168B" w:rsidRPr="00BC3653" w:rsidTr="00BC3653">
        <w:trPr>
          <w:trHeight w:val="274"/>
          <w:jc w:val="center"/>
        </w:trPr>
        <w:tc>
          <w:tcPr>
            <w:tcW w:w="1108" w:type="pct"/>
            <w:vMerge/>
            <w:vAlign w:val="center"/>
          </w:tcPr>
          <w:p w:rsidR="000B168B" w:rsidRPr="00BC3653" w:rsidRDefault="000B168B" w:rsidP="00BC3653">
            <w:pPr>
              <w:spacing w:after="0"/>
              <w:rPr>
                <w:sz w:val="22"/>
                <w:szCs w:val="22"/>
                <w:rtl/>
              </w:rPr>
            </w:pPr>
          </w:p>
        </w:tc>
        <w:tc>
          <w:tcPr>
            <w:tcW w:w="1585" w:type="pct"/>
            <w:vMerge/>
            <w:vAlign w:val="center"/>
          </w:tcPr>
          <w:p w:rsidR="000B168B" w:rsidRPr="00BC3653" w:rsidRDefault="000B168B" w:rsidP="00BC3653">
            <w:pPr>
              <w:spacing w:after="0"/>
              <w:jc w:val="center"/>
              <w:rPr>
                <w:b w:val="0"/>
                <w:bCs w:val="0"/>
                <w:sz w:val="22"/>
                <w:szCs w:val="22"/>
                <w:rtl/>
              </w:rPr>
            </w:pPr>
          </w:p>
        </w:tc>
        <w:tc>
          <w:tcPr>
            <w:tcW w:w="1085" w:type="pct"/>
            <w:tcBorders>
              <w:top w:val="single" w:sz="4" w:space="0" w:color="auto"/>
            </w:tcBorders>
          </w:tcPr>
          <w:p w:rsidR="000B168B" w:rsidRPr="00BC3653" w:rsidRDefault="000B168B" w:rsidP="00BC3653">
            <w:pPr>
              <w:spacing w:after="0"/>
              <w:jc w:val="center"/>
              <w:rPr>
                <w:b w:val="0"/>
                <w:bCs w:val="0"/>
                <w:sz w:val="22"/>
                <w:szCs w:val="22"/>
                <w:rtl/>
              </w:rPr>
            </w:pPr>
            <w:bookmarkStart w:id="1970" w:name="_Toc414888525"/>
            <w:bookmarkStart w:id="1971" w:name="_Toc451176712"/>
            <w:bookmarkStart w:id="1972" w:name="_Toc451180609"/>
            <w:r w:rsidRPr="00BC3653">
              <w:rPr>
                <w:b w:val="0"/>
                <w:bCs w:val="0"/>
                <w:sz w:val="22"/>
                <w:szCs w:val="22"/>
                <w:rtl/>
              </w:rPr>
              <w:t>أكثر من 24 شهر</w:t>
            </w:r>
            <w:bookmarkEnd w:id="1970"/>
            <w:bookmarkEnd w:id="1971"/>
            <w:bookmarkEnd w:id="1972"/>
          </w:p>
        </w:tc>
        <w:tc>
          <w:tcPr>
            <w:tcW w:w="1222" w:type="pct"/>
            <w:vAlign w:val="center"/>
          </w:tcPr>
          <w:p w:rsidR="000B168B" w:rsidRPr="00BC3653" w:rsidRDefault="000B168B" w:rsidP="00BC3653">
            <w:pPr>
              <w:spacing w:after="0"/>
              <w:jc w:val="center"/>
              <w:rPr>
                <w:b w:val="0"/>
                <w:bCs w:val="0"/>
                <w:sz w:val="22"/>
                <w:szCs w:val="22"/>
                <w:rtl/>
              </w:rPr>
            </w:pPr>
            <w:bookmarkStart w:id="1973" w:name="_Toc414888528"/>
            <w:bookmarkStart w:id="1974" w:name="_Toc451176715"/>
            <w:bookmarkStart w:id="1975" w:name="_Toc451180612"/>
            <w:r w:rsidRPr="00BC3653">
              <w:rPr>
                <w:b w:val="0"/>
                <w:bCs w:val="0"/>
                <w:sz w:val="22"/>
                <w:szCs w:val="22"/>
                <w:rtl/>
              </w:rPr>
              <w:t>1.6</w:t>
            </w:r>
            <w:bookmarkEnd w:id="1973"/>
            <w:bookmarkEnd w:id="1974"/>
            <w:bookmarkEnd w:id="1975"/>
          </w:p>
        </w:tc>
      </w:tr>
      <w:tr w:rsidR="00EF32A4" w:rsidRPr="00BC3653" w:rsidTr="00BC3653">
        <w:trPr>
          <w:trHeight w:val="480"/>
          <w:jc w:val="center"/>
        </w:trPr>
        <w:tc>
          <w:tcPr>
            <w:tcW w:w="1108" w:type="pct"/>
            <w:vMerge w:val="restart"/>
            <w:vAlign w:val="center"/>
          </w:tcPr>
          <w:p w:rsidR="00EF32A4" w:rsidRPr="00BC3653" w:rsidRDefault="00EF32A4" w:rsidP="00BC3653">
            <w:pPr>
              <w:spacing w:after="0"/>
              <w:jc w:val="center"/>
              <w:rPr>
                <w:sz w:val="22"/>
                <w:szCs w:val="22"/>
                <w:rtl/>
              </w:rPr>
            </w:pPr>
            <w:bookmarkStart w:id="1976" w:name="_Toc414888529"/>
            <w:bookmarkStart w:id="1977" w:name="_Toc451176716"/>
            <w:bookmarkStart w:id="1978" w:name="_Toc451180613"/>
            <w:r w:rsidRPr="00BC3653">
              <w:rPr>
                <w:sz w:val="22"/>
                <w:szCs w:val="22"/>
                <w:rtl/>
              </w:rPr>
              <w:t>أوراق مالية أخرى</w:t>
            </w:r>
            <w:bookmarkEnd w:id="1976"/>
            <w:bookmarkEnd w:id="1977"/>
            <w:bookmarkEnd w:id="1978"/>
          </w:p>
        </w:tc>
        <w:tc>
          <w:tcPr>
            <w:tcW w:w="1585" w:type="pct"/>
            <w:vAlign w:val="center"/>
          </w:tcPr>
          <w:p w:rsidR="00EF32A4" w:rsidRPr="00BC3653" w:rsidRDefault="00EF32A4" w:rsidP="00BC3653">
            <w:pPr>
              <w:spacing w:after="0"/>
              <w:jc w:val="center"/>
              <w:rPr>
                <w:b w:val="0"/>
                <w:bCs w:val="0"/>
                <w:sz w:val="22"/>
                <w:szCs w:val="22"/>
              </w:rPr>
            </w:pPr>
            <w:bookmarkStart w:id="1979" w:name="_Toc414888530"/>
            <w:bookmarkStart w:id="1980" w:name="_Toc451176717"/>
            <w:bookmarkStart w:id="1981" w:name="_Toc451180614"/>
            <w:r w:rsidRPr="00BC3653">
              <w:rPr>
                <w:b w:val="0"/>
                <w:bCs w:val="0"/>
                <w:sz w:val="22"/>
                <w:szCs w:val="22"/>
              </w:rPr>
              <w:t>BB+ to BB-</w:t>
            </w:r>
            <w:r w:rsidRPr="00BC3653">
              <w:rPr>
                <w:rFonts w:hint="cs"/>
                <w:b w:val="0"/>
                <w:bCs w:val="0"/>
                <w:sz w:val="22"/>
                <w:szCs w:val="22"/>
                <w:rtl/>
              </w:rPr>
              <w:t xml:space="preserve"> </w:t>
            </w:r>
            <w:r w:rsidRPr="00BC3653">
              <w:rPr>
                <w:b w:val="0"/>
                <w:bCs w:val="0"/>
                <w:sz w:val="22"/>
                <w:szCs w:val="22"/>
                <w:rtl/>
              </w:rPr>
              <w:t>أو</w:t>
            </w:r>
            <w:r w:rsidRPr="00BC3653">
              <w:rPr>
                <w:rFonts w:hint="cs"/>
                <w:b w:val="0"/>
                <w:bCs w:val="0"/>
                <w:sz w:val="22"/>
                <w:szCs w:val="22"/>
                <w:rtl/>
              </w:rPr>
              <w:t xml:space="preserve"> </w:t>
            </w:r>
            <w:r w:rsidRPr="00BC3653">
              <w:rPr>
                <w:b w:val="0"/>
                <w:bCs w:val="0"/>
                <w:sz w:val="22"/>
                <w:szCs w:val="22"/>
                <w:rtl/>
              </w:rPr>
              <w:t>غير</w:t>
            </w:r>
            <w:r w:rsidRPr="00BC3653">
              <w:rPr>
                <w:rFonts w:hint="cs"/>
                <w:b w:val="0"/>
                <w:bCs w:val="0"/>
                <w:sz w:val="22"/>
                <w:szCs w:val="22"/>
                <w:rtl/>
              </w:rPr>
              <w:t xml:space="preserve"> </w:t>
            </w:r>
            <w:r w:rsidRPr="00BC3653">
              <w:rPr>
                <w:b w:val="0"/>
                <w:bCs w:val="0"/>
                <w:sz w:val="22"/>
                <w:szCs w:val="22"/>
                <w:rtl/>
              </w:rPr>
              <w:t>مصنفة</w:t>
            </w:r>
            <w:bookmarkEnd w:id="1979"/>
            <w:bookmarkEnd w:id="1980"/>
            <w:bookmarkEnd w:id="1981"/>
          </w:p>
        </w:tc>
        <w:tc>
          <w:tcPr>
            <w:tcW w:w="1085" w:type="pct"/>
            <w:vMerge w:val="restart"/>
          </w:tcPr>
          <w:p w:rsidR="00EF32A4" w:rsidRPr="00BC3653" w:rsidRDefault="00EF32A4" w:rsidP="00BC3653">
            <w:pPr>
              <w:spacing w:after="0"/>
              <w:jc w:val="center"/>
              <w:rPr>
                <w:b w:val="0"/>
                <w:bCs w:val="0"/>
                <w:sz w:val="22"/>
                <w:szCs w:val="22"/>
                <w:rtl/>
              </w:rPr>
            </w:pPr>
          </w:p>
        </w:tc>
        <w:tc>
          <w:tcPr>
            <w:tcW w:w="1222" w:type="pct"/>
            <w:vAlign w:val="center"/>
          </w:tcPr>
          <w:p w:rsidR="00EF32A4" w:rsidRPr="00BC3653" w:rsidRDefault="00EF32A4" w:rsidP="00BC3653">
            <w:pPr>
              <w:spacing w:after="0"/>
              <w:jc w:val="center"/>
              <w:rPr>
                <w:b w:val="0"/>
                <w:bCs w:val="0"/>
                <w:sz w:val="22"/>
                <w:szCs w:val="22"/>
                <w:rtl/>
              </w:rPr>
            </w:pPr>
            <w:bookmarkStart w:id="1982" w:name="_Toc414888532"/>
            <w:bookmarkStart w:id="1983" w:name="_Toc451176719"/>
            <w:bookmarkStart w:id="1984" w:name="_Toc451180616"/>
            <w:r w:rsidRPr="00BC3653">
              <w:rPr>
                <w:b w:val="0"/>
                <w:bCs w:val="0"/>
                <w:sz w:val="22"/>
                <w:szCs w:val="22"/>
                <w:rtl/>
              </w:rPr>
              <w:t>8</w:t>
            </w:r>
            <w:bookmarkEnd w:id="1982"/>
            <w:bookmarkEnd w:id="1983"/>
            <w:bookmarkEnd w:id="1984"/>
          </w:p>
        </w:tc>
      </w:tr>
      <w:tr w:rsidR="00EF32A4" w:rsidRPr="00BC3653" w:rsidTr="00BC3653">
        <w:trPr>
          <w:trHeight w:val="432"/>
          <w:jc w:val="center"/>
        </w:trPr>
        <w:tc>
          <w:tcPr>
            <w:tcW w:w="1108" w:type="pct"/>
            <w:vMerge/>
            <w:vAlign w:val="center"/>
          </w:tcPr>
          <w:p w:rsidR="00EF32A4" w:rsidRPr="00BC3653" w:rsidRDefault="00EF32A4" w:rsidP="00BC3653">
            <w:pPr>
              <w:spacing w:after="0"/>
              <w:rPr>
                <w:sz w:val="22"/>
                <w:szCs w:val="22"/>
                <w:rtl/>
              </w:rPr>
            </w:pPr>
          </w:p>
        </w:tc>
        <w:tc>
          <w:tcPr>
            <w:tcW w:w="1585" w:type="pct"/>
            <w:vAlign w:val="center"/>
          </w:tcPr>
          <w:p w:rsidR="00EF32A4" w:rsidRPr="00BC3653" w:rsidRDefault="00EF32A4" w:rsidP="00BC3653">
            <w:pPr>
              <w:spacing w:after="0"/>
              <w:jc w:val="center"/>
              <w:rPr>
                <w:b w:val="0"/>
                <w:bCs w:val="0"/>
                <w:sz w:val="22"/>
                <w:szCs w:val="22"/>
              </w:rPr>
            </w:pPr>
            <w:bookmarkStart w:id="1985" w:name="_Toc414888531"/>
            <w:bookmarkStart w:id="1986" w:name="_Toc451176718"/>
            <w:bookmarkStart w:id="1987" w:name="_Toc451180615"/>
            <w:r w:rsidRPr="00BC3653">
              <w:rPr>
                <w:b w:val="0"/>
                <w:bCs w:val="0"/>
                <w:sz w:val="22"/>
                <w:szCs w:val="22"/>
                <w:rtl/>
              </w:rPr>
              <w:t xml:space="preserve">أقل من </w:t>
            </w:r>
            <w:r w:rsidRPr="00BC3653">
              <w:rPr>
                <w:b w:val="0"/>
                <w:bCs w:val="0"/>
                <w:sz w:val="22"/>
                <w:szCs w:val="22"/>
              </w:rPr>
              <w:t>BB-</w:t>
            </w:r>
            <w:bookmarkEnd w:id="1985"/>
            <w:bookmarkEnd w:id="1986"/>
            <w:bookmarkEnd w:id="1987"/>
          </w:p>
        </w:tc>
        <w:tc>
          <w:tcPr>
            <w:tcW w:w="1085" w:type="pct"/>
            <w:vMerge/>
          </w:tcPr>
          <w:p w:rsidR="00EF32A4" w:rsidRPr="00BC3653" w:rsidRDefault="00EF32A4" w:rsidP="00BC3653">
            <w:pPr>
              <w:spacing w:after="0"/>
              <w:jc w:val="center"/>
              <w:rPr>
                <w:b w:val="0"/>
                <w:bCs w:val="0"/>
                <w:sz w:val="22"/>
                <w:szCs w:val="22"/>
                <w:rtl/>
              </w:rPr>
            </w:pPr>
          </w:p>
        </w:tc>
        <w:tc>
          <w:tcPr>
            <w:tcW w:w="1222" w:type="pct"/>
            <w:vAlign w:val="center"/>
          </w:tcPr>
          <w:p w:rsidR="00EF32A4" w:rsidRPr="00BC3653" w:rsidRDefault="00EF32A4" w:rsidP="00BC3653">
            <w:pPr>
              <w:spacing w:after="0"/>
              <w:jc w:val="center"/>
              <w:rPr>
                <w:b w:val="0"/>
                <w:bCs w:val="0"/>
                <w:sz w:val="22"/>
                <w:szCs w:val="22"/>
                <w:rtl/>
              </w:rPr>
            </w:pPr>
            <w:bookmarkStart w:id="1988" w:name="_Toc414888533"/>
            <w:bookmarkStart w:id="1989" w:name="_Toc451176720"/>
            <w:bookmarkStart w:id="1990" w:name="_Toc451180617"/>
            <w:r w:rsidRPr="00BC3653">
              <w:rPr>
                <w:b w:val="0"/>
                <w:bCs w:val="0"/>
                <w:sz w:val="22"/>
                <w:szCs w:val="22"/>
                <w:rtl/>
              </w:rPr>
              <w:t>12</w:t>
            </w:r>
            <w:bookmarkEnd w:id="1988"/>
            <w:bookmarkEnd w:id="1989"/>
            <w:bookmarkEnd w:id="1990"/>
          </w:p>
        </w:tc>
      </w:tr>
    </w:tbl>
    <w:p w:rsidR="00B259A6" w:rsidRPr="000B168B" w:rsidRDefault="0060323C" w:rsidP="002F28A0">
      <w:pPr>
        <w:spacing w:line="276" w:lineRule="auto"/>
        <w:ind w:left="708" w:hanging="425"/>
      </w:pPr>
      <w:bookmarkStart w:id="1991" w:name="_Toc451176721"/>
      <w:bookmarkStart w:id="1992" w:name="_Toc451180618"/>
      <w:r>
        <w:rPr>
          <w:rtl/>
        </w:rPr>
        <w:lastRenderedPageBreak/>
        <w:t>10.</w:t>
      </w:r>
      <w:r>
        <w:rPr>
          <w:rFonts w:hint="cs"/>
          <w:rtl/>
        </w:rPr>
        <w:t xml:space="preserve"> </w:t>
      </w:r>
      <w:r w:rsidR="00B259A6" w:rsidRPr="000B168B">
        <w:rPr>
          <w:rtl/>
        </w:rPr>
        <w:t>المخاطر العامة (</w:t>
      </w:r>
      <w:r w:rsidR="00B259A6" w:rsidRPr="000B168B">
        <w:t>General Risk</w:t>
      </w:r>
      <w:r w:rsidR="00B259A6" w:rsidRPr="000B168B">
        <w:rPr>
          <w:rtl/>
        </w:rPr>
        <w:t>): وتمثل مخاطر الخسائر التي يتعرض لها البنك بسبب التغيرات التي قد تحدث في أسعار الفائدة السائدة في السوق واثر ذلك على قيمة الأدوات المالية.</w:t>
      </w:r>
      <w:bookmarkEnd w:id="1991"/>
      <w:bookmarkEnd w:id="1992"/>
    </w:p>
    <w:p w:rsidR="00B259A6" w:rsidRPr="008F60C0" w:rsidRDefault="00B259A6" w:rsidP="005A5C26">
      <w:pPr>
        <w:ind w:left="1275" w:hanging="709"/>
        <w:rPr>
          <w:b w:val="0"/>
          <w:bCs w:val="0"/>
          <w:rtl/>
        </w:rPr>
      </w:pPr>
      <w:bookmarkStart w:id="1993" w:name="_Toc414888535"/>
      <w:bookmarkStart w:id="1994" w:name="_Toc451176722"/>
      <w:bookmarkStart w:id="1995" w:name="_Toc451180619"/>
      <w:r w:rsidRPr="008F60C0">
        <w:rPr>
          <w:b w:val="0"/>
          <w:bCs w:val="0"/>
          <w:rtl/>
        </w:rPr>
        <w:t>1.10</w:t>
      </w:r>
      <w:r w:rsidR="000B168B">
        <w:rPr>
          <w:rFonts w:hint="cs"/>
          <w:b w:val="0"/>
          <w:bCs w:val="0"/>
          <w:rtl/>
        </w:rPr>
        <w:t>.</w:t>
      </w:r>
      <w:r w:rsidRPr="008F60C0">
        <w:rPr>
          <w:b w:val="0"/>
          <w:bCs w:val="0"/>
          <w:rtl/>
        </w:rPr>
        <w:tab/>
        <w:t>سيتم اعتماد طريقة الاستحقاق (</w:t>
      </w:r>
      <w:r w:rsidRPr="008F60C0">
        <w:rPr>
          <w:b w:val="0"/>
          <w:bCs w:val="0"/>
        </w:rPr>
        <w:t>Maturity Method</w:t>
      </w:r>
      <w:r w:rsidRPr="008F60C0">
        <w:rPr>
          <w:b w:val="0"/>
          <w:bCs w:val="0"/>
          <w:rtl/>
        </w:rPr>
        <w:t>) لأغراض احتساب المخاطر العامة والتي يتم فيها توزيع المراكز التي تتعرض لمخاطر سعر الفائدة على (13) فئة زمنية.</w:t>
      </w:r>
      <w:bookmarkEnd w:id="1993"/>
      <w:bookmarkEnd w:id="1994"/>
      <w:bookmarkEnd w:id="1995"/>
    </w:p>
    <w:p w:rsidR="00B259A6" w:rsidRPr="008F60C0" w:rsidRDefault="00B259A6" w:rsidP="0016569E">
      <w:pPr>
        <w:spacing w:after="0"/>
        <w:ind w:left="2126" w:hanging="851"/>
        <w:rPr>
          <w:b w:val="0"/>
          <w:bCs w:val="0"/>
        </w:rPr>
      </w:pPr>
      <w:bookmarkStart w:id="1996" w:name="_Toc414888536"/>
      <w:bookmarkStart w:id="1997" w:name="_Toc451176723"/>
      <w:bookmarkStart w:id="1998" w:name="_Toc451180620"/>
      <w:r w:rsidRPr="008F60C0">
        <w:rPr>
          <w:b w:val="0"/>
          <w:bCs w:val="0"/>
          <w:rtl/>
        </w:rPr>
        <w:t>1.1.10</w:t>
      </w:r>
      <w:r w:rsidR="000B168B">
        <w:rPr>
          <w:rFonts w:hint="cs"/>
          <w:b w:val="0"/>
          <w:bCs w:val="0"/>
          <w:rtl/>
        </w:rPr>
        <w:t>.</w:t>
      </w:r>
      <w:r w:rsidRPr="008F60C0">
        <w:rPr>
          <w:b w:val="0"/>
          <w:bCs w:val="0"/>
          <w:rtl/>
        </w:rPr>
        <w:tab/>
        <w:t xml:space="preserve">تقسم أدوات الدين حسب سعر الفائدة الذي تحمله إلى فئتين الأولى: أدوات </w:t>
      </w:r>
      <w:r w:rsidR="00CF7E7E" w:rsidRPr="008F60C0">
        <w:rPr>
          <w:b w:val="0"/>
          <w:bCs w:val="0"/>
          <w:rtl/>
        </w:rPr>
        <w:t>دين تحمل سعر فائدة يزيد عن (3%)</w:t>
      </w:r>
      <w:r w:rsidRPr="008F60C0">
        <w:rPr>
          <w:b w:val="0"/>
          <w:bCs w:val="0"/>
          <w:rtl/>
        </w:rPr>
        <w:t>، والثانية : أدوات دين تحمل سعر فائدة يقل عن (3%) كما هو موضح في الملحق رقم (</w:t>
      </w:r>
      <w:r w:rsidR="0016569E">
        <w:rPr>
          <w:rFonts w:hint="cs"/>
          <w:b w:val="0"/>
          <w:bCs w:val="0"/>
          <w:rtl/>
        </w:rPr>
        <w:t>16</w:t>
      </w:r>
      <w:r w:rsidRPr="008F60C0">
        <w:rPr>
          <w:b w:val="0"/>
          <w:bCs w:val="0"/>
          <w:rtl/>
        </w:rPr>
        <w:t xml:space="preserve">) [علماً بأن طريقة الاحتساب مبينة في </w:t>
      </w:r>
      <w:r w:rsidR="00B668FC" w:rsidRPr="008F60C0">
        <w:rPr>
          <w:b w:val="0"/>
          <w:bCs w:val="0"/>
          <w:rtl/>
        </w:rPr>
        <w:t>الملحقين</w:t>
      </w:r>
      <w:r w:rsidRPr="008F60C0">
        <w:rPr>
          <w:b w:val="0"/>
          <w:bCs w:val="0"/>
          <w:rtl/>
        </w:rPr>
        <w:t xml:space="preserve"> رقم (</w:t>
      </w:r>
      <w:r w:rsidR="0016569E">
        <w:rPr>
          <w:rFonts w:hint="cs"/>
          <w:b w:val="0"/>
          <w:bCs w:val="0"/>
          <w:rtl/>
        </w:rPr>
        <w:t>17</w:t>
      </w:r>
      <w:r w:rsidRPr="008F60C0">
        <w:rPr>
          <w:b w:val="0"/>
          <w:bCs w:val="0"/>
          <w:rtl/>
        </w:rPr>
        <w:t>/أ) ورقم (</w:t>
      </w:r>
      <w:r w:rsidR="0016569E">
        <w:rPr>
          <w:rFonts w:hint="cs"/>
          <w:b w:val="0"/>
          <w:bCs w:val="0"/>
          <w:rtl/>
        </w:rPr>
        <w:t>17</w:t>
      </w:r>
      <w:r w:rsidRPr="008F60C0">
        <w:rPr>
          <w:b w:val="0"/>
          <w:bCs w:val="0"/>
          <w:rtl/>
        </w:rPr>
        <w:t xml:space="preserve">/ب) </w:t>
      </w:r>
      <w:r w:rsidRPr="008F60C0">
        <w:rPr>
          <w:b w:val="0"/>
          <w:bCs w:val="0"/>
        </w:rPr>
        <w:t>[</w:t>
      </w:r>
      <w:r w:rsidRPr="008F60C0">
        <w:rPr>
          <w:b w:val="0"/>
          <w:bCs w:val="0"/>
          <w:rtl/>
        </w:rPr>
        <w:t>.</w:t>
      </w:r>
      <w:bookmarkEnd w:id="1996"/>
      <w:bookmarkEnd w:id="1997"/>
      <w:bookmarkEnd w:id="1998"/>
    </w:p>
    <w:p w:rsidR="00B259A6" w:rsidRPr="008F60C0" w:rsidRDefault="00B259A6" w:rsidP="00580899">
      <w:pPr>
        <w:spacing w:after="0"/>
        <w:ind w:left="2126" w:hanging="851"/>
        <w:rPr>
          <w:b w:val="0"/>
          <w:bCs w:val="0"/>
        </w:rPr>
      </w:pPr>
      <w:bookmarkStart w:id="1999" w:name="_Toc414888537"/>
      <w:bookmarkStart w:id="2000" w:name="_Toc451176724"/>
      <w:bookmarkStart w:id="2001" w:name="_Toc451180621"/>
      <w:r w:rsidRPr="008F60C0">
        <w:rPr>
          <w:b w:val="0"/>
          <w:bCs w:val="0"/>
          <w:rtl/>
        </w:rPr>
        <w:t>2.1.10</w:t>
      </w:r>
      <w:r w:rsidR="000B168B">
        <w:rPr>
          <w:rFonts w:hint="cs"/>
          <w:b w:val="0"/>
          <w:bCs w:val="0"/>
          <w:rtl/>
        </w:rPr>
        <w:t>.</w:t>
      </w:r>
      <w:r w:rsidRPr="008F60C0">
        <w:rPr>
          <w:b w:val="0"/>
          <w:bCs w:val="0"/>
          <w:rtl/>
        </w:rPr>
        <w:tab/>
        <w:t>يتم توزيع مراكز أدوات الدين الطويلة والقصيرة حسب آجال الاستحقاق أو فترات إعادة التسعير المحددة لها دون إجراء تقاص ما بين المراكز المختلفة (المتقابلة) بعملات مختلفة حيث أن التقاص يسمح فقط للمراكز لنفس العملة ولنفس تاريخ الاستحقاق.</w:t>
      </w:r>
      <w:bookmarkEnd w:id="1999"/>
      <w:bookmarkEnd w:id="2000"/>
      <w:bookmarkEnd w:id="2001"/>
      <w:r w:rsidRPr="008F60C0">
        <w:rPr>
          <w:b w:val="0"/>
          <w:bCs w:val="0"/>
          <w:rtl/>
        </w:rPr>
        <w:t xml:space="preserve"> </w:t>
      </w:r>
    </w:p>
    <w:p w:rsidR="00B259A6" w:rsidRPr="008F60C0" w:rsidRDefault="00B259A6" w:rsidP="00580899">
      <w:pPr>
        <w:spacing w:after="0"/>
        <w:ind w:left="2126" w:hanging="851"/>
        <w:rPr>
          <w:b w:val="0"/>
          <w:bCs w:val="0"/>
        </w:rPr>
      </w:pPr>
      <w:bookmarkStart w:id="2002" w:name="_Toc414888538"/>
      <w:bookmarkStart w:id="2003" w:name="_Toc451176725"/>
      <w:bookmarkStart w:id="2004" w:name="_Toc451180622"/>
      <w:r w:rsidRPr="008F60C0">
        <w:rPr>
          <w:b w:val="0"/>
          <w:bCs w:val="0"/>
          <w:rtl/>
        </w:rPr>
        <w:t>3.1.10</w:t>
      </w:r>
      <w:r w:rsidR="000B168B">
        <w:rPr>
          <w:rFonts w:hint="cs"/>
          <w:b w:val="0"/>
          <w:bCs w:val="0"/>
          <w:rtl/>
        </w:rPr>
        <w:t>.</w:t>
      </w:r>
      <w:r w:rsidRPr="008F60C0">
        <w:rPr>
          <w:b w:val="0"/>
          <w:bCs w:val="0"/>
          <w:rtl/>
        </w:rPr>
        <w:tab/>
        <w:t>بالنسبة لأدوات الدين ذات سعر الفائدة الثابت يتم توزيعها حسب الفترة المتبقية لتاريخ الاستحقاق (</w:t>
      </w:r>
      <w:r w:rsidRPr="008F60C0">
        <w:rPr>
          <w:b w:val="0"/>
          <w:bCs w:val="0"/>
        </w:rPr>
        <w:t>Residual Term to Maturity</w:t>
      </w:r>
      <w:r w:rsidRPr="008F60C0">
        <w:rPr>
          <w:b w:val="0"/>
          <w:bCs w:val="0"/>
          <w:rtl/>
        </w:rPr>
        <w:t>)، أما فيما يتعلق بأدوات الدين ذات سعر الفائدة المتغير ، فيتم توزيعها حسب الفترة المتبقية لتاريخ إعادة التسعير اللاحق (</w:t>
      </w:r>
      <w:r w:rsidRPr="008F60C0">
        <w:rPr>
          <w:b w:val="0"/>
          <w:bCs w:val="0"/>
        </w:rPr>
        <w:t>Residual Term to the next Repricing Date</w:t>
      </w:r>
      <w:r w:rsidRPr="008F60C0">
        <w:rPr>
          <w:b w:val="0"/>
          <w:bCs w:val="0"/>
          <w:rtl/>
        </w:rPr>
        <w:t>).</w:t>
      </w:r>
      <w:bookmarkEnd w:id="2002"/>
      <w:bookmarkEnd w:id="2003"/>
      <w:bookmarkEnd w:id="2004"/>
    </w:p>
    <w:p w:rsidR="00B259A6" w:rsidRPr="008F60C0" w:rsidRDefault="00B259A6" w:rsidP="00580899">
      <w:pPr>
        <w:spacing w:after="0"/>
        <w:ind w:left="2126" w:hanging="851"/>
        <w:rPr>
          <w:b w:val="0"/>
          <w:bCs w:val="0"/>
        </w:rPr>
      </w:pPr>
      <w:bookmarkStart w:id="2005" w:name="_Toc414888539"/>
      <w:bookmarkStart w:id="2006" w:name="_Toc451176726"/>
      <w:bookmarkStart w:id="2007" w:name="_Toc451180623"/>
      <w:r w:rsidRPr="008F60C0">
        <w:rPr>
          <w:b w:val="0"/>
          <w:bCs w:val="0"/>
          <w:rtl/>
        </w:rPr>
        <w:t>4.1.10</w:t>
      </w:r>
      <w:r w:rsidR="000B168B">
        <w:rPr>
          <w:rFonts w:hint="cs"/>
          <w:b w:val="0"/>
          <w:bCs w:val="0"/>
          <w:rtl/>
        </w:rPr>
        <w:t>.</w:t>
      </w:r>
      <w:r w:rsidRPr="008F60C0">
        <w:rPr>
          <w:b w:val="0"/>
          <w:bCs w:val="0"/>
          <w:rtl/>
        </w:rPr>
        <w:tab/>
        <w:t>يتم تحويل عقود المشتقات مثل عقود مقايضة أسعار الفائدة وعقود الفائدة المستقبلية إلى مراكز طويلة أو قصيرة وذلك بناءً على قيمة ال</w:t>
      </w:r>
      <w:r w:rsidR="004C56AD" w:rsidRPr="008F60C0">
        <w:rPr>
          <w:b w:val="0"/>
          <w:bCs w:val="0"/>
          <w:rtl/>
        </w:rPr>
        <w:t xml:space="preserve">أدوات التي بنيت عليها المشتقات </w:t>
      </w:r>
      <w:r w:rsidRPr="008F60C0">
        <w:rPr>
          <w:b w:val="0"/>
          <w:bCs w:val="0"/>
          <w:rtl/>
        </w:rPr>
        <w:t>(</w:t>
      </w:r>
      <w:r w:rsidRPr="008F60C0">
        <w:rPr>
          <w:b w:val="0"/>
          <w:bCs w:val="0"/>
        </w:rPr>
        <w:t>Underlying Assets</w:t>
      </w:r>
      <w:r w:rsidR="004C56AD" w:rsidRPr="008F60C0">
        <w:rPr>
          <w:b w:val="0"/>
          <w:bCs w:val="0"/>
          <w:rtl/>
        </w:rPr>
        <w:t>)</w:t>
      </w:r>
      <w:r w:rsidRPr="008F60C0">
        <w:rPr>
          <w:b w:val="0"/>
          <w:bCs w:val="0"/>
          <w:rtl/>
        </w:rPr>
        <w:t>، ويعتبر تاريخ الاستحقاق تاريخ التسليم أو تاريخ تنفيذ العقد حيث يعتبر الطرف الذي يقوم باستلام الفائدة صاحب مركز طويل والطرف الذي يقوم بدفع الفائدة صاحب مركز قصير.</w:t>
      </w:r>
      <w:bookmarkEnd w:id="2005"/>
      <w:bookmarkEnd w:id="2006"/>
      <w:bookmarkEnd w:id="2007"/>
    </w:p>
    <w:p w:rsidR="00B259A6" w:rsidRPr="008F60C0" w:rsidRDefault="0048735B" w:rsidP="00BC3653">
      <w:pPr>
        <w:spacing w:after="0"/>
        <w:ind w:left="1275" w:hanging="709"/>
        <w:rPr>
          <w:b w:val="0"/>
          <w:bCs w:val="0"/>
          <w:rtl/>
        </w:rPr>
      </w:pPr>
      <w:bookmarkStart w:id="2008" w:name="_Toc414888540"/>
      <w:bookmarkStart w:id="2009" w:name="_Toc451176727"/>
      <w:bookmarkStart w:id="2010" w:name="_Toc451180624"/>
      <w:r w:rsidRPr="008F60C0">
        <w:rPr>
          <w:b w:val="0"/>
          <w:bCs w:val="0"/>
          <w:rtl/>
        </w:rPr>
        <w:t>2.10</w:t>
      </w:r>
      <w:r w:rsidR="000B168B">
        <w:rPr>
          <w:rFonts w:hint="cs"/>
          <w:b w:val="0"/>
          <w:bCs w:val="0"/>
          <w:rtl/>
        </w:rPr>
        <w:t>.</w:t>
      </w:r>
      <w:r w:rsidRPr="008F60C0">
        <w:rPr>
          <w:b w:val="0"/>
          <w:bCs w:val="0"/>
          <w:rtl/>
        </w:rPr>
        <w:tab/>
        <w:t>آلية الاحتساب</w:t>
      </w:r>
      <w:r w:rsidR="00B259A6" w:rsidRPr="008F60C0">
        <w:rPr>
          <w:b w:val="0"/>
          <w:bCs w:val="0"/>
          <w:rtl/>
        </w:rPr>
        <w:t>:</w:t>
      </w:r>
      <w:bookmarkEnd w:id="2008"/>
      <w:bookmarkEnd w:id="2009"/>
      <w:bookmarkEnd w:id="2010"/>
    </w:p>
    <w:p w:rsidR="00B259A6" w:rsidRPr="008F60C0" w:rsidRDefault="00B259A6" w:rsidP="00580899">
      <w:pPr>
        <w:spacing w:after="0"/>
        <w:ind w:left="2126" w:hanging="851"/>
        <w:rPr>
          <w:b w:val="0"/>
          <w:bCs w:val="0"/>
          <w:rtl/>
        </w:rPr>
      </w:pPr>
      <w:bookmarkStart w:id="2011" w:name="_Toc414888541"/>
      <w:bookmarkStart w:id="2012" w:name="_Toc451176728"/>
      <w:bookmarkStart w:id="2013" w:name="_Toc451180625"/>
      <w:r w:rsidRPr="008F60C0">
        <w:rPr>
          <w:b w:val="0"/>
          <w:bCs w:val="0"/>
          <w:rtl/>
        </w:rPr>
        <w:t>1.2.10</w:t>
      </w:r>
      <w:r w:rsidR="000B168B">
        <w:rPr>
          <w:rFonts w:hint="cs"/>
          <w:b w:val="0"/>
          <w:bCs w:val="0"/>
          <w:rtl/>
        </w:rPr>
        <w:t>.</w:t>
      </w:r>
      <w:r w:rsidRPr="008F60C0">
        <w:rPr>
          <w:b w:val="0"/>
          <w:bCs w:val="0"/>
          <w:rtl/>
        </w:rPr>
        <w:tab/>
        <w:t>ترجح المراكز وفقاً للأوزان الترجيحية المقابلة لنوع المركز (طويل أو قصير) والفئة الزمنية المناسبة.</w:t>
      </w:r>
      <w:bookmarkEnd w:id="2011"/>
      <w:bookmarkEnd w:id="2012"/>
      <w:bookmarkEnd w:id="2013"/>
    </w:p>
    <w:p w:rsidR="00B259A6" w:rsidRPr="008F60C0" w:rsidRDefault="00B259A6" w:rsidP="00580899">
      <w:pPr>
        <w:spacing w:after="0"/>
        <w:ind w:left="2126" w:hanging="851"/>
        <w:rPr>
          <w:b w:val="0"/>
          <w:bCs w:val="0"/>
        </w:rPr>
      </w:pPr>
      <w:bookmarkStart w:id="2014" w:name="_Toc414888542"/>
      <w:bookmarkStart w:id="2015" w:name="_Toc451176729"/>
      <w:bookmarkStart w:id="2016" w:name="_Toc451180626"/>
      <w:r w:rsidRPr="008F60C0">
        <w:rPr>
          <w:b w:val="0"/>
          <w:bCs w:val="0"/>
          <w:rtl/>
        </w:rPr>
        <w:t>2.2.10</w:t>
      </w:r>
      <w:r w:rsidR="000B168B">
        <w:rPr>
          <w:rFonts w:hint="cs"/>
          <w:b w:val="0"/>
          <w:bCs w:val="0"/>
          <w:rtl/>
        </w:rPr>
        <w:t>.</w:t>
      </w:r>
      <w:r w:rsidRPr="008F60C0">
        <w:rPr>
          <w:b w:val="0"/>
          <w:bCs w:val="0"/>
          <w:rtl/>
        </w:rPr>
        <w:tab/>
        <w:t>احتساب رأس المال لصافي المراكز المفتوحة المرجحة وبغض النظر عن الإشارة.</w:t>
      </w:r>
      <w:bookmarkEnd w:id="2014"/>
      <w:bookmarkEnd w:id="2015"/>
      <w:bookmarkEnd w:id="2016"/>
    </w:p>
    <w:p w:rsidR="00B259A6" w:rsidRPr="008F60C0" w:rsidRDefault="00B259A6" w:rsidP="00580899">
      <w:pPr>
        <w:ind w:left="2126" w:hanging="851"/>
        <w:rPr>
          <w:b w:val="0"/>
          <w:bCs w:val="0"/>
        </w:rPr>
      </w:pPr>
      <w:bookmarkStart w:id="2017" w:name="_Toc414888543"/>
      <w:bookmarkStart w:id="2018" w:name="_Toc451176730"/>
      <w:bookmarkStart w:id="2019" w:name="_Toc451180627"/>
      <w:r w:rsidRPr="008F60C0">
        <w:rPr>
          <w:b w:val="0"/>
          <w:bCs w:val="0"/>
          <w:rtl/>
        </w:rPr>
        <w:t>3.2.10</w:t>
      </w:r>
      <w:r w:rsidR="000B168B">
        <w:rPr>
          <w:rFonts w:hint="cs"/>
          <w:b w:val="0"/>
          <w:bCs w:val="0"/>
          <w:rtl/>
        </w:rPr>
        <w:t>.</w:t>
      </w:r>
      <w:r w:rsidRPr="008F60C0">
        <w:rPr>
          <w:b w:val="0"/>
          <w:bCs w:val="0"/>
          <w:rtl/>
        </w:rPr>
        <w:tab/>
        <w:t>احتساب رأس المال للمراكز المغطاة في حال وجود مراكز مختلفة طويلة و قصيرة في نفس أعمدة الاستحقاق وذلك بأخذ حاصل ضرب المركز المغطى (الأقل) في (10%) ويسمى ذلك عدم السماح العمودي</w:t>
      </w:r>
      <w:r w:rsidRPr="008F60C0">
        <w:rPr>
          <w:b w:val="0"/>
          <w:bCs w:val="0"/>
        </w:rPr>
        <w:t>(Vertical Disallowance)</w:t>
      </w:r>
      <w:r w:rsidRPr="008F60C0">
        <w:rPr>
          <w:b w:val="0"/>
          <w:bCs w:val="0"/>
          <w:rtl/>
        </w:rPr>
        <w:t>.</w:t>
      </w:r>
      <w:bookmarkEnd w:id="2017"/>
      <w:bookmarkEnd w:id="2018"/>
      <w:bookmarkEnd w:id="2019"/>
    </w:p>
    <w:p w:rsidR="00B259A6" w:rsidRPr="008F60C0" w:rsidRDefault="00B259A6" w:rsidP="00580899">
      <w:pPr>
        <w:ind w:left="2126" w:hanging="851"/>
        <w:rPr>
          <w:b w:val="0"/>
          <w:bCs w:val="0"/>
        </w:rPr>
      </w:pPr>
      <w:bookmarkStart w:id="2020" w:name="_Toc414888544"/>
      <w:bookmarkStart w:id="2021" w:name="_Toc451176731"/>
      <w:bookmarkStart w:id="2022" w:name="_Toc451180628"/>
      <w:r w:rsidRPr="008F60C0">
        <w:rPr>
          <w:b w:val="0"/>
          <w:bCs w:val="0"/>
          <w:rtl/>
        </w:rPr>
        <w:t>4.2.10</w:t>
      </w:r>
      <w:r w:rsidR="000B168B">
        <w:rPr>
          <w:rFonts w:hint="cs"/>
          <w:b w:val="0"/>
          <w:bCs w:val="0"/>
          <w:rtl/>
        </w:rPr>
        <w:t>.</w:t>
      </w:r>
      <w:r w:rsidRPr="008F60C0">
        <w:rPr>
          <w:b w:val="0"/>
          <w:bCs w:val="0"/>
          <w:rtl/>
        </w:rPr>
        <w:tab/>
        <w:t>احتساب رأس المال للمراكز المغطاة في المناطق الأولى والثانية والثالثة وكما يلي:-</w:t>
      </w:r>
      <w:bookmarkEnd w:id="2020"/>
      <w:bookmarkEnd w:id="2021"/>
      <w:bookmarkEnd w:id="2022"/>
    </w:p>
    <w:p w:rsidR="00B259A6" w:rsidRPr="000B168B" w:rsidRDefault="00B259A6" w:rsidP="00BC3653">
      <w:pPr>
        <w:pStyle w:val="ListParagraph"/>
        <w:numPr>
          <w:ilvl w:val="0"/>
          <w:numId w:val="29"/>
        </w:numPr>
        <w:ind w:left="2551" w:hanging="425"/>
        <w:rPr>
          <w:b w:val="0"/>
          <w:bCs w:val="0"/>
          <w:rtl/>
        </w:rPr>
      </w:pPr>
      <w:bookmarkStart w:id="2023" w:name="_Toc414888545"/>
      <w:bookmarkStart w:id="2024" w:name="_Toc451176732"/>
      <w:bookmarkStart w:id="2025" w:name="_Toc451180629"/>
      <w:r w:rsidRPr="000B168B">
        <w:rPr>
          <w:b w:val="0"/>
          <w:bCs w:val="0"/>
          <w:rtl/>
        </w:rPr>
        <w:lastRenderedPageBreak/>
        <w:t>ضمن المنطقة نفسها، يتم احتساب رأس المال للمراكز المغطاة (المركز الأقل) بضربها في (40%) أو (30%) حسب الفترة التي يقع فيها المركز.</w:t>
      </w:r>
      <w:bookmarkEnd w:id="2023"/>
      <w:bookmarkEnd w:id="2024"/>
      <w:bookmarkEnd w:id="2025"/>
    </w:p>
    <w:p w:rsidR="00B259A6" w:rsidRPr="000B168B" w:rsidRDefault="00B259A6" w:rsidP="00BC3653">
      <w:pPr>
        <w:pStyle w:val="ListParagraph"/>
        <w:numPr>
          <w:ilvl w:val="0"/>
          <w:numId w:val="29"/>
        </w:numPr>
        <w:ind w:left="2551" w:hanging="425"/>
        <w:rPr>
          <w:b w:val="0"/>
          <w:bCs w:val="0"/>
        </w:rPr>
      </w:pPr>
      <w:bookmarkStart w:id="2026" w:name="_Toc414888546"/>
      <w:bookmarkStart w:id="2027" w:name="_Toc451176733"/>
      <w:bookmarkStart w:id="2028" w:name="_Toc451180630"/>
      <w:r w:rsidRPr="000B168B">
        <w:rPr>
          <w:b w:val="0"/>
          <w:bCs w:val="0"/>
          <w:rtl/>
        </w:rPr>
        <w:t>ضمن المناطق المتجاورة (الأولى والثانية، الثانية والثالثة)، يتم احتساب رأس المال للمراكز المغطاة (المراكز الأقل) بضربها في (40%).</w:t>
      </w:r>
      <w:bookmarkEnd w:id="2026"/>
      <w:bookmarkEnd w:id="2027"/>
      <w:bookmarkEnd w:id="2028"/>
    </w:p>
    <w:p w:rsidR="00B259A6" w:rsidRPr="000B168B" w:rsidRDefault="00B259A6" w:rsidP="00BC3653">
      <w:pPr>
        <w:pStyle w:val="ListParagraph"/>
        <w:numPr>
          <w:ilvl w:val="0"/>
          <w:numId w:val="29"/>
        </w:numPr>
        <w:ind w:left="2551" w:hanging="425"/>
        <w:contextualSpacing w:val="0"/>
        <w:rPr>
          <w:b w:val="0"/>
          <w:bCs w:val="0"/>
          <w:rtl/>
        </w:rPr>
      </w:pPr>
      <w:bookmarkStart w:id="2029" w:name="_Toc414888547"/>
      <w:bookmarkStart w:id="2030" w:name="_Toc451176734"/>
      <w:bookmarkStart w:id="2031" w:name="_Toc451180631"/>
      <w:r w:rsidRPr="000B168B">
        <w:rPr>
          <w:b w:val="0"/>
          <w:bCs w:val="0"/>
          <w:rtl/>
        </w:rPr>
        <w:t>في المناطق المتباعدة (الأولى والثالثة) يتم احتساب رأس المال للمراكز المغطاة (المراكز الأقل) وذلك بضربها في (100%).</w:t>
      </w:r>
      <w:bookmarkEnd w:id="2029"/>
      <w:bookmarkEnd w:id="2030"/>
      <w:bookmarkEnd w:id="2031"/>
    </w:p>
    <w:p w:rsidR="00B259A6" w:rsidRPr="008F60C0" w:rsidRDefault="00B259A6" w:rsidP="00580899">
      <w:pPr>
        <w:ind w:left="2126" w:hanging="851"/>
        <w:rPr>
          <w:b w:val="0"/>
          <w:bCs w:val="0"/>
          <w:rtl/>
        </w:rPr>
      </w:pPr>
      <w:bookmarkStart w:id="2032" w:name="_Toc414888548"/>
      <w:bookmarkStart w:id="2033" w:name="_Toc451176735"/>
      <w:bookmarkStart w:id="2034" w:name="_Toc451180632"/>
      <w:r w:rsidRPr="008F60C0">
        <w:rPr>
          <w:b w:val="0"/>
          <w:bCs w:val="0"/>
          <w:rtl/>
        </w:rPr>
        <w:t>5.2.10</w:t>
      </w:r>
      <w:r w:rsidR="00CE45CD">
        <w:rPr>
          <w:rFonts w:hint="cs"/>
          <w:b w:val="0"/>
          <w:bCs w:val="0"/>
          <w:rtl/>
        </w:rPr>
        <w:t>.</w:t>
      </w:r>
      <w:r w:rsidRPr="008F60C0">
        <w:rPr>
          <w:b w:val="0"/>
          <w:bCs w:val="0"/>
          <w:rtl/>
        </w:rPr>
        <w:tab/>
        <w:t>يمثل رأس المال المطلوب للمخاطر العامة لأسعار الفائدة ناتج جمع رأس المال الناتج في النقاط</w:t>
      </w:r>
      <w:r w:rsidR="00CF7E7E" w:rsidRPr="008F60C0">
        <w:rPr>
          <w:b w:val="0"/>
          <w:bCs w:val="0"/>
          <w:rtl/>
        </w:rPr>
        <w:t xml:space="preserve"> [(2.2.10)، (3.2.10)، (4.2.10)] </w:t>
      </w:r>
      <w:r w:rsidRPr="008F60C0">
        <w:rPr>
          <w:b w:val="0"/>
          <w:bCs w:val="0"/>
          <w:rtl/>
        </w:rPr>
        <w:t>المبينة أعلاه.</w:t>
      </w:r>
      <w:bookmarkEnd w:id="2032"/>
      <w:bookmarkEnd w:id="2033"/>
      <w:bookmarkEnd w:id="2034"/>
    </w:p>
    <w:p w:rsidR="00B259A6" w:rsidRPr="008F60C0" w:rsidRDefault="00B259A6" w:rsidP="00580899">
      <w:pPr>
        <w:ind w:left="2126" w:hanging="851"/>
        <w:rPr>
          <w:b w:val="0"/>
          <w:bCs w:val="0"/>
          <w:rtl/>
        </w:rPr>
      </w:pPr>
      <w:bookmarkStart w:id="2035" w:name="_Toc414888549"/>
      <w:bookmarkStart w:id="2036" w:name="_Toc451176736"/>
      <w:bookmarkStart w:id="2037" w:name="_Toc451180633"/>
      <w:r w:rsidRPr="008F60C0">
        <w:rPr>
          <w:b w:val="0"/>
          <w:bCs w:val="0"/>
          <w:rtl/>
        </w:rPr>
        <w:t>6.2.10</w:t>
      </w:r>
      <w:r w:rsidR="00CE45CD">
        <w:rPr>
          <w:rFonts w:hint="cs"/>
          <w:b w:val="0"/>
          <w:bCs w:val="0"/>
          <w:rtl/>
        </w:rPr>
        <w:t>.</w:t>
      </w:r>
      <w:r w:rsidRPr="008F60C0">
        <w:rPr>
          <w:b w:val="0"/>
          <w:bCs w:val="0"/>
          <w:rtl/>
        </w:rPr>
        <w:tab/>
        <w:t>يتم احتساب مخاطر السوق لهذه الأدوات من خلال حاصل ضرب رأس المال المطلوب   بـ (12.5).</w:t>
      </w:r>
      <w:bookmarkEnd w:id="2035"/>
      <w:bookmarkEnd w:id="2036"/>
      <w:bookmarkEnd w:id="2037"/>
    </w:p>
    <w:p w:rsidR="00B259A6" w:rsidRPr="00CE45CD" w:rsidRDefault="00EF32A4" w:rsidP="00BC3653">
      <w:pPr>
        <w:spacing w:after="0" w:line="276" w:lineRule="auto"/>
        <w:ind w:left="708" w:hanging="425"/>
        <w:rPr>
          <w:rtl/>
        </w:rPr>
      </w:pPr>
      <w:bookmarkStart w:id="2038" w:name="_Toc451176737"/>
      <w:bookmarkStart w:id="2039" w:name="_Toc451180634"/>
      <w:r>
        <w:rPr>
          <w:rtl/>
        </w:rPr>
        <w:t>11.</w:t>
      </w:r>
      <w:r>
        <w:rPr>
          <w:rFonts w:hint="cs"/>
          <w:rtl/>
        </w:rPr>
        <w:t xml:space="preserve"> </w:t>
      </w:r>
      <w:r w:rsidR="00B259A6" w:rsidRPr="00CE45CD">
        <w:rPr>
          <w:rtl/>
        </w:rPr>
        <w:t>قي</w:t>
      </w:r>
      <w:r w:rsidR="00CF7E7E" w:rsidRPr="00CE45CD">
        <w:rPr>
          <w:rtl/>
        </w:rPr>
        <w:t>اس مخاطر أدوات الملكية</w:t>
      </w:r>
      <w:r w:rsidR="00B259A6" w:rsidRPr="00CE45CD">
        <w:rPr>
          <w:rtl/>
        </w:rPr>
        <w:t>:</w:t>
      </w:r>
      <w:bookmarkEnd w:id="2038"/>
      <w:bookmarkEnd w:id="2039"/>
    </w:p>
    <w:p w:rsidR="00B259A6" w:rsidRPr="008F60C0" w:rsidRDefault="00B259A6" w:rsidP="00D470C6">
      <w:pPr>
        <w:ind w:left="1275" w:hanging="709"/>
        <w:rPr>
          <w:b w:val="0"/>
          <w:bCs w:val="0"/>
          <w:rtl/>
        </w:rPr>
      </w:pPr>
      <w:bookmarkStart w:id="2040" w:name="_Toc414888551"/>
      <w:bookmarkStart w:id="2041" w:name="_Toc451176738"/>
      <w:bookmarkStart w:id="2042" w:name="_Toc451180635"/>
      <w:r w:rsidRPr="008F60C0">
        <w:rPr>
          <w:b w:val="0"/>
          <w:bCs w:val="0"/>
          <w:rtl/>
        </w:rPr>
        <w:t>1.11</w:t>
      </w:r>
      <w:r w:rsidR="00CE45CD">
        <w:rPr>
          <w:rFonts w:hint="cs"/>
          <w:b w:val="0"/>
          <w:bCs w:val="0"/>
          <w:rtl/>
        </w:rPr>
        <w:t>.</w:t>
      </w:r>
      <w:r w:rsidRPr="008F60C0">
        <w:rPr>
          <w:b w:val="0"/>
          <w:bCs w:val="0"/>
          <w:rtl/>
        </w:rPr>
        <w:tab/>
        <w:t>تمثل الخسائر التي قد يتعرض لها البنك بسبب حدوث تغيرات في أسعار أدوات الملكية المحتفظ بها (سواء كان بمراكز طويلة أو قصيرة) ويشمل ذلك:</w:t>
      </w:r>
      <w:bookmarkEnd w:id="2040"/>
      <w:bookmarkEnd w:id="2041"/>
      <w:bookmarkEnd w:id="2042"/>
    </w:p>
    <w:p w:rsidR="00B259A6" w:rsidRPr="008F60C0" w:rsidRDefault="00B259A6" w:rsidP="00D470C6">
      <w:pPr>
        <w:ind w:left="2126" w:hanging="851"/>
        <w:rPr>
          <w:b w:val="0"/>
          <w:bCs w:val="0"/>
          <w:rtl/>
        </w:rPr>
      </w:pPr>
      <w:bookmarkStart w:id="2043" w:name="_Toc414888552"/>
      <w:bookmarkStart w:id="2044" w:name="_Toc451176739"/>
      <w:bookmarkStart w:id="2045" w:name="_Toc451180636"/>
      <w:r w:rsidRPr="008F60C0">
        <w:rPr>
          <w:b w:val="0"/>
          <w:bCs w:val="0"/>
          <w:rtl/>
        </w:rPr>
        <w:t>1.1.11</w:t>
      </w:r>
      <w:r w:rsidR="00CE45CD">
        <w:rPr>
          <w:rFonts w:hint="cs"/>
          <w:b w:val="0"/>
          <w:bCs w:val="0"/>
          <w:rtl/>
        </w:rPr>
        <w:t>.</w:t>
      </w:r>
      <w:r w:rsidRPr="008F60C0">
        <w:rPr>
          <w:b w:val="0"/>
          <w:bCs w:val="0"/>
          <w:rtl/>
        </w:rPr>
        <w:tab/>
        <w:t>الأسهم العادية.</w:t>
      </w:r>
      <w:bookmarkEnd w:id="2043"/>
      <w:bookmarkEnd w:id="2044"/>
      <w:bookmarkEnd w:id="2045"/>
    </w:p>
    <w:p w:rsidR="00B259A6" w:rsidRPr="008F60C0" w:rsidRDefault="00B259A6" w:rsidP="00D470C6">
      <w:pPr>
        <w:ind w:left="2126" w:hanging="851"/>
        <w:rPr>
          <w:b w:val="0"/>
          <w:bCs w:val="0"/>
        </w:rPr>
      </w:pPr>
      <w:bookmarkStart w:id="2046" w:name="_Toc414888553"/>
      <w:bookmarkStart w:id="2047" w:name="_Toc451176740"/>
      <w:bookmarkStart w:id="2048" w:name="_Toc451180637"/>
      <w:r w:rsidRPr="008F60C0">
        <w:rPr>
          <w:b w:val="0"/>
          <w:bCs w:val="0"/>
          <w:rtl/>
        </w:rPr>
        <w:t>2.1.11</w:t>
      </w:r>
      <w:r w:rsidR="00CE45CD">
        <w:rPr>
          <w:rFonts w:hint="cs"/>
          <w:b w:val="0"/>
          <w:bCs w:val="0"/>
          <w:rtl/>
        </w:rPr>
        <w:t>.</w:t>
      </w:r>
      <w:r w:rsidRPr="008F60C0">
        <w:rPr>
          <w:b w:val="0"/>
          <w:bCs w:val="0"/>
          <w:rtl/>
        </w:rPr>
        <w:tab/>
        <w:t xml:space="preserve">السندات القابلة للتحويل إلى أسهم </w:t>
      </w:r>
      <w:r w:rsidRPr="008F60C0">
        <w:rPr>
          <w:b w:val="0"/>
          <w:bCs w:val="0"/>
        </w:rPr>
        <w:t xml:space="preserve"> (Convertible bonds) </w:t>
      </w:r>
      <w:r w:rsidRPr="008F60C0">
        <w:rPr>
          <w:b w:val="0"/>
          <w:bCs w:val="0"/>
          <w:rtl/>
        </w:rPr>
        <w:t>(التي تشابه الأسهم في سلوكها).</w:t>
      </w:r>
      <w:bookmarkEnd w:id="2046"/>
      <w:bookmarkEnd w:id="2047"/>
      <w:bookmarkEnd w:id="2048"/>
    </w:p>
    <w:p w:rsidR="00B259A6" w:rsidRPr="008F60C0" w:rsidRDefault="00B259A6" w:rsidP="00D470C6">
      <w:pPr>
        <w:ind w:left="2126" w:hanging="851"/>
        <w:rPr>
          <w:b w:val="0"/>
          <w:bCs w:val="0"/>
        </w:rPr>
      </w:pPr>
      <w:bookmarkStart w:id="2049" w:name="_Toc414888554"/>
      <w:bookmarkStart w:id="2050" w:name="_Toc451176741"/>
      <w:bookmarkStart w:id="2051" w:name="_Toc451180638"/>
      <w:r w:rsidRPr="008F60C0">
        <w:rPr>
          <w:b w:val="0"/>
          <w:bCs w:val="0"/>
          <w:rtl/>
        </w:rPr>
        <w:t>3.1.11</w:t>
      </w:r>
      <w:r w:rsidR="00CE45CD">
        <w:rPr>
          <w:rFonts w:hint="cs"/>
          <w:b w:val="0"/>
          <w:bCs w:val="0"/>
          <w:rtl/>
        </w:rPr>
        <w:t>.</w:t>
      </w:r>
      <w:r w:rsidRPr="008F60C0">
        <w:rPr>
          <w:b w:val="0"/>
          <w:bCs w:val="0"/>
          <w:rtl/>
        </w:rPr>
        <w:tab/>
        <w:t>التعهدات ببيع وشراء الأسهم.</w:t>
      </w:r>
      <w:bookmarkEnd w:id="2049"/>
      <w:bookmarkEnd w:id="2050"/>
      <w:bookmarkEnd w:id="2051"/>
    </w:p>
    <w:p w:rsidR="00B259A6" w:rsidRPr="008F60C0" w:rsidRDefault="00B259A6" w:rsidP="00D470C6">
      <w:pPr>
        <w:ind w:left="2126" w:hanging="851"/>
        <w:rPr>
          <w:b w:val="0"/>
          <w:bCs w:val="0"/>
        </w:rPr>
      </w:pPr>
      <w:bookmarkStart w:id="2052" w:name="_Toc414888555"/>
      <w:bookmarkStart w:id="2053" w:name="_Toc451176742"/>
      <w:bookmarkStart w:id="2054" w:name="_Toc451180639"/>
      <w:r w:rsidRPr="008F60C0">
        <w:rPr>
          <w:b w:val="0"/>
          <w:bCs w:val="0"/>
          <w:rtl/>
        </w:rPr>
        <w:t>4.1.11</w:t>
      </w:r>
      <w:r w:rsidR="00CE45CD">
        <w:rPr>
          <w:rFonts w:hint="cs"/>
          <w:b w:val="0"/>
          <w:bCs w:val="0"/>
          <w:rtl/>
        </w:rPr>
        <w:t>.</w:t>
      </w:r>
      <w:r w:rsidRPr="008F60C0">
        <w:rPr>
          <w:b w:val="0"/>
          <w:bCs w:val="0"/>
          <w:rtl/>
        </w:rPr>
        <w:tab/>
        <w:t>مؤشرات الأسهم العالمية.</w:t>
      </w:r>
      <w:bookmarkEnd w:id="2052"/>
      <w:bookmarkEnd w:id="2053"/>
      <w:bookmarkEnd w:id="2054"/>
    </w:p>
    <w:p w:rsidR="00B259A6" w:rsidRPr="008F60C0" w:rsidRDefault="00B259A6" w:rsidP="00D470C6">
      <w:pPr>
        <w:ind w:left="2126" w:hanging="851"/>
        <w:rPr>
          <w:b w:val="0"/>
          <w:bCs w:val="0"/>
        </w:rPr>
      </w:pPr>
      <w:bookmarkStart w:id="2055" w:name="_Toc414888556"/>
      <w:bookmarkStart w:id="2056" w:name="_Toc451176743"/>
      <w:bookmarkStart w:id="2057" w:name="_Toc451180640"/>
      <w:r w:rsidRPr="008F60C0">
        <w:rPr>
          <w:b w:val="0"/>
          <w:bCs w:val="0"/>
          <w:rtl/>
        </w:rPr>
        <w:t>5.1.11</w:t>
      </w:r>
      <w:r w:rsidR="00CE45CD">
        <w:rPr>
          <w:rFonts w:hint="cs"/>
          <w:b w:val="0"/>
          <w:bCs w:val="0"/>
          <w:rtl/>
        </w:rPr>
        <w:t>.</w:t>
      </w:r>
      <w:r w:rsidRPr="008F60C0">
        <w:rPr>
          <w:b w:val="0"/>
          <w:bCs w:val="0"/>
          <w:rtl/>
        </w:rPr>
        <w:tab/>
        <w:t>الأسهم الممتازة</w:t>
      </w:r>
      <w:r w:rsidR="00AA1657" w:rsidRPr="008F60C0">
        <w:rPr>
          <w:b w:val="0"/>
          <w:bCs w:val="0"/>
          <w:rtl/>
        </w:rPr>
        <w:t xml:space="preserve"> </w:t>
      </w:r>
      <w:r w:rsidRPr="008F60C0">
        <w:rPr>
          <w:b w:val="0"/>
          <w:bCs w:val="0"/>
        </w:rPr>
        <w:t>(Preferred Stocks)</w:t>
      </w:r>
      <w:r w:rsidRPr="008F60C0">
        <w:rPr>
          <w:b w:val="0"/>
          <w:bCs w:val="0"/>
          <w:rtl/>
        </w:rPr>
        <w:t xml:space="preserve"> القابلة للتحويل إلى أسهم عادية.</w:t>
      </w:r>
      <w:bookmarkEnd w:id="2055"/>
      <w:bookmarkEnd w:id="2056"/>
      <w:bookmarkEnd w:id="2057"/>
    </w:p>
    <w:p w:rsidR="00B259A6" w:rsidRPr="008F60C0" w:rsidRDefault="00B259A6" w:rsidP="00D470C6">
      <w:pPr>
        <w:ind w:left="2126" w:hanging="851"/>
        <w:rPr>
          <w:b w:val="0"/>
          <w:bCs w:val="0"/>
          <w:rtl/>
        </w:rPr>
      </w:pPr>
      <w:bookmarkStart w:id="2058" w:name="_Toc414888557"/>
      <w:bookmarkStart w:id="2059" w:name="_Toc451176744"/>
      <w:bookmarkStart w:id="2060" w:name="_Toc451180641"/>
      <w:r w:rsidRPr="008F60C0">
        <w:rPr>
          <w:b w:val="0"/>
          <w:bCs w:val="0"/>
          <w:rtl/>
        </w:rPr>
        <w:t>6.1.11</w:t>
      </w:r>
      <w:r w:rsidR="00CE45CD">
        <w:rPr>
          <w:rFonts w:hint="cs"/>
          <w:b w:val="0"/>
          <w:bCs w:val="0"/>
          <w:rtl/>
        </w:rPr>
        <w:t>.</w:t>
      </w:r>
      <w:r w:rsidRPr="008F60C0">
        <w:rPr>
          <w:b w:val="0"/>
          <w:bCs w:val="0"/>
          <w:rtl/>
        </w:rPr>
        <w:tab/>
        <w:t>المشتقات المبنية على الأدوات المذكورة أعلاه.</w:t>
      </w:r>
      <w:bookmarkEnd w:id="2058"/>
      <w:bookmarkEnd w:id="2059"/>
      <w:bookmarkEnd w:id="2060"/>
      <w:r w:rsidRPr="008F60C0">
        <w:rPr>
          <w:b w:val="0"/>
          <w:bCs w:val="0"/>
          <w:rtl/>
        </w:rPr>
        <w:t xml:space="preserve"> </w:t>
      </w:r>
    </w:p>
    <w:p w:rsidR="00B259A6" w:rsidRPr="008F60C0" w:rsidRDefault="00B259A6" w:rsidP="006D0790">
      <w:pPr>
        <w:ind w:left="2126" w:hanging="851"/>
        <w:rPr>
          <w:b w:val="0"/>
          <w:bCs w:val="0"/>
        </w:rPr>
      </w:pPr>
      <w:bookmarkStart w:id="2061" w:name="_Toc414888558"/>
      <w:bookmarkStart w:id="2062" w:name="_Toc451176745"/>
      <w:bookmarkStart w:id="2063" w:name="_Toc451180642"/>
      <w:r w:rsidRPr="008F60C0">
        <w:rPr>
          <w:b w:val="0"/>
          <w:bCs w:val="0"/>
          <w:rtl/>
        </w:rPr>
        <w:t>7.1.11</w:t>
      </w:r>
      <w:r w:rsidR="00CE45CD">
        <w:rPr>
          <w:rFonts w:hint="cs"/>
          <w:b w:val="0"/>
          <w:bCs w:val="0"/>
          <w:rtl/>
        </w:rPr>
        <w:t>.</w:t>
      </w:r>
      <w:r w:rsidRPr="008F60C0">
        <w:rPr>
          <w:b w:val="0"/>
          <w:bCs w:val="0"/>
          <w:rtl/>
        </w:rPr>
        <w:tab/>
        <w:t>المساهمات في الصناديق الاستثمارية التي</w:t>
      </w:r>
      <w:r w:rsidR="006D0790">
        <w:rPr>
          <w:b w:val="0"/>
          <w:bCs w:val="0"/>
          <w:rtl/>
        </w:rPr>
        <w:t xml:space="preserve"> تحتوي مثل هذه الأدوات المذكورة</w:t>
      </w:r>
      <w:r w:rsidR="006D0790">
        <w:rPr>
          <w:rFonts w:hint="cs"/>
          <w:b w:val="0"/>
          <w:bCs w:val="0"/>
          <w:rtl/>
        </w:rPr>
        <w:t>، ولغايات هذه التعليمات تعامل الصناديق الاستثمارية التي تتشكل كلياً أو (20%) منها على الأقل من الأدوات المذكورة أعلاه معاملة أدوات الملكية</w:t>
      </w:r>
      <w:r w:rsidRPr="008F60C0">
        <w:rPr>
          <w:b w:val="0"/>
          <w:bCs w:val="0"/>
          <w:rtl/>
        </w:rPr>
        <w:t>.</w:t>
      </w:r>
      <w:bookmarkEnd w:id="2061"/>
      <w:bookmarkEnd w:id="2062"/>
      <w:bookmarkEnd w:id="2063"/>
    </w:p>
    <w:p w:rsidR="00B259A6" w:rsidRPr="008F60C0" w:rsidRDefault="00B259A6" w:rsidP="006D0790">
      <w:pPr>
        <w:ind w:left="1275" w:hanging="709"/>
        <w:rPr>
          <w:b w:val="0"/>
          <w:bCs w:val="0"/>
          <w:rtl/>
        </w:rPr>
      </w:pPr>
      <w:bookmarkStart w:id="2064" w:name="_Toc414888559"/>
      <w:bookmarkStart w:id="2065" w:name="_Toc451176746"/>
      <w:bookmarkStart w:id="2066" w:name="_Toc451180643"/>
      <w:r w:rsidRPr="008F60C0">
        <w:rPr>
          <w:b w:val="0"/>
          <w:bCs w:val="0"/>
          <w:rtl/>
        </w:rPr>
        <w:t>2.11</w:t>
      </w:r>
      <w:r w:rsidR="00CE45CD">
        <w:rPr>
          <w:rFonts w:hint="cs"/>
          <w:b w:val="0"/>
          <w:bCs w:val="0"/>
          <w:rtl/>
        </w:rPr>
        <w:t>.</w:t>
      </w:r>
      <w:r w:rsidRPr="008F60C0">
        <w:rPr>
          <w:b w:val="0"/>
          <w:bCs w:val="0"/>
          <w:rtl/>
        </w:rPr>
        <w:tab/>
        <w:t xml:space="preserve">يتم احتساب مخاطر السوق لأدوات الملكية (المخاطر الخاصة والمخاطر العامة) كما هو موضح في </w:t>
      </w:r>
      <w:r w:rsidR="00CF7E7E" w:rsidRPr="008F60C0">
        <w:rPr>
          <w:b w:val="0"/>
          <w:bCs w:val="0"/>
          <w:rtl/>
        </w:rPr>
        <w:t>الملحق</w:t>
      </w:r>
      <w:r w:rsidRPr="008F60C0">
        <w:rPr>
          <w:b w:val="0"/>
          <w:bCs w:val="0"/>
          <w:rtl/>
        </w:rPr>
        <w:t xml:space="preserve"> رقم (</w:t>
      </w:r>
      <w:r w:rsidR="006D0790">
        <w:rPr>
          <w:rFonts w:hint="cs"/>
          <w:b w:val="0"/>
          <w:bCs w:val="0"/>
          <w:rtl/>
        </w:rPr>
        <w:t>18</w:t>
      </w:r>
      <w:r w:rsidRPr="008F60C0">
        <w:rPr>
          <w:b w:val="0"/>
          <w:bCs w:val="0"/>
          <w:rtl/>
        </w:rPr>
        <w:t>) وكما يلي:</w:t>
      </w:r>
      <w:bookmarkEnd w:id="2064"/>
      <w:bookmarkEnd w:id="2065"/>
      <w:bookmarkEnd w:id="2066"/>
    </w:p>
    <w:p w:rsidR="00B259A6" w:rsidRPr="008F60C0" w:rsidRDefault="00B259A6" w:rsidP="00D470C6">
      <w:pPr>
        <w:ind w:left="2126" w:hanging="851"/>
        <w:rPr>
          <w:b w:val="0"/>
          <w:bCs w:val="0"/>
          <w:rtl/>
        </w:rPr>
      </w:pPr>
      <w:bookmarkStart w:id="2067" w:name="_Toc414888560"/>
      <w:bookmarkStart w:id="2068" w:name="_Toc451176747"/>
      <w:bookmarkStart w:id="2069" w:name="_Toc451180644"/>
      <w:r w:rsidRPr="008F60C0">
        <w:rPr>
          <w:b w:val="0"/>
          <w:bCs w:val="0"/>
          <w:rtl/>
        </w:rPr>
        <w:t>1.2.11</w:t>
      </w:r>
      <w:r w:rsidR="00CE45CD">
        <w:rPr>
          <w:rFonts w:hint="cs"/>
          <w:b w:val="0"/>
          <w:bCs w:val="0"/>
          <w:rtl/>
        </w:rPr>
        <w:t>.</w:t>
      </w:r>
      <w:r w:rsidRPr="008F60C0">
        <w:rPr>
          <w:b w:val="0"/>
          <w:bCs w:val="0"/>
          <w:rtl/>
        </w:rPr>
        <w:tab/>
        <w:t>تحديد المراكز القصيرة والطويلة ضمن الأعمدة المخصصة لها، وبهذا الخصوص فإنه يجوز إجراء التقاص بين هذه المراكز إذا كانت تعود لنفس الإصدار فقط وبغض النظر عن الإشارة.</w:t>
      </w:r>
      <w:bookmarkEnd w:id="2067"/>
      <w:bookmarkEnd w:id="2068"/>
      <w:bookmarkEnd w:id="2069"/>
    </w:p>
    <w:p w:rsidR="00B259A6" w:rsidRPr="008F60C0" w:rsidRDefault="00B259A6" w:rsidP="00D470C6">
      <w:pPr>
        <w:ind w:left="2126" w:hanging="851"/>
        <w:rPr>
          <w:b w:val="0"/>
          <w:bCs w:val="0"/>
        </w:rPr>
      </w:pPr>
      <w:bookmarkStart w:id="2070" w:name="_Toc414888561"/>
      <w:bookmarkStart w:id="2071" w:name="_Toc451176748"/>
      <w:bookmarkStart w:id="2072" w:name="_Toc451180645"/>
      <w:r w:rsidRPr="008F60C0">
        <w:rPr>
          <w:b w:val="0"/>
          <w:bCs w:val="0"/>
          <w:rtl/>
        </w:rPr>
        <w:lastRenderedPageBreak/>
        <w:t>2.2.11</w:t>
      </w:r>
      <w:r w:rsidR="00CE45CD">
        <w:rPr>
          <w:rFonts w:hint="cs"/>
          <w:b w:val="0"/>
          <w:bCs w:val="0"/>
          <w:rtl/>
        </w:rPr>
        <w:t>.</w:t>
      </w:r>
      <w:r w:rsidRPr="008F60C0">
        <w:rPr>
          <w:b w:val="0"/>
          <w:bCs w:val="0"/>
          <w:rtl/>
        </w:rPr>
        <w:tab/>
        <w:t>تحديد المركز الإجمالي لدى البنك والذي يمثل ناتج جمع المراكز الطويلة والقصيرة.</w:t>
      </w:r>
      <w:bookmarkEnd w:id="2070"/>
      <w:bookmarkEnd w:id="2071"/>
      <w:bookmarkEnd w:id="2072"/>
    </w:p>
    <w:p w:rsidR="00B259A6" w:rsidRPr="008F60C0" w:rsidRDefault="00B259A6" w:rsidP="00D470C6">
      <w:pPr>
        <w:ind w:left="2126" w:hanging="851"/>
        <w:rPr>
          <w:b w:val="0"/>
          <w:bCs w:val="0"/>
        </w:rPr>
      </w:pPr>
      <w:bookmarkStart w:id="2073" w:name="_Toc414888562"/>
      <w:bookmarkStart w:id="2074" w:name="_Toc451176749"/>
      <w:bookmarkStart w:id="2075" w:name="_Toc451180646"/>
      <w:r w:rsidRPr="008F60C0">
        <w:rPr>
          <w:b w:val="0"/>
          <w:bCs w:val="0"/>
          <w:rtl/>
        </w:rPr>
        <w:t>3.2.11</w:t>
      </w:r>
      <w:r w:rsidR="00CE45CD">
        <w:rPr>
          <w:rFonts w:hint="cs"/>
          <w:b w:val="0"/>
          <w:bCs w:val="0"/>
          <w:rtl/>
        </w:rPr>
        <w:t>.</w:t>
      </w:r>
      <w:r w:rsidRPr="008F60C0">
        <w:rPr>
          <w:b w:val="0"/>
          <w:bCs w:val="0"/>
          <w:rtl/>
        </w:rPr>
        <w:tab/>
        <w:t>تحديد رأس المال المطلوب لمواجهة المخاطر الخاصة والذي يمثل حاصل ضرب المركز الإجمالي في (8%).</w:t>
      </w:r>
      <w:bookmarkEnd w:id="2073"/>
      <w:bookmarkEnd w:id="2074"/>
      <w:bookmarkEnd w:id="2075"/>
    </w:p>
    <w:p w:rsidR="00B259A6" w:rsidRPr="008F60C0" w:rsidRDefault="00B259A6" w:rsidP="00D470C6">
      <w:pPr>
        <w:ind w:left="2126" w:hanging="851"/>
        <w:rPr>
          <w:b w:val="0"/>
          <w:bCs w:val="0"/>
        </w:rPr>
      </w:pPr>
      <w:bookmarkStart w:id="2076" w:name="_Toc414888563"/>
      <w:bookmarkStart w:id="2077" w:name="_Toc451176750"/>
      <w:bookmarkStart w:id="2078" w:name="_Toc451180647"/>
      <w:r w:rsidRPr="008F60C0">
        <w:rPr>
          <w:b w:val="0"/>
          <w:bCs w:val="0"/>
          <w:rtl/>
        </w:rPr>
        <w:t>4.2.11</w:t>
      </w:r>
      <w:r w:rsidR="00CE45CD">
        <w:rPr>
          <w:rFonts w:hint="cs"/>
          <w:b w:val="0"/>
          <w:bCs w:val="0"/>
          <w:rtl/>
        </w:rPr>
        <w:t>.</w:t>
      </w:r>
      <w:r w:rsidRPr="008F60C0">
        <w:rPr>
          <w:b w:val="0"/>
          <w:bCs w:val="0"/>
          <w:rtl/>
        </w:rPr>
        <w:tab/>
        <w:t>تحديد صافي المراكز لدى البنك والذي يمثل التقاص بين المراكز الطويلة والقصيرة.</w:t>
      </w:r>
      <w:bookmarkEnd w:id="2076"/>
      <w:bookmarkEnd w:id="2077"/>
      <w:bookmarkEnd w:id="2078"/>
    </w:p>
    <w:p w:rsidR="00B259A6" w:rsidRPr="008F60C0" w:rsidRDefault="00B259A6" w:rsidP="00D470C6">
      <w:pPr>
        <w:ind w:left="2126" w:hanging="851"/>
        <w:rPr>
          <w:b w:val="0"/>
          <w:bCs w:val="0"/>
        </w:rPr>
      </w:pPr>
      <w:bookmarkStart w:id="2079" w:name="_Toc414888564"/>
      <w:bookmarkStart w:id="2080" w:name="_Toc451176751"/>
      <w:bookmarkStart w:id="2081" w:name="_Toc451180648"/>
      <w:r w:rsidRPr="008F60C0">
        <w:rPr>
          <w:b w:val="0"/>
          <w:bCs w:val="0"/>
          <w:rtl/>
        </w:rPr>
        <w:t>5.2.11</w:t>
      </w:r>
      <w:r w:rsidR="00CE45CD">
        <w:rPr>
          <w:rFonts w:hint="cs"/>
          <w:b w:val="0"/>
          <w:bCs w:val="0"/>
          <w:rtl/>
        </w:rPr>
        <w:t>.</w:t>
      </w:r>
      <w:r w:rsidRPr="008F60C0">
        <w:rPr>
          <w:b w:val="0"/>
          <w:bCs w:val="0"/>
          <w:rtl/>
        </w:rPr>
        <w:tab/>
        <w:t>تحديد رأس المال المطلوب لمواجهة المخاطر العامة والذي يمثل صافي المراكز مضروباً في (8%).</w:t>
      </w:r>
      <w:bookmarkEnd w:id="2079"/>
      <w:bookmarkEnd w:id="2080"/>
      <w:bookmarkEnd w:id="2081"/>
    </w:p>
    <w:p w:rsidR="00B259A6" w:rsidRPr="008F60C0" w:rsidRDefault="00B259A6" w:rsidP="00D470C6">
      <w:pPr>
        <w:ind w:left="2126" w:hanging="851"/>
        <w:rPr>
          <w:b w:val="0"/>
          <w:bCs w:val="0"/>
        </w:rPr>
      </w:pPr>
      <w:bookmarkStart w:id="2082" w:name="_Toc414888565"/>
      <w:bookmarkStart w:id="2083" w:name="_Toc451176752"/>
      <w:bookmarkStart w:id="2084" w:name="_Toc451180649"/>
      <w:r w:rsidRPr="008F60C0">
        <w:rPr>
          <w:b w:val="0"/>
          <w:bCs w:val="0"/>
          <w:rtl/>
        </w:rPr>
        <w:t>6.2.11</w:t>
      </w:r>
      <w:r w:rsidR="00CE45CD">
        <w:rPr>
          <w:rFonts w:hint="cs"/>
          <w:b w:val="0"/>
          <w:bCs w:val="0"/>
          <w:rtl/>
        </w:rPr>
        <w:t>.</w:t>
      </w:r>
      <w:r w:rsidRPr="008F60C0">
        <w:rPr>
          <w:b w:val="0"/>
          <w:bCs w:val="0"/>
          <w:rtl/>
        </w:rPr>
        <w:tab/>
        <w:t>احتساب رأس المال الإجمالي لمواجهة المخاطر العامة والخاصة والذي يمثل ناتج جمع رأس المال اللازم لكل منهما.</w:t>
      </w:r>
      <w:bookmarkEnd w:id="2082"/>
      <w:bookmarkEnd w:id="2083"/>
      <w:bookmarkEnd w:id="2084"/>
    </w:p>
    <w:p w:rsidR="00B259A6" w:rsidRPr="008F60C0" w:rsidRDefault="00B259A6" w:rsidP="00D470C6">
      <w:pPr>
        <w:ind w:left="2126" w:hanging="851"/>
        <w:rPr>
          <w:b w:val="0"/>
          <w:bCs w:val="0"/>
        </w:rPr>
      </w:pPr>
      <w:bookmarkStart w:id="2085" w:name="_Toc414888566"/>
      <w:bookmarkStart w:id="2086" w:name="_Toc451176753"/>
      <w:bookmarkStart w:id="2087" w:name="_Toc451180650"/>
      <w:r w:rsidRPr="008F60C0">
        <w:rPr>
          <w:b w:val="0"/>
          <w:bCs w:val="0"/>
          <w:rtl/>
        </w:rPr>
        <w:t>7.2.11</w:t>
      </w:r>
      <w:r w:rsidR="00CE45CD">
        <w:rPr>
          <w:rFonts w:hint="cs"/>
          <w:b w:val="0"/>
          <w:bCs w:val="0"/>
          <w:rtl/>
        </w:rPr>
        <w:t>.</w:t>
      </w:r>
      <w:r w:rsidRPr="008F60C0">
        <w:rPr>
          <w:b w:val="0"/>
          <w:bCs w:val="0"/>
          <w:rtl/>
        </w:rPr>
        <w:tab/>
        <w:t>يتم احتساب مخاطر السوق لأدوات الملكية من خلال حاصل ضرب رأس المال المطلوب في (12.5).</w:t>
      </w:r>
      <w:bookmarkEnd w:id="2085"/>
      <w:bookmarkEnd w:id="2086"/>
      <w:bookmarkEnd w:id="2087"/>
    </w:p>
    <w:p w:rsidR="00B259A6" w:rsidRPr="00CE45CD" w:rsidRDefault="00EF32A4" w:rsidP="00D470C6">
      <w:pPr>
        <w:spacing w:after="0" w:line="276" w:lineRule="auto"/>
        <w:ind w:left="708" w:hanging="425"/>
        <w:rPr>
          <w:rtl/>
        </w:rPr>
      </w:pPr>
      <w:bookmarkStart w:id="2088" w:name="_Toc451176754"/>
      <w:bookmarkStart w:id="2089" w:name="_Toc451180651"/>
      <w:r>
        <w:rPr>
          <w:rtl/>
        </w:rPr>
        <w:t>12.</w:t>
      </w:r>
      <w:r>
        <w:rPr>
          <w:rFonts w:hint="cs"/>
          <w:rtl/>
        </w:rPr>
        <w:t xml:space="preserve"> </w:t>
      </w:r>
      <w:r w:rsidR="00B259A6" w:rsidRPr="00CE45CD">
        <w:rPr>
          <w:rtl/>
        </w:rPr>
        <w:t>قياس مخاطر أسعا</w:t>
      </w:r>
      <w:r w:rsidR="00CF7E7E" w:rsidRPr="00CE45CD">
        <w:rPr>
          <w:rtl/>
        </w:rPr>
        <w:t>ر صرف العملات الأجنبية والذهب:</w:t>
      </w:r>
      <w:bookmarkEnd w:id="2088"/>
      <w:bookmarkEnd w:id="2089"/>
    </w:p>
    <w:p w:rsidR="00B259A6" w:rsidRPr="008F60C0" w:rsidRDefault="00B259A6" w:rsidP="00D470C6">
      <w:pPr>
        <w:spacing w:line="276" w:lineRule="auto"/>
        <w:ind w:left="566"/>
        <w:rPr>
          <w:b w:val="0"/>
          <w:bCs w:val="0"/>
          <w:rtl/>
        </w:rPr>
      </w:pPr>
      <w:bookmarkStart w:id="2090" w:name="_Toc414888568"/>
      <w:bookmarkStart w:id="2091" w:name="_Toc451176755"/>
      <w:bookmarkStart w:id="2092" w:name="_Toc451180652"/>
      <w:r w:rsidRPr="008F60C0">
        <w:rPr>
          <w:b w:val="0"/>
          <w:bCs w:val="0"/>
          <w:rtl/>
        </w:rPr>
        <w:t>وهي الخسائر التي يمكن أن يتحملها البنك نتيجة التغير المعاكس في أسعار العملات الأجنبية بما فيها الذهب وذلك نتيجة لاحتفاظه بمراكز مفتوحة في هذه العملات سواء كانت طويلة أو قصيرة.</w:t>
      </w:r>
      <w:bookmarkEnd w:id="2090"/>
      <w:bookmarkEnd w:id="2091"/>
      <w:bookmarkEnd w:id="2092"/>
    </w:p>
    <w:p w:rsidR="00B259A6" w:rsidRPr="008F60C0" w:rsidRDefault="00B259A6" w:rsidP="005A5C26">
      <w:pPr>
        <w:ind w:left="1275" w:hanging="709"/>
        <w:rPr>
          <w:b w:val="0"/>
          <w:bCs w:val="0"/>
          <w:rtl/>
        </w:rPr>
      </w:pPr>
      <w:bookmarkStart w:id="2093" w:name="_Toc414888569"/>
      <w:bookmarkStart w:id="2094" w:name="_Toc451176756"/>
      <w:bookmarkStart w:id="2095" w:name="_Toc451180653"/>
      <w:r w:rsidRPr="008F60C0">
        <w:rPr>
          <w:b w:val="0"/>
          <w:bCs w:val="0"/>
          <w:rtl/>
        </w:rPr>
        <w:t>1.12</w:t>
      </w:r>
      <w:r w:rsidR="00CE45CD">
        <w:rPr>
          <w:rFonts w:hint="cs"/>
          <w:b w:val="0"/>
          <w:bCs w:val="0"/>
          <w:rtl/>
        </w:rPr>
        <w:t>.</w:t>
      </w:r>
      <w:r w:rsidRPr="008F60C0">
        <w:rPr>
          <w:b w:val="0"/>
          <w:bCs w:val="0"/>
          <w:rtl/>
        </w:rPr>
        <w:tab/>
        <w:t>يحتسب صافي المراكز الآنية (</w:t>
      </w:r>
      <w:r w:rsidRPr="008F60C0">
        <w:rPr>
          <w:b w:val="0"/>
          <w:bCs w:val="0"/>
        </w:rPr>
        <w:t>Spot</w:t>
      </w:r>
      <w:r w:rsidRPr="008F60C0">
        <w:rPr>
          <w:b w:val="0"/>
          <w:bCs w:val="0"/>
          <w:rtl/>
        </w:rPr>
        <w:t>) والذي يمثل الفرق ما بين الموجودات والمطلوبات بالعملة الواحدة بما فيها الفوائد المستحقة غير المدفوعة أو غير المقبوضة.</w:t>
      </w:r>
      <w:bookmarkEnd w:id="2093"/>
      <w:bookmarkEnd w:id="2094"/>
      <w:bookmarkEnd w:id="2095"/>
    </w:p>
    <w:p w:rsidR="00B259A6" w:rsidRPr="008F60C0" w:rsidRDefault="00B259A6" w:rsidP="005A5C26">
      <w:pPr>
        <w:ind w:left="1275" w:hanging="709"/>
        <w:rPr>
          <w:b w:val="0"/>
          <w:bCs w:val="0"/>
          <w:rtl/>
        </w:rPr>
      </w:pPr>
      <w:bookmarkStart w:id="2096" w:name="_Toc414888570"/>
      <w:bookmarkStart w:id="2097" w:name="_Toc451176757"/>
      <w:bookmarkStart w:id="2098" w:name="_Toc451180654"/>
      <w:r w:rsidRPr="008F60C0">
        <w:rPr>
          <w:b w:val="0"/>
          <w:bCs w:val="0"/>
          <w:rtl/>
        </w:rPr>
        <w:t>2.12</w:t>
      </w:r>
      <w:r w:rsidR="005144C9">
        <w:rPr>
          <w:rFonts w:hint="cs"/>
          <w:b w:val="0"/>
          <w:bCs w:val="0"/>
          <w:rtl/>
        </w:rPr>
        <w:t>.</w:t>
      </w:r>
      <w:r w:rsidRPr="008F60C0">
        <w:rPr>
          <w:b w:val="0"/>
          <w:bCs w:val="0"/>
          <w:rtl/>
        </w:rPr>
        <w:tab/>
        <w:t xml:space="preserve">احتساب صافي المراكز الآجلة والتي تمثل جميع المبالغ التي سيتم استلامها مخصوماً منها جميع المبالغ التي سيتم دفعها من خلال عمليات عقود العملات </w:t>
      </w:r>
      <w:r w:rsidR="00225F63" w:rsidRPr="008F60C0">
        <w:rPr>
          <w:b w:val="0"/>
          <w:bCs w:val="0"/>
          <w:rtl/>
        </w:rPr>
        <w:t>الأجنبية الآجلة و</w:t>
      </w:r>
      <w:r w:rsidRPr="008F60C0">
        <w:rPr>
          <w:b w:val="0"/>
          <w:bCs w:val="0"/>
          <w:rtl/>
        </w:rPr>
        <w:t>عقود المستقبليات والقيمة الاسمية لعقود المقايضة بالعملات الأجنبية والتي لم يتم تقييمها في المركز الآني.</w:t>
      </w:r>
      <w:bookmarkEnd w:id="2096"/>
      <w:bookmarkEnd w:id="2097"/>
      <w:bookmarkEnd w:id="2098"/>
    </w:p>
    <w:p w:rsidR="00B259A6" w:rsidRPr="008F60C0" w:rsidRDefault="00B259A6" w:rsidP="00D470C6">
      <w:pPr>
        <w:spacing w:after="0"/>
        <w:ind w:left="1275" w:hanging="709"/>
        <w:rPr>
          <w:b w:val="0"/>
          <w:bCs w:val="0"/>
          <w:rtl/>
        </w:rPr>
      </w:pPr>
      <w:bookmarkStart w:id="2099" w:name="_Toc414888571"/>
      <w:bookmarkStart w:id="2100" w:name="_Toc451176758"/>
      <w:bookmarkStart w:id="2101" w:name="_Toc451180655"/>
      <w:r w:rsidRPr="008F60C0">
        <w:rPr>
          <w:b w:val="0"/>
          <w:bCs w:val="0"/>
          <w:rtl/>
        </w:rPr>
        <w:t>3.12</w:t>
      </w:r>
      <w:r w:rsidR="005144C9">
        <w:rPr>
          <w:rFonts w:hint="cs"/>
          <w:b w:val="0"/>
          <w:bCs w:val="0"/>
          <w:rtl/>
        </w:rPr>
        <w:t>.</w:t>
      </w:r>
      <w:r w:rsidRPr="008F60C0">
        <w:rPr>
          <w:b w:val="0"/>
          <w:bCs w:val="0"/>
          <w:rtl/>
        </w:rPr>
        <w:tab/>
        <w:t>يحتسب صافي المراكز بالعملات الأجنبية من خلال البنود أدناه:</w:t>
      </w:r>
      <w:bookmarkEnd w:id="2099"/>
      <w:bookmarkEnd w:id="2100"/>
      <w:bookmarkEnd w:id="2101"/>
    </w:p>
    <w:p w:rsidR="00B259A6" w:rsidRPr="008F60C0" w:rsidRDefault="00B259A6" w:rsidP="00D470C6">
      <w:pPr>
        <w:spacing w:after="0"/>
        <w:ind w:left="2126" w:hanging="851"/>
        <w:rPr>
          <w:b w:val="0"/>
          <w:bCs w:val="0"/>
          <w:rtl/>
        </w:rPr>
      </w:pPr>
      <w:bookmarkStart w:id="2102" w:name="_Toc414888572"/>
      <w:bookmarkStart w:id="2103" w:name="_Toc451176759"/>
      <w:bookmarkStart w:id="2104" w:name="_Toc451180656"/>
      <w:r w:rsidRPr="008F60C0">
        <w:rPr>
          <w:b w:val="0"/>
          <w:bCs w:val="0"/>
          <w:rtl/>
        </w:rPr>
        <w:t>1.3.12</w:t>
      </w:r>
      <w:r w:rsidR="005144C9">
        <w:rPr>
          <w:rFonts w:hint="cs"/>
          <w:b w:val="0"/>
          <w:bCs w:val="0"/>
          <w:rtl/>
        </w:rPr>
        <w:t>.</w:t>
      </w:r>
      <w:r w:rsidRPr="008F60C0">
        <w:rPr>
          <w:b w:val="0"/>
          <w:bCs w:val="0"/>
          <w:rtl/>
        </w:rPr>
        <w:tab/>
        <w:t>الكفالات غير القابلة للنقض والتي من المؤكد أن يتم المطالبة بها من قبل المستفيد وكذلك السحوبات الزمنية والقبولات.</w:t>
      </w:r>
      <w:bookmarkEnd w:id="2102"/>
      <w:bookmarkEnd w:id="2103"/>
      <w:bookmarkEnd w:id="2104"/>
    </w:p>
    <w:p w:rsidR="00B259A6" w:rsidRPr="008F60C0" w:rsidRDefault="00B259A6" w:rsidP="00D470C6">
      <w:pPr>
        <w:spacing w:after="0"/>
        <w:ind w:left="2126" w:hanging="851"/>
        <w:rPr>
          <w:b w:val="0"/>
          <w:bCs w:val="0"/>
          <w:rtl/>
        </w:rPr>
      </w:pPr>
      <w:bookmarkStart w:id="2105" w:name="_Toc414888573"/>
      <w:bookmarkStart w:id="2106" w:name="_Toc451176760"/>
      <w:bookmarkStart w:id="2107" w:name="_Toc451180657"/>
      <w:r w:rsidRPr="008F60C0">
        <w:rPr>
          <w:b w:val="0"/>
          <w:bCs w:val="0"/>
          <w:rtl/>
        </w:rPr>
        <w:t>2.3.12</w:t>
      </w:r>
      <w:r w:rsidR="005144C9">
        <w:rPr>
          <w:rFonts w:hint="cs"/>
          <w:b w:val="0"/>
          <w:bCs w:val="0"/>
          <w:rtl/>
        </w:rPr>
        <w:t>.</w:t>
      </w:r>
      <w:r w:rsidRPr="008F60C0">
        <w:rPr>
          <w:b w:val="0"/>
          <w:bCs w:val="0"/>
          <w:rtl/>
        </w:rPr>
        <w:tab/>
        <w:t>أي بند يمثل ربح أو خسارة بالعملات الأجنبية.</w:t>
      </w:r>
      <w:bookmarkEnd w:id="2105"/>
      <w:bookmarkEnd w:id="2106"/>
      <w:bookmarkEnd w:id="2107"/>
    </w:p>
    <w:p w:rsidR="00B259A6" w:rsidRPr="008F60C0" w:rsidRDefault="00B259A6" w:rsidP="00D470C6">
      <w:pPr>
        <w:ind w:left="2126" w:hanging="851"/>
        <w:rPr>
          <w:b w:val="0"/>
          <w:bCs w:val="0"/>
          <w:rtl/>
        </w:rPr>
      </w:pPr>
      <w:bookmarkStart w:id="2108" w:name="_Toc414888574"/>
      <w:bookmarkStart w:id="2109" w:name="_Toc451176761"/>
      <w:bookmarkStart w:id="2110" w:name="_Toc451180658"/>
      <w:r w:rsidRPr="008F60C0">
        <w:rPr>
          <w:b w:val="0"/>
          <w:bCs w:val="0"/>
          <w:rtl/>
        </w:rPr>
        <w:t>3.3.12</w:t>
      </w:r>
      <w:r w:rsidR="005144C9">
        <w:rPr>
          <w:rFonts w:hint="cs"/>
          <w:b w:val="0"/>
          <w:bCs w:val="0"/>
          <w:rtl/>
        </w:rPr>
        <w:t>.</w:t>
      </w:r>
      <w:r w:rsidRPr="008F60C0">
        <w:rPr>
          <w:b w:val="0"/>
          <w:bCs w:val="0"/>
          <w:rtl/>
        </w:rPr>
        <w:tab/>
        <w:t>قيمة صافي عقود الخيارات بالعملات الأجنبية (المتمثلة بقيمة دلتا بالصافي).</w:t>
      </w:r>
      <w:bookmarkEnd w:id="2108"/>
      <w:bookmarkEnd w:id="2109"/>
      <w:bookmarkEnd w:id="2110"/>
    </w:p>
    <w:p w:rsidR="00B259A6" w:rsidRPr="008F60C0" w:rsidRDefault="00B259A6" w:rsidP="006D0790">
      <w:pPr>
        <w:ind w:left="1275" w:hanging="709"/>
        <w:rPr>
          <w:b w:val="0"/>
          <w:bCs w:val="0"/>
          <w:rtl/>
        </w:rPr>
      </w:pPr>
      <w:bookmarkStart w:id="2111" w:name="_Toc414888575"/>
      <w:bookmarkStart w:id="2112" w:name="_Toc451176762"/>
      <w:bookmarkStart w:id="2113" w:name="_Toc451180659"/>
      <w:r w:rsidRPr="008F60C0">
        <w:rPr>
          <w:b w:val="0"/>
          <w:bCs w:val="0"/>
          <w:rtl/>
        </w:rPr>
        <w:t>4.12</w:t>
      </w:r>
      <w:r w:rsidR="005144C9">
        <w:rPr>
          <w:rFonts w:hint="cs"/>
          <w:b w:val="0"/>
          <w:bCs w:val="0"/>
          <w:rtl/>
        </w:rPr>
        <w:t>.</w:t>
      </w:r>
      <w:r w:rsidRPr="008F60C0">
        <w:rPr>
          <w:b w:val="0"/>
          <w:bCs w:val="0"/>
          <w:rtl/>
        </w:rPr>
        <w:tab/>
        <w:t xml:space="preserve">يتم احتساب مخاطر أسعار صرف العملات الأجنبية والذهب كما هو موضح في </w:t>
      </w:r>
      <w:r w:rsidR="00225F63" w:rsidRPr="008F60C0">
        <w:rPr>
          <w:b w:val="0"/>
          <w:bCs w:val="0"/>
          <w:rtl/>
        </w:rPr>
        <w:t>الملحق</w:t>
      </w:r>
      <w:r w:rsidRPr="008F60C0">
        <w:rPr>
          <w:b w:val="0"/>
          <w:bCs w:val="0"/>
          <w:rtl/>
        </w:rPr>
        <w:t xml:space="preserve"> رقم (</w:t>
      </w:r>
      <w:r w:rsidR="006D0790">
        <w:rPr>
          <w:rFonts w:hint="cs"/>
          <w:b w:val="0"/>
          <w:bCs w:val="0"/>
          <w:rtl/>
        </w:rPr>
        <w:t>19</w:t>
      </w:r>
      <w:r w:rsidRPr="008F60C0">
        <w:rPr>
          <w:b w:val="0"/>
          <w:bCs w:val="0"/>
          <w:rtl/>
        </w:rPr>
        <w:t>) وكما يلي:-</w:t>
      </w:r>
      <w:bookmarkEnd w:id="2111"/>
      <w:bookmarkEnd w:id="2112"/>
      <w:bookmarkEnd w:id="2113"/>
    </w:p>
    <w:p w:rsidR="00B259A6" w:rsidRPr="008F60C0" w:rsidRDefault="00B259A6" w:rsidP="00D470C6">
      <w:pPr>
        <w:spacing w:after="0"/>
        <w:ind w:left="2126" w:hanging="851"/>
        <w:rPr>
          <w:b w:val="0"/>
          <w:bCs w:val="0"/>
          <w:rtl/>
        </w:rPr>
      </w:pPr>
      <w:bookmarkStart w:id="2114" w:name="_Toc414888576"/>
      <w:bookmarkStart w:id="2115" w:name="_Toc451176763"/>
      <w:bookmarkStart w:id="2116" w:name="_Toc451180660"/>
      <w:r w:rsidRPr="008F60C0">
        <w:rPr>
          <w:b w:val="0"/>
          <w:bCs w:val="0"/>
          <w:rtl/>
        </w:rPr>
        <w:t>1.4.12</w:t>
      </w:r>
      <w:r w:rsidR="005144C9">
        <w:rPr>
          <w:rFonts w:hint="cs"/>
          <w:b w:val="0"/>
          <w:bCs w:val="0"/>
          <w:rtl/>
        </w:rPr>
        <w:t>.</w:t>
      </w:r>
      <w:r w:rsidRPr="008F60C0">
        <w:rPr>
          <w:b w:val="0"/>
          <w:bCs w:val="0"/>
          <w:rtl/>
        </w:rPr>
        <w:tab/>
        <w:t>تحديد صافي المراكز المفتوحة (طويلة أو قصيرة) لكل عملة على حدة.</w:t>
      </w:r>
      <w:bookmarkEnd w:id="2114"/>
      <w:bookmarkEnd w:id="2115"/>
      <w:bookmarkEnd w:id="2116"/>
    </w:p>
    <w:p w:rsidR="00B259A6" w:rsidRPr="008F60C0" w:rsidRDefault="00B259A6" w:rsidP="00D470C6">
      <w:pPr>
        <w:spacing w:after="0"/>
        <w:ind w:left="2126" w:hanging="851"/>
        <w:rPr>
          <w:b w:val="0"/>
          <w:bCs w:val="0"/>
          <w:rtl/>
        </w:rPr>
      </w:pPr>
      <w:bookmarkStart w:id="2117" w:name="_Toc414888577"/>
      <w:bookmarkStart w:id="2118" w:name="_Toc451176764"/>
      <w:bookmarkStart w:id="2119" w:name="_Toc451180661"/>
      <w:r w:rsidRPr="008F60C0">
        <w:rPr>
          <w:b w:val="0"/>
          <w:bCs w:val="0"/>
          <w:rtl/>
        </w:rPr>
        <w:t>2.4.12</w:t>
      </w:r>
      <w:r w:rsidR="005144C9">
        <w:rPr>
          <w:rFonts w:hint="cs"/>
          <w:b w:val="0"/>
          <w:bCs w:val="0"/>
          <w:rtl/>
        </w:rPr>
        <w:t>.</w:t>
      </w:r>
      <w:r w:rsidRPr="008F60C0">
        <w:rPr>
          <w:b w:val="0"/>
          <w:bCs w:val="0"/>
          <w:rtl/>
        </w:rPr>
        <w:tab/>
        <w:t>تحديد إجمالي صافي المراكز المفتوحة (طويلة أو قصيرة) للعملات جميعها.</w:t>
      </w:r>
      <w:bookmarkEnd w:id="2117"/>
      <w:bookmarkEnd w:id="2118"/>
      <w:bookmarkEnd w:id="2119"/>
    </w:p>
    <w:p w:rsidR="00B259A6" w:rsidRPr="008F60C0" w:rsidRDefault="00B259A6" w:rsidP="00D470C6">
      <w:pPr>
        <w:spacing w:after="0"/>
        <w:ind w:left="2126" w:hanging="851"/>
        <w:rPr>
          <w:b w:val="0"/>
          <w:bCs w:val="0"/>
          <w:rtl/>
        </w:rPr>
      </w:pPr>
      <w:bookmarkStart w:id="2120" w:name="_Toc414888578"/>
      <w:bookmarkStart w:id="2121" w:name="_Toc451176765"/>
      <w:bookmarkStart w:id="2122" w:name="_Toc451180662"/>
      <w:r w:rsidRPr="008F60C0">
        <w:rPr>
          <w:b w:val="0"/>
          <w:bCs w:val="0"/>
          <w:rtl/>
        </w:rPr>
        <w:lastRenderedPageBreak/>
        <w:t>3.4.12</w:t>
      </w:r>
      <w:r w:rsidR="005144C9">
        <w:rPr>
          <w:rFonts w:hint="cs"/>
          <w:b w:val="0"/>
          <w:bCs w:val="0"/>
          <w:rtl/>
        </w:rPr>
        <w:t>.</w:t>
      </w:r>
      <w:r w:rsidRPr="008F60C0">
        <w:rPr>
          <w:b w:val="0"/>
          <w:bCs w:val="0"/>
          <w:rtl/>
        </w:rPr>
        <w:tab/>
        <w:t>تحديد مجموع المراكز الطويلة أو القصيرة أيهما أكبر.</w:t>
      </w:r>
      <w:bookmarkEnd w:id="2120"/>
      <w:bookmarkEnd w:id="2121"/>
      <w:bookmarkEnd w:id="2122"/>
    </w:p>
    <w:p w:rsidR="00B259A6" w:rsidRPr="008F60C0" w:rsidRDefault="00B259A6" w:rsidP="00D470C6">
      <w:pPr>
        <w:spacing w:after="0"/>
        <w:ind w:left="2126" w:hanging="851"/>
        <w:rPr>
          <w:b w:val="0"/>
          <w:bCs w:val="0"/>
          <w:rtl/>
        </w:rPr>
      </w:pPr>
      <w:bookmarkStart w:id="2123" w:name="_Toc414888579"/>
      <w:bookmarkStart w:id="2124" w:name="_Toc451176766"/>
      <w:bookmarkStart w:id="2125" w:name="_Toc451180663"/>
      <w:r w:rsidRPr="008F60C0">
        <w:rPr>
          <w:b w:val="0"/>
          <w:bCs w:val="0"/>
          <w:rtl/>
        </w:rPr>
        <w:t>4.4.12</w:t>
      </w:r>
      <w:r w:rsidR="005144C9">
        <w:rPr>
          <w:rFonts w:hint="cs"/>
          <w:b w:val="0"/>
          <w:bCs w:val="0"/>
          <w:rtl/>
        </w:rPr>
        <w:t>.</w:t>
      </w:r>
      <w:r w:rsidRPr="008F60C0">
        <w:rPr>
          <w:b w:val="0"/>
          <w:bCs w:val="0"/>
          <w:rtl/>
        </w:rPr>
        <w:tab/>
        <w:t>تحديد صافي المركز المفتوح بالذهب (طويل أو قصير).</w:t>
      </w:r>
      <w:bookmarkEnd w:id="2123"/>
      <w:bookmarkEnd w:id="2124"/>
      <w:bookmarkEnd w:id="2125"/>
    </w:p>
    <w:p w:rsidR="00B259A6" w:rsidRPr="008F60C0" w:rsidRDefault="00B259A6" w:rsidP="00D470C6">
      <w:pPr>
        <w:spacing w:after="0"/>
        <w:ind w:left="2126" w:hanging="851"/>
        <w:rPr>
          <w:b w:val="0"/>
          <w:bCs w:val="0"/>
          <w:rtl/>
        </w:rPr>
      </w:pPr>
      <w:bookmarkStart w:id="2126" w:name="_Toc414888580"/>
      <w:bookmarkStart w:id="2127" w:name="_Toc451176767"/>
      <w:bookmarkStart w:id="2128" w:name="_Toc451180664"/>
      <w:r w:rsidRPr="008F60C0">
        <w:rPr>
          <w:b w:val="0"/>
          <w:bCs w:val="0"/>
          <w:rtl/>
        </w:rPr>
        <w:t>5.4.12</w:t>
      </w:r>
      <w:r w:rsidR="005144C9">
        <w:rPr>
          <w:rFonts w:hint="cs"/>
          <w:b w:val="0"/>
          <w:bCs w:val="0"/>
          <w:rtl/>
        </w:rPr>
        <w:t>.</w:t>
      </w:r>
      <w:r w:rsidRPr="008F60C0">
        <w:rPr>
          <w:b w:val="0"/>
          <w:bCs w:val="0"/>
          <w:rtl/>
        </w:rPr>
        <w:tab/>
        <w:t>تحديد رأس المال اللازم لمواجهة مخاطر أسعار صرف العملات الأجنبية والذهب من خلال ناتج جمع كل من البندين (</w:t>
      </w:r>
      <w:r w:rsidR="00225F63" w:rsidRPr="008F60C0">
        <w:rPr>
          <w:b w:val="0"/>
          <w:bCs w:val="0"/>
          <w:rtl/>
        </w:rPr>
        <w:t>3.4.12</w:t>
      </w:r>
      <w:r w:rsidRPr="008F60C0">
        <w:rPr>
          <w:b w:val="0"/>
          <w:bCs w:val="0"/>
          <w:rtl/>
        </w:rPr>
        <w:t>) و(</w:t>
      </w:r>
      <w:r w:rsidR="00225F63" w:rsidRPr="008F60C0">
        <w:rPr>
          <w:b w:val="0"/>
          <w:bCs w:val="0"/>
          <w:rtl/>
        </w:rPr>
        <w:t>4.4.12</w:t>
      </w:r>
      <w:r w:rsidRPr="008F60C0">
        <w:rPr>
          <w:b w:val="0"/>
          <w:bCs w:val="0"/>
          <w:rtl/>
        </w:rPr>
        <w:t>) وضرب الناتج في (8%).</w:t>
      </w:r>
      <w:bookmarkEnd w:id="2126"/>
      <w:bookmarkEnd w:id="2127"/>
      <w:bookmarkEnd w:id="2128"/>
    </w:p>
    <w:p w:rsidR="00EF32A4" w:rsidRPr="008F60C0" w:rsidRDefault="00B259A6" w:rsidP="00D470C6">
      <w:pPr>
        <w:spacing w:after="0"/>
        <w:ind w:left="2126" w:hanging="851"/>
        <w:rPr>
          <w:b w:val="0"/>
          <w:bCs w:val="0"/>
          <w:rtl/>
        </w:rPr>
      </w:pPr>
      <w:bookmarkStart w:id="2129" w:name="_Toc414888581"/>
      <w:bookmarkStart w:id="2130" w:name="_Toc451176768"/>
      <w:bookmarkStart w:id="2131" w:name="_Toc451180665"/>
      <w:r w:rsidRPr="008F60C0">
        <w:rPr>
          <w:b w:val="0"/>
          <w:bCs w:val="0"/>
          <w:rtl/>
        </w:rPr>
        <w:t>6.4.12</w:t>
      </w:r>
      <w:r w:rsidR="005144C9">
        <w:rPr>
          <w:rFonts w:hint="cs"/>
          <w:b w:val="0"/>
          <w:bCs w:val="0"/>
          <w:rtl/>
        </w:rPr>
        <w:t>.</w:t>
      </w:r>
      <w:r w:rsidRPr="008F60C0">
        <w:rPr>
          <w:b w:val="0"/>
          <w:bCs w:val="0"/>
          <w:rtl/>
        </w:rPr>
        <w:tab/>
        <w:t>يتم احتساب مخاطر السوق لأسعار صرف العملات الأجنبية والذهب من خلال حاصل ضرب رأس المال المطلوب بـ (12.5).</w:t>
      </w:r>
      <w:bookmarkEnd w:id="2129"/>
      <w:bookmarkEnd w:id="2130"/>
      <w:bookmarkEnd w:id="2131"/>
    </w:p>
    <w:p w:rsidR="00B259A6" w:rsidRPr="005144C9" w:rsidRDefault="00B259A6" w:rsidP="00D470C6">
      <w:pPr>
        <w:spacing w:before="120" w:after="0" w:line="276" w:lineRule="auto"/>
        <w:ind w:left="708" w:hanging="425"/>
        <w:rPr>
          <w:rtl/>
        </w:rPr>
      </w:pPr>
      <w:bookmarkStart w:id="2132" w:name="_Toc451176769"/>
      <w:bookmarkStart w:id="2133" w:name="_Toc451180666"/>
      <w:r w:rsidRPr="005144C9">
        <w:rPr>
          <w:rtl/>
        </w:rPr>
        <w:t>13.</w:t>
      </w:r>
      <w:r w:rsidR="00EF32A4">
        <w:rPr>
          <w:rFonts w:hint="cs"/>
          <w:rtl/>
        </w:rPr>
        <w:t xml:space="preserve"> </w:t>
      </w:r>
      <w:r w:rsidRPr="005144C9">
        <w:rPr>
          <w:rtl/>
        </w:rPr>
        <w:t>قياس مخاطر البضائع:</w:t>
      </w:r>
      <w:bookmarkEnd w:id="2132"/>
      <w:bookmarkEnd w:id="2133"/>
    </w:p>
    <w:p w:rsidR="00B259A6" w:rsidRPr="008F60C0" w:rsidRDefault="00B259A6" w:rsidP="005A5C26">
      <w:pPr>
        <w:ind w:left="1275" w:hanging="709"/>
        <w:rPr>
          <w:b w:val="0"/>
          <w:bCs w:val="0"/>
          <w:rtl/>
        </w:rPr>
      </w:pPr>
      <w:bookmarkStart w:id="2134" w:name="_Toc414888583"/>
      <w:bookmarkStart w:id="2135" w:name="_Toc451176770"/>
      <w:bookmarkStart w:id="2136" w:name="_Toc451180667"/>
      <w:r w:rsidRPr="008F60C0">
        <w:rPr>
          <w:b w:val="0"/>
          <w:bCs w:val="0"/>
          <w:rtl/>
        </w:rPr>
        <w:t>1.13</w:t>
      </w:r>
      <w:r w:rsidR="005C4455">
        <w:rPr>
          <w:rFonts w:hint="cs"/>
          <w:b w:val="0"/>
          <w:bCs w:val="0"/>
          <w:rtl/>
        </w:rPr>
        <w:t>.</w:t>
      </w:r>
      <w:r w:rsidRPr="008F60C0">
        <w:rPr>
          <w:b w:val="0"/>
          <w:bCs w:val="0"/>
          <w:rtl/>
        </w:rPr>
        <w:tab/>
        <w:t>تمثل الخسائر التي قد يتعرض لها البنك بسبب تغير أسعار البضائع المحتفظ بها أو التي لدى البنك مراكز بها ويشمل ذلك جميع البضائع التي يحتفظ بها بهدف المتاجرة بما في ذلك المعادن الثمينة باستثناء الذهب.</w:t>
      </w:r>
      <w:bookmarkEnd w:id="2134"/>
      <w:bookmarkEnd w:id="2135"/>
      <w:bookmarkEnd w:id="2136"/>
    </w:p>
    <w:p w:rsidR="00B259A6" w:rsidRPr="008F60C0" w:rsidRDefault="00B259A6" w:rsidP="006D0790">
      <w:pPr>
        <w:ind w:left="1275" w:hanging="709"/>
        <w:rPr>
          <w:b w:val="0"/>
          <w:bCs w:val="0"/>
          <w:rtl/>
        </w:rPr>
      </w:pPr>
      <w:bookmarkStart w:id="2137" w:name="_Toc414888584"/>
      <w:bookmarkStart w:id="2138" w:name="_Toc451176771"/>
      <w:bookmarkStart w:id="2139" w:name="_Toc451180668"/>
      <w:r w:rsidRPr="008F60C0">
        <w:rPr>
          <w:b w:val="0"/>
          <w:bCs w:val="0"/>
          <w:rtl/>
        </w:rPr>
        <w:t>2.13</w:t>
      </w:r>
      <w:r w:rsidR="005144C9">
        <w:rPr>
          <w:rFonts w:hint="cs"/>
          <w:b w:val="0"/>
          <w:bCs w:val="0"/>
          <w:rtl/>
        </w:rPr>
        <w:t>.</w:t>
      </w:r>
      <w:r w:rsidRPr="008F60C0">
        <w:rPr>
          <w:b w:val="0"/>
          <w:bCs w:val="0"/>
          <w:rtl/>
        </w:rPr>
        <w:tab/>
        <w:t xml:space="preserve">سيتم استخدام الطريقة المبسطة لاحتساب مخاطر البضائع ووفقاً </w:t>
      </w:r>
      <w:r w:rsidR="00225F63" w:rsidRPr="008F60C0">
        <w:rPr>
          <w:b w:val="0"/>
          <w:bCs w:val="0"/>
          <w:rtl/>
        </w:rPr>
        <w:t>للملحق</w:t>
      </w:r>
      <w:r w:rsidRPr="008F60C0">
        <w:rPr>
          <w:b w:val="0"/>
          <w:bCs w:val="0"/>
          <w:rtl/>
        </w:rPr>
        <w:t xml:space="preserve"> رقم (</w:t>
      </w:r>
      <w:r w:rsidR="006D0790">
        <w:rPr>
          <w:rFonts w:hint="cs"/>
          <w:b w:val="0"/>
          <w:bCs w:val="0"/>
          <w:rtl/>
        </w:rPr>
        <w:t>20</w:t>
      </w:r>
      <w:r w:rsidRPr="008F60C0">
        <w:rPr>
          <w:b w:val="0"/>
          <w:bCs w:val="0"/>
          <w:rtl/>
        </w:rPr>
        <w:t>) وعلى النحو التالي:</w:t>
      </w:r>
      <w:bookmarkEnd w:id="2137"/>
      <w:bookmarkEnd w:id="2138"/>
      <w:bookmarkEnd w:id="2139"/>
    </w:p>
    <w:p w:rsidR="00B259A6" w:rsidRPr="008F60C0" w:rsidRDefault="00B259A6" w:rsidP="00D470C6">
      <w:pPr>
        <w:spacing w:after="0"/>
        <w:ind w:left="2126" w:hanging="851"/>
        <w:rPr>
          <w:b w:val="0"/>
          <w:bCs w:val="0"/>
          <w:rtl/>
        </w:rPr>
      </w:pPr>
      <w:bookmarkStart w:id="2140" w:name="_Toc414888585"/>
      <w:bookmarkStart w:id="2141" w:name="_Toc451176772"/>
      <w:bookmarkStart w:id="2142" w:name="_Toc451180669"/>
      <w:r w:rsidRPr="008F60C0">
        <w:rPr>
          <w:b w:val="0"/>
          <w:bCs w:val="0"/>
          <w:rtl/>
        </w:rPr>
        <w:t>1.2.13</w:t>
      </w:r>
      <w:r w:rsidR="005144C9">
        <w:rPr>
          <w:rFonts w:hint="cs"/>
          <w:b w:val="0"/>
          <w:bCs w:val="0"/>
          <w:rtl/>
        </w:rPr>
        <w:t>.</w:t>
      </w:r>
      <w:r w:rsidRPr="008F60C0">
        <w:rPr>
          <w:b w:val="0"/>
          <w:bCs w:val="0"/>
          <w:rtl/>
        </w:rPr>
        <w:tab/>
        <w:t>يتم احتساب صافي المراكز بالبضائع وذلك بجمع صافي المراكز الآنية وصافي المراكز الآجلة.</w:t>
      </w:r>
      <w:bookmarkEnd w:id="2140"/>
      <w:bookmarkEnd w:id="2141"/>
      <w:bookmarkEnd w:id="2142"/>
    </w:p>
    <w:p w:rsidR="00B259A6" w:rsidRPr="008F60C0" w:rsidRDefault="00B259A6" w:rsidP="006D0790">
      <w:pPr>
        <w:spacing w:after="0"/>
        <w:ind w:left="2126" w:hanging="851"/>
        <w:rPr>
          <w:b w:val="0"/>
          <w:bCs w:val="0"/>
          <w:rtl/>
        </w:rPr>
      </w:pPr>
      <w:bookmarkStart w:id="2143" w:name="_Toc414888586"/>
      <w:bookmarkStart w:id="2144" w:name="_Toc451176773"/>
      <w:bookmarkStart w:id="2145" w:name="_Toc451180670"/>
      <w:r w:rsidRPr="008F60C0">
        <w:rPr>
          <w:b w:val="0"/>
          <w:bCs w:val="0"/>
          <w:rtl/>
        </w:rPr>
        <w:t>2.2.13</w:t>
      </w:r>
      <w:r w:rsidR="005144C9">
        <w:rPr>
          <w:rFonts w:hint="cs"/>
          <w:b w:val="0"/>
          <w:bCs w:val="0"/>
          <w:rtl/>
        </w:rPr>
        <w:t>.</w:t>
      </w:r>
      <w:r w:rsidRPr="008F60C0">
        <w:rPr>
          <w:b w:val="0"/>
          <w:bCs w:val="0"/>
          <w:rtl/>
        </w:rPr>
        <w:tab/>
        <w:t xml:space="preserve">إدراج صافي المراكز الافرادية سواء كانت طويلة أو قصيرة في </w:t>
      </w:r>
      <w:r w:rsidR="00225F63" w:rsidRPr="008F60C0">
        <w:rPr>
          <w:b w:val="0"/>
          <w:bCs w:val="0"/>
          <w:rtl/>
        </w:rPr>
        <w:t>الملحق</w:t>
      </w:r>
      <w:r w:rsidRPr="008F60C0">
        <w:rPr>
          <w:b w:val="0"/>
          <w:bCs w:val="0"/>
          <w:rtl/>
        </w:rPr>
        <w:t xml:space="preserve"> رقم (</w:t>
      </w:r>
      <w:r w:rsidR="006D0790">
        <w:rPr>
          <w:rFonts w:hint="cs"/>
          <w:b w:val="0"/>
          <w:bCs w:val="0"/>
          <w:rtl/>
        </w:rPr>
        <w:t>20</w:t>
      </w:r>
      <w:r w:rsidRPr="008F60C0">
        <w:rPr>
          <w:b w:val="0"/>
          <w:bCs w:val="0"/>
          <w:rtl/>
        </w:rPr>
        <w:t>).</w:t>
      </w:r>
      <w:bookmarkEnd w:id="2143"/>
      <w:bookmarkEnd w:id="2144"/>
      <w:bookmarkEnd w:id="2145"/>
    </w:p>
    <w:p w:rsidR="00B259A6" w:rsidRPr="008F60C0" w:rsidRDefault="00B259A6" w:rsidP="00D470C6">
      <w:pPr>
        <w:spacing w:after="0"/>
        <w:ind w:left="2126" w:hanging="851"/>
        <w:rPr>
          <w:b w:val="0"/>
          <w:bCs w:val="0"/>
          <w:rtl/>
        </w:rPr>
      </w:pPr>
      <w:bookmarkStart w:id="2146" w:name="_Toc414888587"/>
      <w:bookmarkStart w:id="2147" w:name="_Toc451176774"/>
      <w:bookmarkStart w:id="2148" w:name="_Toc451180671"/>
      <w:r w:rsidRPr="008F60C0">
        <w:rPr>
          <w:b w:val="0"/>
          <w:bCs w:val="0"/>
          <w:rtl/>
        </w:rPr>
        <w:t>3.2.13</w:t>
      </w:r>
      <w:r w:rsidR="005144C9">
        <w:rPr>
          <w:rFonts w:hint="cs"/>
          <w:b w:val="0"/>
          <w:bCs w:val="0"/>
          <w:rtl/>
        </w:rPr>
        <w:t>.</w:t>
      </w:r>
      <w:r w:rsidRPr="008F60C0">
        <w:rPr>
          <w:b w:val="0"/>
          <w:bCs w:val="0"/>
          <w:rtl/>
        </w:rPr>
        <w:tab/>
        <w:t>احتساب صافي المركز و</w:t>
      </w:r>
      <w:r w:rsidR="00225F63" w:rsidRPr="008F60C0">
        <w:rPr>
          <w:b w:val="0"/>
          <w:bCs w:val="0"/>
          <w:rtl/>
        </w:rPr>
        <w:t xml:space="preserve">الذي يمثل القيمة المطلقة للفرق </w:t>
      </w:r>
      <w:r w:rsidRPr="008F60C0">
        <w:rPr>
          <w:b w:val="0"/>
          <w:bCs w:val="0"/>
          <w:rtl/>
        </w:rPr>
        <w:t>بين المراكز الطويلة والقصيرة.</w:t>
      </w:r>
      <w:bookmarkEnd w:id="2146"/>
      <w:bookmarkEnd w:id="2147"/>
      <w:bookmarkEnd w:id="2148"/>
    </w:p>
    <w:p w:rsidR="00B259A6" w:rsidRPr="008F60C0" w:rsidRDefault="00B259A6" w:rsidP="00D470C6">
      <w:pPr>
        <w:spacing w:after="0"/>
        <w:ind w:left="2126" w:hanging="851"/>
        <w:rPr>
          <w:b w:val="0"/>
          <w:bCs w:val="0"/>
          <w:rtl/>
        </w:rPr>
      </w:pPr>
      <w:bookmarkStart w:id="2149" w:name="_Toc414888588"/>
      <w:bookmarkStart w:id="2150" w:name="_Toc451176775"/>
      <w:bookmarkStart w:id="2151" w:name="_Toc451180672"/>
      <w:r w:rsidRPr="008F60C0">
        <w:rPr>
          <w:b w:val="0"/>
          <w:bCs w:val="0"/>
          <w:rtl/>
        </w:rPr>
        <w:t>4.2.13</w:t>
      </w:r>
      <w:r w:rsidR="005144C9">
        <w:rPr>
          <w:rFonts w:hint="cs"/>
          <w:b w:val="0"/>
          <w:bCs w:val="0"/>
          <w:rtl/>
        </w:rPr>
        <w:t>.</w:t>
      </w:r>
      <w:r w:rsidRPr="008F60C0">
        <w:rPr>
          <w:b w:val="0"/>
          <w:bCs w:val="0"/>
          <w:rtl/>
        </w:rPr>
        <w:tab/>
        <w:t>احتساب إجمالي المراكز لدى البنك سواء كانت طويلة أو قصيرة بغض النظر عن الإشارة والتي تمثل ناتج جمع مجموع المراكز الطويلة والمراكز القصيرة.</w:t>
      </w:r>
      <w:bookmarkEnd w:id="2149"/>
      <w:bookmarkEnd w:id="2150"/>
      <w:bookmarkEnd w:id="2151"/>
    </w:p>
    <w:p w:rsidR="00B259A6" w:rsidRPr="008F60C0" w:rsidRDefault="00B259A6" w:rsidP="00D470C6">
      <w:pPr>
        <w:spacing w:after="0"/>
        <w:ind w:left="2126" w:hanging="851"/>
        <w:rPr>
          <w:b w:val="0"/>
          <w:bCs w:val="0"/>
          <w:rtl/>
        </w:rPr>
      </w:pPr>
      <w:bookmarkStart w:id="2152" w:name="_Toc414888589"/>
      <w:bookmarkStart w:id="2153" w:name="_Toc451176776"/>
      <w:bookmarkStart w:id="2154" w:name="_Toc451180673"/>
      <w:r w:rsidRPr="008F60C0">
        <w:rPr>
          <w:b w:val="0"/>
          <w:bCs w:val="0"/>
          <w:rtl/>
        </w:rPr>
        <w:t>5.2.13</w:t>
      </w:r>
      <w:r w:rsidR="005144C9">
        <w:rPr>
          <w:rFonts w:hint="cs"/>
          <w:b w:val="0"/>
          <w:bCs w:val="0"/>
          <w:rtl/>
        </w:rPr>
        <w:t>.</w:t>
      </w:r>
      <w:r w:rsidRPr="008F60C0">
        <w:rPr>
          <w:b w:val="0"/>
          <w:bCs w:val="0"/>
          <w:rtl/>
        </w:rPr>
        <w:tab/>
        <w:t>احتساب رأس المال المطلوب لمواجهة مخاطر البضائع وذلك من خلال ناتج جمع صافي المركز مضروباً بـ (15%) وإجمالي المراكز مضروباً بـ (3%) .</w:t>
      </w:r>
      <w:bookmarkEnd w:id="2152"/>
      <w:bookmarkEnd w:id="2153"/>
      <w:bookmarkEnd w:id="2154"/>
    </w:p>
    <w:p w:rsidR="00B259A6" w:rsidRPr="008F60C0" w:rsidRDefault="00B259A6" w:rsidP="00D470C6">
      <w:pPr>
        <w:spacing w:after="0"/>
        <w:ind w:left="2126" w:hanging="851"/>
        <w:rPr>
          <w:b w:val="0"/>
          <w:bCs w:val="0"/>
        </w:rPr>
      </w:pPr>
      <w:bookmarkStart w:id="2155" w:name="_Toc414888590"/>
      <w:bookmarkStart w:id="2156" w:name="_Toc451176777"/>
      <w:bookmarkStart w:id="2157" w:name="_Toc451180674"/>
      <w:r w:rsidRPr="008F60C0">
        <w:rPr>
          <w:b w:val="0"/>
          <w:bCs w:val="0"/>
          <w:rtl/>
        </w:rPr>
        <w:t>6.2.13</w:t>
      </w:r>
      <w:r w:rsidR="005144C9">
        <w:rPr>
          <w:rFonts w:hint="cs"/>
          <w:b w:val="0"/>
          <w:bCs w:val="0"/>
          <w:rtl/>
        </w:rPr>
        <w:t>.</w:t>
      </w:r>
      <w:r w:rsidRPr="008F60C0">
        <w:rPr>
          <w:b w:val="0"/>
          <w:bCs w:val="0"/>
          <w:rtl/>
        </w:rPr>
        <w:tab/>
        <w:t>احتساب مخاطر البضائع والتي تمثل رأس المال المطلوب مضروباً بـ (12.5).</w:t>
      </w:r>
      <w:bookmarkEnd w:id="2155"/>
      <w:bookmarkEnd w:id="2156"/>
      <w:bookmarkEnd w:id="2157"/>
    </w:p>
    <w:p w:rsidR="00B259A6" w:rsidRPr="005144C9" w:rsidRDefault="005A2DDD" w:rsidP="00D470C6">
      <w:pPr>
        <w:spacing w:before="120" w:after="0" w:line="276" w:lineRule="auto"/>
        <w:ind w:left="708" w:hanging="425"/>
        <w:rPr>
          <w:rtl/>
        </w:rPr>
      </w:pPr>
      <w:bookmarkStart w:id="2158" w:name="_Toc451176778"/>
      <w:bookmarkStart w:id="2159" w:name="_Toc451180675"/>
      <w:r>
        <w:rPr>
          <w:rtl/>
        </w:rPr>
        <w:t>14.</w:t>
      </w:r>
      <w:r>
        <w:t xml:space="preserve"> </w:t>
      </w:r>
      <w:r w:rsidR="00B259A6" w:rsidRPr="005144C9">
        <w:rPr>
          <w:rtl/>
        </w:rPr>
        <w:t>قياس مخاطر المشتقات:</w:t>
      </w:r>
      <w:bookmarkEnd w:id="2158"/>
      <w:bookmarkEnd w:id="2159"/>
    </w:p>
    <w:p w:rsidR="00B259A6" w:rsidRPr="008F60C0" w:rsidRDefault="00B259A6" w:rsidP="005A5C26">
      <w:pPr>
        <w:ind w:left="1275" w:hanging="709"/>
        <w:rPr>
          <w:b w:val="0"/>
          <w:bCs w:val="0"/>
          <w:rtl/>
        </w:rPr>
      </w:pPr>
      <w:bookmarkStart w:id="2160" w:name="_Toc414888592"/>
      <w:bookmarkStart w:id="2161" w:name="_Toc451176779"/>
      <w:bookmarkStart w:id="2162" w:name="_Toc451180676"/>
      <w:r w:rsidRPr="008F60C0">
        <w:rPr>
          <w:b w:val="0"/>
          <w:bCs w:val="0"/>
          <w:rtl/>
        </w:rPr>
        <w:t>1.14</w:t>
      </w:r>
      <w:r w:rsidR="005144C9">
        <w:rPr>
          <w:rFonts w:hint="cs"/>
          <w:b w:val="0"/>
          <w:bCs w:val="0"/>
          <w:rtl/>
        </w:rPr>
        <w:t>.</w:t>
      </w:r>
      <w:r w:rsidRPr="008F60C0">
        <w:rPr>
          <w:b w:val="0"/>
          <w:bCs w:val="0"/>
          <w:rtl/>
        </w:rPr>
        <w:tab/>
        <w:t>وهي الخسائر التي من الممكن ان يتعرض لها البنك نتيجة احتفاظه بعقود مشتقات للمتاجرة او التحوط لأدوات متاجرة، وذلك نتيجة التغير المعاكس في أسعار الأدوات المالية المبنية عليها هذه العقود (</w:t>
      </w:r>
      <w:r w:rsidRPr="008F60C0">
        <w:rPr>
          <w:b w:val="0"/>
          <w:bCs w:val="0"/>
        </w:rPr>
        <w:t xml:space="preserve"> Underlying Assets</w:t>
      </w:r>
      <w:r w:rsidRPr="008F60C0">
        <w:rPr>
          <w:b w:val="0"/>
          <w:bCs w:val="0"/>
          <w:rtl/>
        </w:rPr>
        <w:t>).</w:t>
      </w:r>
      <w:bookmarkEnd w:id="2160"/>
      <w:bookmarkEnd w:id="2161"/>
      <w:bookmarkEnd w:id="2162"/>
    </w:p>
    <w:p w:rsidR="00B259A6" w:rsidRPr="008F60C0" w:rsidRDefault="00B259A6" w:rsidP="005A5C26">
      <w:pPr>
        <w:ind w:left="1275" w:hanging="709"/>
        <w:rPr>
          <w:b w:val="0"/>
          <w:bCs w:val="0"/>
          <w:rtl/>
        </w:rPr>
      </w:pPr>
      <w:bookmarkStart w:id="2163" w:name="_Toc414888593"/>
      <w:bookmarkStart w:id="2164" w:name="_Toc451176780"/>
      <w:bookmarkStart w:id="2165" w:name="_Toc451180677"/>
      <w:r w:rsidRPr="008F60C0">
        <w:rPr>
          <w:b w:val="0"/>
          <w:bCs w:val="0"/>
          <w:rtl/>
        </w:rPr>
        <w:t>2.14</w:t>
      </w:r>
      <w:r w:rsidR="0086621F">
        <w:rPr>
          <w:rFonts w:hint="cs"/>
          <w:b w:val="0"/>
          <w:bCs w:val="0"/>
          <w:rtl/>
        </w:rPr>
        <w:t>.</w:t>
      </w:r>
      <w:r w:rsidRPr="008F60C0">
        <w:rPr>
          <w:b w:val="0"/>
          <w:bCs w:val="0"/>
          <w:rtl/>
        </w:rPr>
        <w:tab/>
        <w:t>سيتم اعتماد الطريقة المبسطة لاحتساب مخاطر السوق للمشتقات التي يقوم البنك بشرائها [علماً بأن هذه التعليمات لا تسري على مخاطر المشتقات التي يكون فيها البنك مصدراً (</w:t>
      </w:r>
      <w:r w:rsidRPr="008F60C0">
        <w:rPr>
          <w:b w:val="0"/>
          <w:bCs w:val="0"/>
        </w:rPr>
        <w:t>writer</w:t>
      </w:r>
      <w:r w:rsidRPr="008F60C0">
        <w:rPr>
          <w:b w:val="0"/>
          <w:bCs w:val="0"/>
          <w:rtl/>
        </w:rPr>
        <w:t>)</w:t>
      </w:r>
      <w:r w:rsidR="00AA1657" w:rsidRPr="008F60C0">
        <w:rPr>
          <w:b w:val="0"/>
          <w:bCs w:val="0"/>
          <w:rtl/>
        </w:rPr>
        <w:t>]</w:t>
      </w:r>
      <w:r w:rsidRPr="008F60C0">
        <w:rPr>
          <w:b w:val="0"/>
          <w:bCs w:val="0"/>
          <w:rtl/>
        </w:rPr>
        <w:t xml:space="preserve"> وكما يلي:</w:t>
      </w:r>
      <w:bookmarkEnd w:id="2163"/>
      <w:bookmarkEnd w:id="2164"/>
      <w:bookmarkEnd w:id="2165"/>
    </w:p>
    <w:p w:rsidR="00B259A6" w:rsidRPr="008F60C0" w:rsidRDefault="00B259A6" w:rsidP="00D470C6">
      <w:pPr>
        <w:spacing w:after="0"/>
        <w:ind w:left="2126" w:hanging="851"/>
        <w:rPr>
          <w:b w:val="0"/>
          <w:bCs w:val="0"/>
          <w:rtl/>
        </w:rPr>
      </w:pPr>
      <w:bookmarkStart w:id="2166" w:name="_Toc414888594"/>
      <w:bookmarkStart w:id="2167" w:name="_Toc451176781"/>
      <w:bookmarkStart w:id="2168" w:name="_Toc451180678"/>
      <w:r w:rsidRPr="008F60C0">
        <w:rPr>
          <w:b w:val="0"/>
          <w:bCs w:val="0"/>
          <w:rtl/>
        </w:rPr>
        <w:t>1.2.14</w:t>
      </w:r>
      <w:r w:rsidR="005C4455">
        <w:rPr>
          <w:rFonts w:hint="cs"/>
          <w:b w:val="0"/>
          <w:bCs w:val="0"/>
          <w:rtl/>
        </w:rPr>
        <w:t>.</w:t>
      </w:r>
      <w:r w:rsidRPr="008F60C0">
        <w:rPr>
          <w:b w:val="0"/>
          <w:bCs w:val="0"/>
          <w:rtl/>
        </w:rPr>
        <w:tab/>
        <w:t>احتفاظ البنك بمراكز طويلة أو قصيرة مع حق بيعها أو شرائها.</w:t>
      </w:r>
      <w:bookmarkEnd w:id="2166"/>
      <w:bookmarkEnd w:id="2167"/>
      <w:bookmarkEnd w:id="2168"/>
    </w:p>
    <w:p w:rsidR="00B259A6" w:rsidRPr="008F60C0" w:rsidRDefault="00B259A6" w:rsidP="00D470C6">
      <w:pPr>
        <w:spacing w:after="0"/>
        <w:ind w:left="2126" w:hanging="851"/>
        <w:rPr>
          <w:b w:val="0"/>
          <w:bCs w:val="0"/>
          <w:rtl/>
        </w:rPr>
      </w:pPr>
      <w:bookmarkStart w:id="2169" w:name="_Toc414888595"/>
      <w:bookmarkStart w:id="2170" w:name="_Toc451176782"/>
      <w:bookmarkStart w:id="2171" w:name="_Toc451180679"/>
      <w:r w:rsidRPr="008F60C0">
        <w:rPr>
          <w:b w:val="0"/>
          <w:bCs w:val="0"/>
          <w:rtl/>
        </w:rPr>
        <w:lastRenderedPageBreak/>
        <w:t>2.2.14</w:t>
      </w:r>
      <w:r w:rsidR="005C4455">
        <w:rPr>
          <w:rFonts w:hint="cs"/>
          <w:b w:val="0"/>
          <w:bCs w:val="0"/>
          <w:rtl/>
        </w:rPr>
        <w:t>.</w:t>
      </w:r>
      <w:r w:rsidRPr="008F60C0">
        <w:rPr>
          <w:b w:val="0"/>
          <w:bCs w:val="0"/>
          <w:rtl/>
        </w:rPr>
        <w:tab/>
        <w:t>الاحتفاظ بمراكز طويلة مع شراء حق بيعها (</w:t>
      </w:r>
      <w:r w:rsidRPr="008F60C0">
        <w:rPr>
          <w:b w:val="0"/>
          <w:bCs w:val="0"/>
        </w:rPr>
        <w:t>Put</w:t>
      </w:r>
      <w:r w:rsidRPr="008F60C0">
        <w:rPr>
          <w:b w:val="0"/>
          <w:bCs w:val="0"/>
          <w:rtl/>
        </w:rPr>
        <w:t>).</w:t>
      </w:r>
      <w:bookmarkEnd w:id="2169"/>
      <w:bookmarkEnd w:id="2170"/>
      <w:bookmarkEnd w:id="2171"/>
    </w:p>
    <w:p w:rsidR="00B259A6" w:rsidRPr="008F60C0" w:rsidRDefault="00B259A6" w:rsidP="00D470C6">
      <w:pPr>
        <w:spacing w:line="276" w:lineRule="auto"/>
        <w:ind w:left="2126"/>
        <w:rPr>
          <w:b w:val="0"/>
          <w:bCs w:val="0"/>
          <w:rtl/>
        </w:rPr>
      </w:pPr>
      <w:bookmarkStart w:id="2172" w:name="_Toc414888596"/>
      <w:bookmarkStart w:id="2173" w:name="_Toc451176783"/>
      <w:bookmarkStart w:id="2174" w:name="_Toc451180680"/>
      <w:r w:rsidRPr="008F60C0">
        <w:rPr>
          <w:b w:val="0"/>
          <w:bCs w:val="0"/>
          <w:rtl/>
        </w:rPr>
        <w:t>يتم احتساب قيمة عقد الخيار فيما إذا كان ربحاً (</w:t>
      </w:r>
      <w:r w:rsidRPr="008F60C0">
        <w:rPr>
          <w:b w:val="0"/>
          <w:bCs w:val="0"/>
        </w:rPr>
        <w:t>In the Money</w:t>
      </w:r>
      <w:r w:rsidRPr="008F60C0">
        <w:rPr>
          <w:b w:val="0"/>
          <w:bCs w:val="0"/>
          <w:rtl/>
        </w:rPr>
        <w:t>)، أو خسارة (</w:t>
      </w:r>
      <w:r w:rsidRPr="008F60C0">
        <w:rPr>
          <w:b w:val="0"/>
          <w:bCs w:val="0"/>
        </w:rPr>
        <w:t>Out of the Money</w:t>
      </w:r>
      <w:r w:rsidRPr="008F60C0">
        <w:rPr>
          <w:b w:val="0"/>
          <w:bCs w:val="0"/>
          <w:rtl/>
        </w:rPr>
        <w:t>) حيث يكون العقد ربحاً عندما يكون سعر التنفيذ أعلى من سعر السوق للأصل المبني عليه العقد والعكس صحيح.</w:t>
      </w:r>
      <w:bookmarkEnd w:id="2172"/>
      <w:bookmarkEnd w:id="2173"/>
      <w:bookmarkEnd w:id="2174"/>
    </w:p>
    <w:p w:rsidR="00B259A6" w:rsidRPr="008F60C0" w:rsidRDefault="00B259A6" w:rsidP="00D470C6">
      <w:pPr>
        <w:spacing w:after="0"/>
        <w:ind w:left="2126" w:hanging="851"/>
        <w:rPr>
          <w:b w:val="0"/>
          <w:bCs w:val="0"/>
          <w:rtl/>
        </w:rPr>
      </w:pPr>
      <w:bookmarkStart w:id="2175" w:name="_Toc414888597"/>
      <w:bookmarkStart w:id="2176" w:name="_Toc451176784"/>
      <w:bookmarkStart w:id="2177" w:name="_Toc451180681"/>
      <w:r w:rsidRPr="008F60C0">
        <w:rPr>
          <w:b w:val="0"/>
          <w:bCs w:val="0"/>
          <w:rtl/>
        </w:rPr>
        <w:t>3.2.14</w:t>
      </w:r>
      <w:r w:rsidR="005C4455">
        <w:rPr>
          <w:rFonts w:hint="cs"/>
          <w:b w:val="0"/>
          <w:bCs w:val="0"/>
          <w:rtl/>
        </w:rPr>
        <w:t>.</w:t>
      </w:r>
      <w:r w:rsidRPr="008F60C0">
        <w:rPr>
          <w:b w:val="0"/>
          <w:bCs w:val="0"/>
          <w:rtl/>
        </w:rPr>
        <w:tab/>
        <w:t>الاحتفاظ بمراكز قصيرة مع شراء حق شرائها (</w:t>
      </w:r>
      <w:r w:rsidRPr="008F60C0">
        <w:rPr>
          <w:b w:val="0"/>
          <w:bCs w:val="0"/>
        </w:rPr>
        <w:t>Call</w:t>
      </w:r>
      <w:r w:rsidRPr="008F60C0">
        <w:rPr>
          <w:b w:val="0"/>
          <w:bCs w:val="0"/>
          <w:rtl/>
        </w:rPr>
        <w:t>).</w:t>
      </w:r>
      <w:bookmarkEnd w:id="2175"/>
      <w:bookmarkEnd w:id="2176"/>
      <w:bookmarkEnd w:id="2177"/>
    </w:p>
    <w:p w:rsidR="00B259A6" w:rsidRPr="005C4455" w:rsidRDefault="00B259A6" w:rsidP="00D470C6">
      <w:pPr>
        <w:ind w:left="2126"/>
        <w:rPr>
          <w:b w:val="0"/>
          <w:bCs w:val="0"/>
          <w:rtl/>
        </w:rPr>
      </w:pPr>
      <w:bookmarkStart w:id="2178" w:name="_Toc414888598"/>
      <w:bookmarkStart w:id="2179" w:name="_Toc451176785"/>
      <w:bookmarkStart w:id="2180" w:name="_Toc451180682"/>
      <w:r w:rsidRPr="005C4455">
        <w:rPr>
          <w:b w:val="0"/>
          <w:bCs w:val="0"/>
          <w:rtl/>
        </w:rPr>
        <w:t>يتم احتساب قيمة عقد الخيار فيما إذا كان ربحاً أو خسارة حيث يكون العقد ربحاً عندما يكون سعر السوق للأصل المبني عليه العقد أعلى من سعر التنفيذ، والعكس صحيح.</w:t>
      </w:r>
      <w:bookmarkEnd w:id="2178"/>
      <w:bookmarkEnd w:id="2179"/>
      <w:bookmarkEnd w:id="2180"/>
    </w:p>
    <w:p w:rsidR="005C4455" w:rsidRPr="00EF32A4" w:rsidRDefault="00B259A6" w:rsidP="00D470C6">
      <w:pPr>
        <w:spacing w:after="0"/>
        <w:ind w:left="2126" w:hanging="851"/>
        <w:rPr>
          <w:b w:val="0"/>
          <w:bCs w:val="0"/>
          <w:rtl/>
        </w:rPr>
      </w:pPr>
      <w:bookmarkStart w:id="2181" w:name="_Toc414888599"/>
      <w:bookmarkStart w:id="2182" w:name="_Toc451176786"/>
      <w:bookmarkStart w:id="2183" w:name="_Toc451180683"/>
      <w:r w:rsidRPr="008F60C0">
        <w:rPr>
          <w:b w:val="0"/>
          <w:bCs w:val="0"/>
          <w:rtl/>
        </w:rPr>
        <w:t>4.2.14</w:t>
      </w:r>
      <w:r w:rsidR="005C4455">
        <w:rPr>
          <w:rFonts w:hint="cs"/>
          <w:b w:val="0"/>
          <w:bCs w:val="0"/>
          <w:rtl/>
        </w:rPr>
        <w:t>.</w:t>
      </w:r>
      <w:r w:rsidRPr="008F60C0">
        <w:rPr>
          <w:b w:val="0"/>
          <w:bCs w:val="0"/>
          <w:rtl/>
        </w:rPr>
        <w:tab/>
        <w:t>رأس المال الواجب تخصيصه في هذه الحالة يكون القيمة السوقية للأصل المبني عليه العقد مضروباً بـ (16%) [8% للمخاطر الخاصة و 8% للمخاطر العامة] مطروحاً منه قيمة الربح إن كان العقد ربحاً (</w:t>
      </w:r>
      <w:r w:rsidRPr="008F60C0">
        <w:rPr>
          <w:b w:val="0"/>
          <w:bCs w:val="0"/>
        </w:rPr>
        <w:t>In the money</w:t>
      </w:r>
      <w:r w:rsidRPr="008F60C0">
        <w:rPr>
          <w:b w:val="0"/>
          <w:bCs w:val="0"/>
          <w:rtl/>
        </w:rPr>
        <w:t>).</w:t>
      </w:r>
      <w:bookmarkEnd w:id="2181"/>
      <w:bookmarkEnd w:id="2182"/>
      <w:bookmarkEnd w:id="2183"/>
    </w:p>
    <w:p w:rsidR="00B259A6" w:rsidRPr="005C4455" w:rsidRDefault="00EF32A4" w:rsidP="00D470C6">
      <w:pPr>
        <w:spacing w:after="0" w:line="276" w:lineRule="auto"/>
        <w:ind w:left="708" w:hanging="425"/>
        <w:rPr>
          <w:rtl/>
        </w:rPr>
      </w:pPr>
      <w:bookmarkStart w:id="2184" w:name="_Toc451176787"/>
      <w:bookmarkStart w:id="2185" w:name="_Toc451180684"/>
      <w:r>
        <w:rPr>
          <w:rtl/>
        </w:rPr>
        <w:t>15.</w:t>
      </w:r>
      <w:r>
        <w:rPr>
          <w:rFonts w:hint="cs"/>
          <w:rtl/>
        </w:rPr>
        <w:t xml:space="preserve"> </w:t>
      </w:r>
      <w:r w:rsidR="00B259A6" w:rsidRPr="005C4455">
        <w:rPr>
          <w:rtl/>
        </w:rPr>
        <w:t>الاحتفاظ بعقود المشتقات للمتاجرة:</w:t>
      </w:r>
      <w:bookmarkEnd w:id="2184"/>
      <w:bookmarkEnd w:id="2185"/>
    </w:p>
    <w:p w:rsidR="00B259A6" w:rsidRPr="008F60C0" w:rsidRDefault="00B259A6" w:rsidP="00D470C6">
      <w:pPr>
        <w:ind w:left="1275" w:hanging="709"/>
        <w:rPr>
          <w:b w:val="0"/>
          <w:bCs w:val="0"/>
          <w:rtl/>
        </w:rPr>
      </w:pPr>
      <w:bookmarkStart w:id="2186" w:name="_Toc414888601"/>
      <w:bookmarkStart w:id="2187" w:name="_Toc451176788"/>
      <w:bookmarkStart w:id="2188" w:name="_Toc451180685"/>
      <w:r w:rsidRPr="008F60C0">
        <w:rPr>
          <w:b w:val="0"/>
          <w:bCs w:val="0"/>
          <w:rtl/>
        </w:rPr>
        <w:t>1.15</w:t>
      </w:r>
      <w:r w:rsidR="005C4455">
        <w:rPr>
          <w:rFonts w:hint="cs"/>
          <w:b w:val="0"/>
          <w:bCs w:val="0"/>
          <w:rtl/>
        </w:rPr>
        <w:t>.</w:t>
      </w:r>
      <w:r w:rsidRPr="008F60C0">
        <w:rPr>
          <w:b w:val="0"/>
          <w:bCs w:val="0"/>
          <w:rtl/>
        </w:rPr>
        <w:tab/>
        <w:t>شراء حق شراء و/أو شراء حق بيع (</w:t>
      </w:r>
      <w:r w:rsidRPr="008F60C0">
        <w:rPr>
          <w:b w:val="0"/>
          <w:bCs w:val="0"/>
        </w:rPr>
        <w:t>Call – Put</w:t>
      </w:r>
      <w:r w:rsidRPr="008F60C0">
        <w:rPr>
          <w:b w:val="0"/>
          <w:bCs w:val="0"/>
          <w:rtl/>
        </w:rPr>
        <w:t>):</w:t>
      </w:r>
      <w:bookmarkEnd w:id="2186"/>
      <w:bookmarkEnd w:id="2187"/>
      <w:bookmarkEnd w:id="2188"/>
    </w:p>
    <w:p w:rsidR="00B259A6" w:rsidRPr="00EF32A4" w:rsidRDefault="00B259A6" w:rsidP="00D470C6">
      <w:pPr>
        <w:ind w:left="1275"/>
        <w:rPr>
          <w:b w:val="0"/>
          <w:bCs w:val="0"/>
          <w:rtl/>
        </w:rPr>
      </w:pPr>
      <w:bookmarkStart w:id="2189" w:name="_Toc414888602"/>
      <w:bookmarkStart w:id="2190" w:name="_Toc451176789"/>
      <w:bookmarkStart w:id="2191" w:name="_Toc451180686"/>
      <w:r w:rsidRPr="00EF32A4">
        <w:rPr>
          <w:b w:val="0"/>
          <w:bCs w:val="0"/>
          <w:rtl/>
        </w:rPr>
        <w:t>في هذه الحالة فإن رأس المال الواجب تخصيصه يكون المبلغ الأقل في أي من الحالتين التاليتين:-</w:t>
      </w:r>
      <w:bookmarkEnd w:id="2189"/>
      <w:bookmarkEnd w:id="2190"/>
      <w:bookmarkEnd w:id="2191"/>
    </w:p>
    <w:p w:rsidR="00B259A6" w:rsidRPr="008F60C0" w:rsidRDefault="00B259A6" w:rsidP="00D470C6">
      <w:pPr>
        <w:spacing w:after="0"/>
        <w:ind w:left="2126" w:hanging="851"/>
        <w:rPr>
          <w:b w:val="0"/>
          <w:bCs w:val="0"/>
          <w:rtl/>
        </w:rPr>
      </w:pPr>
      <w:bookmarkStart w:id="2192" w:name="_Toc414888603"/>
      <w:bookmarkStart w:id="2193" w:name="_Toc451176790"/>
      <w:bookmarkStart w:id="2194" w:name="_Toc451180687"/>
      <w:r w:rsidRPr="008F60C0">
        <w:rPr>
          <w:b w:val="0"/>
          <w:bCs w:val="0"/>
          <w:rtl/>
        </w:rPr>
        <w:t>1.1.15</w:t>
      </w:r>
      <w:r w:rsidR="005C4455">
        <w:rPr>
          <w:rFonts w:hint="cs"/>
          <w:b w:val="0"/>
          <w:bCs w:val="0"/>
          <w:rtl/>
        </w:rPr>
        <w:t>.</w:t>
      </w:r>
      <w:r w:rsidRPr="008F60C0">
        <w:rPr>
          <w:b w:val="0"/>
          <w:bCs w:val="0"/>
          <w:rtl/>
        </w:rPr>
        <w:tab/>
        <w:t>القيمة السوقية للأصل المبني عليه عقد الخيار مضروباً بـ (8%).</w:t>
      </w:r>
      <w:bookmarkEnd w:id="2192"/>
      <w:bookmarkEnd w:id="2193"/>
      <w:bookmarkEnd w:id="2194"/>
    </w:p>
    <w:p w:rsidR="00B259A6" w:rsidRPr="008F60C0" w:rsidRDefault="00B259A6" w:rsidP="00D470C6">
      <w:pPr>
        <w:spacing w:after="0"/>
        <w:ind w:left="2126" w:hanging="851"/>
        <w:rPr>
          <w:b w:val="0"/>
          <w:bCs w:val="0"/>
        </w:rPr>
      </w:pPr>
      <w:bookmarkStart w:id="2195" w:name="_Toc414888604"/>
      <w:bookmarkStart w:id="2196" w:name="_Toc451176791"/>
      <w:bookmarkStart w:id="2197" w:name="_Toc451180688"/>
      <w:r w:rsidRPr="008F60C0">
        <w:rPr>
          <w:b w:val="0"/>
          <w:bCs w:val="0"/>
          <w:rtl/>
        </w:rPr>
        <w:t>2.1.15</w:t>
      </w:r>
      <w:r w:rsidR="005C4455">
        <w:rPr>
          <w:rFonts w:hint="cs"/>
          <w:b w:val="0"/>
          <w:bCs w:val="0"/>
          <w:rtl/>
        </w:rPr>
        <w:t>.</w:t>
      </w:r>
      <w:r w:rsidRPr="008F60C0">
        <w:rPr>
          <w:b w:val="0"/>
          <w:bCs w:val="0"/>
          <w:rtl/>
        </w:rPr>
        <w:tab/>
      </w:r>
      <w:r w:rsidR="00992259" w:rsidRPr="008F60C0">
        <w:rPr>
          <w:b w:val="0"/>
          <w:bCs w:val="0"/>
          <w:rtl/>
        </w:rPr>
        <w:t xml:space="preserve">سعر </w:t>
      </w:r>
      <w:r w:rsidRPr="008F60C0">
        <w:rPr>
          <w:b w:val="0"/>
          <w:bCs w:val="0"/>
          <w:rtl/>
        </w:rPr>
        <w:t>عقد الخيار(</w:t>
      </w:r>
      <w:r w:rsidRPr="008F60C0">
        <w:rPr>
          <w:b w:val="0"/>
          <w:bCs w:val="0"/>
        </w:rPr>
        <w:t>Premium</w:t>
      </w:r>
      <w:r w:rsidRPr="008F60C0">
        <w:rPr>
          <w:b w:val="0"/>
          <w:bCs w:val="0"/>
          <w:rtl/>
        </w:rPr>
        <w:t>).</w:t>
      </w:r>
      <w:bookmarkEnd w:id="2195"/>
      <w:bookmarkEnd w:id="2196"/>
      <w:bookmarkEnd w:id="2197"/>
    </w:p>
    <w:p w:rsidR="00B259A6" w:rsidRPr="00EF32A4" w:rsidRDefault="00225F63" w:rsidP="006D0790">
      <w:pPr>
        <w:ind w:firstLine="1275"/>
        <w:rPr>
          <w:b w:val="0"/>
          <w:bCs w:val="0"/>
          <w:rtl/>
        </w:rPr>
      </w:pPr>
      <w:bookmarkStart w:id="2198" w:name="_Toc414888605"/>
      <w:bookmarkStart w:id="2199" w:name="_Toc451176792"/>
      <w:bookmarkStart w:id="2200" w:name="_Toc451180689"/>
      <w:r w:rsidRPr="00EF32A4">
        <w:rPr>
          <w:b w:val="0"/>
          <w:bCs w:val="0"/>
          <w:rtl/>
        </w:rPr>
        <w:t>والملحق</w:t>
      </w:r>
      <w:r w:rsidR="00B259A6" w:rsidRPr="00EF32A4">
        <w:rPr>
          <w:b w:val="0"/>
          <w:bCs w:val="0"/>
          <w:rtl/>
        </w:rPr>
        <w:t xml:space="preserve"> رقم (</w:t>
      </w:r>
      <w:r w:rsidR="006D0790">
        <w:rPr>
          <w:rFonts w:hint="cs"/>
          <w:b w:val="0"/>
          <w:bCs w:val="0"/>
          <w:rtl/>
        </w:rPr>
        <w:t>21</w:t>
      </w:r>
      <w:r w:rsidR="00B259A6" w:rsidRPr="00EF32A4">
        <w:rPr>
          <w:b w:val="0"/>
          <w:bCs w:val="0"/>
          <w:rtl/>
        </w:rPr>
        <w:t>) يبين تفاصيل ذلك.</w:t>
      </w:r>
      <w:bookmarkEnd w:id="2198"/>
      <w:bookmarkEnd w:id="2199"/>
      <w:bookmarkEnd w:id="2200"/>
    </w:p>
    <w:p w:rsidR="00B259A6" w:rsidRPr="008F60C0" w:rsidRDefault="00B259A6" w:rsidP="00D470C6">
      <w:pPr>
        <w:ind w:left="1275" w:hanging="709"/>
        <w:rPr>
          <w:b w:val="0"/>
          <w:bCs w:val="0"/>
          <w:rtl/>
        </w:rPr>
      </w:pPr>
      <w:bookmarkStart w:id="2201" w:name="_Toc414888606"/>
      <w:bookmarkStart w:id="2202" w:name="_Toc451176793"/>
      <w:bookmarkStart w:id="2203" w:name="_Toc451180690"/>
      <w:r w:rsidRPr="008F60C0">
        <w:rPr>
          <w:b w:val="0"/>
          <w:bCs w:val="0"/>
          <w:rtl/>
        </w:rPr>
        <w:t>2.15</w:t>
      </w:r>
      <w:r w:rsidR="005C4455">
        <w:rPr>
          <w:rFonts w:hint="cs"/>
          <w:b w:val="0"/>
          <w:bCs w:val="0"/>
          <w:rtl/>
        </w:rPr>
        <w:t>.</w:t>
      </w:r>
      <w:r w:rsidRPr="008F60C0">
        <w:rPr>
          <w:b w:val="0"/>
          <w:bCs w:val="0"/>
          <w:rtl/>
        </w:rPr>
        <w:tab/>
        <w:t>احتساب مخاطر المشتقات والتي تمثل رأس المال المطلوب مضروباً بـ (12.5).</w:t>
      </w:r>
      <w:bookmarkEnd w:id="2201"/>
      <w:bookmarkEnd w:id="2202"/>
      <w:bookmarkEnd w:id="2203"/>
    </w:p>
    <w:p w:rsidR="00B259A6" w:rsidRPr="005C4455" w:rsidRDefault="005A2DDD" w:rsidP="00D470C6">
      <w:pPr>
        <w:spacing w:after="0" w:line="276" w:lineRule="auto"/>
        <w:ind w:left="708" w:hanging="425"/>
        <w:rPr>
          <w:rtl/>
        </w:rPr>
      </w:pPr>
      <w:bookmarkStart w:id="2204" w:name="_Toc451176794"/>
      <w:bookmarkStart w:id="2205" w:name="_Toc451180691"/>
      <w:r>
        <w:rPr>
          <w:rtl/>
        </w:rPr>
        <w:t>16.</w:t>
      </w:r>
      <w:r>
        <w:t xml:space="preserve"> </w:t>
      </w:r>
      <w:r w:rsidR="00B259A6" w:rsidRPr="005C4455">
        <w:rPr>
          <w:rtl/>
        </w:rPr>
        <w:t>قياس مخاطر الطرف المقابل (</w:t>
      </w:r>
      <w:r w:rsidR="00B259A6" w:rsidRPr="005C4455">
        <w:t>The Counterparty Risk</w:t>
      </w:r>
      <w:r w:rsidR="00B259A6" w:rsidRPr="005C4455">
        <w:rPr>
          <w:rtl/>
        </w:rPr>
        <w:t>) / مخاطر التسوية:</w:t>
      </w:r>
      <w:bookmarkEnd w:id="2204"/>
      <w:bookmarkEnd w:id="2205"/>
    </w:p>
    <w:p w:rsidR="00B259A6" w:rsidRPr="00D470C6" w:rsidRDefault="00B259A6" w:rsidP="005C4455">
      <w:pPr>
        <w:ind w:left="845"/>
        <w:rPr>
          <w:b w:val="0"/>
          <w:bCs w:val="0"/>
          <w:rtl/>
        </w:rPr>
      </w:pPr>
      <w:bookmarkStart w:id="2206" w:name="_Toc414888608"/>
      <w:bookmarkStart w:id="2207" w:name="_Toc451176795"/>
      <w:bookmarkStart w:id="2208" w:name="_Toc451180692"/>
      <w:r w:rsidRPr="00D470C6">
        <w:rPr>
          <w:b w:val="0"/>
          <w:bCs w:val="0"/>
          <w:rtl/>
        </w:rPr>
        <w:t>تمثل المخاطر الناجمة عن عدم التزام الطرف المقابل بالتنفيذ والتي تشمل ما يلي:</w:t>
      </w:r>
      <w:bookmarkEnd w:id="2206"/>
      <w:bookmarkEnd w:id="2207"/>
      <w:bookmarkEnd w:id="2208"/>
    </w:p>
    <w:p w:rsidR="00B259A6" w:rsidRPr="008F60C0" w:rsidRDefault="00B259A6" w:rsidP="00D470C6">
      <w:pPr>
        <w:ind w:left="1275" w:hanging="709"/>
        <w:rPr>
          <w:b w:val="0"/>
          <w:bCs w:val="0"/>
          <w:rtl/>
        </w:rPr>
      </w:pPr>
      <w:bookmarkStart w:id="2209" w:name="_Toc414888609"/>
      <w:bookmarkStart w:id="2210" w:name="_Toc451176796"/>
      <w:bookmarkStart w:id="2211" w:name="_Toc451180693"/>
      <w:r w:rsidRPr="008F60C0">
        <w:rPr>
          <w:b w:val="0"/>
          <w:bCs w:val="0"/>
          <w:rtl/>
        </w:rPr>
        <w:t>1.16</w:t>
      </w:r>
      <w:r w:rsidR="005C4455">
        <w:rPr>
          <w:rFonts w:hint="cs"/>
          <w:b w:val="0"/>
          <w:bCs w:val="0"/>
          <w:rtl/>
        </w:rPr>
        <w:t>.</w:t>
      </w:r>
      <w:r w:rsidRPr="008F60C0">
        <w:rPr>
          <w:b w:val="0"/>
          <w:bCs w:val="0"/>
          <w:rtl/>
        </w:rPr>
        <w:tab/>
        <w:t>اتفاقيات إعادة الشراء ومعكوسها وإقراض واقتراض الأوراق المالية:</w:t>
      </w:r>
      <w:bookmarkEnd w:id="2209"/>
      <w:bookmarkEnd w:id="2210"/>
      <w:bookmarkEnd w:id="2211"/>
    </w:p>
    <w:p w:rsidR="00B259A6" w:rsidRPr="008F60C0" w:rsidRDefault="00B259A6" w:rsidP="006D0790">
      <w:pPr>
        <w:spacing w:after="0"/>
        <w:ind w:left="2126" w:hanging="851"/>
        <w:rPr>
          <w:b w:val="0"/>
          <w:bCs w:val="0"/>
          <w:rtl/>
        </w:rPr>
      </w:pPr>
      <w:bookmarkStart w:id="2212" w:name="_Toc414888610"/>
      <w:bookmarkStart w:id="2213" w:name="_Toc451176797"/>
      <w:bookmarkStart w:id="2214" w:name="_Toc451180694"/>
      <w:r w:rsidRPr="008F60C0">
        <w:rPr>
          <w:b w:val="0"/>
          <w:bCs w:val="0"/>
          <w:rtl/>
        </w:rPr>
        <w:t>1.1.16</w:t>
      </w:r>
      <w:r w:rsidR="005C4455">
        <w:rPr>
          <w:rFonts w:hint="cs"/>
          <w:b w:val="0"/>
          <w:bCs w:val="0"/>
          <w:rtl/>
        </w:rPr>
        <w:t>.</w:t>
      </w:r>
      <w:r w:rsidRPr="008F60C0">
        <w:rPr>
          <w:b w:val="0"/>
          <w:bCs w:val="0"/>
          <w:rtl/>
        </w:rPr>
        <w:tab/>
        <w:t xml:space="preserve">اتفاقيات إعادة الشراء وإقراض الأوراق المالية والمبنية على أوراق مالية موجودة بمحفظة المتاجرة، فانه يتم احتساب الفرق  بين القيمة السوقية للأوراق المالية المباعة مع التعهد بإعادة شرائها أو الأوراق المالية المقرضة من جهة، والمبلغ المقترض من قبل البنك أو القيمة السوقية للضمانة المأخوذة من جهة أخرى وذلك في حال كون الفرق موجب. </w:t>
      </w:r>
      <w:r w:rsidR="005B1162" w:rsidRPr="008F60C0">
        <w:rPr>
          <w:b w:val="0"/>
          <w:bCs w:val="0"/>
          <w:rtl/>
        </w:rPr>
        <w:t xml:space="preserve">[ملحق </w:t>
      </w:r>
      <w:r w:rsidRPr="008F60C0">
        <w:rPr>
          <w:b w:val="0"/>
          <w:bCs w:val="0"/>
          <w:rtl/>
        </w:rPr>
        <w:t>رقم (</w:t>
      </w:r>
      <w:r w:rsidR="006D0790">
        <w:rPr>
          <w:rFonts w:hint="cs"/>
          <w:b w:val="0"/>
          <w:bCs w:val="0"/>
          <w:rtl/>
        </w:rPr>
        <w:t>22</w:t>
      </w:r>
      <w:r w:rsidRPr="008F60C0">
        <w:rPr>
          <w:b w:val="0"/>
          <w:bCs w:val="0"/>
          <w:rtl/>
        </w:rPr>
        <w:t>/أ</w:t>
      </w:r>
      <w:r w:rsidR="005B1162" w:rsidRPr="008F60C0">
        <w:rPr>
          <w:b w:val="0"/>
          <w:bCs w:val="0"/>
          <w:rtl/>
        </w:rPr>
        <w:t>/1</w:t>
      </w:r>
      <w:r w:rsidRPr="008F60C0">
        <w:rPr>
          <w:b w:val="0"/>
          <w:bCs w:val="0"/>
          <w:rtl/>
        </w:rPr>
        <w:t>)</w:t>
      </w:r>
      <w:r w:rsidR="005B1162" w:rsidRPr="008F60C0">
        <w:rPr>
          <w:b w:val="0"/>
          <w:bCs w:val="0"/>
          <w:rtl/>
        </w:rPr>
        <w:t>]</w:t>
      </w:r>
      <w:r w:rsidRPr="008F60C0">
        <w:rPr>
          <w:b w:val="0"/>
          <w:bCs w:val="0"/>
          <w:rtl/>
        </w:rPr>
        <w:t>.</w:t>
      </w:r>
      <w:bookmarkEnd w:id="2212"/>
      <w:bookmarkEnd w:id="2213"/>
      <w:bookmarkEnd w:id="2214"/>
    </w:p>
    <w:p w:rsidR="00B259A6" w:rsidRPr="008F60C0" w:rsidRDefault="00B259A6" w:rsidP="006D0790">
      <w:pPr>
        <w:spacing w:after="0"/>
        <w:ind w:left="2126" w:hanging="851"/>
        <w:rPr>
          <w:b w:val="0"/>
          <w:bCs w:val="0"/>
          <w:rtl/>
        </w:rPr>
      </w:pPr>
      <w:bookmarkStart w:id="2215" w:name="_Toc414888611"/>
      <w:bookmarkStart w:id="2216" w:name="_Toc451176798"/>
      <w:bookmarkStart w:id="2217" w:name="_Toc451180695"/>
      <w:r w:rsidRPr="008F60C0">
        <w:rPr>
          <w:b w:val="0"/>
          <w:bCs w:val="0"/>
          <w:rtl/>
        </w:rPr>
        <w:lastRenderedPageBreak/>
        <w:t>2.1.16</w:t>
      </w:r>
      <w:r w:rsidR="005C4455">
        <w:rPr>
          <w:rFonts w:hint="cs"/>
          <w:b w:val="0"/>
          <w:bCs w:val="0"/>
          <w:rtl/>
        </w:rPr>
        <w:t>.</w:t>
      </w:r>
      <w:r w:rsidRPr="008F60C0">
        <w:rPr>
          <w:b w:val="0"/>
          <w:bCs w:val="0"/>
          <w:rtl/>
        </w:rPr>
        <w:tab/>
        <w:t>اتفاقيات معكوس إعادة الشراء واقتراض الأوراق</w:t>
      </w:r>
      <w:r w:rsidR="00AA1657" w:rsidRPr="008F60C0">
        <w:rPr>
          <w:b w:val="0"/>
          <w:bCs w:val="0"/>
          <w:rtl/>
        </w:rPr>
        <w:t xml:space="preserve"> المالية: فانه يتم احتساب الفرق </w:t>
      </w:r>
      <w:r w:rsidRPr="008F60C0">
        <w:rPr>
          <w:b w:val="0"/>
          <w:bCs w:val="0"/>
          <w:rtl/>
        </w:rPr>
        <w:t>بين المبلغ الذي تم إقراضه أو القيمة السوقية للضمانة المعطاة من جهة والقيمة السوقية للأوراق المالية المشتراه من جهة أخرى وذلك في حال كون الفرق موجب</w:t>
      </w:r>
      <w:r w:rsidR="005B1162" w:rsidRPr="008F60C0">
        <w:rPr>
          <w:b w:val="0"/>
          <w:bCs w:val="0"/>
          <w:rtl/>
        </w:rPr>
        <w:t>.</w:t>
      </w:r>
      <w:r w:rsidRPr="008F60C0">
        <w:rPr>
          <w:b w:val="0"/>
          <w:bCs w:val="0"/>
          <w:rtl/>
        </w:rPr>
        <w:t xml:space="preserve"> </w:t>
      </w:r>
      <w:r w:rsidR="005B1162" w:rsidRPr="008F60C0">
        <w:rPr>
          <w:b w:val="0"/>
          <w:bCs w:val="0"/>
          <w:rtl/>
        </w:rPr>
        <w:t>[ملحق</w:t>
      </w:r>
      <w:r w:rsidRPr="008F60C0">
        <w:rPr>
          <w:b w:val="0"/>
          <w:bCs w:val="0"/>
          <w:rtl/>
        </w:rPr>
        <w:t xml:space="preserve"> رقم (</w:t>
      </w:r>
      <w:r w:rsidR="006D0790">
        <w:rPr>
          <w:rFonts w:hint="cs"/>
          <w:b w:val="0"/>
          <w:bCs w:val="0"/>
          <w:rtl/>
        </w:rPr>
        <w:t>22</w:t>
      </w:r>
      <w:r w:rsidRPr="008F60C0">
        <w:rPr>
          <w:b w:val="0"/>
          <w:bCs w:val="0"/>
          <w:rtl/>
        </w:rPr>
        <w:t>/أ/2)</w:t>
      </w:r>
      <w:r w:rsidR="005B1162" w:rsidRPr="008F60C0">
        <w:rPr>
          <w:b w:val="0"/>
          <w:bCs w:val="0"/>
          <w:rtl/>
        </w:rPr>
        <w:t>]</w:t>
      </w:r>
      <w:r w:rsidRPr="008F60C0">
        <w:rPr>
          <w:b w:val="0"/>
          <w:bCs w:val="0"/>
          <w:rtl/>
        </w:rPr>
        <w:t>.</w:t>
      </w:r>
      <w:bookmarkEnd w:id="2215"/>
      <w:bookmarkEnd w:id="2216"/>
      <w:bookmarkEnd w:id="2217"/>
    </w:p>
    <w:p w:rsidR="00B259A6" w:rsidRPr="008F60C0" w:rsidRDefault="00B259A6" w:rsidP="00D470C6">
      <w:pPr>
        <w:ind w:left="2126" w:hanging="851"/>
        <w:rPr>
          <w:b w:val="0"/>
          <w:bCs w:val="0"/>
          <w:rtl/>
        </w:rPr>
      </w:pPr>
      <w:bookmarkStart w:id="2218" w:name="_Toc414888612"/>
      <w:bookmarkStart w:id="2219" w:name="_Toc451176799"/>
      <w:bookmarkStart w:id="2220" w:name="_Toc451180696"/>
      <w:r w:rsidRPr="008F60C0">
        <w:rPr>
          <w:b w:val="0"/>
          <w:bCs w:val="0"/>
          <w:rtl/>
        </w:rPr>
        <w:t>3.1.16</w:t>
      </w:r>
      <w:r w:rsidR="005C4455">
        <w:rPr>
          <w:rFonts w:hint="cs"/>
          <w:b w:val="0"/>
          <w:bCs w:val="0"/>
          <w:rtl/>
        </w:rPr>
        <w:t>.</w:t>
      </w:r>
      <w:r w:rsidRPr="008F60C0">
        <w:rPr>
          <w:b w:val="0"/>
          <w:bCs w:val="0"/>
          <w:rtl/>
        </w:rPr>
        <w:tab/>
        <w:t>يجب تضمين الفوائد المستحقة في احتساب القيمة السوقية للمبالغ المقترضة أو المقرضة.</w:t>
      </w:r>
      <w:bookmarkEnd w:id="2218"/>
      <w:bookmarkEnd w:id="2219"/>
      <w:bookmarkEnd w:id="2220"/>
    </w:p>
    <w:p w:rsidR="00B259A6" w:rsidRPr="008F60C0" w:rsidRDefault="00B259A6" w:rsidP="00D470C6">
      <w:pPr>
        <w:ind w:left="1275" w:hanging="709"/>
        <w:rPr>
          <w:b w:val="0"/>
          <w:bCs w:val="0"/>
          <w:rtl/>
        </w:rPr>
      </w:pPr>
      <w:bookmarkStart w:id="2221" w:name="_Toc414888613"/>
      <w:bookmarkStart w:id="2222" w:name="_Toc451176800"/>
      <w:bookmarkStart w:id="2223" w:name="_Toc451180697"/>
      <w:r w:rsidRPr="008F60C0">
        <w:rPr>
          <w:b w:val="0"/>
          <w:bCs w:val="0"/>
          <w:rtl/>
        </w:rPr>
        <w:t>2.16</w:t>
      </w:r>
      <w:r w:rsidR="005C4455">
        <w:rPr>
          <w:rFonts w:hint="cs"/>
          <w:b w:val="0"/>
          <w:bCs w:val="0"/>
          <w:rtl/>
        </w:rPr>
        <w:t>.</w:t>
      </w:r>
      <w:r w:rsidR="00D470C6">
        <w:rPr>
          <w:rFonts w:hint="cs"/>
          <w:b w:val="0"/>
          <w:bCs w:val="0"/>
          <w:rtl/>
        </w:rPr>
        <w:tab/>
      </w:r>
      <w:r w:rsidRPr="008F60C0">
        <w:rPr>
          <w:b w:val="0"/>
          <w:bCs w:val="0"/>
          <w:rtl/>
        </w:rPr>
        <w:t>الأسهم المسلمة وغير المقبوض قيمتها و/أو الأسهم المدفوع قيمتها وغير المستلمة.</w:t>
      </w:r>
      <w:bookmarkEnd w:id="2221"/>
      <w:bookmarkEnd w:id="2222"/>
      <w:bookmarkEnd w:id="2223"/>
      <w:r w:rsidRPr="008F60C0">
        <w:rPr>
          <w:b w:val="0"/>
          <w:bCs w:val="0"/>
          <w:rtl/>
        </w:rPr>
        <w:t xml:space="preserve">   </w:t>
      </w:r>
    </w:p>
    <w:p w:rsidR="005C4455" w:rsidRPr="005C4455" w:rsidRDefault="00B259A6" w:rsidP="006D0790">
      <w:pPr>
        <w:spacing w:line="276" w:lineRule="auto"/>
        <w:ind w:left="1275"/>
        <w:rPr>
          <w:b w:val="0"/>
          <w:bCs w:val="0"/>
          <w:rtl/>
        </w:rPr>
      </w:pPr>
      <w:bookmarkStart w:id="2224" w:name="_Toc414888614"/>
      <w:bookmarkStart w:id="2225" w:name="_Toc451176801"/>
      <w:bookmarkStart w:id="2226" w:name="_Toc451180698"/>
      <w:r w:rsidRPr="008F60C0">
        <w:rPr>
          <w:b w:val="0"/>
          <w:bCs w:val="0"/>
          <w:rtl/>
        </w:rPr>
        <w:t>تمثل الأسهم التي قام البنك بتسليمها ولم يتم قبض ثمنها أو الأ</w:t>
      </w:r>
      <w:r w:rsidR="005B1162" w:rsidRPr="008F60C0">
        <w:rPr>
          <w:b w:val="0"/>
          <w:bCs w:val="0"/>
          <w:rtl/>
        </w:rPr>
        <w:t>سهم المستلمة وغير المدفوع ثمنها.</w:t>
      </w:r>
      <w:r w:rsidRPr="008F60C0">
        <w:rPr>
          <w:b w:val="0"/>
          <w:bCs w:val="0"/>
          <w:rtl/>
        </w:rPr>
        <w:t xml:space="preserve"> </w:t>
      </w:r>
      <w:r w:rsidR="005B1162" w:rsidRPr="008F60C0">
        <w:rPr>
          <w:b w:val="0"/>
          <w:bCs w:val="0"/>
          <w:rtl/>
        </w:rPr>
        <w:t xml:space="preserve">[ملحق رقم </w:t>
      </w:r>
      <w:r w:rsidR="006D0790">
        <w:rPr>
          <w:rFonts w:hint="cs"/>
          <w:b w:val="0"/>
          <w:bCs w:val="0"/>
          <w:rtl/>
        </w:rPr>
        <w:t>23</w:t>
      </w:r>
      <w:r w:rsidR="005B1162" w:rsidRPr="008F60C0">
        <w:rPr>
          <w:b w:val="0"/>
          <w:bCs w:val="0"/>
          <w:rtl/>
        </w:rPr>
        <w:t>]</w:t>
      </w:r>
      <w:r w:rsidRPr="008F60C0">
        <w:rPr>
          <w:b w:val="0"/>
          <w:bCs w:val="0"/>
          <w:rtl/>
        </w:rPr>
        <w:t>.</w:t>
      </w:r>
      <w:bookmarkEnd w:id="2224"/>
      <w:bookmarkEnd w:id="2225"/>
      <w:bookmarkEnd w:id="2226"/>
    </w:p>
    <w:p w:rsidR="00D470C6" w:rsidRDefault="00D470C6" w:rsidP="005C4455">
      <w:pPr>
        <w:rPr>
          <w:rtl/>
        </w:rPr>
      </w:pPr>
      <w:bookmarkStart w:id="2227" w:name="_Toc451176802"/>
      <w:bookmarkStart w:id="2228" w:name="_Toc451180699"/>
    </w:p>
    <w:p w:rsidR="00D470C6" w:rsidRDefault="00D470C6" w:rsidP="005C4455">
      <w:pPr>
        <w:rPr>
          <w:rtl/>
        </w:rPr>
      </w:pPr>
    </w:p>
    <w:p w:rsidR="00B259A6" w:rsidRPr="005C4455" w:rsidRDefault="008845C0" w:rsidP="005C4455">
      <w:pPr>
        <w:rPr>
          <w:rtl/>
        </w:rPr>
      </w:pPr>
      <w:r w:rsidRPr="005C4455">
        <w:rPr>
          <w:rtl/>
        </w:rPr>
        <w:t>ملاحظة عامة:</w:t>
      </w:r>
      <w:bookmarkEnd w:id="2227"/>
      <w:bookmarkEnd w:id="2228"/>
      <w:r w:rsidRPr="005C4455">
        <w:rPr>
          <w:rtl/>
        </w:rPr>
        <w:t xml:space="preserve">  </w:t>
      </w:r>
    </w:p>
    <w:p w:rsidR="00B259A6" w:rsidRPr="005C4455" w:rsidRDefault="008845C0" w:rsidP="005C4455">
      <w:pPr>
        <w:rPr>
          <w:rtl/>
        </w:rPr>
      </w:pPr>
      <w:bookmarkStart w:id="2229" w:name="_Toc451176803"/>
      <w:bookmarkStart w:id="2230" w:name="_Toc451180700"/>
      <w:r w:rsidRPr="005C4455">
        <w:rPr>
          <w:rtl/>
        </w:rPr>
        <w:t>في</w:t>
      </w:r>
      <w:r w:rsidR="0026227C" w:rsidRPr="005C4455">
        <w:rPr>
          <w:rtl/>
        </w:rPr>
        <w:t>ما</w:t>
      </w:r>
      <w:r w:rsidRPr="005C4455">
        <w:rPr>
          <w:rtl/>
        </w:rPr>
        <w:t xml:space="preserve"> </w:t>
      </w:r>
      <w:r w:rsidR="0026227C" w:rsidRPr="005C4455">
        <w:rPr>
          <w:rtl/>
        </w:rPr>
        <w:t xml:space="preserve">يخص المخاطر الأخرى مثل المخاطر الائتمانية للطرف المقابل والتي لم يتم التطرق لها في هذه التعليمات، وفي حال مواجهة البنك لهذه المخاطر، يتم الرجوع </w:t>
      </w:r>
      <w:r w:rsidRPr="005C4455">
        <w:rPr>
          <w:rtl/>
        </w:rPr>
        <w:t xml:space="preserve">إلى </w:t>
      </w:r>
      <w:r w:rsidR="00324874" w:rsidRPr="005C4455">
        <w:rPr>
          <w:rtl/>
        </w:rPr>
        <w:t>الوثيقة</w:t>
      </w:r>
      <w:r w:rsidRPr="005C4455">
        <w:rPr>
          <w:rtl/>
        </w:rPr>
        <w:t xml:space="preserve"> الصادرة عن لجنة بازل بعنوان</w:t>
      </w:r>
      <w:r w:rsidR="00324874" w:rsidRPr="005C4455">
        <w:rPr>
          <w:rtl/>
        </w:rPr>
        <w:t xml:space="preserve"> (</w:t>
      </w:r>
      <w:r w:rsidR="00324874" w:rsidRPr="005C4455">
        <w:t>Basel III: A global regulatory framework for more resilient banks and banking systems</w:t>
      </w:r>
      <w:r w:rsidR="00324874" w:rsidRPr="005C4455">
        <w:rPr>
          <w:rtl/>
        </w:rPr>
        <w:t>)</w:t>
      </w:r>
      <w:r w:rsidRPr="005C4455">
        <w:rPr>
          <w:rtl/>
        </w:rPr>
        <w:t xml:space="preserve">  </w:t>
      </w:r>
      <w:r w:rsidR="0026227C" w:rsidRPr="005C4455">
        <w:rPr>
          <w:rtl/>
        </w:rPr>
        <w:t>بشهر</w:t>
      </w:r>
      <w:r w:rsidR="00324874" w:rsidRPr="005C4455">
        <w:rPr>
          <w:rtl/>
        </w:rPr>
        <w:t xml:space="preserve"> 12/2010.</w:t>
      </w:r>
      <w:bookmarkEnd w:id="2229"/>
      <w:bookmarkEnd w:id="2230"/>
      <w:r w:rsidRPr="005C4455">
        <w:rPr>
          <w:rtl/>
        </w:rPr>
        <w:t xml:space="preserve"> </w:t>
      </w:r>
    </w:p>
    <w:p w:rsidR="00B259A6" w:rsidRPr="006D6E07" w:rsidRDefault="00B259A6" w:rsidP="00136C4D">
      <w:pPr>
        <w:pStyle w:val="Heading2"/>
        <w:rPr>
          <w:rtl/>
        </w:rPr>
      </w:pPr>
    </w:p>
    <w:p w:rsidR="00B259A6" w:rsidRPr="006D6E07" w:rsidRDefault="00B259A6" w:rsidP="00136C4D">
      <w:pPr>
        <w:pStyle w:val="Heading2"/>
        <w:rPr>
          <w:rtl/>
        </w:rPr>
      </w:pPr>
    </w:p>
    <w:p w:rsidR="00B259A6" w:rsidRPr="006D6E07" w:rsidRDefault="00B259A6" w:rsidP="00136C4D">
      <w:pPr>
        <w:pStyle w:val="Heading2"/>
        <w:rPr>
          <w:rtl/>
        </w:rPr>
      </w:pPr>
    </w:p>
    <w:p w:rsidR="00B259A6" w:rsidRPr="006D6E07" w:rsidRDefault="00B259A6" w:rsidP="00B259A6">
      <w:pPr>
        <w:rPr>
          <w:rtl/>
          <w:lang w:bidi="ar-JO"/>
        </w:rPr>
      </w:pPr>
    </w:p>
    <w:p w:rsidR="00B259A6" w:rsidRPr="006D6E07" w:rsidRDefault="00B259A6" w:rsidP="00B259A6">
      <w:pPr>
        <w:rPr>
          <w:rtl/>
          <w:lang w:bidi="ar-JO"/>
        </w:rPr>
      </w:pPr>
    </w:p>
    <w:p w:rsidR="00B259A6" w:rsidRPr="006D6E07" w:rsidRDefault="00B259A6" w:rsidP="00B259A6">
      <w:pPr>
        <w:rPr>
          <w:rtl/>
          <w:lang w:bidi="ar-JO"/>
        </w:rPr>
      </w:pPr>
    </w:p>
    <w:p w:rsidR="00B259A6" w:rsidRPr="006D6E07" w:rsidRDefault="00B259A6" w:rsidP="00B259A6">
      <w:pPr>
        <w:rPr>
          <w:rtl/>
          <w:lang w:bidi="ar-JO"/>
        </w:rPr>
      </w:pPr>
    </w:p>
    <w:p w:rsidR="00B259A6" w:rsidRPr="006D6E07" w:rsidRDefault="00B259A6" w:rsidP="00B259A6">
      <w:pPr>
        <w:rPr>
          <w:rtl/>
          <w:lang w:bidi="ar-JO"/>
        </w:rPr>
      </w:pPr>
    </w:p>
    <w:p w:rsidR="00B259A6" w:rsidRPr="006D6E07" w:rsidRDefault="00B259A6" w:rsidP="00B259A6">
      <w:pPr>
        <w:rPr>
          <w:rtl/>
          <w:lang w:bidi="ar-JO"/>
        </w:rPr>
      </w:pPr>
    </w:p>
    <w:p w:rsidR="00B259A6" w:rsidRDefault="00B259A6" w:rsidP="00B259A6">
      <w:pPr>
        <w:rPr>
          <w:rtl/>
          <w:lang w:bidi="ar-JO"/>
        </w:rPr>
      </w:pPr>
    </w:p>
    <w:p w:rsidR="00FD4A08" w:rsidRDefault="00FD4A08" w:rsidP="00B259A6">
      <w:pPr>
        <w:rPr>
          <w:rtl/>
          <w:lang w:bidi="ar-JO"/>
        </w:rPr>
      </w:pPr>
    </w:p>
    <w:p w:rsidR="00B259A6" w:rsidRPr="00FD4A08" w:rsidRDefault="00625AC6" w:rsidP="00FD4A08">
      <w:pPr>
        <w:pStyle w:val="Heading1"/>
        <w:pBdr>
          <w:bottom w:val="single" w:sz="4" w:space="1" w:color="auto"/>
        </w:pBdr>
        <w:jc w:val="center"/>
        <w:rPr>
          <w:b/>
          <w:bCs/>
          <w:rtl/>
        </w:rPr>
      </w:pPr>
      <w:bookmarkStart w:id="2231" w:name="_Toc451260334"/>
      <w:r w:rsidRPr="00FD4A08">
        <w:rPr>
          <w:b/>
          <w:bCs/>
          <w:rtl/>
        </w:rPr>
        <w:lastRenderedPageBreak/>
        <w:t>الفصل الخامس</w:t>
      </w:r>
      <w:r w:rsidR="00FD4A08">
        <w:rPr>
          <w:rFonts w:hint="cs"/>
          <w:b/>
          <w:bCs/>
          <w:rtl/>
        </w:rPr>
        <w:t>:</w:t>
      </w:r>
      <w:r w:rsidR="00FD4A08" w:rsidRPr="00FD4A08">
        <w:rPr>
          <w:rFonts w:hint="cs"/>
          <w:b/>
          <w:bCs/>
          <w:rtl/>
        </w:rPr>
        <w:t xml:space="preserve"> </w:t>
      </w:r>
      <w:r w:rsidR="00B259A6" w:rsidRPr="00FD4A08">
        <w:rPr>
          <w:b/>
          <w:bCs/>
          <w:rtl/>
        </w:rPr>
        <w:t>الرافعة المالية</w:t>
      </w:r>
      <w:r w:rsidRPr="00FD4A08">
        <w:rPr>
          <w:b/>
          <w:bCs/>
          <w:rtl/>
        </w:rPr>
        <w:t xml:space="preserve"> (</w:t>
      </w:r>
      <w:r w:rsidR="00B259A6" w:rsidRPr="00FD4A08">
        <w:rPr>
          <w:b/>
          <w:bCs/>
        </w:rPr>
        <w:t>Leverage Ratio</w:t>
      </w:r>
      <w:r w:rsidRPr="00FD4A08">
        <w:rPr>
          <w:b/>
          <w:bCs/>
          <w:rtl/>
        </w:rPr>
        <w:t>)</w:t>
      </w:r>
      <w:bookmarkEnd w:id="2231"/>
    </w:p>
    <w:p w:rsidR="00FD4A08" w:rsidRDefault="00FD4A08" w:rsidP="00305DB1">
      <w:pPr>
        <w:pStyle w:val="ListParagraph"/>
        <w:ind w:left="608" w:hanging="567"/>
        <w:rPr>
          <w:rtl/>
        </w:rPr>
      </w:pPr>
    </w:p>
    <w:p w:rsidR="007B61FE" w:rsidRPr="00494AB1" w:rsidRDefault="00FD4A08" w:rsidP="00A91F2E">
      <w:pPr>
        <w:spacing w:after="0" w:line="276" w:lineRule="auto"/>
        <w:ind w:left="425" w:hanging="380"/>
        <w:rPr>
          <w:rtl/>
        </w:rPr>
      </w:pPr>
      <w:r w:rsidRPr="00494AB1">
        <w:rPr>
          <w:rFonts w:hint="cs"/>
          <w:rtl/>
        </w:rPr>
        <w:t>1.</w:t>
      </w:r>
      <w:r w:rsidR="00A91F2E">
        <w:rPr>
          <w:rFonts w:hint="cs"/>
          <w:rtl/>
        </w:rPr>
        <w:tab/>
      </w:r>
      <w:r w:rsidR="007B61FE" w:rsidRPr="00494AB1">
        <w:rPr>
          <w:rtl/>
        </w:rPr>
        <w:t xml:space="preserve">بهدف رفد مقياس رأس المال بنسبة بسيطة لا تعتمد على أوزان المخاطر، </w:t>
      </w:r>
      <w:r w:rsidR="00305DB1" w:rsidRPr="00494AB1">
        <w:rPr>
          <w:rtl/>
        </w:rPr>
        <w:t xml:space="preserve">فإن على البنوك احتساب نسبة الرفع المالي وذلك للأهداف التالية: </w:t>
      </w:r>
    </w:p>
    <w:p w:rsidR="007B61FE" w:rsidRPr="00FD4A08" w:rsidRDefault="007B61FE" w:rsidP="00A91F2E">
      <w:pPr>
        <w:ind w:left="1025" w:hanging="600"/>
        <w:rPr>
          <w:b w:val="0"/>
          <w:bCs w:val="0"/>
          <w:rtl/>
        </w:rPr>
      </w:pPr>
      <w:r w:rsidRPr="00FD4A08">
        <w:rPr>
          <w:b w:val="0"/>
          <w:bCs w:val="0"/>
          <w:rtl/>
        </w:rPr>
        <w:t>1.1</w:t>
      </w:r>
      <w:r w:rsidR="00FD4A08" w:rsidRPr="00FD4A08">
        <w:rPr>
          <w:rFonts w:hint="cs"/>
          <w:b w:val="0"/>
          <w:bCs w:val="0"/>
          <w:rtl/>
        </w:rPr>
        <w:t>.</w:t>
      </w:r>
      <w:r w:rsidRPr="00FD4A08">
        <w:rPr>
          <w:b w:val="0"/>
          <w:bCs w:val="0"/>
          <w:rtl/>
        </w:rPr>
        <w:tab/>
      </w:r>
      <w:r w:rsidR="005B6C5F" w:rsidRPr="00FD4A08">
        <w:rPr>
          <w:b w:val="0"/>
          <w:bCs w:val="0"/>
          <w:rtl/>
        </w:rPr>
        <w:t xml:space="preserve">ضبط </w:t>
      </w:r>
      <w:r w:rsidRPr="00FD4A08">
        <w:rPr>
          <w:b w:val="0"/>
          <w:bCs w:val="0"/>
          <w:rtl/>
        </w:rPr>
        <w:t>زيادة الرفع المالي في القطاع المصرفي والمساعدة في تجنب ال</w:t>
      </w:r>
      <w:r w:rsidR="00155779" w:rsidRPr="00FD4A08">
        <w:rPr>
          <w:b w:val="0"/>
          <w:bCs w:val="0"/>
          <w:rtl/>
        </w:rPr>
        <w:t>بنوك لخفض الرفع المالي لديها الذ</w:t>
      </w:r>
      <w:r w:rsidRPr="00FD4A08">
        <w:rPr>
          <w:b w:val="0"/>
          <w:bCs w:val="0"/>
          <w:rtl/>
        </w:rPr>
        <w:t xml:space="preserve">ي من الممكن أن </w:t>
      </w:r>
      <w:r w:rsidR="00305DB1" w:rsidRPr="00FD4A08">
        <w:rPr>
          <w:b w:val="0"/>
          <w:bCs w:val="0"/>
          <w:rtl/>
        </w:rPr>
        <w:t>يكون له آثار سلبية على القطاع المالي والاقتصادي</w:t>
      </w:r>
      <w:r w:rsidRPr="00FD4A08">
        <w:rPr>
          <w:b w:val="0"/>
          <w:bCs w:val="0"/>
          <w:rtl/>
        </w:rPr>
        <w:t xml:space="preserve">. </w:t>
      </w:r>
    </w:p>
    <w:p w:rsidR="007B61FE" w:rsidRPr="00FD4A08" w:rsidRDefault="00A40C09" w:rsidP="00A91F2E">
      <w:pPr>
        <w:ind w:left="1025" w:hanging="600"/>
        <w:rPr>
          <w:b w:val="0"/>
          <w:bCs w:val="0"/>
          <w:rtl/>
        </w:rPr>
      </w:pPr>
      <w:r w:rsidRPr="00FD4A08">
        <w:rPr>
          <w:b w:val="0"/>
          <w:bCs w:val="0"/>
          <w:rtl/>
        </w:rPr>
        <w:t>2.1</w:t>
      </w:r>
      <w:r w:rsidR="00FD4A08" w:rsidRPr="00FD4A08">
        <w:rPr>
          <w:rFonts w:hint="cs"/>
          <w:b w:val="0"/>
          <w:bCs w:val="0"/>
          <w:rtl/>
        </w:rPr>
        <w:t>.</w:t>
      </w:r>
      <w:r w:rsidRPr="00FD4A08">
        <w:rPr>
          <w:b w:val="0"/>
          <w:bCs w:val="0"/>
          <w:rtl/>
        </w:rPr>
        <w:tab/>
        <w:t>تعزيز نسبة كفاية رأ</w:t>
      </w:r>
      <w:r w:rsidR="007B61FE" w:rsidRPr="00FD4A08">
        <w:rPr>
          <w:b w:val="0"/>
          <w:bCs w:val="0"/>
          <w:rtl/>
        </w:rPr>
        <w:t>س</w:t>
      </w:r>
      <w:r w:rsidR="00ED4272" w:rsidRPr="00FD4A08">
        <w:rPr>
          <w:b w:val="0"/>
          <w:bCs w:val="0"/>
          <w:rtl/>
        </w:rPr>
        <w:t xml:space="preserve"> المال المبنية على المخاطر بنسبة بسيطة</w:t>
      </w:r>
      <w:r w:rsidR="00305DB1" w:rsidRPr="00FD4A08">
        <w:rPr>
          <w:b w:val="0"/>
          <w:bCs w:val="0"/>
          <w:rtl/>
        </w:rPr>
        <w:t xml:space="preserve"> غير معتمد</w:t>
      </w:r>
      <w:r w:rsidR="004F2F02">
        <w:rPr>
          <w:rFonts w:hint="cs"/>
          <w:b w:val="0"/>
          <w:bCs w:val="0"/>
          <w:rtl/>
        </w:rPr>
        <w:t>ة</w:t>
      </w:r>
      <w:r w:rsidR="00305DB1" w:rsidRPr="00FD4A08">
        <w:rPr>
          <w:b w:val="0"/>
          <w:bCs w:val="0"/>
          <w:rtl/>
        </w:rPr>
        <w:t xml:space="preserve"> على المخاطر</w:t>
      </w:r>
      <w:r w:rsidR="007B61FE" w:rsidRPr="00FD4A08">
        <w:rPr>
          <w:b w:val="0"/>
          <w:bCs w:val="0"/>
          <w:rtl/>
        </w:rPr>
        <w:t xml:space="preserve">. </w:t>
      </w:r>
    </w:p>
    <w:p w:rsidR="007B61FE" w:rsidRPr="00494AB1" w:rsidRDefault="00DC7961" w:rsidP="00A91F2E">
      <w:pPr>
        <w:spacing w:after="0" w:line="276" w:lineRule="auto"/>
        <w:ind w:left="425" w:hanging="396"/>
        <w:rPr>
          <w:rtl/>
        </w:rPr>
      </w:pPr>
      <w:r w:rsidRPr="00494AB1">
        <w:rPr>
          <w:rtl/>
        </w:rPr>
        <w:t>2.</w:t>
      </w:r>
      <w:r w:rsidR="005A2DDD">
        <w:t xml:space="preserve"> </w:t>
      </w:r>
      <w:r w:rsidR="007B61FE" w:rsidRPr="00494AB1">
        <w:rPr>
          <w:rtl/>
        </w:rPr>
        <w:t xml:space="preserve">التعريف وطريقة احتساب نسبة الرفع المالي: </w:t>
      </w:r>
    </w:p>
    <w:p w:rsidR="007B61FE" w:rsidRPr="00FD4A08" w:rsidRDefault="007B61FE" w:rsidP="00A91F2E">
      <w:pPr>
        <w:ind w:left="1025" w:hanging="600"/>
        <w:rPr>
          <w:b w:val="0"/>
          <w:bCs w:val="0"/>
          <w:rtl/>
        </w:rPr>
      </w:pPr>
      <w:r w:rsidRPr="00FD4A08">
        <w:rPr>
          <w:b w:val="0"/>
          <w:bCs w:val="0"/>
          <w:rtl/>
        </w:rPr>
        <w:t>1.2</w:t>
      </w:r>
      <w:r w:rsidR="00494AB1">
        <w:rPr>
          <w:rFonts w:hint="cs"/>
          <w:b w:val="0"/>
          <w:bCs w:val="0"/>
          <w:rtl/>
        </w:rPr>
        <w:t>.</w:t>
      </w:r>
      <w:r w:rsidRPr="00FD4A08">
        <w:rPr>
          <w:b w:val="0"/>
          <w:bCs w:val="0"/>
          <w:rtl/>
        </w:rPr>
        <w:tab/>
        <w:t>يكون الحد الأدنى لنسبة الرفع المالي (</w:t>
      </w:r>
      <w:r w:rsidR="00140405" w:rsidRPr="00FD4A08">
        <w:rPr>
          <w:b w:val="0"/>
          <w:bCs w:val="0"/>
          <w:rtl/>
        </w:rPr>
        <w:t>4</w:t>
      </w:r>
      <w:r w:rsidRPr="00FD4A08">
        <w:rPr>
          <w:b w:val="0"/>
          <w:bCs w:val="0"/>
          <w:rtl/>
        </w:rPr>
        <w:t xml:space="preserve">%) وبحيث يتم احتسابها كما يلي: </w:t>
      </w:r>
    </w:p>
    <w:p w:rsidR="007B61FE" w:rsidRPr="00FD4A08" w:rsidRDefault="00ED4272" w:rsidP="00A91F2E">
      <w:pPr>
        <w:spacing w:line="276" w:lineRule="auto"/>
        <w:ind w:left="1842" w:hanging="850"/>
        <w:rPr>
          <w:b w:val="0"/>
          <w:bCs w:val="0"/>
          <w:rtl/>
        </w:rPr>
      </w:pPr>
      <w:r w:rsidRPr="00FD4A08">
        <w:rPr>
          <w:b w:val="0"/>
          <w:bCs w:val="0"/>
          <w:rtl/>
        </w:rPr>
        <w:t>1.1.2</w:t>
      </w:r>
      <w:r w:rsidR="00494AB1">
        <w:rPr>
          <w:rFonts w:hint="cs"/>
          <w:b w:val="0"/>
          <w:bCs w:val="0"/>
          <w:rtl/>
        </w:rPr>
        <w:t>.</w:t>
      </w:r>
      <w:r w:rsidRPr="00FD4A08">
        <w:rPr>
          <w:b w:val="0"/>
          <w:bCs w:val="0"/>
          <w:rtl/>
        </w:rPr>
        <w:tab/>
      </w:r>
      <w:r w:rsidR="00305DB1" w:rsidRPr="00FD4A08">
        <w:rPr>
          <w:b w:val="0"/>
          <w:bCs w:val="0"/>
          <w:rtl/>
        </w:rPr>
        <w:t>يكون بسط النسبة عبارة عن رأس المال الأساسي (</w:t>
      </w:r>
      <w:r w:rsidR="00305DB1" w:rsidRPr="00FD4A08">
        <w:rPr>
          <w:b w:val="0"/>
          <w:bCs w:val="0"/>
        </w:rPr>
        <w:t>T1</w:t>
      </w:r>
      <w:r w:rsidR="00305DB1" w:rsidRPr="00FD4A08">
        <w:rPr>
          <w:b w:val="0"/>
          <w:bCs w:val="0"/>
          <w:rtl/>
        </w:rPr>
        <w:t>) وكما هو معرف في الفقرة (1.1) من البند (ثانياً/1) من الفصل الثاني</w:t>
      </w:r>
      <w:r w:rsidR="00155779" w:rsidRPr="00FD4A08">
        <w:rPr>
          <w:b w:val="0"/>
          <w:bCs w:val="0"/>
          <w:rtl/>
        </w:rPr>
        <w:t xml:space="preserve"> من هذه التعليمات</w:t>
      </w:r>
      <w:r w:rsidR="00305DB1" w:rsidRPr="00FD4A08">
        <w:rPr>
          <w:b w:val="0"/>
          <w:bCs w:val="0"/>
          <w:rtl/>
        </w:rPr>
        <w:t>، و</w:t>
      </w:r>
      <w:r w:rsidR="007B61FE" w:rsidRPr="00FD4A08">
        <w:rPr>
          <w:b w:val="0"/>
          <w:bCs w:val="0"/>
          <w:rtl/>
          <w:lang w:bidi="ar-JO"/>
        </w:rPr>
        <w:t xml:space="preserve">البنود التي يتم طرحها من </w:t>
      </w:r>
      <w:r w:rsidR="005B6C5F" w:rsidRPr="00FD4A08">
        <w:rPr>
          <w:b w:val="0"/>
          <w:bCs w:val="0"/>
          <w:lang w:bidi="ar-JO"/>
        </w:rPr>
        <w:t xml:space="preserve">T1 </w:t>
      </w:r>
      <w:r w:rsidR="005B6C5F" w:rsidRPr="00FD4A08">
        <w:rPr>
          <w:b w:val="0"/>
          <w:bCs w:val="0"/>
          <w:rtl/>
          <w:lang w:bidi="ar-JO"/>
        </w:rPr>
        <w:t xml:space="preserve"> </w:t>
      </w:r>
      <w:r w:rsidR="007B61FE" w:rsidRPr="00FD4A08">
        <w:rPr>
          <w:b w:val="0"/>
          <w:bCs w:val="0"/>
          <w:rtl/>
          <w:lang w:bidi="ar-JO"/>
        </w:rPr>
        <w:t>يتم طرحها ايضاً من الا</w:t>
      </w:r>
      <w:r w:rsidR="00305DB1" w:rsidRPr="00FD4A08">
        <w:rPr>
          <w:b w:val="0"/>
          <w:bCs w:val="0"/>
          <w:rtl/>
          <w:lang w:bidi="ar-JO"/>
        </w:rPr>
        <w:t>نكشافات تجنباً للاحتساب المزدوج، علماً بأن البنود التي تُطرح مُعرفة في البند رابعاً من الفصل الثاني</w:t>
      </w:r>
      <w:r w:rsidR="002E15F1" w:rsidRPr="00FD4A08">
        <w:rPr>
          <w:b w:val="0"/>
          <w:bCs w:val="0"/>
          <w:rtl/>
          <w:lang w:bidi="ar-JO"/>
        </w:rPr>
        <w:t xml:space="preserve"> من هذه التعليمات</w:t>
      </w:r>
      <w:r w:rsidR="00305DB1" w:rsidRPr="00FD4A08">
        <w:rPr>
          <w:b w:val="0"/>
          <w:bCs w:val="0"/>
          <w:rtl/>
          <w:lang w:bidi="ar-JO"/>
        </w:rPr>
        <w:t xml:space="preserve">. </w:t>
      </w:r>
      <w:r w:rsidR="007B61FE" w:rsidRPr="00FD4A08">
        <w:rPr>
          <w:b w:val="0"/>
          <w:bCs w:val="0"/>
          <w:rtl/>
          <w:lang w:bidi="ar-JO"/>
        </w:rPr>
        <w:t xml:space="preserve"> </w:t>
      </w:r>
    </w:p>
    <w:p w:rsidR="007B61FE" w:rsidRPr="00FD4A08" w:rsidRDefault="00ED4272" w:rsidP="00A91F2E">
      <w:pPr>
        <w:spacing w:line="276" w:lineRule="auto"/>
        <w:ind w:left="1842" w:hanging="850"/>
        <w:rPr>
          <w:b w:val="0"/>
          <w:bCs w:val="0"/>
          <w:rtl/>
        </w:rPr>
      </w:pPr>
      <w:r w:rsidRPr="00FD4A08">
        <w:rPr>
          <w:b w:val="0"/>
          <w:bCs w:val="0"/>
          <w:rtl/>
        </w:rPr>
        <w:t>2.1.2</w:t>
      </w:r>
      <w:r w:rsidR="00494AB1">
        <w:rPr>
          <w:rFonts w:hint="cs"/>
          <w:b w:val="0"/>
          <w:bCs w:val="0"/>
          <w:rtl/>
        </w:rPr>
        <w:t>.</w:t>
      </w:r>
      <w:r w:rsidRPr="00FD4A08">
        <w:rPr>
          <w:b w:val="0"/>
          <w:bCs w:val="0"/>
          <w:rtl/>
        </w:rPr>
        <w:tab/>
      </w:r>
      <w:r w:rsidR="00130188" w:rsidRPr="00FD4A08">
        <w:rPr>
          <w:b w:val="0"/>
          <w:bCs w:val="0"/>
          <w:rtl/>
        </w:rPr>
        <w:t>يتكون مقام النسبة من بنود داخل وخارج الميزانية وكما يلي:</w:t>
      </w:r>
    </w:p>
    <w:p w:rsidR="007B61FE" w:rsidRPr="00FD4A08" w:rsidRDefault="00ED4272" w:rsidP="00A91F2E">
      <w:pPr>
        <w:spacing w:after="0"/>
        <w:ind w:left="3827" w:hanging="1985"/>
        <w:rPr>
          <w:b w:val="0"/>
          <w:bCs w:val="0"/>
        </w:rPr>
      </w:pPr>
      <w:r w:rsidRPr="00FD4A08">
        <w:rPr>
          <w:b w:val="0"/>
          <w:bCs w:val="0"/>
          <w:u w:val="single"/>
          <w:rtl/>
        </w:rPr>
        <w:t>بنود داخل الميزانية</w:t>
      </w:r>
      <w:r w:rsidRPr="00FD4A08">
        <w:rPr>
          <w:b w:val="0"/>
          <w:bCs w:val="0"/>
          <w:rtl/>
        </w:rPr>
        <w:t xml:space="preserve"> </w:t>
      </w:r>
      <w:r w:rsidR="00130188" w:rsidRPr="00FD4A08">
        <w:rPr>
          <w:b w:val="0"/>
          <w:bCs w:val="0"/>
          <w:rtl/>
        </w:rPr>
        <w:t xml:space="preserve">: </w:t>
      </w:r>
      <w:r w:rsidRPr="00FD4A08">
        <w:rPr>
          <w:b w:val="0"/>
          <w:bCs w:val="0"/>
          <w:rtl/>
        </w:rPr>
        <w:t xml:space="preserve">والتي تمثل جميع البنود داخل الميزانية بعد طرح المخصصات والفوائد المعلقة، علماً بأنه غير مسموح </w:t>
      </w:r>
      <w:r w:rsidR="00130188" w:rsidRPr="00494AB1">
        <w:rPr>
          <w:b w:val="0"/>
          <w:bCs w:val="0"/>
          <w:u w:val="single"/>
          <w:rtl/>
        </w:rPr>
        <w:t>باستخدام</w:t>
      </w:r>
      <w:r w:rsidR="00130188" w:rsidRPr="00FD4A08">
        <w:rPr>
          <w:b w:val="0"/>
          <w:bCs w:val="0"/>
          <w:rtl/>
        </w:rPr>
        <w:t xml:space="preserve"> مخففات مخاطر الائتمان والتقاص ما بين الودائع والقروض عند احتساب البنود داخل الميزانية. </w:t>
      </w:r>
    </w:p>
    <w:p w:rsidR="00D11E2C" w:rsidRDefault="007B61FE" w:rsidP="008B011C">
      <w:pPr>
        <w:ind w:left="3827" w:hanging="1985"/>
        <w:rPr>
          <w:b w:val="0"/>
          <w:bCs w:val="0"/>
          <w:rtl/>
        </w:rPr>
      </w:pPr>
      <w:r w:rsidRPr="00FD4A08">
        <w:rPr>
          <w:b w:val="0"/>
          <w:bCs w:val="0"/>
          <w:u w:val="single"/>
          <w:rtl/>
        </w:rPr>
        <w:t xml:space="preserve">بنود </w:t>
      </w:r>
      <w:r w:rsidR="00ED4272" w:rsidRPr="00FD4A08">
        <w:rPr>
          <w:b w:val="0"/>
          <w:bCs w:val="0"/>
          <w:u w:val="single"/>
          <w:rtl/>
        </w:rPr>
        <w:t>خارج</w:t>
      </w:r>
      <w:r w:rsidRPr="00FD4A08">
        <w:rPr>
          <w:b w:val="0"/>
          <w:bCs w:val="0"/>
          <w:u w:val="single"/>
          <w:rtl/>
        </w:rPr>
        <w:t xml:space="preserve"> الميز</w:t>
      </w:r>
      <w:r w:rsidR="007A6892" w:rsidRPr="00FD4A08">
        <w:rPr>
          <w:b w:val="0"/>
          <w:bCs w:val="0"/>
          <w:u w:val="single"/>
          <w:rtl/>
        </w:rPr>
        <w:t>ا</w:t>
      </w:r>
      <w:r w:rsidR="00ED4272" w:rsidRPr="00FD4A08">
        <w:rPr>
          <w:b w:val="0"/>
          <w:bCs w:val="0"/>
          <w:u w:val="single"/>
          <w:rtl/>
        </w:rPr>
        <w:t>نية</w:t>
      </w:r>
      <w:r w:rsidR="00130188" w:rsidRPr="00FD4A08">
        <w:rPr>
          <w:b w:val="0"/>
          <w:bCs w:val="0"/>
          <w:rtl/>
        </w:rPr>
        <w:t>:</w:t>
      </w:r>
      <w:r w:rsidR="00ED4272" w:rsidRPr="00FD4A08">
        <w:rPr>
          <w:b w:val="0"/>
          <w:bCs w:val="0"/>
          <w:rtl/>
        </w:rPr>
        <w:t xml:space="preserve"> </w:t>
      </w:r>
      <w:r w:rsidR="00130188" w:rsidRPr="00FD4A08">
        <w:rPr>
          <w:b w:val="0"/>
          <w:bCs w:val="0"/>
          <w:rtl/>
        </w:rPr>
        <w:t xml:space="preserve">وكما هي موضحة </w:t>
      </w:r>
      <w:r w:rsidR="00D11E2C">
        <w:rPr>
          <w:rFonts w:hint="cs"/>
          <w:b w:val="0"/>
          <w:bCs w:val="0"/>
          <w:rtl/>
        </w:rPr>
        <w:t xml:space="preserve">في الملحق رقم (24) وحسب معاملات </w:t>
      </w:r>
      <w:r w:rsidR="00D11E2C" w:rsidRPr="00FD4A08">
        <w:rPr>
          <w:b w:val="0"/>
          <w:bCs w:val="0"/>
          <w:rtl/>
        </w:rPr>
        <w:t>التحويل الائتماني لكل بند من البنود خارج الميزانية</w:t>
      </w:r>
      <w:r w:rsidR="00D11E2C">
        <w:rPr>
          <w:rFonts w:hint="cs"/>
          <w:b w:val="0"/>
          <w:bCs w:val="0"/>
          <w:rtl/>
        </w:rPr>
        <w:t xml:space="preserve"> الموضحة في </w:t>
      </w:r>
      <w:r w:rsidR="008B011C">
        <w:rPr>
          <w:rFonts w:hint="cs"/>
          <w:b w:val="0"/>
          <w:bCs w:val="0"/>
          <w:rtl/>
        </w:rPr>
        <w:t>الملحق</w:t>
      </w:r>
      <w:r w:rsidR="00D11E2C">
        <w:rPr>
          <w:rFonts w:hint="cs"/>
          <w:b w:val="0"/>
          <w:bCs w:val="0"/>
          <w:rtl/>
        </w:rPr>
        <w:t xml:space="preserve">، علماً بأن </w:t>
      </w:r>
      <w:r w:rsidR="009C0603">
        <w:rPr>
          <w:rFonts w:hint="cs"/>
          <w:b w:val="0"/>
          <w:bCs w:val="0"/>
          <w:rtl/>
        </w:rPr>
        <w:t>تلك ال</w:t>
      </w:r>
      <w:r w:rsidR="00D11E2C">
        <w:rPr>
          <w:rFonts w:hint="cs"/>
          <w:b w:val="0"/>
          <w:bCs w:val="0"/>
          <w:rtl/>
        </w:rPr>
        <w:t>معاملات هي لغايات احتساب الرافعة المالية</w:t>
      </w:r>
      <w:r w:rsidR="009C0603">
        <w:rPr>
          <w:rFonts w:hint="cs"/>
          <w:b w:val="0"/>
          <w:bCs w:val="0"/>
          <w:rtl/>
        </w:rPr>
        <w:t xml:space="preserve"> فقط</w:t>
      </w:r>
      <w:r w:rsidR="00D11E2C">
        <w:rPr>
          <w:rFonts w:hint="cs"/>
          <w:b w:val="0"/>
          <w:bCs w:val="0"/>
          <w:rtl/>
        </w:rPr>
        <w:t xml:space="preserve">. </w:t>
      </w:r>
    </w:p>
    <w:p w:rsidR="00E43F99" w:rsidRPr="00494AB1" w:rsidRDefault="005A2DDD" w:rsidP="00A91F2E">
      <w:pPr>
        <w:spacing w:after="0" w:line="276" w:lineRule="auto"/>
        <w:ind w:left="425" w:hanging="396"/>
        <w:rPr>
          <w:rtl/>
        </w:rPr>
      </w:pPr>
      <w:r>
        <w:rPr>
          <w:rtl/>
        </w:rPr>
        <w:t>3.</w:t>
      </w:r>
      <w:r>
        <w:t xml:space="preserve"> </w:t>
      </w:r>
      <w:r w:rsidR="00E43F99" w:rsidRPr="00494AB1">
        <w:rPr>
          <w:rtl/>
        </w:rPr>
        <w:t>فترة التطبيق</w:t>
      </w:r>
      <w:r>
        <w:t>:</w:t>
      </w:r>
    </w:p>
    <w:p w:rsidR="0086621F" w:rsidRPr="00A91F2E" w:rsidRDefault="005A2DDD" w:rsidP="00A91F2E">
      <w:pPr>
        <w:spacing w:after="0"/>
        <w:ind w:left="425"/>
        <w:rPr>
          <w:b w:val="0"/>
          <w:bCs w:val="0"/>
        </w:rPr>
      </w:pPr>
      <w:r w:rsidRPr="00A91F2E">
        <w:rPr>
          <w:b w:val="0"/>
          <w:bCs w:val="0"/>
          <w:rtl/>
        </w:rPr>
        <w:t xml:space="preserve">تبدأ البنوك بالاحتساب التجريبي ابتداءً من تاريخ تطبيق هذه التعليمات </w:t>
      </w:r>
      <w:r w:rsidRPr="00A91F2E">
        <w:rPr>
          <w:rFonts w:hint="cs"/>
          <w:b w:val="0"/>
          <w:bCs w:val="0"/>
          <w:rtl/>
        </w:rPr>
        <w:t>والإفصاح</w:t>
      </w:r>
      <w:r w:rsidRPr="00A91F2E">
        <w:rPr>
          <w:b w:val="0"/>
          <w:bCs w:val="0"/>
          <w:rtl/>
        </w:rPr>
        <w:t xml:space="preserve"> عنها ضمن كشوفات رأس المال التنظيمي، وبناءً على دراسة الأثر التي ستقوم بها لجنة بازل في ضوء نتائج التطبيق التجريبي فإن البنك المركزي سيقوم </w:t>
      </w:r>
      <w:r w:rsidRPr="00A91F2E">
        <w:rPr>
          <w:rFonts w:hint="cs"/>
          <w:b w:val="0"/>
          <w:bCs w:val="0"/>
          <w:rtl/>
        </w:rPr>
        <w:t>بإدخال</w:t>
      </w:r>
      <w:r w:rsidRPr="00A91F2E">
        <w:rPr>
          <w:b w:val="0"/>
          <w:bCs w:val="0"/>
          <w:rtl/>
        </w:rPr>
        <w:t xml:space="preserve"> أية تعديلات بالخصوص.</w:t>
      </w:r>
    </w:p>
    <w:p w:rsidR="00646CA2" w:rsidRDefault="00646CA2" w:rsidP="006A7565">
      <w:pPr>
        <w:keepNext/>
        <w:jc w:val="center"/>
        <w:rPr>
          <w:rtl/>
        </w:rPr>
      </w:pPr>
    </w:p>
    <w:p w:rsidR="005A2DDD" w:rsidRPr="00716CC0" w:rsidRDefault="006A7565" w:rsidP="006A7565">
      <w:pPr>
        <w:keepNext/>
        <w:jc w:val="center"/>
        <w:rPr>
          <w:sz w:val="28"/>
          <w:szCs w:val="28"/>
          <w:rtl/>
          <w:lang w:bidi="ar-JO"/>
        </w:rPr>
      </w:pPr>
      <w:bookmarkStart w:id="2232" w:name="_Toc465255827"/>
      <w:r>
        <w:rPr>
          <w:rtl/>
        </w:rPr>
        <w:t xml:space="preserve">ملحق ( </w:t>
      </w:r>
      <w:fldSimple w:instr=" SEQ ملحق_( \* ARABIC ">
        <w:r w:rsidR="00BC120A">
          <w:rPr>
            <w:noProof/>
          </w:rPr>
          <w:t>1</w:t>
        </w:r>
      </w:fldSimple>
      <w:r>
        <w:rPr>
          <w:rFonts w:hint="cs"/>
          <w:rtl/>
        </w:rPr>
        <w:t xml:space="preserve"> )</w:t>
      </w:r>
      <w:r>
        <w:rPr>
          <w:rFonts w:hint="cs"/>
          <w:sz w:val="28"/>
          <w:szCs w:val="28"/>
          <w:rtl/>
        </w:rPr>
        <w:t xml:space="preserve"> : </w:t>
      </w:r>
      <w:r w:rsidR="005A2DDD" w:rsidRPr="00716CC0">
        <w:rPr>
          <w:rFonts w:hint="cs"/>
          <w:sz w:val="28"/>
          <w:szCs w:val="28"/>
          <w:rtl/>
          <w:lang w:bidi="ar-JO"/>
        </w:rPr>
        <w:t>الاستثمارات في البنوك ومؤسسات الأوراق المالية والمؤسسات المالية الأخرى</w:t>
      </w:r>
      <w:r w:rsidR="005A2DDD" w:rsidRPr="00716CC0">
        <w:rPr>
          <w:sz w:val="28"/>
          <w:szCs w:val="28"/>
          <w:rtl/>
          <w:lang w:bidi="ar-JO"/>
        </w:rPr>
        <w:br/>
      </w:r>
      <w:r w:rsidR="005A2DDD" w:rsidRPr="00716CC0">
        <w:rPr>
          <w:rFonts w:hint="cs"/>
          <w:sz w:val="28"/>
          <w:szCs w:val="28"/>
          <w:rtl/>
          <w:lang w:bidi="ar-JO"/>
        </w:rPr>
        <w:t>غير الموحدة حساباتها</w:t>
      </w:r>
      <w:bookmarkEnd w:id="2232"/>
    </w:p>
    <w:p w:rsidR="005A2DDD" w:rsidRDefault="005A2DDD" w:rsidP="005A2DDD">
      <w:pPr>
        <w:rPr>
          <w:rtl/>
          <w:lang w:bidi="ar-JO"/>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1174"/>
        <w:gridCol w:w="1174"/>
        <w:gridCol w:w="1174"/>
        <w:gridCol w:w="1174"/>
        <w:gridCol w:w="1174"/>
      </w:tblGrid>
      <w:tr w:rsidR="004F2F02" w:rsidRPr="00205AAB" w:rsidTr="008C738C">
        <w:trPr>
          <w:jc w:val="center"/>
        </w:trPr>
        <w:tc>
          <w:tcPr>
            <w:tcW w:w="2136" w:type="dxa"/>
            <w:shd w:val="clear" w:color="auto" w:fill="F2F2F2"/>
          </w:tcPr>
          <w:p w:rsidR="004F2F02" w:rsidRPr="00205AAB" w:rsidRDefault="004F2F02" w:rsidP="005A2DDD">
            <w:pPr>
              <w:rPr>
                <w:sz w:val="24"/>
                <w:szCs w:val="24"/>
                <w:rtl/>
                <w:lang w:bidi="ar-JO"/>
              </w:rPr>
            </w:pPr>
            <w:r w:rsidRPr="00205AAB">
              <w:rPr>
                <w:rFonts w:hint="cs"/>
                <w:sz w:val="24"/>
                <w:szCs w:val="24"/>
                <w:rtl/>
                <w:lang w:bidi="ar-JO"/>
              </w:rPr>
              <w:t>السنة</w:t>
            </w:r>
          </w:p>
        </w:tc>
        <w:tc>
          <w:tcPr>
            <w:tcW w:w="1174" w:type="dxa"/>
            <w:shd w:val="clear" w:color="auto" w:fill="F2F2F2"/>
            <w:vAlign w:val="center"/>
          </w:tcPr>
          <w:p w:rsidR="004F2F02" w:rsidRPr="00205AAB" w:rsidRDefault="004F2F02" w:rsidP="008C738C">
            <w:pPr>
              <w:jc w:val="center"/>
              <w:rPr>
                <w:sz w:val="24"/>
                <w:szCs w:val="24"/>
                <w:rtl/>
                <w:lang w:bidi="ar-JO"/>
              </w:rPr>
            </w:pPr>
            <w:r w:rsidRPr="00205AAB">
              <w:rPr>
                <w:rFonts w:hint="cs"/>
                <w:sz w:val="24"/>
                <w:szCs w:val="24"/>
                <w:rtl/>
                <w:lang w:bidi="ar-JO"/>
              </w:rPr>
              <w:t>2016</w:t>
            </w:r>
          </w:p>
        </w:tc>
        <w:tc>
          <w:tcPr>
            <w:tcW w:w="1174" w:type="dxa"/>
            <w:shd w:val="clear" w:color="auto" w:fill="F2F2F2"/>
            <w:vAlign w:val="center"/>
          </w:tcPr>
          <w:p w:rsidR="004F2F02" w:rsidRPr="00205AAB" w:rsidRDefault="004F2F02" w:rsidP="008C738C">
            <w:pPr>
              <w:jc w:val="center"/>
              <w:rPr>
                <w:sz w:val="24"/>
                <w:szCs w:val="24"/>
                <w:rtl/>
                <w:lang w:bidi="ar-JO"/>
              </w:rPr>
            </w:pPr>
            <w:r w:rsidRPr="00205AAB">
              <w:rPr>
                <w:rFonts w:hint="cs"/>
                <w:sz w:val="24"/>
                <w:szCs w:val="24"/>
                <w:rtl/>
                <w:lang w:bidi="ar-JO"/>
              </w:rPr>
              <w:t>2017</w:t>
            </w:r>
          </w:p>
        </w:tc>
        <w:tc>
          <w:tcPr>
            <w:tcW w:w="1174" w:type="dxa"/>
            <w:shd w:val="clear" w:color="auto" w:fill="F2F2F2"/>
            <w:vAlign w:val="center"/>
          </w:tcPr>
          <w:p w:rsidR="004F2F02" w:rsidRPr="00205AAB" w:rsidRDefault="004F2F02" w:rsidP="008C738C">
            <w:pPr>
              <w:jc w:val="center"/>
              <w:rPr>
                <w:sz w:val="24"/>
                <w:szCs w:val="24"/>
                <w:rtl/>
                <w:lang w:bidi="ar-JO"/>
              </w:rPr>
            </w:pPr>
            <w:r w:rsidRPr="00205AAB">
              <w:rPr>
                <w:rFonts w:hint="cs"/>
                <w:sz w:val="24"/>
                <w:szCs w:val="24"/>
                <w:rtl/>
                <w:lang w:bidi="ar-JO"/>
              </w:rPr>
              <w:t>2018</w:t>
            </w:r>
          </w:p>
        </w:tc>
        <w:tc>
          <w:tcPr>
            <w:tcW w:w="1174" w:type="dxa"/>
            <w:shd w:val="clear" w:color="auto" w:fill="F2F2F2"/>
            <w:vAlign w:val="center"/>
          </w:tcPr>
          <w:p w:rsidR="004F2F02" w:rsidRPr="00205AAB" w:rsidRDefault="004F2F02" w:rsidP="008C738C">
            <w:pPr>
              <w:jc w:val="center"/>
              <w:rPr>
                <w:sz w:val="24"/>
                <w:szCs w:val="24"/>
                <w:rtl/>
                <w:lang w:bidi="ar-JO"/>
              </w:rPr>
            </w:pPr>
            <w:r w:rsidRPr="00205AAB">
              <w:rPr>
                <w:rFonts w:hint="cs"/>
                <w:sz w:val="24"/>
                <w:szCs w:val="24"/>
                <w:rtl/>
                <w:lang w:bidi="ar-JO"/>
              </w:rPr>
              <w:t>2019</w:t>
            </w:r>
          </w:p>
        </w:tc>
        <w:tc>
          <w:tcPr>
            <w:tcW w:w="1174" w:type="dxa"/>
            <w:shd w:val="clear" w:color="auto" w:fill="F2F2F2"/>
            <w:vAlign w:val="center"/>
          </w:tcPr>
          <w:p w:rsidR="004F2F02" w:rsidRPr="00205AAB" w:rsidRDefault="004F2F02" w:rsidP="008C738C">
            <w:pPr>
              <w:jc w:val="center"/>
              <w:rPr>
                <w:sz w:val="24"/>
                <w:szCs w:val="24"/>
                <w:rtl/>
                <w:lang w:bidi="ar-JO"/>
              </w:rPr>
            </w:pPr>
            <w:r w:rsidRPr="00205AAB">
              <w:rPr>
                <w:rFonts w:hint="cs"/>
                <w:sz w:val="24"/>
                <w:szCs w:val="24"/>
                <w:rtl/>
                <w:lang w:bidi="ar-JO"/>
              </w:rPr>
              <w:t>2020</w:t>
            </w:r>
          </w:p>
        </w:tc>
      </w:tr>
      <w:tr w:rsidR="004F2F02" w:rsidRPr="00205AAB" w:rsidTr="008C738C">
        <w:trPr>
          <w:jc w:val="center"/>
        </w:trPr>
        <w:tc>
          <w:tcPr>
            <w:tcW w:w="2136" w:type="dxa"/>
            <w:shd w:val="clear" w:color="auto" w:fill="F2F2F2"/>
          </w:tcPr>
          <w:p w:rsidR="004F2F02" w:rsidRPr="00205AAB" w:rsidRDefault="004F2F02" w:rsidP="005A2DDD">
            <w:pPr>
              <w:rPr>
                <w:sz w:val="24"/>
                <w:szCs w:val="24"/>
                <w:rtl/>
                <w:lang w:bidi="ar-JO"/>
              </w:rPr>
            </w:pPr>
            <w:r w:rsidRPr="00205AAB">
              <w:rPr>
                <w:rFonts w:hint="cs"/>
                <w:sz w:val="24"/>
                <w:szCs w:val="24"/>
                <w:rtl/>
                <w:lang w:bidi="ar-JO"/>
              </w:rPr>
              <w:t>نسبة التخفيض</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20%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40%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60%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80%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100%</w:t>
            </w:r>
          </w:p>
        </w:tc>
      </w:tr>
      <w:tr w:rsidR="004F2F02" w:rsidRPr="00205AAB" w:rsidTr="008C738C">
        <w:trPr>
          <w:jc w:val="center"/>
        </w:trPr>
        <w:tc>
          <w:tcPr>
            <w:tcW w:w="2136" w:type="dxa"/>
            <w:shd w:val="clear" w:color="auto" w:fill="F2F2F2"/>
          </w:tcPr>
          <w:p w:rsidR="004F2F02" w:rsidRPr="00205AAB" w:rsidRDefault="004F2F02" w:rsidP="005A2DDD">
            <w:pPr>
              <w:rPr>
                <w:sz w:val="24"/>
                <w:szCs w:val="24"/>
                <w:rtl/>
                <w:lang w:bidi="ar-JO"/>
              </w:rPr>
            </w:pPr>
            <w:r w:rsidRPr="00205AAB">
              <w:rPr>
                <w:rFonts w:hint="cs"/>
                <w:sz w:val="24"/>
                <w:szCs w:val="24"/>
                <w:rtl/>
                <w:lang w:bidi="ar-JO"/>
              </w:rPr>
              <w:t xml:space="preserve">الشريحة الأولى </w:t>
            </w:r>
            <w:r w:rsidRPr="00205AAB">
              <w:rPr>
                <w:sz w:val="24"/>
                <w:szCs w:val="24"/>
                <w:lang w:bidi="ar-JO"/>
              </w:rPr>
              <w:t>T1</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60%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70%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80%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90%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100%</w:t>
            </w:r>
          </w:p>
        </w:tc>
      </w:tr>
      <w:tr w:rsidR="004F2F02" w:rsidRPr="00205AAB" w:rsidTr="008C738C">
        <w:trPr>
          <w:jc w:val="center"/>
        </w:trPr>
        <w:tc>
          <w:tcPr>
            <w:tcW w:w="2136" w:type="dxa"/>
            <w:shd w:val="clear" w:color="auto" w:fill="F2F2F2"/>
          </w:tcPr>
          <w:p w:rsidR="004F2F02" w:rsidRPr="00205AAB" w:rsidRDefault="004F2F02" w:rsidP="005A2DDD">
            <w:pPr>
              <w:rPr>
                <w:sz w:val="24"/>
                <w:szCs w:val="24"/>
                <w:rtl/>
                <w:lang w:bidi="ar-JO"/>
              </w:rPr>
            </w:pPr>
            <w:r w:rsidRPr="00205AAB">
              <w:rPr>
                <w:rFonts w:hint="cs"/>
                <w:sz w:val="24"/>
                <w:szCs w:val="24"/>
                <w:rtl/>
                <w:lang w:bidi="ar-JO"/>
              </w:rPr>
              <w:t xml:space="preserve">الشريحة الثانية </w:t>
            </w:r>
            <w:r w:rsidRPr="00205AAB">
              <w:rPr>
                <w:sz w:val="24"/>
                <w:szCs w:val="24"/>
                <w:lang w:bidi="ar-JO"/>
              </w:rPr>
              <w:t>T2</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40%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30%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20%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10%</w:t>
            </w:r>
          </w:p>
        </w:tc>
        <w:tc>
          <w:tcPr>
            <w:tcW w:w="1174" w:type="dxa"/>
            <w:vAlign w:val="center"/>
          </w:tcPr>
          <w:p w:rsidR="004F2F02" w:rsidRPr="00205AAB" w:rsidRDefault="004F2F02" w:rsidP="008C738C">
            <w:pPr>
              <w:jc w:val="center"/>
              <w:rPr>
                <w:b w:val="0"/>
                <w:bCs w:val="0"/>
                <w:sz w:val="24"/>
                <w:szCs w:val="24"/>
                <w:rtl/>
                <w:lang w:bidi="ar-JO"/>
              </w:rPr>
            </w:pPr>
            <w:r w:rsidRPr="00205AAB">
              <w:rPr>
                <w:rFonts w:hint="cs"/>
                <w:b w:val="0"/>
                <w:bCs w:val="0"/>
                <w:sz w:val="24"/>
                <w:szCs w:val="24"/>
                <w:rtl/>
                <w:lang w:bidi="ar-JO"/>
              </w:rPr>
              <w:t>0</w:t>
            </w:r>
          </w:p>
        </w:tc>
      </w:tr>
    </w:tbl>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646CA2" w:rsidRDefault="00646CA2" w:rsidP="005A2DDD">
      <w:pPr>
        <w:rPr>
          <w:rtl/>
          <w:lang w:bidi="ar-JO"/>
        </w:rPr>
      </w:pPr>
    </w:p>
    <w:p w:rsidR="00646CA2" w:rsidRDefault="00646CA2" w:rsidP="005A2DDD">
      <w:pPr>
        <w:rPr>
          <w:rtl/>
          <w:lang w:bidi="ar-JO"/>
        </w:rPr>
      </w:pPr>
    </w:p>
    <w:p w:rsidR="00646CA2" w:rsidRDefault="00646CA2" w:rsidP="005A2DDD">
      <w:pPr>
        <w:rPr>
          <w:rtl/>
          <w:lang w:bidi="ar-JO"/>
        </w:rPr>
      </w:pPr>
    </w:p>
    <w:p w:rsidR="005A2DDD" w:rsidRDefault="005A2DDD" w:rsidP="005A2DDD">
      <w:pPr>
        <w:rPr>
          <w:rtl/>
          <w:lang w:bidi="ar-JO"/>
        </w:rPr>
      </w:pPr>
    </w:p>
    <w:p w:rsidR="005A2DDD" w:rsidRPr="006A7565" w:rsidRDefault="006A7565" w:rsidP="006A7565">
      <w:pPr>
        <w:keepNext/>
        <w:jc w:val="center"/>
        <w:rPr>
          <w:rtl/>
        </w:rPr>
      </w:pPr>
      <w:bookmarkStart w:id="2233" w:name="_Toc465255828"/>
      <w:r w:rsidRPr="006A7565">
        <w:rPr>
          <w:sz w:val="28"/>
          <w:szCs w:val="28"/>
          <w:rtl/>
          <w:lang w:bidi="ar-JO"/>
        </w:rPr>
        <w:lastRenderedPageBreak/>
        <w:t>ملحق</w:t>
      </w:r>
      <w:r>
        <w:rPr>
          <w:rtl/>
        </w:rPr>
        <w:t xml:space="preserve"> ( </w:t>
      </w:r>
      <w:fldSimple w:instr=" SEQ ملحق_( \* ARABIC ">
        <w:r w:rsidR="00BC120A">
          <w:rPr>
            <w:noProof/>
          </w:rPr>
          <w:t>2</w:t>
        </w:r>
      </w:fldSimple>
      <w:r>
        <w:rPr>
          <w:rFonts w:hint="cs"/>
          <w:rtl/>
        </w:rPr>
        <w:t xml:space="preserve"> ):</w:t>
      </w:r>
      <w:r>
        <w:rPr>
          <w:rFonts w:hint="cs"/>
          <w:rtl/>
          <w:lang w:bidi="ar-JO"/>
        </w:rPr>
        <w:t xml:space="preserve"> </w:t>
      </w:r>
      <w:r w:rsidR="005A2DDD" w:rsidRPr="00BA1467">
        <w:rPr>
          <w:rFonts w:hint="cs"/>
          <w:sz w:val="28"/>
          <w:szCs w:val="28"/>
          <w:rtl/>
          <w:lang w:bidi="ar-JO"/>
        </w:rPr>
        <w:t>مثال توضيحي لاحتساب حقوق الأقلية</w:t>
      </w:r>
      <w:bookmarkEnd w:id="2233"/>
    </w:p>
    <w:p w:rsidR="005A2DDD" w:rsidRPr="00BA1467" w:rsidRDefault="005A2DDD" w:rsidP="005A2DDD">
      <w:pPr>
        <w:rPr>
          <w:b w:val="0"/>
          <w:bCs w:val="0"/>
          <w:rtl/>
          <w:lang w:bidi="ar-JO"/>
        </w:rPr>
      </w:pPr>
      <w:r w:rsidRPr="00BA1467">
        <w:rPr>
          <w:rFonts w:hint="cs"/>
          <w:b w:val="0"/>
          <w:bCs w:val="0"/>
          <w:rtl/>
          <w:lang w:bidi="ar-JO"/>
        </w:rPr>
        <w:t xml:space="preserve">تم الافتراض أن هنالك مجموعة بنكية تتكون من بنكين [البنك (أ) هو البنك الأم والبنك (ب) هو البنك التابع]، وأن ميزانياتهما غير الموحدة تظهر كالتالي: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439"/>
        <w:gridCol w:w="1068"/>
        <w:gridCol w:w="2894"/>
      </w:tblGrid>
      <w:tr w:rsidR="005A2DDD" w:rsidRPr="00716CC0" w:rsidTr="00716CC0">
        <w:trPr>
          <w:jc w:val="center"/>
        </w:trPr>
        <w:tc>
          <w:tcPr>
            <w:tcW w:w="5000" w:type="pct"/>
            <w:gridSpan w:val="4"/>
            <w:tcBorders>
              <w:right w:val="single" w:sz="4" w:space="0" w:color="auto"/>
            </w:tcBorders>
            <w:shd w:val="clear" w:color="auto" w:fill="F2F2F2" w:themeFill="background1" w:themeFillShade="F2"/>
          </w:tcPr>
          <w:p w:rsidR="005A2DDD" w:rsidRPr="00716CC0" w:rsidRDefault="005A2DDD" w:rsidP="00716CC0">
            <w:pPr>
              <w:jc w:val="center"/>
              <w:rPr>
                <w:rtl/>
                <w:lang w:bidi="ar-JO"/>
              </w:rPr>
            </w:pPr>
            <w:r w:rsidRPr="00716CC0">
              <w:rPr>
                <w:rFonts w:hint="cs"/>
                <w:rtl/>
                <w:lang w:bidi="ar-JO"/>
              </w:rPr>
              <w:t>بنك (أ)</w:t>
            </w:r>
          </w:p>
        </w:tc>
      </w:tr>
      <w:tr w:rsidR="005A2DDD" w:rsidRPr="00716CC0" w:rsidTr="00716CC0">
        <w:trPr>
          <w:jc w:val="center"/>
        </w:trPr>
        <w:tc>
          <w:tcPr>
            <w:tcW w:w="2833" w:type="pct"/>
            <w:gridSpan w:val="2"/>
            <w:tcBorders>
              <w:bottom w:val="single" w:sz="4" w:space="0" w:color="auto"/>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موجودات</w:t>
            </w:r>
          </w:p>
        </w:tc>
        <w:tc>
          <w:tcPr>
            <w:tcW w:w="2167" w:type="pct"/>
            <w:gridSpan w:val="2"/>
            <w:tcBorders>
              <w:bottom w:val="single" w:sz="4" w:space="0" w:color="auto"/>
              <w:right w:val="single" w:sz="4" w:space="0" w:color="auto"/>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مطلوبات</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100</w:t>
            </w: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قروض للعملاء</w:t>
            </w:r>
          </w:p>
        </w:tc>
        <w:tc>
          <w:tcPr>
            <w:tcW w:w="584"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70</w:t>
            </w:r>
          </w:p>
        </w:tc>
        <w:tc>
          <w:tcPr>
            <w:tcW w:w="1582"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ودائع عملاء</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7</w:t>
            </w: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 xml:space="preserve">استثمارات على شكل حقوق حملة </w:t>
            </w:r>
            <w:r w:rsidR="00716CC0" w:rsidRPr="00716CC0">
              <w:rPr>
                <w:rFonts w:hint="cs"/>
                <w:sz w:val="24"/>
                <w:szCs w:val="24"/>
                <w:rtl/>
                <w:lang w:bidi="ar-JO"/>
              </w:rPr>
              <w:t>الأسهم</w:t>
            </w:r>
            <w:r w:rsidRPr="00716CC0">
              <w:rPr>
                <w:rFonts w:hint="cs"/>
                <w:sz w:val="24"/>
                <w:szCs w:val="24"/>
                <w:rtl/>
                <w:lang w:bidi="ar-JO"/>
              </w:rPr>
              <w:t xml:space="preserve"> العادية في بنك (ب)</w:t>
            </w:r>
          </w:p>
        </w:tc>
        <w:tc>
          <w:tcPr>
            <w:tcW w:w="2167" w:type="pct"/>
            <w:gridSpan w:val="2"/>
            <w:tcBorders>
              <w:top w:val="single" w:sz="4" w:space="0" w:color="auto"/>
              <w:left w:val="single" w:sz="4" w:space="0" w:color="auto"/>
              <w:bottom w:val="nil"/>
              <w:right w:val="single" w:sz="4" w:space="0" w:color="auto"/>
            </w:tcBorders>
            <w:shd w:val="clear" w:color="auto" w:fill="auto"/>
            <w:vAlign w:val="center"/>
          </w:tcPr>
          <w:p w:rsidR="005A2DDD" w:rsidRPr="00716CC0" w:rsidRDefault="005A2DDD" w:rsidP="005A2DDD">
            <w:pPr>
              <w:rPr>
                <w:sz w:val="24"/>
                <w:szCs w:val="24"/>
                <w:u w:val="single"/>
                <w:rtl/>
                <w:lang w:bidi="ar-JO"/>
              </w:rPr>
            </w:pPr>
            <w:r w:rsidRPr="00716CC0">
              <w:rPr>
                <w:rFonts w:hint="cs"/>
                <w:sz w:val="24"/>
                <w:szCs w:val="24"/>
                <w:u w:val="single"/>
                <w:rtl/>
                <w:lang w:bidi="ar-JO"/>
              </w:rPr>
              <w:t>حقوق الملكية</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4</w:t>
            </w: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استثمارات على شكل رأسمال إضافي</w:t>
            </w:r>
            <w:r w:rsidR="00290249">
              <w:rPr>
                <w:rFonts w:hint="cs"/>
                <w:sz w:val="24"/>
                <w:szCs w:val="24"/>
                <w:rtl/>
                <w:lang w:bidi="ar-JO"/>
              </w:rPr>
              <w:t xml:space="preserve"> في بنك (ب)</w:t>
            </w:r>
          </w:p>
        </w:tc>
        <w:tc>
          <w:tcPr>
            <w:tcW w:w="584" w:type="pct"/>
            <w:tcBorders>
              <w:top w:val="nil"/>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26</w:t>
            </w:r>
          </w:p>
        </w:tc>
        <w:tc>
          <w:tcPr>
            <w:tcW w:w="1582" w:type="pct"/>
            <w:tcBorders>
              <w:top w:val="nil"/>
              <w:left w:val="nil"/>
              <w:bottom w:val="single" w:sz="4" w:space="0" w:color="auto"/>
              <w:right w:val="single" w:sz="4" w:space="0" w:color="auto"/>
            </w:tcBorders>
            <w:shd w:val="clear" w:color="auto" w:fill="auto"/>
          </w:tcPr>
          <w:p w:rsidR="005A2DDD" w:rsidRPr="00716CC0" w:rsidRDefault="005A2DDD" w:rsidP="005A2DDD">
            <w:pPr>
              <w:rPr>
                <w:sz w:val="24"/>
                <w:szCs w:val="24"/>
                <w:lang w:bidi="ar-JO"/>
              </w:rPr>
            </w:pPr>
            <w:r w:rsidRPr="00716CC0">
              <w:rPr>
                <w:sz w:val="24"/>
                <w:szCs w:val="24"/>
                <w:lang w:bidi="ar-JO"/>
              </w:rPr>
              <w:t>CET1</w:t>
            </w:r>
          </w:p>
        </w:tc>
      </w:tr>
      <w:tr w:rsidR="005A2DDD" w:rsidRPr="00716CC0" w:rsidTr="00716CC0">
        <w:trPr>
          <w:jc w:val="center"/>
        </w:trPr>
        <w:tc>
          <w:tcPr>
            <w:tcW w:w="407" w:type="pct"/>
            <w:tcBorders>
              <w:top w:val="single" w:sz="4" w:space="0" w:color="auto"/>
              <w:left w:val="single" w:sz="4" w:space="0" w:color="auto"/>
              <w:bottom w:val="nil"/>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2</w:t>
            </w:r>
          </w:p>
        </w:tc>
        <w:tc>
          <w:tcPr>
            <w:tcW w:w="2427" w:type="pct"/>
            <w:tcBorders>
              <w:top w:val="single" w:sz="4" w:space="0" w:color="auto"/>
              <w:left w:val="nil"/>
              <w:bottom w:val="nil"/>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 xml:space="preserve">استثمارات على شكل </w:t>
            </w:r>
            <w:r w:rsidRPr="00716CC0">
              <w:rPr>
                <w:sz w:val="24"/>
                <w:szCs w:val="24"/>
                <w:lang w:bidi="ar-JO"/>
              </w:rPr>
              <w:t>T2</w:t>
            </w:r>
            <w:r w:rsidR="00290249">
              <w:rPr>
                <w:rFonts w:hint="cs"/>
                <w:sz w:val="24"/>
                <w:szCs w:val="24"/>
                <w:rtl/>
                <w:lang w:bidi="ar-JO"/>
              </w:rPr>
              <w:t xml:space="preserve"> في بنك (ب)</w:t>
            </w:r>
          </w:p>
        </w:tc>
        <w:tc>
          <w:tcPr>
            <w:tcW w:w="584"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7</w:t>
            </w:r>
          </w:p>
        </w:tc>
        <w:tc>
          <w:tcPr>
            <w:tcW w:w="1582"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lang w:bidi="ar-JO"/>
              </w:rPr>
            </w:pPr>
            <w:r w:rsidRPr="00716CC0">
              <w:rPr>
                <w:sz w:val="24"/>
                <w:szCs w:val="24"/>
                <w:lang w:bidi="ar-JO"/>
              </w:rPr>
              <w:t>AT1</w:t>
            </w:r>
          </w:p>
        </w:tc>
      </w:tr>
      <w:tr w:rsidR="005A2DDD" w:rsidRPr="00716CC0" w:rsidTr="00716CC0">
        <w:trPr>
          <w:jc w:val="center"/>
        </w:trPr>
        <w:tc>
          <w:tcPr>
            <w:tcW w:w="407" w:type="pct"/>
            <w:tcBorders>
              <w:top w:val="nil"/>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p>
        </w:tc>
        <w:tc>
          <w:tcPr>
            <w:tcW w:w="2427" w:type="pct"/>
            <w:tcBorders>
              <w:top w:val="nil"/>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10</w:t>
            </w:r>
          </w:p>
        </w:tc>
        <w:tc>
          <w:tcPr>
            <w:tcW w:w="1582"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lang w:bidi="ar-JO"/>
              </w:rPr>
            </w:pPr>
            <w:r w:rsidRPr="00716CC0">
              <w:rPr>
                <w:sz w:val="24"/>
                <w:szCs w:val="24"/>
                <w:lang w:bidi="ar-JO"/>
              </w:rPr>
              <w:t>T2</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113</w:t>
            </w:r>
          </w:p>
        </w:tc>
        <w:tc>
          <w:tcPr>
            <w:tcW w:w="2427" w:type="pct"/>
            <w:tcBorders>
              <w:top w:val="single" w:sz="4" w:space="0" w:color="auto"/>
              <w:left w:val="nil"/>
              <w:bottom w:val="single" w:sz="4" w:space="0" w:color="auto"/>
              <w:right w:val="single" w:sz="4" w:space="0" w:color="auto"/>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المجموع</w:t>
            </w:r>
          </w:p>
        </w:tc>
        <w:tc>
          <w:tcPr>
            <w:tcW w:w="584" w:type="pct"/>
            <w:tcBorders>
              <w:top w:val="single" w:sz="4" w:space="0" w:color="auto"/>
              <w:left w:val="single" w:sz="4" w:space="0" w:color="auto"/>
              <w:bottom w:val="single" w:sz="4" w:space="0" w:color="auto"/>
              <w:right w:val="nil"/>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113</w:t>
            </w:r>
          </w:p>
        </w:tc>
        <w:tc>
          <w:tcPr>
            <w:tcW w:w="1582" w:type="pct"/>
            <w:tcBorders>
              <w:top w:val="single" w:sz="4" w:space="0" w:color="auto"/>
              <w:left w:val="nil"/>
              <w:bottom w:val="single" w:sz="4" w:space="0" w:color="auto"/>
              <w:right w:val="single" w:sz="4" w:space="0" w:color="auto"/>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المجموع</w:t>
            </w:r>
          </w:p>
        </w:tc>
      </w:tr>
    </w:tbl>
    <w:p w:rsidR="005A2DDD" w:rsidRDefault="005A2DDD" w:rsidP="005A2DDD">
      <w:pPr>
        <w:rPr>
          <w:rtl/>
          <w:lang w:bidi="ar-JO"/>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439"/>
        <w:gridCol w:w="1068"/>
        <w:gridCol w:w="2894"/>
      </w:tblGrid>
      <w:tr w:rsidR="005A2DDD" w:rsidRPr="00716CC0" w:rsidTr="00716CC0">
        <w:trPr>
          <w:jc w:val="center"/>
        </w:trPr>
        <w:tc>
          <w:tcPr>
            <w:tcW w:w="5000" w:type="pct"/>
            <w:gridSpan w:val="4"/>
            <w:tcBorders>
              <w:right w:val="single" w:sz="4" w:space="0" w:color="auto"/>
            </w:tcBorders>
            <w:shd w:val="clear" w:color="auto" w:fill="F2F2F2" w:themeFill="background1" w:themeFillShade="F2"/>
          </w:tcPr>
          <w:p w:rsidR="005A2DDD" w:rsidRPr="00716CC0" w:rsidRDefault="005A2DDD" w:rsidP="00716CC0">
            <w:pPr>
              <w:jc w:val="center"/>
              <w:rPr>
                <w:rtl/>
                <w:lang w:bidi="ar-JO"/>
              </w:rPr>
            </w:pPr>
            <w:r w:rsidRPr="00716CC0">
              <w:rPr>
                <w:rFonts w:hint="cs"/>
                <w:rtl/>
                <w:lang w:bidi="ar-JO"/>
              </w:rPr>
              <w:t>بنك (ب)</w:t>
            </w:r>
          </w:p>
        </w:tc>
      </w:tr>
      <w:tr w:rsidR="005A2DDD" w:rsidRPr="00716CC0" w:rsidTr="00716CC0">
        <w:trPr>
          <w:jc w:val="center"/>
        </w:trPr>
        <w:tc>
          <w:tcPr>
            <w:tcW w:w="2833" w:type="pct"/>
            <w:gridSpan w:val="2"/>
            <w:tcBorders>
              <w:bottom w:val="single" w:sz="4" w:space="0" w:color="auto"/>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موجودات</w:t>
            </w:r>
          </w:p>
        </w:tc>
        <w:tc>
          <w:tcPr>
            <w:tcW w:w="2167" w:type="pct"/>
            <w:gridSpan w:val="2"/>
            <w:tcBorders>
              <w:bottom w:val="single" w:sz="4" w:space="0" w:color="auto"/>
              <w:right w:val="single" w:sz="4" w:space="0" w:color="auto"/>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مطلوبات</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150</w:t>
            </w: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قروض</w:t>
            </w:r>
          </w:p>
        </w:tc>
        <w:tc>
          <w:tcPr>
            <w:tcW w:w="584"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127</w:t>
            </w:r>
          </w:p>
        </w:tc>
        <w:tc>
          <w:tcPr>
            <w:tcW w:w="1582"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ودائع</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p>
        </w:tc>
        <w:tc>
          <w:tcPr>
            <w:tcW w:w="2167" w:type="pct"/>
            <w:gridSpan w:val="2"/>
            <w:tcBorders>
              <w:top w:val="single" w:sz="4" w:space="0" w:color="auto"/>
              <w:left w:val="single" w:sz="4" w:space="0" w:color="auto"/>
              <w:bottom w:val="nil"/>
              <w:right w:val="single" w:sz="4" w:space="0" w:color="auto"/>
            </w:tcBorders>
            <w:shd w:val="clear" w:color="auto" w:fill="auto"/>
            <w:vAlign w:val="center"/>
          </w:tcPr>
          <w:p w:rsidR="005A2DDD" w:rsidRPr="00716CC0" w:rsidRDefault="005A2DDD" w:rsidP="005A2DDD">
            <w:pPr>
              <w:rPr>
                <w:sz w:val="24"/>
                <w:szCs w:val="24"/>
                <w:u w:val="single"/>
                <w:rtl/>
                <w:lang w:bidi="ar-JO"/>
              </w:rPr>
            </w:pPr>
            <w:r w:rsidRPr="00716CC0">
              <w:rPr>
                <w:rFonts w:hint="cs"/>
                <w:sz w:val="24"/>
                <w:szCs w:val="24"/>
                <w:u w:val="single"/>
                <w:rtl/>
                <w:lang w:bidi="ar-JO"/>
              </w:rPr>
              <w:t>حقوق الملكية</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p>
        </w:tc>
        <w:tc>
          <w:tcPr>
            <w:tcW w:w="584" w:type="pct"/>
            <w:tcBorders>
              <w:top w:val="nil"/>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10</w:t>
            </w:r>
          </w:p>
        </w:tc>
        <w:tc>
          <w:tcPr>
            <w:tcW w:w="1582" w:type="pct"/>
            <w:tcBorders>
              <w:top w:val="nil"/>
              <w:left w:val="nil"/>
              <w:bottom w:val="single" w:sz="4" w:space="0" w:color="auto"/>
              <w:right w:val="single" w:sz="4" w:space="0" w:color="auto"/>
            </w:tcBorders>
            <w:shd w:val="clear" w:color="auto" w:fill="auto"/>
          </w:tcPr>
          <w:p w:rsidR="005A2DDD" w:rsidRPr="00716CC0" w:rsidRDefault="005A2DDD" w:rsidP="005A2DDD">
            <w:pPr>
              <w:rPr>
                <w:sz w:val="24"/>
                <w:szCs w:val="24"/>
                <w:lang w:bidi="ar-JO"/>
              </w:rPr>
            </w:pPr>
            <w:r w:rsidRPr="00716CC0">
              <w:rPr>
                <w:sz w:val="24"/>
                <w:szCs w:val="24"/>
                <w:lang w:bidi="ar-JO"/>
              </w:rPr>
              <w:t>CET1</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5</w:t>
            </w:r>
          </w:p>
        </w:tc>
        <w:tc>
          <w:tcPr>
            <w:tcW w:w="1582"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lang w:bidi="ar-JO"/>
              </w:rPr>
            </w:pPr>
            <w:r w:rsidRPr="00716CC0">
              <w:rPr>
                <w:sz w:val="24"/>
                <w:szCs w:val="24"/>
                <w:lang w:bidi="ar-JO"/>
              </w:rPr>
              <w:t>AT1</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716CC0" w:rsidRDefault="005A2DDD" w:rsidP="005A2DDD">
            <w:pPr>
              <w:rPr>
                <w:sz w:val="24"/>
                <w:szCs w:val="24"/>
                <w:rtl/>
                <w:lang w:bidi="ar-JO"/>
              </w:rPr>
            </w:pPr>
            <w:r w:rsidRPr="00716CC0">
              <w:rPr>
                <w:rFonts w:hint="cs"/>
                <w:sz w:val="24"/>
                <w:szCs w:val="24"/>
                <w:rtl/>
                <w:lang w:bidi="ar-JO"/>
              </w:rPr>
              <w:t>8</w:t>
            </w:r>
          </w:p>
        </w:tc>
        <w:tc>
          <w:tcPr>
            <w:tcW w:w="1582" w:type="pct"/>
            <w:tcBorders>
              <w:top w:val="single" w:sz="4" w:space="0" w:color="auto"/>
              <w:left w:val="nil"/>
              <w:bottom w:val="single" w:sz="4" w:space="0" w:color="auto"/>
              <w:right w:val="single" w:sz="4" w:space="0" w:color="auto"/>
            </w:tcBorders>
            <w:shd w:val="clear" w:color="auto" w:fill="auto"/>
          </w:tcPr>
          <w:p w:rsidR="005A2DDD" w:rsidRPr="00716CC0" w:rsidRDefault="005A2DDD" w:rsidP="005A2DDD">
            <w:pPr>
              <w:rPr>
                <w:sz w:val="24"/>
                <w:szCs w:val="24"/>
                <w:lang w:bidi="ar-JO"/>
              </w:rPr>
            </w:pPr>
            <w:r w:rsidRPr="00716CC0">
              <w:rPr>
                <w:sz w:val="24"/>
                <w:szCs w:val="24"/>
                <w:lang w:bidi="ar-JO"/>
              </w:rPr>
              <w:t>T2</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150</w:t>
            </w:r>
          </w:p>
        </w:tc>
        <w:tc>
          <w:tcPr>
            <w:tcW w:w="2427" w:type="pct"/>
            <w:tcBorders>
              <w:top w:val="single" w:sz="4" w:space="0" w:color="auto"/>
              <w:left w:val="nil"/>
              <w:bottom w:val="single" w:sz="4" w:space="0" w:color="auto"/>
              <w:right w:val="single" w:sz="4" w:space="0" w:color="auto"/>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المجموع</w:t>
            </w:r>
          </w:p>
        </w:tc>
        <w:tc>
          <w:tcPr>
            <w:tcW w:w="584" w:type="pct"/>
            <w:tcBorders>
              <w:top w:val="single" w:sz="4" w:space="0" w:color="auto"/>
              <w:left w:val="single" w:sz="4" w:space="0" w:color="auto"/>
              <w:bottom w:val="single" w:sz="4" w:space="0" w:color="auto"/>
              <w:right w:val="nil"/>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150</w:t>
            </w:r>
          </w:p>
        </w:tc>
        <w:tc>
          <w:tcPr>
            <w:tcW w:w="1582" w:type="pct"/>
            <w:tcBorders>
              <w:top w:val="single" w:sz="4" w:space="0" w:color="auto"/>
              <w:left w:val="nil"/>
              <w:bottom w:val="single" w:sz="4" w:space="0" w:color="auto"/>
              <w:right w:val="single" w:sz="4" w:space="0" w:color="auto"/>
            </w:tcBorders>
            <w:shd w:val="clear" w:color="auto" w:fill="F2F2F2" w:themeFill="background1" w:themeFillShade="F2"/>
          </w:tcPr>
          <w:p w:rsidR="005A2DDD" w:rsidRPr="00716CC0" w:rsidRDefault="005A2DDD" w:rsidP="005A2DDD">
            <w:pPr>
              <w:rPr>
                <w:sz w:val="24"/>
                <w:szCs w:val="24"/>
                <w:rtl/>
                <w:lang w:bidi="ar-JO"/>
              </w:rPr>
            </w:pPr>
            <w:r w:rsidRPr="00716CC0">
              <w:rPr>
                <w:rFonts w:hint="cs"/>
                <w:sz w:val="24"/>
                <w:szCs w:val="24"/>
                <w:rtl/>
                <w:lang w:bidi="ar-JO"/>
              </w:rPr>
              <w:t>المجموع</w:t>
            </w:r>
          </w:p>
        </w:tc>
      </w:tr>
    </w:tbl>
    <w:p w:rsidR="005A2DDD" w:rsidRPr="00716CC0" w:rsidRDefault="005A2DDD" w:rsidP="005A2DDD">
      <w:pPr>
        <w:rPr>
          <w:b w:val="0"/>
          <w:bCs w:val="0"/>
          <w:rtl/>
          <w:lang w:bidi="ar-JO"/>
        </w:rPr>
      </w:pPr>
      <w:r w:rsidRPr="00716CC0">
        <w:rPr>
          <w:rFonts w:hint="cs"/>
          <w:b w:val="0"/>
          <w:bCs w:val="0"/>
          <w:rtl/>
          <w:lang w:bidi="ar-JO"/>
        </w:rPr>
        <w:t>يتبين من أعلاه أن بنك (أ) يملك ما يلي:</w:t>
      </w:r>
    </w:p>
    <w:p w:rsidR="005A2DDD" w:rsidRPr="00716CC0" w:rsidRDefault="005A2DDD" w:rsidP="005A2DDD">
      <w:pPr>
        <w:rPr>
          <w:b w:val="0"/>
          <w:bCs w:val="0"/>
          <w:lang w:bidi="ar-JO"/>
        </w:rPr>
      </w:pPr>
      <w:r w:rsidRPr="00716CC0">
        <w:rPr>
          <w:rFonts w:hint="cs"/>
          <w:b w:val="0"/>
          <w:bCs w:val="0"/>
          <w:rtl/>
          <w:lang w:bidi="ar-JO"/>
        </w:rPr>
        <w:t>(70%) من حقوق حملة الأسهم العادية (</w:t>
      </w:r>
      <w:r w:rsidRPr="00716CC0">
        <w:rPr>
          <w:b w:val="0"/>
          <w:bCs w:val="0"/>
          <w:lang w:bidi="ar-JO"/>
        </w:rPr>
        <w:t>CET1</w:t>
      </w:r>
      <w:r w:rsidRPr="00716CC0">
        <w:rPr>
          <w:rFonts w:hint="cs"/>
          <w:b w:val="0"/>
          <w:bCs w:val="0"/>
          <w:rtl/>
          <w:lang w:bidi="ar-JO"/>
        </w:rPr>
        <w:t xml:space="preserve">) لبنك (ب). </w:t>
      </w:r>
    </w:p>
    <w:p w:rsidR="005A2DDD" w:rsidRPr="00716CC0" w:rsidRDefault="005A2DDD" w:rsidP="005A2DDD">
      <w:pPr>
        <w:rPr>
          <w:b w:val="0"/>
          <w:bCs w:val="0"/>
          <w:lang w:bidi="ar-JO"/>
        </w:rPr>
      </w:pPr>
      <w:r w:rsidRPr="00716CC0">
        <w:rPr>
          <w:rFonts w:hint="cs"/>
          <w:b w:val="0"/>
          <w:bCs w:val="0"/>
          <w:rtl/>
          <w:lang w:bidi="ar-JO"/>
        </w:rPr>
        <w:t>(80%) من رأس المال الإضافي (</w:t>
      </w:r>
      <w:r w:rsidRPr="00716CC0">
        <w:rPr>
          <w:b w:val="0"/>
          <w:bCs w:val="0"/>
          <w:lang w:bidi="ar-JO"/>
        </w:rPr>
        <w:t>AT1</w:t>
      </w:r>
      <w:r w:rsidRPr="00716CC0">
        <w:rPr>
          <w:rFonts w:hint="cs"/>
          <w:b w:val="0"/>
          <w:bCs w:val="0"/>
          <w:rtl/>
          <w:lang w:bidi="ar-JO"/>
        </w:rPr>
        <w:t xml:space="preserve">) لبنك (ب). </w:t>
      </w:r>
    </w:p>
    <w:p w:rsidR="005A2DDD" w:rsidRPr="00716CC0" w:rsidRDefault="005A2DDD" w:rsidP="00716CC0">
      <w:pPr>
        <w:rPr>
          <w:b w:val="0"/>
          <w:bCs w:val="0"/>
          <w:rtl/>
          <w:lang w:bidi="ar-JO"/>
        </w:rPr>
      </w:pPr>
      <w:r w:rsidRPr="00716CC0">
        <w:rPr>
          <w:rFonts w:hint="cs"/>
          <w:b w:val="0"/>
          <w:bCs w:val="0"/>
          <w:rtl/>
          <w:lang w:bidi="ar-JO"/>
        </w:rPr>
        <w:t>(25%) من الشريحة الثانية (</w:t>
      </w:r>
      <w:r w:rsidRPr="00716CC0">
        <w:rPr>
          <w:b w:val="0"/>
          <w:bCs w:val="0"/>
          <w:lang w:bidi="ar-JO"/>
        </w:rPr>
        <w:t>T2</w:t>
      </w:r>
      <w:r w:rsidRPr="00716CC0">
        <w:rPr>
          <w:rFonts w:hint="cs"/>
          <w:b w:val="0"/>
          <w:bCs w:val="0"/>
          <w:rtl/>
          <w:lang w:bidi="ar-JO"/>
        </w:rPr>
        <w:t xml:space="preserve">) لبنك (ب). </w:t>
      </w:r>
    </w:p>
    <w:p w:rsidR="0086621F" w:rsidRPr="00BA1467" w:rsidRDefault="005A2DDD" w:rsidP="00290249">
      <w:pPr>
        <w:rPr>
          <w:b w:val="0"/>
          <w:bCs w:val="0"/>
          <w:sz w:val="28"/>
          <w:szCs w:val="28"/>
          <w:rtl/>
          <w:lang w:bidi="ar-JO"/>
        </w:rPr>
      </w:pPr>
      <w:r w:rsidRPr="00BA1467">
        <w:rPr>
          <w:rFonts w:hint="cs"/>
          <w:b w:val="0"/>
          <w:bCs w:val="0"/>
          <w:sz w:val="28"/>
          <w:szCs w:val="28"/>
          <w:rtl/>
          <w:lang w:bidi="ar-JO"/>
        </w:rPr>
        <w:t xml:space="preserve">وعليه، نبين أدناه </w:t>
      </w:r>
      <w:r w:rsidR="00290249">
        <w:rPr>
          <w:rFonts w:hint="cs"/>
          <w:b w:val="0"/>
          <w:bCs w:val="0"/>
          <w:sz w:val="28"/>
          <w:szCs w:val="28"/>
          <w:rtl/>
          <w:lang w:bidi="ar-JO"/>
        </w:rPr>
        <w:t xml:space="preserve"> مكونات</w:t>
      </w:r>
      <w:r w:rsidRPr="00BA1467">
        <w:rPr>
          <w:rFonts w:hint="cs"/>
          <w:b w:val="0"/>
          <w:bCs w:val="0"/>
          <w:sz w:val="28"/>
          <w:szCs w:val="28"/>
          <w:rtl/>
          <w:lang w:bidi="ar-JO"/>
        </w:rPr>
        <w:t xml:space="preserve"> </w:t>
      </w:r>
      <w:r w:rsidR="00290249">
        <w:rPr>
          <w:rFonts w:hint="cs"/>
          <w:b w:val="0"/>
          <w:bCs w:val="0"/>
          <w:sz w:val="28"/>
          <w:szCs w:val="28"/>
          <w:rtl/>
          <w:lang w:bidi="ar-JO"/>
        </w:rPr>
        <w:t xml:space="preserve">رأسمال </w:t>
      </w:r>
      <w:r w:rsidRPr="00BA1467">
        <w:rPr>
          <w:rFonts w:hint="cs"/>
          <w:b w:val="0"/>
          <w:bCs w:val="0"/>
          <w:sz w:val="28"/>
          <w:szCs w:val="28"/>
          <w:rtl/>
          <w:lang w:bidi="ar-JO"/>
        </w:rPr>
        <w:t xml:space="preserve">بنك (ب) بالإضافة إلى البيانات المالية الموحدة للمجموعة البنكية: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709"/>
        <w:gridCol w:w="2166"/>
        <w:gridCol w:w="2164"/>
      </w:tblGrid>
      <w:tr w:rsidR="005A2DDD" w:rsidRPr="00716CC0" w:rsidTr="00716CC0">
        <w:trPr>
          <w:jc w:val="center"/>
        </w:trPr>
        <w:tc>
          <w:tcPr>
            <w:tcW w:w="5000" w:type="pct"/>
            <w:gridSpan w:val="4"/>
            <w:shd w:val="clear" w:color="auto" w:fill="F2F2F2" w:themeFill="background1" w:themeFillShade="F2"/>
          </w:tcPr>
          <w:p w:rsidR="005A2DDD" w:rsidRPr="00716CC0" w:rsidRDefault="005A2DDD" w:rsidP="00716CC0">
            <w:pPr>
              <w:jc w:val="center"/>
              <w:rPr>
                <w:rtl/>
                <w:lang w:bidi="ar-JO"/>
              </w:rPr>
            </w:pPr>
            <w:r w:rsidRPr="00716CC0">
              <w:rPr>
                <w:rFonts w:hint="cs"/>
                <w:rtl/>
                <w:lang w:bidi="ar-JO"/>
              </w:rPr>
              <w:lastRenderedPageBreak/>
              <w:t>رأس المال المصدر من بنك (ب)</w:t>
            </w:r>
          </w:p>
        </w:tc>
      </w:tr>
      <w:tr w:rsidR="005A2DDD" w:rsidRPr="00716CC0" w:rsidTr="00716CC0">
        <w:trPr>
          <w:jc w:val="center"/>
        </w:trPr>
        <w:tc>
          <w:tcPr>
            <w:tcW w:w="1152" w:type="pct"/>
            <w:shd w:val="clear" w:color="auto" w:fill="F2F2F2" w:themeFill="background1" w:themeFillShade="F2"/>
            <w:vAlign w:val="center"/>
          </w:tcPr>
          <w:p w:rsidR="005A2DDD" w:rsidRPr="00716CC0" w:rsidRDefault="005A2DDD" w:rsidP="00716CC0">
            <w:pPr>
              <w:jc w:val="center"/>
              <w:rPr>
                <w:sz w:val="24"/>
                <w:szCs w:val="24"/>
                <w:rtl/>
                <w:lang w:bidi="ar-JO"/>
              </w:rPr>
            </w:pPr>
            <w:r w:rsidRPr="00716CC0">
              <w:rPr>
                <w:rFonts w:hint="cs"/>
                <w:sz w:val="24"/>
                <w:szCs w:val="24"/>
                <w:rtl/>
                <w:lang w:bidi="ar-JO"/>
              </w:rPr>
              <w:t>البند</w:t>
            </w:r>
          </w:p>
        </w:tc>
        <w:tc>
          <w:tcPr>
            <w:tcW w:w="1481" w:type="pct"/>
            <w:shd w:val="clear" w:color="auto" w:fill="F2F2F2" w:themeFill="background1" w:themeFillShade="F2"/>
            <w:vAlign w:val="center"/>
          </w:tcPr>
          <w:p w:rsidR="005A2DDD" w:rsidRPr="00716CC0" w:rsidRDefault="005A2DDD" w:rsidP="00716CC0">
            <w:pPr>
              <w:jc w:val="center"/>
              <w:rPr>
                <w:sz w:val="24"/>
                <w:szCs w:val="24"/>
                <w:rtl/>
                <w:lang w:bidi="ar-JO"/>
              </w:rPr>
            </w:pPr>
            <w:r w:rsidRPr="00716CC0">
              <w:rPr>
                <w:rFonts w:hint="cs"/>
                <w:sz w:val="24"/>
                <w:szCs w:val="24"/>
                <w:rtl/>
                <w:lang w:bidi="ar-JO"/>
              </w:rPr>
              <w:t>المبلغ المصدر للبنك الأم (أ) [رأس المال المملوك للبنك الأم]</w:t>
            </w:r>
          </w:p>
        </w:tc>
        <w:tc>
          <w:tcPr>
            <w:tcW w:w="1184" w:type="pct"/>
            <w:shd w:val="clear" w:color="auto" w:fill="F2F2F2" w:themeFill="background1" w:themeFillShade="F2"/>
            <w:vAlign w:val="center"/>
          </w:tcPr>
          <w:p w:rsidR="005A2DDD" w:rsidRPr="00716CC0" w:rsidRDefault="005A2DDD" w:rsidP="00716CC0">
            <w:pPr>
              <w:jc w:val="center"/>
              <w:rPr>
                <w:sz w:val="24"/>
                <w:szCs w:val="24"/>
                <w:rtl/>
                <w:lang w:bidi="ar-JO"/>
              </w:rPr>
            </w:pPr>
            <w:r w:rsidRPr="00716CC0">
              <w:rPr>
                <w:rFonts w:hint="cs"/>
                <w:sz w:val="24"/>
                <w:szCs w:val="24"/>
                <w:rtl/>
                <w:lang w:bidi="ar-JO"/>
              </w:rPr>
              <w:t>رأس المال المملوك لطرف ثالث (حقوق الأقلية)</w:t>
            </w:r>
          </w:p>
        </w:tc>
        <w:tc>
          <w:tcPr>
            <w:tcW w:w="1184" w:type="pct"/>
            <w:shd w:val="clear" w:color="auto" w:fill="F2F2F2" w:themeFill="background1" w:themeFillShade="F2"/>
            <w:vAlign w:val="center"/>
          </w:tcPr>
          <w:p w:rsidR="005A2DDD" w:rsidRPr="00716CC0" w:rsidRDefault="005A2DDD" w:rsidP="00716CC0">
            <w:pPr>
              <w:jc w:val="center"/>
              <w:rPr>
                <w:sz w:val="24"/>
                <w:szCs w:val="24"/>
                <w:rtl/>
                <w:lang w:bidi="ar-JO"/>
              </w:rPr>
            </w:pPr>
            <w:r w:rsidRPr="00716CC0">
              <w:rPr>
                <w:rFonts w:hint="cs"/>
                <w:sz w:val="24"/>
                <w:szCs w:val="24"/>
                <w:rtl/>
                <w:lang w:bidi="ar-JO"/>
              </w:rPr>
              <w:t>المجموع</w:t>
            </w:r>
          </w:p>
        </w:tc>
      </w:tr>
      <w:tr w:rsidR="005A2DDD" w:rsidRPr="00716CC0" w:rsidTr="00716CC0">
        <w:trPr>
          <w:jc w:val="center"/>
        </w:trPr>
        <w:tc>
          <w:tcPr>
            <w:tcW w:w="1152" w:type="pct"/>
            <w:shd w:val="clear" w:color="auto" w:fill="auto"/>
            <w:vAlign w:val="center"/>
          </w:tcPr>
          <w:p w:rsidR="005A2DDD" w:rsidRPr="008C738C" w:rsidRDefault="005A2DDD" w:rsidP="00716CC0">
            <w:pPr>
              <w:ind w:right="701"/>
              <w:jc w:val="right"/>
              <w:rPr>
                <w:sz w:val="24"/>
                <w:szCs w:val="24"/>
                <w:lang w:bidi="ar-JO"/>
              </w:rPr>
            </w:pPr>
            <w:r w:rsidRPr="008C738C">
              <w:rPr>
                <w:sz w:val="24"/>
                <w:szCs w:val="24"/>
                <w:lang w:bidi="ar-JO"/>
              </w:rPr>
              <w:t>CET1</w:t>
            </w:r>
          </w:p>
        </w:tc>
        <w:tc>
          <w:tcPr>
            <w:tcW w:w="1481"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7</w:t>
            </w:r>
          </w:p>
        </w:tc>
        <w:tc>
          <w:tcPr>
            <w:tcW w:w="1184"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3</w:t>
            </w:r>
          </w:p>
        </w:tc>
        <w:tc>
          <w:tcPr>
            <w:tcW w:w="1184"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10</w:t>
            </w:r>
          </w:p>
        </w:tc>
      </w:tr>
      <w:tr w:rsidR="005A2DDD" w:rsidRPr="00716CC0" w:rsidTr="00716CC0">
        <w:trPr>
          <w:jc w:val="center"/>
        </w:trPr>
        <w:tc>
          <w:tcPr>
            <w:tcW w:w="1152" w:type="pct"/>
            <w:shd w:val="clear" w:color="auto" w:fill="auto"/>
            <w:vAlign w:val="center"/>
          </w:tcPr>
          <w:p w:rsidR="005A2DDD" w:rsidRPr="008C738C" w:rsidRDefault="005A2DDD" w:rsidP="00716CC0">
            <w:pPr>
              <w:ind w:right="701"/>
              <w:jc w:val="right"/>
              <w:rPr>
                <w:sz w:val="24"/>
                <w:szCs w:val="24"/>
                <w:rtl/>
                <w:lang w:bidi="ar-JO"/>
              </w:rPr>
            </w:pPr>
            <w:r w:rsidRPr="008C738C">
              <w:rPr>
                <w:sz w:val="24"/>
                <w:szCs w:val="24"/>
                <w:lang w:bidi="ar-JO"/>
              </w:rPr>
              <w:t>AT1</w:t>
            </w:r>
          </w:p>
        </w:tc>
        <w:tc>
          <w:tcPr>
            <w:tcW w:w="1481"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4</w:t>
            </w:r>
          </w:p>
        </w:tc>
        <w:tc>
          <w:tcPr>
            <w:tcW w:w="1184"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1</w:t>
            </w:r>
          </w:p>
        </w:tc>
        <w:tc>
          <w:tcPr>
            <w:tcW w:w="1184"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5</w:t>
            </w:r>
          </w:p>
        </w:tc>
      </w:tr>
      <w:tr w:rsidR="005A2DDD" w:rsidRPr="00716CC0" w:rsidTr="00716CC0">
        <w:trPr>
          <w:jc w:val="center"/>
        </w:trPr>
        <w:tc>
          <w:tcPr>
            <w:tcW w:w="1152" w:type="pct"/>
            <w:shd w:val="clear" w:color="auto" w:fill="auto"/>
            <w:vAlign w:val="center"/>
          </w:tcPr>
          <w:p w:rsidR="005A2DDD" w:rsidRPr="008C738C" w:rsidRDefault="005A2DDD" w:rsidP="00716CC0">
            <w:pPr>
              <w:ind w:right="701"/>
              <w:jc w:val="right"/>
              <w:rPr>
                <w:sz w:val="24"/>
                <w:szCs w:val="24"/>
                <w:lang w:bidi="ar-JO"/>
              </w:rPr>
            </w:pPr>
            <w:r w:rsidRPr="008C738C">
              <w:rPr>
                <w:sz w:val="24"/>
                <w:szCs w:val="24"/>
                <w:lang w:bidi="ar-JO"/>
              </w:rPr>
              <w:t>T2</w:t>
            </w:r>
          </w:p>
        </w:tc>
        <w:tc>
          <w:tcPr>
            <w:tcW w:w="1481"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2</w:t>
            </w:r>
          </w:p>
        </w:tc>
        <w:tc>
          <w:tcPr>
            <w:tcW w:w="1184"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6</w:t>
            </w:r>
          </w:p>
        </w:tc>
        <w:tc>
          <w:tcPr>
            <w:tcW w:w="1184" w:type="pct"/>
            <w:shd w:val="clear" w:color="auto" w:fill="auto"/>
          </w:tcPr>
          <w:p w:rsidR="005A2DDD" w:rsidRPr="008C738C" w:rsidRDefault="005A2DDD" w:rsidP="00716CC0">
            <w:pPr>
              <w:jc w:val="center"/>
              <w:rPr>
                <w:sz w:val="24"/>
                <w:szCs w:val="24"/>
                <w:rtl/>
                <w:lang w:bidi="ar-JO"/>
              </w:rPr>
            </w:pPr>
            <w:r w:rsidRPr="008C738C">
              <w:rPr>
                <w:rFonts w:hint="cs"/>
                <w:sz w:val="24"/>
                <w:szCs w:val="24"/>
                <w:rtl/>
                <w:lang w:bidi="ar-JO"/>
              </w:rPr>
              <w:t>8</w:t>
            </w:r>
          </w:p>
        </w:tc>
      </w:tr>
      <w:tr w:rsidR="005A2DDD" w:rsidRPr="00716CC0" w:rsidTr="00716CC0">
        <w:trPr>
          <w:jc w:val="center"/>
        </w:trPr>
        <w:tc>
          <w:tcPr>
            <w:tcW w:w="1152" w:type="pct"/>
            <w:shd w:val="clear" w:color="auto" w:fill="F2F2F2" w:themeFill="background1" w:themeFillShade="F2"/>
          </w:tcPr>
          <w:p w:rsidR="005A2DDD" w:rsidRPr="00716CC0" w:rsidRDefault="005A2DDD" w:rsidP="00716CC0">
            <w:pPr>
              <w:jc w:val="center"/>
              <w:rPr>
                <w:sz w:val="24"/>
                <w:szCs w:val="24"/>
                <w:lang w:bidi="ar-JO"/>
              </w:rPr>
            </w:pPr>
            <w:r w:rsidRPr="00716CC0">
              <w:rPr>
                <w:rFonts w:hint="cs"/>
                <w:sz w:val="24"/>
                <w:szCs w:val="24"/>
                <w:rtl/>
                <w:lang w:bidi="ar-JO"/>
              </w:rPr>
              <w:t>المجموع</w:t>
            </w:r>
          </w:p>
        </w:tc>
        <w:tc>
          <w:tcPr>
            <w:tcW w:w="1481" w:type="pct"/>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13</w:t>
            </w:r>
          </w:p>
        </w:tc>
        <w:tc>
          <w:tcPr>
            <w:tcW w:w="1184" w:type="pct"/>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10</w:t>
            </w:r>
          </w:p>
        </w:tc>
        <w:tc>
          <w:tcPr>
            <w:tcW w:w="1184" w:type="pct"/>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23</w:t>
            </w:r>
          </w:p>
        </w:tc>
      </w:tr>
    </w:tbl>
    <w:p w:rsidR="005A2DDD" w:rsidRDefault="005A2DDD" w:rsidP="005A2DDD">
      <w:pPr>
        <w:rPr>
          <w:rtl/>
          <w:lang w:bidi="ar-JO"/>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439"/>
        <w:gridCol w:w="1068"/>
        <w:gridCol w:w="2894"/>
      </w:tblGrid>
      <w:tr w:rsidR="005A2DDD" w:rsidRPr="003C38EF" w:rsidTr="00716CC0">
        <w:trPr>
          <w:jc w:val="center"/>
        </w:trPr>
        <w:tc>
          <w:tcPr>
            <w:tcW w:w="5000" w:type="pct"/>
            <w:gridSpan w:val="4"/>
            <w:tcBorders>
              <w:right w:val="single" w:sz="4" w:space="0" w:color="auto"/>
            </w:tcBorders>
            <w:shd w:val="clear" w:color="auto" w:fill="F2F2F2" w:themeFill="background1" w:themeFillShade="F2"/>
          </w:tcPr>
          <w:p w:rsidR="005A2DDD" w:rsidRPr="003C38EF" w:rsidRDefault="005A2DDD" w:rsidP="00716CC0">
            <w:pPr>
              <w:jc w:val="center"/>
              <w:rPr>
                <w:rtl/>
                <w:lang w:bidi="ar-JO"/>
              </w:rPr>
            </w:pPr>
            <w:r w:rsidRPr="003C38EF">
              <w:rPr>
                <w:rFonts w:hint="cs"/>
                <w:rtl/>
                <w:lang w:bidi="ar-JO"/>
              </w:rPr>
              <w:t>البيانات المالية الموحدة</w:t>
            </w:r>
          </w:p>
        </w:tc>
      </w:tr>
      <w:tr w:rsidR="005A2DDD" w:rsidRPr="003C38EF" w:rsidTr="00716CC0">
        <w:trPr>
          <w:jc w:val="center"/>
        </w:trPr>
        <w:tc>
          <w:tcPr>
            <w:tcW w:w="2833" w:type="pct"/>
            <w:gridSpan w:val="2"/>
            <w:tcBorders>
              <w:bottom w:val="single" w:sz="4" w:space="0" w:color="auto"/>
            </w:tcBorders>
            <w:shd w:val="clear" w:color="auto" w:fill="F2F2F2" w:themeFill="background1" w:themeFillShade="F2"/>
          </w:tcPr>
          <w:p w:rsidR="005A2DDD" w:rsidRPr="00921CA1" w:rsidRDefault="005A2DDD" w:rsidP="00716CC0">
            <w:pPr>
              <w:jc w:val="center"/>
              <w:rPr>
                <w:sz w:val="24"/>
                <w:szCs w:val="24"/>
                <w:rtl/>
                <w:lang w:bidi="ar-JO"/>
              </w:rPr>
            </w:pPr>
            <w:r w:rsidRPr="00921CA1">
              <w:rPr>
                <w:rFonts w:hint="cs"/>
                <w:sz w:val="24"/>
                <w:szCs w:val="24"/>
                <w:rtl/>
                <w:lang w:bidi="ar-JO"/>
              </w:rPr>
              <w:t>موجودات</w:t>
            </w:r>
          </w:p>
        </w:tc>
        <w:tc>
          <w:tcPr>
            <w:tcW w:w="2167" w:type="pct"/>
            <w:gridSpan w:val="2"/>
            <w:tcBorders>
              <w:bottom w:val="single" w:sz="4" w:space="0" w:color="auto"/>
              <w:right w:val="single" w:sz="4" w:space="0" w:color="auto"/>
            </w:tcBorders>
            <w:shd w:val="clear" w:color="auto" w:fill="F2F2F2" w:themeFill="background1" w:themeFillShade="F2"/>
          </w:tcPr>
          <w:p w:rsidR="005A2DDD" w:rsidRPr="00921CA1" w:rsidRDefault="005A2DDD" w:rsidP="00716CC0">
            <w:pPr>
              <w:jc w:val="center"/>
              <w:rPr>
                <w:sz w:val="24"/>
                <w:szCs w:val="24"/>
                <w:rtl/>
                <w:lang w:bidi="ar-JO"/>
              </w:rPr>
            </w:pPr>
            <w:r w:rsidRPr="00921CA1">
              <w:rPr>
                <w:rFonts w:hint="cs"/>
                <w:sz w:val="24"/>
                <w:szCs w:val="24"/>
                <w:rtl/>
                <w:lang w:bidi="ar-JO"/>
              </w:rPr>
              <w:t>مطلوبات</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250</w:t>
            </w: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قروض</w:t>
            </w:r>
          </w:p>
        </w:tc>
        <w:tc>
          <w:tcPr>
            <w:tcW w:w="584"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197</w:t>
            </w:r>
          </w:p>
        </w:tc>
        <w:tc>
          <w:tcPr>
            <w:tcW w:w="1582"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ودائع</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vAlign w:val="center"/>
          </w:tcPr>
          <w:p w:rsidR="005A2DDD" w:rsidRPr="008C738C" w:rsidRDefault="005A2DDD" w:rsidP="005A2DDD">
            <w:pPr>
              <w:rPr>
                <w:sz w:val="24"/>
                <w:szCs w:val="24"/>
                <w:rtl/>
                <w:lang w:bidi="ar-JO"/>
              </w:rPr>
            </w:pPr>
            <w:r w:rsidRPr="008C738C">
              <w:rPr>
                <w:rFonts w:hint="cs"/>
                <w:sz w:val="24"/>
                <w:szCs w:val="24"/>
                <w:rtl/>
                <w:lang w:bidi="ar-JO"/>
              </w:rPr>
              <w:t>6</w:t>
            </w:r>
          </w:p>
        </w:tc>
        <w:tc>
          <w:tcPr>
            <w:tcW w:w="1582" w:type="pct"/>
            <w:tcBorders>
              <w:top w:val="single" w:sz="4" w:space="0" w:color="auto"/>
              <w:left w:val="nil"/>
              <w:bottom w:val="single" w:sz="4" w:space="0" w:color="auto"/>
              <w:right w:val="single" w:sz="4" w:space="0" w:color="auto"/>
            </w:tcBorders>
            <w:shd w:val="clear" w:color="auto" w:fill="auto"/>
            <w:vAlign w:val="center"/>
          </w:tcPr>
          <w:p w:rsidR="005A2DDD" w:rsidRPr="008C738C" w:rsidRDefault="005A2DDD" w:rsidP="005A2DDD">
            <w:pPr>
              <w:rPr>
                <w:sz w:val="24"/>
                <w:szCs w:val="24"/>
                <w:rtl/>
                <w:lang w:bidi="ar-JO"/>
              </w:rPr>
            </w:pPr>
            <w:r w:rsidRPr="008C738C">
              <w:rPr>
                <w:rFonts w:hint="cs"/>
                <w:sz w:val="24"/>
                <w:szCs w:val="24"/>
                <w:rtl/>
                <w:lang w:bidi="ar-JO"/>
              </w:rPr>
              <w:t>الشريحة الثانية (</w:t>
            </w:r>
            <w:r w:rsidRPr="008C738C">
              <w:rPr>
                <w:sz w:val="24"/>
                <w:szCs w:val="24"/>
                <w:lang w:bidi="ar-JO"/>
              </w:rPr>
              <w:t>T2</w:t>
            </w:r>
            <w:r w:rsidRPr="008C738C">
              <w:rPr>
                <w:rFonts w:hint="cs"/>
                <w:sz w:val="24"/>
                <w:szCs w:val="24"/>
                <w:rtl/>
                <w:lang w:bidi="ar-JO"/>
              </w:rPr>
              <w:t>) المملوك من قبل طرف ثالث</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10</w:t>
            </w:r>
          </w:p>
        </w:tc>
        <w:tc>
          <w:tcPr>
            <w:tcW w:w="1582"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الشريحة الثانية (</w:t>
            </w:r>
            <w:r w:rsidRPr="008C738C">
              <w:rPr>
                <w:sz w:val="24"/>
                <w:szCs w:val="24"/>
                <w:lang w:bidi="ar-JO"/>
              </w:rPr>
              <w:t>T2</w:t>
            </w:r>
            <w:r w:rsidRPr="008C738C">
              <w:rPr>
                <w:rFonts w:hint="cs"/>
                <w:sz w:val="24"/>
                <w:szCs w:val="24"/>
                <w:rtl/>
                <w:lang w:bidi="ar-JO"/>
              </w:rPr>
              <w:t>) المصدر من قبل البنك الأم</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1</w:t>
            </w:r>
          </w:p>
        </w:tc>
        <w:tc>
          <w:tcPr>
            <w:tcW w:w="1582"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r w:rsidRPr="008C738C">
              <w:rPr>
                <w:sz w:val="24"/>
                <w:szCs w:val="24"/>
                <w:lang w:bidi="ar-JO"/>
              </w:rPr>
              <w:t xml:space="preserve"> </w:t>
            </w:r>
            <w:r w:rsidRPr="008C738C">
              <w:rPr>
                <w:rFonts w:hint="cs"/>
                <w:sz w:val="24"/>
                <w:szCs w:val="24"/>
                <w:rtl/>
                <w:lang w:bidi="ar-JO"/>
              </w:rPr>
              <w:t>رأس المال الإضافي (</w:t>
            </w:r>
            <w:r w:rsidRPr="008C738C">
              <w:rPr>
                <w:sz w:val="24"/>
                <w:szCs w:val="24"/>
                <w:lang w:bidi="ar-JO"/>
              </w:rPr>
              <w:t>AT1</w:t>
            </w:r>
            <w:r w:rsidRPr="008C738C">
              <w:rPr>
                <w:rFonts w:hint="cs"/>
                <w:sz w:val="24"/>
                <w:szCs w:val="24"/>
                <w:rtl/>
                <w:lang w:bidi="ar-JO"/>
              </w:rPr>
              <w:t>) المملوك من قبل طرف ثالث</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7</w:t>
            </w:r>
          </w:p>
        </w:tc>
        <w:tc>
          <w:tcPr>
            <w:tcW w:w="1582"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lang w:bidi="ar-JO"/>
              </w:rPr>
            </w:pPr>
            <w:r w:rsidRPr="008C738C">
              <w:rPr>
                <w:rFonts w:hint="cs"/>
                <w:sz w:val="24"/>
                <w:szCs w:val="24"/>
                <w:rtl/>
                <w:lang w:bidi="ar-JO"/>
              </w:rPr>
              <w:t>رأس المال الإضافي (</w:t>
            </w:r>
            <w:r w:rsidRPr="008C738C">
              <w:rPr>
                <w:sz w:val="24"/>
                <w:szCs w:val="24"/>
                <w:lang w:bidi="ar-JO"/>
              </w:rPr>
              <w:t>AT1</w:t>
            </w:r>
            <w:r w:rsidRPr="008C738C">
              <w:rPr>
                <w:rFonts w:hint="cs"/>
                <w:sz w:val="24"/>
                <w:szCs w:val="24"/>
                <w:rtl/>
                <w:lang w:bidi="ar-JO"/>
              </w:rPr>
              <w:t>) المصدر من قبل البنك الأم (أ)</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3</w:t>
            </w:r>
          </w:p>
        </w:tc>
        <w:tc>
          <w:tcPr>
            <w:tcW w:w="1582"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حقوق حملة الأسهم العادية (</w:t>
            </w:r>
            <w:r w:rsidRPr="008C738C">
              <w:rPr>
                <w:sz w:val="24"/>
                <w:szCs w:val="24"/>
                <w:lang w:bidi="ar-JO"/>
              </w:rPr>
              <w:t>CET1</w:t>
            </w:r>
            <w:r w:rsidRPr="008C738C">
              <w:rPr>
                <w:rFonts w:hint="cs"/>
                <w:sz w:val="24"/>
                <w:szCs w:val="24"/>
                <w:rtl/>
                <w:lang w:bidi="ar-JO"/>
              </w:rPr>
              <w:t>) المملوكة من قبل طرف ثالث (حقوق الأقلية)</w:t>
            </w:r>
          </w:p>
        </w:tc>
      </w:tr>
      <w:tr w:rsidR="005A2DDD" w:rsidRPr="003C38EF" w:rsidTr="00716CC0">
        <w:trPr>
          <w:jc w:val="center"/>
        </w:trPr>
        <w:tc>
          <w:tcPr>
            <w:tcW w:w="407"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p>
        </w:tc>
        <w:tc>
          <w:tcPr>
            <w:tcW w:w="2427"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p>
        </w:tc>
        <w:tc>
          <w:tcPr>
            <w:tcW w:w="584" w:type="pct"/>
            <w:tcBorders>
              <w:top w:val="single" w:sz="4" w:space="0" w:color="auto"/>
              <w:left w:val="single" w:sz="4" w:space="0" w:color="auto"/>
              <w:bottom w:val="single" w:sz="4" w:space="0" w:color="auto"/>
              <w:right w:val="nil"/>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26</w:t>
            </w:r>
          </w:p>
        </w:tc>
        <w:tc>
          <w:tcPr>
            <w:tcW w:w="1582" w:type="pct"/>
            <w:tcBorders>
              <w:top w:val="single" w:sz="4" w:space="0" w:color="auto"/>
              <w:left w:val="nil"/>
              <w:bottom w:val="single" w:sz="4" w:space="0" w:color="auto"/>
              <w:right w:val="single" w:sz="4" w:space="0" w:color="auto"/>
            </w:tcBorders>
            <w:shd w:val="clear" w:color="auto" w:fill="auto"/>
          </w:tcPr>
          <w:p w:rsidR="005A2DDD" w:rsidRPr="008C738C" w:rsidRDefault="005A2DDD" w:rsidP="005A2DDD">
            <w:pPr>
              <w:rPr>
                <w:sz w:val="24"/>
                <w:szCs w:val="24"/>
                <w:rtl/>
                <w:lang w:bidi="ar-JO"/>
              </w:rPr>
            </w:pPr>
            <w:r w:rsidRPr="008C738C">
              <w:rPr>
                <w:rFonts w:hint="cs"/>
                <w:sz w:val="24"/>
                <w:szCs w:val="24"/>
                <w:rtl/>
                <w:lang w:bidi="ar-JO"/>
              </w:rPr>
              <w:t>حقوق حملة الأسهم العادية (</w:t>
            </w:r>
            <w:r w:rsidRPr="008C738C">
              <w:rPr>
                <w:sz w:val="24"/>
                <w:szCs w:val="24"/>
                <w:lang w:bidi="ar-JO"/>
              </w:rPr>
              <w:t>CET1</w:t>
            </w:r>
            <w:r w:rsidRPr="008C738C">
              <w:rPr>
                <w:rFonts w:hint="cs"/>
                <w:sz w:val="24"/>
                <w:szCs w:val="24"/>
                <w:rtl/>
                <w:lang w:bidi="ar-JO"/>
              </w:rPr>
              <w:t>) المصدر من قبل البنك الأم (أ)</w:t>
            </w:r>
          </w:p>
        </w:tc>
      </w:tr>
      <w:tr w:rsidR="005A2DDD" w:rsidRPr="00716CC0" w:rsidTr="00716CC0">
        <w:trPr>
          <w:jc w:val="center"/>
        </w:trPr>
        <w:tc>
          <w:tcPr>
            <w:tcW w:w="407" w:type="pct"/>
            <w:tcBorders>
              <w:top w:val="single" w:sz="4" w:space="0" w:color="auto"/>
              <w:left w:val="single" w:sz="4" w:space="0" w:color="auto"/>
              <w:bottom w:val="single" w:sz="4" w:space="0" w:color="auto"/>
              <w:right w:val="nil"/>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250</w:t>
            </w:r>
          </w:p>
        </w:tc>
        <w:tc>
          <w:tcPr>
            <w:tcW w:w="2427" w:type="pct"/>
            <w:tcBorders>
              <w:top w:val="single" w:sz="4" w:space="0" w:color="auto"/>
              <w:left w:val="nil"/>
              <w:bottom w:val="single" w:sz="4" w:space="0" w:color="auto"/>
              <w:right w:val="single" w:sz="4" w:space="0" w:color="auto"/>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المجموع</w:t>
            </w:r>
          </w:p>
        </w:tc>
        <w:tc>
          <w:tcPr>
            <w:tcW w:w="584" w:type="pct"/>
            <w:tcBorders>
              <w:top w:val="single" w:sz="4" w:space="0" w:color="auto"/>
              <w:left w:val="single" w:sz="4" w:space="0" w:color="auto"/>
              <w:bottom w:val="single" w:sz="4" w:space="0" w:color="auto"/>
              <w:right w:val="nil"/>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250</w:t>
            </w:r>
          </w:p>
        </w:tc>
        <w:tc>
          <w:tcPr>
            <w:tcW w:w="1582" w:type="pct"/>
            <w:tcBorders>
              <w:top w:val="single" w:sz="4" w:space="0" w:color="auto"/>
              <w:left w:val="nil"/>
              <w:bottom w:val="single" w:sz="4" w:space="0" w:color="auto"/>
              <w:right w:val="single" w:sz="4" w:space="0" w:color="auto"/>
            </w:tcBorders>
            <w:shd w:val="clear" w:color="auto" w:fill="F2F2F2" w:themeFill="background1" w:themeFillShade="F2"/>
          </w:tcPr>
          <w:p w:rsidR="005A2DDD" w:rsidRPr="00716CC0" w:rsidRDefault="005A2DDD" w:rsidP="00716CC0">
            <w:pPr>
              <w:jc w:val="center"/>
              <w:rPr>
                <w:sz w:val="24"/>
                <w:szCs w:val="24"/>
                <w:rtl/>
                <w:lang w:bidi="ar-JO"/>
              </w:rPr>
            </w:pPr>
            <w:r w:rsidRPr="00716CC0">
              <w:rPr>
                <w:rFonts w:hint="cs"/>
                <w:sz w:val="24"/>
                <w:szCs w:val="24"/>
                <w:rtl/>
                <w:lang w:bidi="ar-JO"/>
              </w:rPr>
              <w:t>المجموع</w:t>
            </w:r>
          </w:p>
        </w:tc>
      </w:tr>
    </w:tbl>
    <w:p w:rsidR="00BA1467" w:rsidRDefault="00BA1467" w:rsidP="005A2DDD">
      <w:pPr>
        <w:rPr>
          <w:rtl/>
          <w:lang w:bidi="ar-JO"/>
        </w:rPr>
      </w:pPr>
    </w:p>
    <w:p w:rsidR="005A2DDD" w:rsidRPr="00BA1467" w:rsidRDefault="005A2DDD" w:rsidP="00725827">
      <w:pPr>
        <w:rPr>
          <w:b w:val="0"/>
          <w:bCs w:val="0"/>
          <w:sz w:val="28"/>
          <w:szCs w:val="28"/>
          <w:rtl/>
          <w:lang w:bidi="ar-JO"/>
        </w:rPr>
      </w:pPr>
      <w:r w:rsidRPr="00BA1467">
        <w:rPr>
          <w:rFonts w:hint="cs"/>
          <w:b w:val="0"/>
          <w:bCs w:val="0"/>
          <w:sz w:val="28"/>
          <w:szCs w:val="28"/>
          <w:rtl/>
          <w:lang w:bidi="ar-JO"/>
        </w:rPr>
        <w:lastRenderedPageBreak/>
        <w:t>لأغراض توضيحية، فقد تم الافتراض أن مجموع الموجودات المرجحة بالمخاطر للبنك (ب) تساوي (100)، وبالتالي فإنه ولاحتساب الفائض في رأس المال لدى البنك (ب) فإنه بدايةً يتوجب احتساب رأس المال الواجب على البنك (ب) الاحتفاظ به بناءً على النسب التالية (</w:t>
      </w:r>
      <w:r w:rsidR="00725827">
        <w:rPr>
          <w:rFonts w:hint="cs"/>
          <w:b w:val="0"/>
          <w:bCs w:val="0"/>
          <w:sz w:val="28"/>
          <w:szCs w:val="28"/>
          <w:rtl/>
          <w:lang w:bidi="ar-JO"/>
        </w:rPr>
        <w:t>8.5</w:t>
      </w:r>
      <w:r w:rsidRPr="00BA1467">
        <w:rPr>
          <w:rFonts w:hint="cs"/>
          <w:b w:val="0"/>
          <w:bCs w:val="0"/>
          <w:sz w:val="28"/>
          <w:szCs w:val="28"/>
          <w:rtl/>
          <w:lang w:bidi="ar-JO"/>
        </w:rPr>
        <w:t xml:space="preserve">%، </w:t>
      </w:r>
      <w:r w:rsidR="00725827">
        <w:rPr>
          <w:rFonts w:hint="cs"/>
          <w:b w:val="0"/>
          <w:bCs w:val="0"/>
          <w:sz w:val="28"/>
          <w:szCs w:val="28"/>
          <w:rtl/>
          <w:lang w:bidi="ar-JO"/>
        </w:rPr>
        <w:t>10</w:t>
      </w:r>
      <w:r w:rsidRPr="00BA1467">
        <w:rPr>
          <w:rFonts w:hint="cs"/>
          <w:b w:val="0"/>
          <w:bCs w:val="0"/>
          <w:sz w:val="28"/>
          <w:szCs w:val="28"/>
          <w:rtl/>
          <w:lang w:bidi="ar-JO"/>
        </w:rPr>
        <w:t xml:space="preserve">%، </w:t>
      </w:r>
      <w:r w:rsidR="00725827">
        <w:rPr>
          <w:rFonts w:hint="cs"/>
          <w:b w:val="0"/>
          <w:bCs w:val="0"/>
          <w:sz w:val="28"/>
          <w:szCs w:val="28"/>
          <w:rtl/>
          <w:lang w:bidi="ar-JO"/>
        </w:rPr>
        <w:t>12</w:t>
      </w:r>
      <w:r w:rsidRPr="00BA1467">
        <w:rPr>
          <w:rFonts w:hint="cs"/>
          <w:b w:val="0"/>
          <w:bCs w:val="0"/>
          <w:sz w:val="28"/>
          <w:szCs w:val="28"/>
          <w:rtl/>
          <w:lang w:bidi="ar-JO"/>
        </w:rPr>
        <w:t xml:space="preserve">%)، وكما يلي: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3902"/>
        <w:gridCol w:w="3205"/>
      </w:tblGrid>
      <w:tr w:rsidR="005A2DDD" w:rsidRPr="003C38EF" w:rsidTr="00BA1467">
        <w:trPr>
          <w:jc w:val="center"/>
        </w:trPr>
        <w:tc>
          <w:tcPr>
            <w:tcW w:w="5000" w:type="pct"/>
            <w:gridSpan w:val="3"/>
            <w:shd w:val="clear" w:color="auto" w:fill="F2F2F2" w:themeFill="background1" w:themeFillShade="F2"/>
          </w:tcPr>
          <w:p w:rsidR="005A2DDD" w:rsidRPr="003C38EF" w:rsidRDefault="005A2DDD" w:rsidP="00BA1467">
            <w:pPr>
              <w:jc w:val="center"/>
              <w:rPr>
                <w:rtl/>
                <w:lang w:bidi="ar-JO"/>
              </w:rPr>
            </w:pPr>
            <w:r w:rsidRPr="003C38EF">
              <w:rPr>
                <w:rFonts w:hint="cs"/>
                <w:rtl/>
                <w:lang w:bidi="ar-JO"/>
              </w:rPr>
              <w:t>الفائض من رأس المال لدى البنك (ب)</w:t>
            </w:r>
          </w:p>
        </w:tc>
      </w:tr>
      <w:tr w:rsidR="005A2DDD" w:rsidRPr="003C38EF" w:rsidTr="00BA1467">
        <w:trPr>
          <w:jc w:val="center"/>
        </w:trPr>
        <w:tc>
          <w:tcPr>
            <w:tcW w:w="1115"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البند</w:t>
            </w:r>
          </w:p>
        </w:tc>
        <w:tc>
          <w:tcPr>
            <w:tcW w:w="2133"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 xml:space="preserve">الحد الأدنى مضافاً إليه رأس المال التحفظي </w:t>
            </w:r>
            <w:r w:rsidRPr="00BA1467">
              <w:rPr>
                <w:sz w:val="24"/>
                <w:szCs w:val="24"/>
              </w:rPr>
              <w:t>Conservation Buffer</w:t>
            </w:r>
            <w:r w:rsidRPr="00BA1467">
              <w:rPr>
                <w:rFonts w:hint="cs"/>
                <w:sz w:val="24"/>
                <w:szCs w:val="24"/>
                <w:rtl/>
                <w:lang w:bidi="ar-JO"/>
              </w:rPr>
              <w:t xml:space="preserve"> (2.5%)</w:t>
            </w:r>
          </w:p>
        </w:tc>
        <w:tc>
          <w:tcPr>
            <w:tcW w:w="1752"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الفائض</w:t>
            </w:r>
          </w:p>
        </w:tc>
      </w:tr>
      <w:tr w:rsidR="005A2DDD" w:rsidRPr="003C38EF" w:rsidTr="00BA1467">
        <w:trPr>
          <w:jc w:val="center"/>
        </w:trPr>
        <w:tc>
          <w:tcPr>
            <w:tcW w:w="1115" w:type="pct"/>
            <w:shd w:val="clear" w:color="auto" w:fill="auto"/>
            <w:vAlign w:val="center"/>
          </w:tcPr>
          <w:p w:rsidR="005A2DDD" w:rsidRPr="008C738C" w:rsidRDefault="005A2DDD" w:rsidP="00BA1467">
            <w:pPr>
              <w:jc w:val="center"/>
              <w:rPr>
                <w:sz w:val="24"/>
                <w:szCs w:val="24"/>
                <w:lang w:bidi="ar-JO"/>
              </w:rPr>
            </w:pPr>
            <w:r w:rsidRPr="008C738C">
              <w:rPr>
                <w:sz w:val="24"/>
                <w:szCs w:val="24"/>
                <w:lang w:bidi="ar-JO"/>
              </w:rPr>
              <w:t>CET1</w:t>
            </w:r>
          </w:p>
        </w:tc>
        <w:tc>
          <w:tcPr>
            <w:tcW w:w="2133"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8.5</w:t>
            </w:r>
          </w:p>
          <w:p w:rsidR="005A2DDD" w:rsidRPr="008C738C" w:rsidRDefault="005A2DDD" w:rsidP="00BA1467">
            <w:pPr>
              <w:jc w:val="center"/>
              <w:rPr>
                <w:sz w:val="24"/>
                <w:szCs w:val="24"/>
                <w:rtl/>
                <w:lang w:bidi="ar-JO"/>
              </w:rPr>
            </w:pPr>
            <w:r w:rsidRPr="008C738C">
              <w:rPr>
                <w:rFonts w:hint="cs"/>
                <w:sz w:val="24"/>
                <w:szCs w:val="24"/>
                <w:rtl/>
                <w:lang w:bidi="ar-JO"/>
              </w:rPr>
              <w:t>(8.5% * 100)</w:t>
            </w:r>
          </w:p>
        </w:tc>
        <w:tc>
          <w:tcPr>
            <w:tcW w:w="1752"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1.5</w:t>
            </w:r>
          </w:p>
          <w:p w:rsidR="005A2DDD" w:rsidRPr="008C738C" w:rsidRDefault="005A2DDD" w:rsidP="00BA1467">
            <w:pPr>
              <w:jc w:val="center"/>
              <w:rPr>
                <w:sz w:val="24"/>
                <w:szCs w:val="24"/>
                <w:rtl/>
                <w:lang w:bidi="ar-JO"/>
              </w:rPr>
            </w:pPr>
            <w:r w:rsidRPr="008C738C">
              <w:rPr>
                <w:rFonts w:hint="cs"/>
                <w:sz w:val="24"/>
                <w:szCs w:val="24"/>
                <w:rtl/>
                <w:lang w:bidi="ar-JO"/>
              </w:rPr>
              <w:t>(10-8.5)</w:t>
            </w:r>
          </w:p>
        </w:tc>
      </w:tr>
      <w:tr w:rsidR="005A2DDD" w:rsidRPr="003C38EF" w:rsidTr="00BA1467">
        <w:trPr>
          <w:jc w:val="center"/>
        </w:trPr>
        <w:tc>
          <w:tcPr>
            <w:tcW w:w="1115" w:type="pct"/>
            <w:shd w:val="clear" w:color="auto" w:fill="auto"/>
            <w:vAlign w:val="center"/>
          </w:tcPr>
          <w:p w:rsidR="005A2DDD" w:rsidRPr="008C738C" w:rsidRDefault="005A2DDD" w:rsidP="00BA1467">
            <w:pPr>
              <w:jc w:val="center"/>
              <w:rPr>
                <w:sz w:val="24"/>
                <w:szCs w:val="24"/>
                <w:lang w:bidi="ar-JO"/>
              </w:rPr>
            </w:pPr>
            <w:r w:rsidRPr="008C738C">
              <w:rPr>
                <w:sz w:val="24"/>
                <w:szCs w:val="24"/>
                <w:lang w:bidi="ar-JO"/>
              </w:rPr>
              <w:t>T1</w:t>
            </w:r>
          </w:p>
          <w:p w:rsidR="005A2DDD" w:rsidRPr="008C738C" w:rsidRDefault="005A2DDD" w:rsidP="00BA1467">
            <w:pPr>
              <w:jc w:val="center"/>
              <w:rPr>
                <w:sz w:val="24"/>
                <w:szCs w:val="24"/>
                <w:rtl/>
                <w:lang w:bidi="ar-JO"/>
              </w:rPr>
            </w:pPr>
            <w:r w:rsidRPr="008C738C">
              <w:rPr>
                <w:sz w:val="24"/>
                <w:szCs w:val="24"/>
                <w:lang w:bidi="ar-JO"/>
              </w:rPr>
              <w:t>(CET1+AT1)</w:t>
            </w:r>
          </w:p>
        </w:tc>
        <w:tc>
          <w:tcPr>
            <w:tcW w:w="2133"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10</w:t>
            </w:r>
          </w:p>
          <w:p w:rsidR="005A2DDD" w:rsidRPr="008C738C" w:rsidRDefault="005A2DDD" w:rsidP="00BA1467">
            <w:pPr>
              <w:jc w:val="center"/>
              <w:rPr>
                <w:sz w:val="24"/>
                <w:szCs w:val="24"/>
                <w:rtl/>
                <w:lang w:bidi="ar-JO"/>
              </w:rPr>
            </w:pPr>
            <w:r w:rsidRPr="008C738C">
              <w:rPr>
                <w:rFonts w:hint="cs"/>
                <w:sz w:val="24"/>
                <w:szCs w:val="24"/>
                <w:rtl/>
                <w:lang w:bidi="ar-JO"/>
              </w:rPr>
              <w:t>(10% * 100)</w:t>
            </w:r>
          </w:p>
        </w:tc>
        <w:tc>
          <w:tcPr>
            <w:tcW w:w="1752"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5</w:t>
            </w:r>
          </w:p>
          <w:p w:rsidR="005A2DDD" w:rsidRPr="008C738C" w:rsidRDefault="005A2DDD" w:rsidP="00BA1467">
            <w:pPr>
              <w:jc w:val="center"/>
              <w:rPr>
                <w:sz w:val="24"/>
                <w:szCs w:val="24"/>
                <w:rtl/>
                <w:lang w:bidi="ar-JO"/>
              </w:rPr>
            </w:pPr>
            <w:r w:rsidRPr="008C738C">
              <w:rPr>
                <w:rFonts w:hint="cs"/>
                <w:sz w:val="24"/>
                <w:szCs w:val="24"/>
                <w:rtl/>
                <w:lang w:bidi="ar-JO"/>
              </w:rPr>
              <w:t>(10+5-10)</w:t>
            </w:r>
          </w:p>
        </w:tc>
      </w:tr>
      <w:tr w:rsidR="005A2DDD" w:rsidRPr="003C38EF" w:rsidTr="00BA1467">
        <w:trPr>
          <w:jc w:val="center"/>
        </w:trPr>
        <w:tc>
          <w:tcPr>
            <w:tcW w:w="1115" w:type="pct"/>
            <w:shd w:val="clear" w:color="auto" w:fill="auto"/>
            <w:vAlign w:val="center"/>
          </w:tcPr>
          <w:p w:rsidR="005A2DDD" w:rsidRPr="008C738C" w:rsidRDefault="005A2DDD" w:rsidP="00BA1467">
            <w:pPr>
              <w:jc w:val="center"/>
              <w:rPr>
                <w:sz w:val="24"/>
                <w:szCs w:val="24"/>
                <w:lang w:bidi="ar-JO"/>
              </w:rPr>
            </w:pPr>
            <w:r w:rsidRPr="008C738C">
              <w:rPr>
                <w:sz w:val="24"/>
                <w:szCs w:val="24"/>
                <w:lang w:bidi="ar-JO"/>
              </w:rPr>
              <w:t>TC</w:t>
            </w:r>
          </w:p>
          <w:p w:rsidR="005A2DDD" w:rsidRPr="008C738C" w:rsidRDefault="005A2DDD" w:rsidP="00BA1467">
            <w:pPr>
              <w:jc w:val="center"/>
              <w:rPr>
                <w:sz w:val="24"/>
                <w:szCs w:val="24"/>
                <w:lang w:bidi="ar-JO"/>
              </w:rPr>
            </w:pPr>
            <w:r w:rsidRPr="008C738C">
              <w:rPr>
                <w:sz w:val="24"/>
                <w:szCs w:val="24"/>
                <w:lang w:bidi="ar-JO"/>
              </w:rPr>
              <w:t>(CET1+AT1+T2)</w:t>
            </w:r>
          </w:p>
        </w:tc>
        <w:tc>
          <w:tcPr>
            <w:tcW w:w="2133"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12</w:t>
            </w:r>
          </w:p>
          <w:p w:rsidR="005A2DDD" w:rsidRPr="008C738C" w:rsidRDefault="005A2DDD" w:rsidP="00BA1467">
            <w:pPr>
              <w:jc w:val="center"/>
              <w:rPr>
                <w:sz w:val="24"/>
                <w:szCs w:val="24"/>
                <w:rtl/>
                <w:lang w:bidi="ar-JO"/>
              </w:rPr>
            </w:pPr>
            <w:r w:rsidRPr="008C738C">
              <w:rPr>
                <w:rFonts w:hint="cs"/>
                <w:sz w:val="24"/>
                <w:szCs w:val="24"/>
                <w:rtl/>
                <w:lang w:bidi="ar-JO"/>
              </w:rPr>
              <w:t>(12% * 100)</w:t>
            </w:r>
          </w:p>
        </w:tc>
        <w:tc>
          <w:tcPr>
            <w:tcW w:w="1752"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11</w:t>
            </w:r>
          </w:p>
          <w:p w:rsidR="005A2DDD" w:rsidRPr="008C738C" w:rsidRDefault="005A2DDD" w:rsidP="00BA1467">
            <w:pPr>
              <w:jc w:val="center"/>
              <w:rPr>
                <w:sz w:val="24"/>
                <w:szCs w:val="24"/>
                <w:rtl/>
                <w:lang w:bidi="ar-JO"/>
              </w:rPr>
            </w:pPr>
            <w:r w:rsidRPr="008C738C">
              <w:rPr>
                <w:rFonts w:hint="cs"/>
                <w:sz w:val="24"/>
                <w:szCs w:val="24"/>
                <w:rtl/>
                <w:lang w:bidi="ar-JO"/>
              </w:rPr>
              <w:t>(10+5+8-12)</w:t>
            </w:r>
          </w:p>
        </w:tc>
      </w:tr>
    </w:tbl>
    <w:p w:rsidR="005A2DDD" w:rsidRDefault="005A2DDD" w:rsidP="005A2DDD">
      <w:pPr>
        <w:rPr>
          <w:rtl/>
          <w:lang w:bidi="ar-JO"/>
        </w:rPr>
      </w:pPr>
    </w:p>
    <w:p w:rsidR="005A2DDD" w:rsidRPr="00BA1467" w:rsidRDefault="005A2DDD" w:rsidP="005A2DDD">
      <w:pPr>
        <w:rPr>
          <w:b w:val="0"/>
          <w:bCs w:val="0"/>
          <w:sz w:val="28"/>
          <w:szCs w:val="28"/>
          <w:rtl/>
          <w:lang w:bidi="ar-JO"/>
        </w:rPr>
      </w:pPr>
      <w:r w:rsidRPr="00BA1467">
        <w:rPr>
          <w:rFonts w:hint="cs"/>
          <w:b w:val="0"/>
          <w:bCs w:val="0"/>
          <w:sz w:val="28"/>
          <w:szCs w:val="28"/>
          <w:rtl/>
          <w:lang w:bidi="ar-JO"/>
        </w:rPr>
        <w:t xml:space="preserve">ويبين الجدول التالي كيفية احتساب رأس المال المصدر من قبل البنك (ب) والذي سيظهر في البيانات المالية الموحدة للمجموعة البنكية :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088"/>
        <w:gridCol w:w="1361"/>
        <w:gridCol w:w="953"/>
        <w:gridCol w:w="2586"/>
        <w:gridCol w:w="2261"/>
      </w:tblGrid>
      <w:tr w:rsidR="005A2DDD" w:rsidRPr="003C38EF" w:rsidTr="00BA1467">
        <w:trPr>
          <w:jc w:val="center"/>
        </w:trPr>
        <w:tc>
          <w:tcPr>
            <w:tcW w:w="5000" w:type="pct"/>
            <w:gridSpan w:val="6"/>
            <w:shd w:val="clear" w:color="auto" w:fill="F2F2F2" w:themeFill="background1" w:themeFillShade="F2"/>
            <w:vAlign w:val="center"/>
          </w:tcPr>
          <w:p w:rsidR="005A2DDD" w:rsidRPr="00BA1467" w:rsidRDefault="005A2DDD" w:rsidP="00BA1467">
            <w:pPr>
              <w:jc w:val="center"/>
              <w:rPr>
                <w:rtl/>
                <w:lang w:bidi="ar-JO"/>
              </w:rPr>
            </w:pPr>
            <w:r w:rsidRPr="00BA1467">
              <w:rPr>
                <w:rFonts w:hint="cs"/>
                <w:rtl/>
                <w:lang w:bidi="ar-JO"/>
              </w:rPr>
              <w:t>البنك (ب): رأس المال المصدر إلى أطراف ثالثة والمدرج ضمن رأس المال الموحد</w:t>
            </w:r>
          </w:p>
        </w:tc>
      </w:tr>
      <w:tr w:rsidR="005A2DDD" w:rsidRPr="003C38EF" w:rsidTr="00BA1467">
        <w:trPr>
          <w:jc w:val="center"/>
        </w:trPr>
        <w:tc>
          <w:tcPr>
            <w:tcW w:w="490"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البند</w:t>
            </w:r>
          </w:p>
        </w:tc>
        <w:tc>
          <w:tcPr>
            <w:tcW w:w="595"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إجمالي المبلغ المصدر من البنك (ب)</w:t>
            </w:r>
          </w:p>
          <w:p w:rsidR="005A2DDD" w:rsidRPr="00BA1467" w:rsidRDefault="005A2DDD" w:rsidP="00BA1467">
            <w:pPr>
              <w:jc w:val="center"/>
              <w:rPr>
                <w:sz w:val="24"/>
                <w:szCs w:val="24"/>
                <w:rtl/>
                <w:lang w:bidi="ar-JO"/>
              </w:rPr>
            </w:pPr>
            <w:r w:rsidRPr="00BA1467">
              <w:rPr>
                <w:rFonts w:hint="cs"/>
                <w:sz w:val="24"/>
                <w:szCs w:val="24"/>
                <w:rtl/>
                <w:lang w:bidi="ar-JO"/>
              </w:rPr>
              <w:t>(1)</w:t>
            </w:r>
          </w:p>
        </w:tc>
        <w:tc>
          <w:tcPr>
            <w:tcW w:w="744"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المبلغ المصدر لطرف ثالث (حقوق الأقلية)</w:t>
            </w:r>
          </w:p>
          <w:p w:rsidR="005A2DDD" w:rsidRPr="00BA1467" w:rsidRDefault="005A2DDD" w:rsidP="00BA1467">
            <w:pPr>
              <w:jc w:val="center"/>
              <w:rPr>
                <w:sz w:val="24"/>
                <w:szCs w:val="24"/>
                <w:rtl/>
                <w:lang w:bidi="ar-JO"/>
              </w:rPr>
            </w:pPr>
            <w:r w:rsidRPr="00BA1467">
              <w:rPr>
                <w:rFonts w:hint="cs"/>
                <w:sz w:val="24"/>
                <w:szCs w:val="24"/>
                <w:rtl/>
                <w:lang w:bidi="ar-JO"/>
              </w:rPr>
              <w:t>(2)</w:t>
            </w:r>
          </w:p>
        </w:tc>
        <w:tc>
          <w:tcPr>
            <w:tcW w:w="521"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الفائض</w:t>
            </w:r>
          </w:p>
          <w:p w:rsidR="005A2DDD" w:rsidRPr="00BA1467" w:rsidRDefault="005A2DDD" w:rsidP="00BA1467">
            <w:pPr>
              <w:jc w:val="center"/>
              <w:rPr>
                <w:sz w:val="24"/>
                <w:szCs w:val="24"/>
                <w:rtl/>
                <w:lang w:bidi="ar-JO"/>
              </w:rPr>
            </w:pPr>
            <w:r w:rsidRPr="00BA1467">
              <w:rPr>
                <w:rFonts w:hint="cs"/>
                <w:sz w:val="24"/>
                <w:szCs w:val="24"/>
                <w:rtl/>
                <w:lang w:bidi="ar-JO"/>
              </w:rPr>
              <w:t>(3)</w:t>
            </w:r>
          </w:p>
        </w:tc>
        <w:tc>
          <w:tcPr>
            <w:tcW w:w="1414" w:type="pct"/>
            <w:shd w:val="clear" w:color="auto" w:fill="F2F2F2" w:themeFill="background1" w:themeFillShade="F2"/>
            <w:vAlign w:val="center"/>
          </w:tcPr>
          <w:p w:rsidR="005A2DDD" w:rsidRPr="00BA1467" w:rsidRDefault="005A2DDD" w:rsidP="00290249">
            <w:pPr>
              <w:jc w:val="center"/>
              <w:rPr>
                <w:sz w:val="24"/>
                <w:szCs w:val="24"/>
                <w:rtl/>
                <w:lang w:bidi="ar-JO"/>
              </w:rPr>
            </w:pPr>
            <w:r w:rsidRPr="00BA1467">
              <w:rPr>
                <w:rFonts w:hint="cs"/>
                <w:sz w:val="24"/>
                <w:szCs w:val="24"/>
                <w:rtl/>
                <w:lang w:bidi="ar-JO"/>
              </w:rPr>
              <w:t xml:space="preserve">حصة حقوق الأقلية من الفائض في رأس المال (المبلغ الذي لا يجوز تضمينه ضمن </w:t>
            </w:r>
            <w:r w:rsidR="00725827">
              <w:rPr>
                <w:rFonts w:hint="cs"/>
                <w:sz w:val="24"/>
                <w:szCs w:val="24"/>
                <w:rtl/>
                <w:lang w:bidi="ar-JO"/>
              </w:rPr>
              <w:t>حقوق الملكية</w:t>
            </w:r>
            <w:r w:rsidRPr="00BA1467">
              <w:rPr>
                <w:rFonts w:hint="cs"/>
                <w:sz w:val="24"/>
                <w:szCs w:val="24"/>
                <w:rtl/>
                <w:lang w:bidi="ar-JO"/>
              </w:rPr>
              <w:t xml:space="preserve"> للبنك)</w:t>
            </w:r>
          </w:p>
          <w:p w:rsidR="005A2DDD" w:rsidRPr="00BA1467" w:rsidRDefault="005A2DDD" w:rsidP="00BA1467">
            <w:pPr>
              <w:jc w:val="center"/>
              <w:rPr>
                <w:sz w:val="24"/>
                <w:szCs w:val="24"/>
                <w:rtl/>
                <w:lang w:bidi="ar-JO"/>
              </w:rPr>
            </w:pPr>
            <w:r w:rsidRPr="00BA1467">
              <w:rPr>
                <w:rFonts w:hint="cs"/>
                <w:sz w:val="24"/>
                <w:szCs w:val="24"/>
                <w:rtl/>
                <w:lang w:bidi="ar-JO"/>
              </w:rPr>
              <w:t>(4)</w:t>
            </w:r>
          </w:p>
          <w:p w:rsidR="005A2DDD" w:rsidRPr="00BA1467" w:rsidRDefault="005A2DDD" w:rsidP="00BA1467">
            <w:pPr>
              <w:jc w:val="center"/>
              <w:rPr>
                <w:sz w:val="24"/>
                <w:szCs w:val="24"/>
                <w:rtl/>
                <w:lang w:bidi="ar-JO"/>
              </w:rPr>
            </w:pPr>
            <w:r w:rsidRPr="00BA1467">
              <w:rPr>
                <w:rFonts w:hint="cs"/>
                <w:sz w:val="24"/>
                <w:szCs w:val="24"/>
                <w:rtl/>
                <w:lang w:bidi="ar-JO"/>
              </w:rPr>
              <w:t>= (3) * (2)/(1)</w:t>
            </w:r>
          </w:p>
        </w:tc>
        <w:tc>
          <w:tcPr>
            <w:tcW w:w="1235"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المبلغ الذي سيتم الاعتراف به ضمن</w:t>
            </w:r>
            <w:r w:rsidR="00290249">
              <w:rPr>
                <w:rFonts w:hint="cs"/>
                <w:sz w:val="24"/>
                <w:szCs w:val="24"/>
                <w:rtl/>
                <w:lang w:bidi="ar-JO"/>
              </w:rPr>
              <w:t xml:space="preserve"> حقوق الملكية في</w:t>
            </w:r>
            <w:r w:rsidRPr="00BA1467">
              <w:rPr>
                <w:rFonts w:hint="cs"/>
                <w:sz w:val="24"/>
                <w:szCs w:val="24"/>
                <w:rtl/>
                <w:lang w:bidi="ar-JO"/>
              </w:rPr>
              <w:t xml:space="preserve"> الميزانية الموحدة</w:t>
            </w:r>
          </w:p>
          <w:p w:rsidR="005A2DDD" w:rsidRPr="00BA1467" w:rsidRDefault="005A2DDD" w:rsidP="00BA1467">
            <w:pPr>
              <w:jc w:val="center"/>
              <w:rPr>
                <w:sz w:val="24"/>
                <w:szCs w:val="24"/>
                <w:rtl/>
                <w:lang w:bidi="ar-JO"/>
              </w:rPr>
            </w:pPr>
            <w:r w:rsidRPr="00BA1467">
              <w:rPr>
                <w:rFonts w:hint="cs"/>
                <w:sz w:val="24"/>
                <w:szCs w:val="24"/>
                <w:rtl/>
                <w:lang w:bidi="ar-JO"/>
              </w:rPr>
              <w:t xml:space="preserve">= (2) </w:t>
            </w:r>
            <w:r w:rsidRPr="00BA1467">
              <w:rPr>
                <w:sz w:val="24"/>
                <w:szCs w:val="24"/>
                <w:rtl/>
                <w:lang w:bidi="ar-JO"/>
              </w:rPr>
              <w:t>–</w:t>
            </w:r>
            <w:r w:rsidRPr="00BA1467">
              <w:rPr>
                <w:rFonts w:hint="cs"/>
                <w:sz w:val="24"/>
                <w:szCs w:val="24"/>
                <w:rtl/>
                <w:lang w:bidi="ar-JO"/>
              </w:rPr>
              <w:t xml:space="preserve"> (4)</w:t>
            </w:r>
          </w:p>
        </w:tc>
      </w:tr>
      <w:tr w:rsidR="005A2DDD" w:rsidRPr="003C38EF" w:rsidTr="00BA1467">
        <w:trPr>
          <w:jc w:val="center"/>
        </w:trPr>
        <w:tc>
          <w:tcPr>
            <w:tcW w:w="490" w:type="pct"/>
            <w:shd w:val="clear" w:color="auto" w:fill="auto"/>
            <w:vAlign w:val="center"/>
          </w:tcPr>
          <w:p w:rsidR="005A2DDD" w:rsidRPr="00BA1467" w:rsidRDefault="005A2DDD" w:rsidP="00BA1467">
            <w:pPr>
              <w:jc w:val="center"/>
              <w:rPr>
                <w:sz w:val="24"/>
                <w:szCs w:val="24"/>
                <w:lang w:bidi="ar-JO"/>
              </w:rPr>
            </w:pPr>
            <w:r w:rsidRPr="00BA1467">
              <w:rPr>
                <w:sz w:val="24"/>
                <w:szCs w:val="24"/>
                <w:lang w:bidi="ar-JO"/>
              </w:rPr>
              <w:t>CET1</w:t>
            </w:r>
          </w:p>
        </w:tc>
        <w:tc>
          <w:tcPr>
            <w:tcW w:w="59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10</w:t>
            </w:r>
          </w:p>
        </w:tc>
        <w:tc>
          <w:tcPr>
            <w:tcW w:w="744"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3</w:t>
            </w:r>
          </w:p>
        </w:tc>
        <w:tc>
          <w:tcPr>
            <w:tcW w:w="521"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1.5</w:t>
            </w:r>
          </w:p>
        </w:tc>
        <w:tc>
          <w:tcPr>
            <w:tcW w:w="1414"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0.45</w:t>
            </w:r>
          </w:p>
        </w:tc>
        <w:tc>
          <w:tcPr>
            <w:tcW w:w="123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2.55</w:t>
            </w:r>
          </w:p>
        </w:tc>
      </w:tr>
      <w:tr w:rsidR="005A2DDD" w:rsidRPr="003C38EF" w:rsidTr="00BA1467">
        <w:trPr>
          <w:jc w:val="center"/>
        </w:trPr>
        <w:tc>
          <w:tcPr>
            <w:tcW w:w="490" w:type="pct"/>
            <w:shd w:val="clear" w:color="auto" w:fill="auto"/>
            <w:vAlign w:val="center"/>
          </w:tcPr>
          <w:p w:rsidR="005A2DDD" w:rsidRPr="00BA1467" w:rsidRDefault="005A2DDD" w:rsidP="00BA1467">
            <w:pPr>
              <w:jc w:val="center"/>
              <w:rPr>
                <w:sz w:val="24"/>
                <w:szCs w:val="24"/>
                <w:rtl/>
                <w:lang w:bidi="ar-JO"/>
              </w:rPr>
            </w:pPr>
            <w:r w:rsidRPr="00BA1467">
              <w:rPr>
                <w:sz w:val="24"/>
                <w:szCs w:val="24"/>
                <w:lang w:bidi="ar-JO"/>
              </w:rPr>
              <w:t>T1</w:t>
            </w:r>
          </w:p>
        </w:tc>
        <w:tc>
          <w:tcPr>
            <w:tcW w:w="59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15</w:t>
            </w:r>
          </w:p>
        </w:tc>
        <w:tc>
          <w:tcPr>
            <w:tcW w:w="744"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4</w:t>
            </w:r>
          </w:p>
        </w:tc>
        <w:tc>
          <w:tcPr>
            <w:tcW w:w="521"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5</w:t>
            </w:r>
          </w:p>
        </w:tc>
        <w:tc>
          <w:tcPr>
            <w:tcW w:w="1414"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1.33</w:t>
            </w:r>
          </w:p>
        </w:tc>
        <w:tc>
          <w:tcPr>
            <w:tcW w:w="123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2.67</w:t>
            </w:r>
          </w:p>
        </w:tc>
      </w:tr>
      <w:tr w:rsidR="005A2DDD" w:rsidRPr="003C38EF" w:rsidTr="00BA1467">
        <w:trPr>
          <w:jc w:val="center"/>
        </w:trPr>
        <w:tc>
          <w:tcPr>
            <w:tcW w:w="490" w:type="pct"/>
            <w:shd w:val="clear" w:color="auto" w:fill="auto"/>
            <w:vAlign w:val="center"/>
          </w:tcPr>
          <w:p w:rsidR="005A2DDD" w:rsidRPr="00BA1467" w:rsidRDefault="005A2DDD" w:rsidP="00BA1467">
            <w:pPr>
              <w:jc w:val="center"/>
              <w:rPr>
                <w:sz w:val="24"/>
                <w:szCs w:val="24"/>
                <w:lang w:bidi="ar-JO"/>
              </w:rPr>
            </w:pPr>
            <w:r w:rsidRPr="00BA1467">
              <w:rPr>
                <w:sz w:val="24"/>
                <w:szCs w:val="24"/>
                <w:lang w:bidi="ar-JO"/>
              </w:rPr>
              <w:t>TC</w:t>
            </w:r>
          </w:p>
        </w:tc>
        <w:tc>
          <w:tcPr>
            <w:tcW w:w="59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23</w:t>
            </w:r>
          </w:p>
        </w:tc>
        <w:tc>
          <w:tcPr>
            <w:tcW w:w="744"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10</w:t>
            </w:r>
          </w:p>
        </w:tc>
        <w:tc>
          <w:tcPr>
            <w:tcW w:w="521" w:type="pct"/>
            <w:shd w:val="clear" w:color="auto" w:fill="auto"/>
          </w:tcPr>
          <w:p w:rsidR="005A2DDD" w:rsidRPr="008C738C" w:rsidRDefault="00725827" w:rsidP="00BA1467">
            <w:pPr>
              <w:jc w:val="center"/>
              <w:rPr>
                <w:sz w:val="24"/>
                <w:szCs w:val="24"/>
                <w:rtl/>
                <w:lang w:bidi="ar-JO"/>
              </w:rPr>
            </w:pPr>
            <w:r>
              <w:rPr>
                <w:rFonts w:hint="cs"/>
                <w:sz w:val="24"/>
                <w:szCs w:val="24"/>
                <w:rtl/>
                <w:lang w:bidi="ar-JO"/>
              </w:rPr>
              <w:t>11</w:t>
            </w:r>
          </w:p>
        </w:tc>
        <w:tc>
          <w:tcPr>
            <w:tcW w:w="1414" w:type="pct"/>
            <w:shd w:val="clear" w:color="auto" w:fill="auto"/>
          </w:tcPr>
          <w:p w:rsidR="005A2DDD" w:rsidRPr="008C738C" w:rsidRDefault="005A2DDD" w:rsidP="00725827">
            <w:pPr>
              <w:jc w:val="center"/>
              <w:rPr>
                <w:sz w:val="24"/>
                <w:szCs w:val="24"/>
                <w:rtl/>
                <w:lang w:bidi="ar-JO"/>
              </w:rPr>
            </w:pPr>
            <w:r w:rsidRPr="008C738C">
              <w:rPr>
                <w:rFonts w:hint="cs"/>
                <w:sz w:val="24"/>
                <w:szCs w:val="24"/>
                <w:rtl/>
                <w:lang w:bidi="ar-JO"/>
              </w:rPr>
              <w:t>4.</w:t>
            </w:r>
            <w:r w:rsidR="00725827">
              <w:rPr>
                <w:rFonts w:hint="cs"/>
                <w:sz w:val="24"/>
                <w:szCs w:val="24"/>
                <w:rtl/>
                <w:lang w:bidi="ar-JO"/>
              </w:rPr>
              <w:t>78</w:t>
            </w:r>
          </w:p>
        </w:tc>
        <w:tc>
          <w:tcPr>
            <w:tcW w:w="1235" w:type="pct"/>
            <w:shd w:val="clear" w:color="auto" w:fill="auto"/>
          </w:tcPr>
          <w:p w:rsidR="005A2DDD" w:rsidRPr="008C738C" w:rsidRDefault="005A2DDD" w:rsidP="00725827">
            <w:pPr>
              <w:jc w:val="center"/>
              <w:rPr>
                <w:sz w:val="24"/>
                <w:szCs w:val="24"/>
                <w:rtl/>
                <w:lang w:bidi="ar-JO"/>
              </w:rPr>
            </w:pPr>
            <w:r w:rsidRPr="008C738C">
              <w:rPr>
                <w:rFonts w:hint="cs"/>
                <w:sz w:val="24"/>
                <w:szCs w:val="24"/>
                <w:rtl/>
                <w:lang w:bidi="ar-JO"/>
              </w:rPr>
              <w:t>5.</w:t>
            </w:r>
            <w:r w:rsidR="00725827">
              <w:rPr>
                <w:rFonts w:hint="cs"/>
                <w:sz w:val="24"/>
                <w:szCs w:val="24"/>
                <w:rtl/>
                <w:lang w:bidi="ar-JO"/>
              </w:rPr>
              <w:t>22</w:t>
            </w:r>
          </w:p>
        </w:tc>
      </w:tr>
    </w:tbl>
    <w:p w:rsidR="005A2DDD" w:rsidRPr="00BA1467" w:rsidRDefault="005A2DDD" w:rsidP="00BA1467">
      <w:pPr>
        <w:rPr>
          <w:b w:val="0"/>
          <w:bCs w:val="0"/>
          <w:rtl/>
          <w:lang w:bidi="ar-JO"/>
        </w:rPr>
      </w:pPr>
      <w:r w:rsidRPr="00BA1467">
        <w:rPr>
          <w:rFonts w:hint="cs"/>
          <w:b w:val="0"/>
          <w:bCs w:val="0"/>
          <w:rtl/>
          <w:lang w:bidi="ar-JO"/>
        </w:rPr>
        <w:lastRenderedPageBreak/>
        <w:t>ويلخص الجدول التالي مكونات رأسمال المجموعة وفقاً للمبالغ التي تم احتسابها أعلاه، حيث يتم احتساب رأس المال الإضافي (</w:t>
      </w:r>
      <w:r w:rsidRPr="00BA1467">
        <w:rPr>
          <w:b w:val="0"/>
          <w:bCs w:val="0"/>
          <w:lang w:bidi="ar-JO"/>
        </w:rPr>
        <w:t>AT1</w:t>
      </w:r>
      <w:r w:rsidRPr="00BA1467">
        <w:rPr>
          <w:rFonts w:hint="cs"/>
          <w:b w:val="0"/>
          <w:bCs w:val="0"/>
          <w:rtl/>
          <w:lang w:bidi="ar-JO"/>
        </w:rPr>
        <w:t>) على أنه الفرق بين حقوق حملة الأسهم العادية (</w:t>
      </w:r>
      <w:r w:rsidRPr="00BA1467">
        <w:rPr>
          <w:b w:val="0"/>
          <w:bCs w:val="0"/>
          <w:lang w:bidi="ar-JO"/>
        </w:rPr>
        <w:t>CET1</w:t>
      </w:r>
      <w:r w:rsidRPr="00BA1467">
        <w:rPr>
          <w:rFonts w:hint="cs"/>
          <w:b w:val="0"/>
          <w:bCs w:val="0"/>
          <w:rtl/>
          <w:lang w:bidi="ar-JO"/>
        </w:rPr>
        <w:t>) وبين رأس المال الأساسي (</w:t>
      </w:r>
      <w:r w:rsidRPr="00BA1467">
        <w:rPr>
          <w:b w:val="0"/>
          <w:bCs w:val="0"/>
          <w:lang w:bidi="ar-JO"/>
        </w:rPr>
        <w:t>T1</w:t>
      </w:r>
      <w:r w:rsidRPr="00BA1467">
        <w:rPr>
          <w:rFonts w:hint="cs"/>
          <w:b w:val="0"/>
          <w:bCs w:val="0"/>
          <w:rtl/>
          <w:lang w:bidi="ar-JO"/>
        </w:rPr>
        <w:t>)، ويتم احتساب رأس المال المساند (</w:t>
      </w:r>
      <w:r w:rsidRPr="00BA1467">
        <w:rPr>
          <w:b w:val="0"/>
          <w:bCs w:val="0"/>
          <w:lang w:bidi="ar-JO"/>
        </w:rPr>
        <w:t>T2</w:t>
      </w:r>
      <w:r w:rsidRPr="00BA1467">
        <w:rPr>
          <w:rFonts w:hint="cs"/>
          <w:b w:val="0"/>
          <w:bCs w:val="0"/>
          <w:rtl/>
          <w:lang w:bidi="ar-JO"/>
        </w:rPr>
        <w:t>) على أنه الفرق بين إجمالي رأس المال وبين رأس المال الأساسي (</w:t>
      </w:r>
      <w:r w:rsidRPr="00BA1467">
        <w:rPr>
          <w:b w:val="0"/>
          <w:bCs w:val="0"/>
          <w:lang w:bidi="ar-JO"/>
        </w:rPr>
        <w:t>T1</w:t>
      </w:r>
      <w:r w:rsidRPr="00BA1467">
        <w:rPr>
          <w:rFonts w:hint="cs"/>
          <w:b w:val="0"/>
          <w:bCs w:val="0"/>
          <w:rtl/>
          <w:lang w:bidi="ar-JO"/>
        </w:rPr>
        <w:t>).</w:t>
      </w:r>
    </w:p>
    <w:tbl>
      <w:tblPr>
        <w:bidiVisual/>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082"/>
        <w:gridCol w:w="2082"/>
        <w:gridCol w:w="1894"/>
      </w:tblGrid>
      <w:tr w:rsidR="005A2DDD" w:rsidRPr="006D7D62" w:rsidTr="0024115F">
        <w:tc>
          <w:tcPr>
            <w:tcW w:w="1724"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البيان</w:t>
            </w:r>
          </w:p>
        </w:tc>
        <w:tc>
          <w:tcPr>
            <w:tcW w:w="1126"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إجمالي المبلغ المصدر من البنك الأم (يتم إدراج المبلغ كاملاً ضمن رأس المال الموحد)</w:t>
            </w:r>
          </w:p>
        </w:tc>
        <w:tc>
          <w:tcPr>
            <w:tcW w:w="1126"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المبلغ المصدر من شركات تابعة إلى أطراف ثالثة والمدرج ضمن راس المال الموحد</w:t>
            </w:r>
          </w:p>
        </w:tc>
        <w:tc>
          <w:tcPr>
            <w:tcW w:w="1025" w:type="pct"/>
            <w:shd w:val="clear" w:color="auto" w:fill="F2F2F2" w:themeFill="background1" w:themeFillShade="F2"/>
            <w:vAlign w:val="center"/>
          </w:tcPr>
          <w:p w:rsidR="005A2DDD" w:rsidRPr="00BA1467" w:rsidRDefault="005A2DDD" w:rsidP="00BA1467">
            <w:pPr>
              <w:jc w:val="center"/>
              <w:rPr>
                <w:sz w:val="24"/>
                <w:szCs w:val="24"/>
                <w:rtl/>
                <w:lang w:bidi="ar-JO"/>
              </w:rPr>
            </w:pPr>
            <w:r w:rsidRPr="00BA1467">
              <w:rPr>
                <w:rFonts w:hint="cs"/>
                <w:sz w:val="24"/>
                <w:szCs w:val="24"/>
                <w:rtl/>
                <w:lang w:bidi="ar-JO"/>
              </w:rPr>
              <w:t>إجمالي المبلغ المصدر من البنك الأم والبنك التابع والمدرج ضمن رأس المال الموحد</w:t>
            </w:r>
          </w:p>
        </w:tc>
      </w:tr>
      <w:tr w:rsidR="005A2DDD" w:rsidRPr="006D7D62" w:rsidTr="0024115F">
        <w:tc>
          <w:tcPr>
            <w:tcW w:w="1724" w:type="pct"/>
            <w:shd w:val="clear" w:color="auto" w:fill="auto"/>
          </w:tcPr>
          <w:p w:rsidR="005A2DDD" w:rsidRPr="0024115F" w:rsidRDefault="005A2DDD" w:rsidP="0024115F">
            <w:pPr>
              <w:jc w:val="left"/>
              <w:rPr>
                <w:sz w:val="24"/>
                <w:szCs w:val="24"/>
                <w:rtl/>
                <w:lang w:bidi="ar-JO"/>
              </w:rPr>
            </w:pPr>
            <w:r w:rsidRPr="0024115F">
              <w:rPr>
                <w:rFonts w:hint="cs"/>
                <w:sz w:val="24"/>
                <w:szCs w:val="24"/>
                <w:rtl/>
                <w:lang w:bidi="ar-JO"/>
              </w:rPr>
              <w:t>حقوق حملة الأسهم العادية (</w:t>
            </w:r>
            <w:r w:rsidRPr="0024115F">
              <w:rPr>
                <w:sz w:val="24"/>
                <w:szCs w:val="24"/>
                <w:lang w:bidi="ar-JO"/>
              </w:rPr>
              <w:t>CET1</w:t>
            </w:r>
            <w:r w:rsidRPr="0024115F">
              <w:rPr>
                <w:rFonts w:hint="cs"/>
                <w:sz w:val="24"/>
                <w:szCs w:val="24"/>
                <w:rtl/>
                <w:lang w:bidi="ar-JO"/>
              </w:rPr>
              <w:t>)</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26</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2.55</w:t>
            </w:r>
          </w:p>
        </w:tc>
        <w:tc>
          <w:tcPr>
            <w:tcW w:w="102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28.55</w:t>
            </w:r>
          </w:p>
        </w:tc>
      </w:tr>
      <w:tr w:rsidR="005A2DDD" w:rsidRPr="006D7D62" w:rsidTr="0024115F">
        <w:tc>
          <w:tcPr>
            <w:tcW w:w="1724" w:type="pct"/>
            <w:shd w:val="clear" w:color="auto" w:fill="auto"/>
          </w:tcPr>
          <w:p w:rsidR="005A2DDD" w:rsidRPr="0024115F" w:rsidRDefault="005A2DDD" w:rsidP="0024115F">
            <w:pPr>
              <w:jc w:val="left"/>
              <w:rPr>
                <w:sz w:val="24"/>
                <w:szCs w:val="24"/>
                <w:rtl/>
                <w:lang w:bidi="ar-JO"/>
              </w:rPr>
            </w:pPr>
            <w:r w:rsidRPr="0024115F">
              <w:rPr>
                <w:rFonts w:hint="cs"/>
                <w:sz w:val="24"/>
                <w:szCs w:val="24"/>
                <w:rtl/>
                <w:lang w:bidi="ar-JO"/>
              </w:rPr>
              <w:t>رأس المال الإضافي (</w:t>
            </w:r>
            <w:r w:rsidRPr="0024115F">
              <w:rPr>
                <w:sz w:val="24"/>
                <w:szCs w:val="24"/>
                <w:lang w:bidi="ar-JO"/>
              </w:rPr>
              <w:t>AT1</w:t>
            </w:r>
            <w:r w:rsidRPr="0024115F">
              <w:rPr>
                <w:rFonts w:hint="cs"/>
                <w:sz w:val="24"/>
                <w:szCs w:val="24"/>
                <w:rtl/>
                <w:lang w:bidi="ar-JO"/>
              </w:rPr>
              <w:t>)</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7</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0.12</w:t>
            </w:r>
          </w:p>
        </w:tc>
        <w:tc>
          <w:tcPr>
            <w:tcW w:w="102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7.12</w:t>
            </w:r>
          </w:p>
        </w:tc>
      </w:tr>
      <w:tr w:rsidR="005A2DDD" w:rsidRPr="006D7D62" w:rsidTr="0024115F">
        <w:tc>
          <w:tcPr>
            <w:tcW w:w="1724" w:type="pct"/>
            <w:shd w:val="clear" w:color="auto" w:fill="auto"/>
          </w:tcPr>
          <w:p w:rsidR="005A2DDD" w:rsidRPr="0024115F" w:rsidRDefault="005A2DDD" w:rsidP="0024115F">
            <w:pPr>
              <w:jc w:val="left"/>
              <w:rPr>
                <w:sz w:val="24"/>
                <w:szCs w:val="24"/>
                <w:rtl/>
                <w:lang w:bidi="ar-JO"/>
              </w:rPr>
            </w:pPr>
            <w:r w:rsidRPr="0024115F">
              <w:rPr>
                <w:rFonts w:hint="cs"/>
                <w:sz w:val="24"/>
                <w:szCs w:val="24"/>
                <w:rtl/>
                <w:lang w:bidi="ar-JO"/>
              </w:rPr>
              <w:t>رأس المال الأساسي (</w:t>
            </w:r>
            <w:r w:rsidRPr="0024115F">
              <w:rPr>
                <w:sz w:val="24"/>
                <w:szCs w:val="24"/>
                <w:lang w:bidi="ar-JO"/>
              </w:rPr>
              <w:t>T1</w:t>
            </w:r>
            <w:r w:rsidRPr="0024115F">
              <w:rPr>
                <w:rFonts w:hint="cs"/>
                <w:sz w:val="24"/>
                <w:szCs w:val="24"/>
                <w:rtl/>
                <w:lang w:bidi="ar-JO"/>
              </w:rPr>
              <w:t>)</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33</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2.67</w:t>
            </w:r>
          </w:p>
        </w:tc>
        <w:tc>
          <w:tcPr>
            <w:tcW w:w="1025"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35.67</w:t>
            </w:r>
          </w:p>
        </w:tc>
      </w:tr>
      <w:tr w:rsidR="005A2DDD" w:rsidRPr="006D7D62" w:rsidTr="0024115F">
        <w:tc>
          <w:tcPr>
            <w:tcW w:w="1724" w:type="pct"/>
            <w:shd w:val="clear" w:color="auto" w:fill="auto"/>
          </w:tcPr>
          <w:p w:rsidR="005A2DDD" w:rsidRPr="0024115F" w:rsidRDefault="005A2DDD" w:rsidP="0024115F">
            <w:pPr>
              <w:jc w:val="left"/>
              <w:rPr>
                <w:sz w:val="24"/>
                <w:szCs w:val="24"/>
                <w:rtl/>
                <w:lang w:bidi="ar-JO"/>
              </w:rPr>
            </w:pPr>
            <w:r w:rsidRPr="0024115F">
              <w:rPr>
                <w:rFonts w:hint="cs"/>
                <w:sz w:val="24"/>
                <w:szCs w:val="24"/>
                <w:rtl/>
                <w:lang w:bidi="ar-JO"/>
              </w:rPr>
              <w:t>رأس المال المساند (</w:t>
            </w:r>
            <w:r w:rsidRPr="0024115F">
              <w:rPr>
                <w:sz w:val="24"/>
                <w:szCs w:val="24"/>
                <w:lang w:bidi="ar-JO"/>
              </w:rPr>
              <w:t>T2</w:t>
            </w:r>
            <w:r w:rsidRPr="0024115F">
              <w:rPr>
                <w:rFonts w:hint="cs"/>
                <w:sz w:val="24"/>
                <w:szCs w:val="24"/>
                <w:rtl/>
                <w:lang w:bidi="ar-JO"/>
              </w:rPr>
              <w:t>)</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10</w:t>
            </w:r>
          </w:p>
        </w:tc>
        <w:tc>
          <w:tcPr>
            <w:tcW w:w="1126" w:type="pct"/>
            <w:shd w:val="clear" w:color="auto" w:fill="auto"/>
          </w:tcPr>
          <w:p w:rsidR="005A2DDD" w:rsidRPr="008C738C" w:rsidRDefault="005A2DDD" w:rsidP="00725827">
            <w:pPr>
              <w:jc w:val="center"/>
              <w:rPr>
                <w:sz w:val="24"/>
                <w:szCs w:val="24"/>
                <w:rtl/>
                <w:lang w:bidi="ar-JO"/>
              </w:rPr>
            </w:pPr>
            <w:r w:rsidRPr="008C738C">
              <w:rPr>
                <w:rFonts w:hint="cs"/>
                <w:sz w:val="24"/>
                <w:szCs w:val="24"/>
                <w:rtl/>
                <w:lang w:bidi="ar-JO"/>
              </w:rPr>
              <w:t>2.</w:t>
            </w:r>
            <w:r w:rsidR="00725827">
              <w:rPr>
                <w:rFonts w:hint="cs"/>
                <w:sz w:val="24"/>
                <w:szCs w:val="24"/>
                <w:rtl/>
                <w:lang w:bidi="ar-JO"/>
              </w:rPr>
              <w:t>55</w:t>
            </w:r>
          </w:p>
        </w:tc>
        <w:tc>
          <w:tcPr>
            <w:tcW w:w="1025" w:type="pct"/>
            <w:shd w:val="clear" w:color="auto" w:fill="auto"/>
          </w:tcPr>
          <w:p w:rsidR="005A2DDD" w:rsidRPr="008C738C" w:rsidRDefault="005A2DDD" w:rsidP="00725827">
            <w:pPr>
              <w:jc w:val="center"/>
              <w:rPr>
                <w:sz w:val="24"/>
                <w:szCs w:val="24"/>
                <w:rtl/>
                <w:lang w:bidi="ar-JO"/>
              </w:rPr>
            </w:pPr>
            <w:r w:rsidRPr="008C738C">
              <w:rPr>
                <w:rFonts w:hint="cs"/>
                <w:sz w:val="24"/>
                <w:szCs w:val="24"/>
                <w:rtl/>
                <w:lang w:bidi="ar-JO"/>
              </w:rPr>
              <w:t>12.</w:t>
            </w:r>
            <w:r w:rsidR="00725827">
              <w:rPr>
                <w:rFonts w:hint="cs"/>
                <w:sz w:val="24"/>
                <w:szCs w:val="24"/>
                <w:rtl/>
                <w:lang w:bidi="ar-JO"/>
              </w:rPr>
              <w:t>55</w:t>
            </w:r>
          </w:p>
        </w:tc>
      </w:tr>
      <w:tr w:rsidR="005A2DDD" w:rsidRPr="006D7D62" w:rsidTr="0024115F">
        <w:tc>
          <w:tcPr>
            <w:tcW w:w="1724" w:type="pct"/>
            <w:shd w:val="clear" w:color="auto" w:fill="auto"/>
          </w:tcPr>
          <w:p w:rsidR="005A2DDD" w:rsidRPr="0024115F" w:rsidRDefault="005A2DDD" w:rsidP="00BA1467">
            <w:pPr>
              <w:jc w:val="center"/>
              <w:rPr>
                <w:sz w:val="24"/>
                <w:szCs w:val="24"/>
                <w:rtl/>
                <w:lang w:bidi="ar-JO"/>
              </w:rPr>
            </w:pPr>
            <w:r w:rsidRPr="0024115F">
              <w:rPr>
                <w:rFonts w:hint="cs"/>
                <w:sz w:val="24"/>
                <w:szCs w:val="24"/>
                <w:rtl/>
                <w:lang w:bidi="ar-JO"/>
              </w:rPr>
              <w:t>إجمالي رأس المال</w:t>
            </w:r>
          </w:p>
        </w:tc>
        <w:tc>
          <w:tcPr>
            <w:tcW w:w="1126" w:type="pct"/>
            <w:shd w:val="clear" w:color="auto" w:fill="auto"/>
          </w:tcPr>
          <w:p w:rsidR="005A2DDD" w:rsidRPr="008C738C" w:rsidRDefault="005A2DDD" w:rsidP="00BA1467">
            <w:pPr>
              <w:jc w:val="center"/>
              <w:rPr>
                <w:sz w:val="24"/>
                <w:szCs w:val="24"/>
                <w:rtl/>
                <w:lang w:bidi="ar-JO"/>
              </w:rPr>
            </w:pPr>
            <w:r w:rsidRPr="008C738C">
              <w:rPr>
                <w:rFonts w:hint="cs"/>
                <w:sz w:val="24"/>
                <w:szCs w:val="24"/>
                <w:rtl/>
                <w:lang w:bidi="ar-JO"/>
              </w:rPr>
              <w:t>43</w:t>
            </w:r>
          </w:p>
        </w:tc>
        <w:tc>
          <w:tcPr>
            <w:tcW w:w="1126" w:type="pct"/>
            <w:shd w:val="clear" w:color="auto" w:fill="auto"/>
          </w:tcPr>
          <w:p w:rsidR="005A2DDD" w:rsidRPr="008C738C" w:rsidRDefault="005A2DDD" w:rsidP="00725827">
            <w:pPr>
              <w:jc w:val="center"/>
              <w:rPr>
                <w:sz w:val="24"/>
                <w:szCs w:val="24"/>
                <w:rtl/>
                <w:lang w:bidi="ar-JO"/>
              </w:rPr>
            </w:pPr>
            <w:r w:rsidRPr="008C738C">
              <w:rPr>
                <w:rFonts w:hint="cs"/>
                <w:sz w:val="24"/>
                <w:szCs w:val="24"/>
                <w:rtl/>
                <w:lang w:bidi="ar-JO"/>
              </w:rPr>
              <w:t>5.</w:t>
            </w:r>
            <w:r w:rsidR="00725827">
              <w:rPr>
                <w:rFonts w:hint="cs"/>
                <w:sz w:val="24"/>
                <w:szCs w:val="24"/>
                <w:rtl/>
                <w:lang w:bidi="ar-JO"/>
              </w:rPr>
              <w:t>22</w:t>
            </w:r>
          </w:p>
        </w:tc>
        <w:tc>
          <w:tcPr>
            <w:tcW w:w="1025" w:type="pct"/>
            <w:shd w:val="clear" w:color="auto" w:fill="auto"/>
          </w:tcPr>
          <w:p w:rsidR="005A2DDD" w:rsidRPr="008C738C" w:rsidRDefault="005A2DDD" w:rsidP="00725827">
            <w:pPr>
              <w:jc w:val="center"/>
              <w:rPr>
                <w:sz w:val="24"/>
                <w:szCs w:val="24"/>
                <w:rtl/>
                <w:lang w:bidi="ar-JO"/>
              </w:rPr>
            </w:pPr>
            <w:r w:rsidRPr="008C738C">
              <w:rPr>
                <w:rFonts w:hint="cs"/>
                <w:sz w:val="24"/>
                <w:szCs w:val="24"/>
                <w:rtl/>
                <w:lang w:bidi="ar-JO"/>
              </w:rPr>
              <w:t>48.</w:t>
            </w:r>
            <w:r w:rsidR="00725827">
              <w:rPr>
                <w:rFonts w:hint="cs"/>
                <w:sz w:val="24"/>
                <w:szCs w:val="24"/>
                <w:rtl/>
                <w:lang w:bidi="ar-JO"/>
              </w:rPr>
              <w:t>22</w:t>
            </w:r>
          </w:p>
        </w:tc>
      </w:tr>
    </w:tbl>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sz w:val="16"/>
          <w:lang w:bidi="ar-JO"/>
        </w:rPr>
      </w:pPr>
    </w:p>
    <w:p w:rsidR="005A2DDD" w:rsidRDefault="005A2DDD" w:rsidP="005A2DDD">
      <w:pPr>
        <w:rPr>
          <w:sz w:val="16"/>
        </w:rPr>
      </w:pPr>
    </w:p>
    <w:p w:rsidR="005A2DDD" w:rsidRDefault="005A2DDD" w:rsidP="005A2DDD">
      <w:pPr>
        <w:rPr>
          <w:sz w:val="16"/>
        </w:rPr>
      </w:pPr>
    </w:p>
    <w:p w:rsidR="005A2DDD" w:rsidRDefault="005A2DDD" w:rsidP="005A2DDD">
      <w:pPr>
        <w:rPr>
          <w:sz w:val="16"/>
        </w:rPr>
      </w:pPr>
    </w:p>
    <w:p w:rsidR="00BA1467" w:rsidRDefault="00BA1467" w:rsidP="005A2DDD">
      <w:pPr>
        <w:rPr>
          <w:sz w:val="16"/>
        </w:rPr>
      </w:pPr>
    </w:p>
    <w:p w:rsidR="00BA1467" w:rsidRDefault="00BA1467" w:rsidP="005A2DDD">
      <w:pPr>
        <w:rPr>
          <w:sz w:val="16"/>
        </w:rPr>
      </w:pPr>
    </w:p>
    <w:p w:rsidR="00BA1467" w:rsidRDefault="00BA1467" w:rsidP="005A2DDD">
      <w:pPr>
        <w:rPr>
          <w:sz w:val="16"/>
          <w:rtl/>
        </w:rPr>
      </w:pPr>
    </w:p>
    <w:p w:rsidR="0086621F" w:rsidRDefault="0086621F" w:rsidP="005A2DDD">
      <w:pPr>
        <w:rPr>
          <w:sz w:val="16"/>
          <w:rtl/>
        </w:rPr>
      </w:pPr>
    </w:p>
    <w:p w:rsidR="0024115F" w:rsidRDefault="0024115F" w:rsidP="005A2DDD">
      <w:pPr>
        <w:rPr>
          <w:sz w:val="16"/>
        </w:rPr>
      </w:pPr>
    </w:p>
    <w:p w:rsidR="005A2DDD" w:rsidRPr="006A7565" w:rsidRDefault="006A7565" w:rsidP="006A7565">
      <w:pPr>
        <w:jc w:val="center"/>
        <w:rPr>
          <w:sz w:val="28"/>
          <w:szCs w:val="28"/>
          <w:rtl/>
          <w:lang w:bidi="ar-JO"/>
        </w:rPr>
      </w:pPr>
      <w:bookmarkStart w:id="2234" w:name="_Toc465255829"/>
      <w:r w:rsidRPr="006A7565">
        <w:rPr>
          <w:sz w:val="28"/>
          <w:szCs w:val="28"/>
          <w:rtl/>
        </w:rPr>
        <w:lastRenderedPageBreak/>
        <w:t xml:space="preserve">ملحق ( </w:t>
      </w:r>
      <w:r w:rsidR="004A0A06">
        <w:rPr>
          <w:sz w:val="28"/>
          <w:szCs w:val="28"/>
          <w:rtl/>
        </w:rPr>
        <w:fldChar w:fldCharType="begin"/>
      </w:r>
      <w:r w:rsidR="004A0A06">
        <w:rPr>
          <w:sz w:val="28"/>
          <w:szCs w:val="28"/>
          <w:rtl/>
        </w:rPr>
        <w:instrText xml:space="preserve"> </w:instrText>
      </w:r>
      <w:r w:rsidR="004A0A06">
        <w:rPr>
          <w:sz w:val="28"/>
          <w:szCs w:val="28"/>
        </w:rPr>
        <w:instrText>SEQ</w:instrText>
      </w:r>
      <w:r w:rsidR="004A0A06">
        <w:rPr>
          <w:sz w:val="28"/>
          <w:szCs w:val="28"/>
          <w:rtl/>
        </w:rPr>
        <w:instrText xml:space="preserve"> ملحق_( \* </w:instrText>
      </w:r>
      <w:r w:rsidR="004A0A06">
        <w:rPr>
          <w:sz w:val="28"/>
          <w:szCs w:val="28"/>
        </w:rPr>
        <w:instrText>ARABIC</w:instrText>
      </w:r>
      <w:r w:rsidR="004A0A06">
        <w:rPr>
          <w:sz w:val="28"/>
          <w:szCs w:val="28"/>
          <w:rtl/>
        </w:rPr>
        <w:instrText xml:space="preserve"> </w:instrText>
      </w:r>
      <w:r w:rsidR="004A0A06">
        <w:rPr>
          <w:sz w:val="28"/>
          <w:szCs w:val="28"/>
          <w:rtl/>
        </w:rPr>
        <w:fldChar w:fldCharType="separate"/>
      </w:r>
      <w:r w:rsidR="00BC120A">
        <w:rPr>
          <w:noProof/>
          <w:sz w:val="28"/>
          <w:szCs w:val="28"/>
          <w:rtl/>
        </w:rPr>
        <w:t>3</w:t>
      </w:r>
      <w:r w:rsidR="004A0A06">
        <w:rPr>
          <w:sz w:val="28"/>
          <w:szCs w:val="28"/>
          <w:rtl/>
        </w:rPr>
        <w:fldChar w:fldCharType="end"/>
      </w:r>
      <w:r w:rsidRPr="006A7565">
        <w:rPr>
          <w:rFonts w:hint="cs"/>
          <w:sz w:val="28"/>
          <w:szCs w:val="28"/>
          <w:rtl/>
        </w:rPr>
        <w:t xml:space="preserve"> ): </w:t>
      </w:r>
      <w:r w:rsidR="005A2DDD" w:rsidRPr="006A7565">
        <w:rPr>
          <w:rFonts w:hint="cs"/>
          <w:sz w:val="28"/>
          <w:szCs w:val="28"/>
          <w:rtl/>
          <w:lang w:bidi="ar-JO"/>
        </w:rPr>
        <w:t>طريقة التناظر (</w:t>
      </w:r>
      <w:r w:rsidR="005A2DDD" w:rsidRPr="006A7565">
        <w:rPr>
          <w:sz w:val="28"/>
          <w:szCs w:val="28"/>
          <w:lang w:bidi="ar-JO"/>
        </w:rPr>
        <w:t>Corresponding Deduction Approach</w:t>
      </w:r>
      <w:r w:rsidR="005A2DDD" w:rsidRPr="006A7565">
        <w:rPr>
          <w:rFonts w:hint="cs"/>
          <w:sz w:val="28"/>
          <w:szCs w:val="28"/>
          <w:rtl/>
          <w:lang w:bidi="ar-JO"/>
        </w:rPr>
        <w:t>)</w:t>
      </w:r>
      <w:bookmarkEnd w:id="2234"/>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8"/>
        <w:gridCol w:w="894"/>
        <w:gridCol w:w="894"/>
      </w:tblGrid>
      <w:tr w:rsidR="005A2DDD" w:rsidRPr="009630CD" w:rsidTr="00921CA1">
        <w:trPr>
          <w:jc w:val="center"/>
        </w:trPr>
        <w:tc>
          <w:tcPr>
            <w:tcW w:w="4190" w:type="pct"/>
            <w:shd w:val="clear" w:color="auto" w:fill="F2F2F2"/>
            <w:vAlign w:val="center"/>
          </w:tcPr>
          <w:p w:rsidR="005A2DDD" w:rsidRPr="0024115F" w:rsidRDefault="005A2DDD" w:rsidP="00BA1467">
            <w:pPr>
              <w:jc w:val="center"/>
              <w:rPr>
                <w:rtl/>
                <w:lang w:bidi="ar-JO"/>
              </w:rPr>
            </w:pPr>
            <w:r w:rsidRPr="0024115F">
              <w:rPr>
                <w:rFonts w:hint="cs"/>
                <w:rtl/>
                <w:lang w:bidi="ar-JO"/>
              </w:rPr>
              <w:t>البند</w:t>
            </w:r>
          </w:p>
        </w:tc>
        <w:tc>
          <w:tcPr>
            <w:tcW w:w="405" w:type="pct"/>
            <w:shd w:val="clear" w:color="auto" w:fill="F2F2F2"/>
            <w:vAlign w:val="center"/>
          </w:tcPr>
          <w:p w:rsidR="005A2DDD" w:rsidRDefault="005A2DDD" w:rsidP="00BA1467">
            <w:pPr>
              <w:jc w:val="center"/>
              <w:rPr>
                <w:rtl/>
                <w:lang w:bidi="ar-JO"/>
              </w:rPr>
            </w:pPr>
            <w:r>
              <w:rPr>
                <w:rFonts w:hint="cs"/>
                <w:rtl/>
                <w:lang w:bidi="ar-JO"/>
              </w:rPr>
              <w:t>مثال 1</w:t>
            </w:r>
          </w:p>
          <w:p w:rsidR="00BA1467" w:rsidRPr="009630CD" w:rsidRDefault="00BA1467" w:rsidP="00BA1467">
            <w:pPr>
              <w:jc w:val="center"/>
              <w:rPr>
                <w:rtl/>
                <w:lang w:bidi="ar-JO"/>
              </w:rPr>
            </w:pPr>
            <w:r>
              <w:rPr>
                <w:rFonts w:hint="cs"/>
                <w:rtl/>
                <w:lang w:bidi="ar-JO"/>
              </w:rPr>
              <w:t>(</w:t>
            </w:r>
            <w:r w:rsidRPr="00962401">
              <w:rPr>
                <w:rFonts w:hint="cs"/>
                <w:sz w:val="20"/>
                <w:szCs w:val="20"/>
                <w:rtl/>
                <w:lang w:bidi="ar-JO"/>
              </w:rPr>
              <w:t>بالمليون</w:t>
            </w:r>
            <w:r>
              <w:rPr>
                <w:rFonts w:hint="cs"/>
                <w:sz w:val="20"/>
                <w:szCs w:val="20"/>
                <w:rtl/>
                <w:lang w:bidi="ar-JO"/>
              </w:rPr>
              <w:t>)</w:t>
            </w:r>
          </w:p>
        </w:tc>
        <w:tc>
          <w:tcPr>
            <w:tcW w:w="405" w:type="pct"/>
            <w:shd w:val="clear" w:color="auto" w:fill="F2F2F2"/>
            <w:vAlign w:val="center"/>
          </w:tcPr>
          <w:p w:rsidR="005A2DDD" w:rsidRDefault="005A2DDD" w:rsidP="00BA1467">
            <w:pPr>
              <w:jc w:val="center"/>
              <w:rPr>
                <w:rtl/>
                <w:lang w:bidi="ar-JO"/>
              </w:rPr>
            </w:pPr>
            <w:r>
              <w:rPr>
                <w:rFonts w:hint="cs"/>
                <w:rtl/>
                <w:lang w:bidi="ar-JO"/>
              </w:rPr>
              <w:t>مثال 2</w:t>
            </w:r>
          </w:p>
          <w:p w:rsidR="00BA1467" w:rsidRPr="009630CD" w:rsidRDefault="00BA1467" w:rsidP="00BA1467">
            <w:pPr>
              <w:jc w:val="center"/>
              <w:rPr>
                <w:rtl/>
                <w:lang w:bidi="ar-JO"/>
              </w:rPr>
            </w:pPr>
            <w:r>
              <w:rPr>
                <w:rFonts w:hint="cs"/>
                <w:rtl/>
                <w:lang w:bidi="ar-JO"/>
              </w:rPr>
              <w:t>(</w:t>
            </w:r>
            <w:r w:rsidRPr="00962401">
              <w:rPr>
                <w:rFonts w:hint="cs"/>
                <w:sz w:val="20"/>
                <w:szCs w:val="20"/>
                <w:rtl/>
                <w:lang w:bidi="ar-JO"/>
              </w:rPr>
              <w:t>بالمليون</w:t>
            </w:r>
            <w:r>
              <w:rPr>
                <w:rFonts w:hint="cs"/>
                <w:sz w:val="20"/>
                <w:szCs w:val="20"/>
                <w:rtl/>
                <w:lang w:bidi="ar-JO"/>
              </w:rPr>
              <w:t>)</w:t>
            </w:r>
          </w:p>
        </w:tc>
      </w:tr>
      <w:tr w:rsidR="005A2DDD" w:rsidRPr="009630CD" w:rsidTr="00921CA1">
        <w:trPr>
          <w:jc w:val="center"/>
        </w:trPr>
        <w:tc>
          <w:tcPr>
            <w:tcW w:w="4190" w:type="pct"/>
            <w:shd w:val="clear" w:color="auto" w:fill="F2F2F2"/>
            <w:vAlign w:val="center"/>
          </w:tcPr>
          <w:p w:rsidR="005A2DDD" w:rsidRPr="0024115F" w:rsidRDefault="005A2DDD" w:rsidP="005A2DDD">
            <w:pPr>
              <w:rPr>
                <w:sz w:val="24"/>
                <w:szCs w:val="24"/>
                <w:rtl/>
                <w:lang w:bidi="ar-JO"/>
              </w:rPr>
            </w:pPr>
            <w:r w:rsidRPr="0024115F">
              <w:rPr>
                <w:color w:val="000000"/>
                <w:kern w:val="24"/>
                <w:sz w:val="24"/>
                <w:szCs w:val="24"/>
                <w:rtl/>
                <w:lang w:bidi="ar-JO"/>
              </w:rPr>
              <w:t xml:space="preserve">رأس المال الأساسي للأسهم العادية </w:t>
            </w:r>
            <w:r w:rsidRPr="0024115F">
              <w:rPr>
                <w:color w:val="000000"/>
                <w:kern w:val="24"/>
                <w:sz w:val="24"/>
                <w:szCs w:val="24"/>
              </w:rPr>
              <w:t>CET1</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95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95</w:t>
            </w:r>
          </w:p>
        </w:tc>
      </w:tr>
      <w:tr w:rsidR="005A2DDD" w:rsidRPr="009630CD" w:rsidTr="00921CA1">
        <w:trPr>
          <w:jc w:val="center"/>
        </w:trPr>
        <w:tc>
          <w:tcPr>
            <w:tcW w:w="4190" w:type="pct"/>
            <w:shd w:val="clear" w:color="auto" w:fill="F2F2F2"/>
            <w:vAlign w:val="center"/>
          </w:tcPr>
          <w:p w:rsidR="005A2DDD" w:rsidRPr="0024115F" w:rsidRDefault="005A2DDD" w:rsidP="005A2DDD">
            <w:pPr>
              <w:rPr>
                <w:sz w:val="24"/>
                <w:szCs w:val="24"/>
                <w:rtl/>
                <w:lang w:bidi="ar-JO"/>
              </w:rPr>
            </w:pPr>
            <w:r w:rsidRPr="0024115F">
              <w:rPr>
                <w:color w:val="000000"/>
                <w:kern w:val="24"/>
                <w:sz w:val="24"/>
                <w:szCs w:val="24"/>
                <w:rtl/>
              </w:rPr>
              <w:t>الاستثمارات في البنوك و الشركات المالية و شركات التامين التي تقل عن (10%) من رأس مال هذه الشركات</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20</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20</w:t>
            </w:r>
          </w:p>
        </w:tc>
      </w:tr>
      <w:tr w:rsidR="005A2DDD" w:rsidRPr="009630CD" w:rsidTr="00921CA1">
        <w:trPr>
          <w:jc w:val="center"/>
        </w:trPr>
        <w:tc>
          <w:tcPr>
            <w:tcW w:w="4190" w:type="pct"/>
            <w:shd w:val="clear" w:color="auto" w:fill="F2F2F2"/>
            <w:vAlign w:val="center"/>
          </w:tcPr>
          <w:p w:rsidR="005A2DDD" w:rsidRPr="0024115F" w:rsidRDefault="005A2DDD" w:rsidP="005A2DDD">
            <w:pPr>
              <w:rPr>
                <w:sz w:val="24"/>
                <w:szCs w:val="24"/>
                <w:rtl/>
                <w:lang w:bidi="ar-JO"/>
              </w:rPr>
            </w:pPr>
            <w:r w:rsidRPr="0024115F">
              <w:rPr>
                <w:color w:val="000000"/>
                <w:kern w:val="24"/>
                <w:sz w:val="24"/>
                <w:szCs w:val="24"/>
                <w:rtl/>
                <w:lang w:bidi="ar-JO"/>
              </w:rPr>
              <w:t>ضمن</w:t>
            </w:r>
            <w:r w:rsidRPr="0024115F">
              <w:rPr>
                <w:color w:val="000000"/>
                <w:kern w:val="24"/>
                <w:sz w:val="24"/>
                <w:szCs w:val="24"/>
              </w:rPr>
              <w:t xml:space="preserve"> </w:t>
            </w:r>
            <w:r w:rsidRPr="0024115F">
              <w:rPr>
                <w:color w:val="000000"/>
                <w:kern w:val="24"/>
                <w:sz w:val="24"/>
                <w:szCs w:val="24"/>
                <w:rtl/>
                <w:lang w:bidi="ar-JO"/>
              </w:rPr>
              <w:t xml:space="preserve"> أدوات </w:t>
            </w:r>
            <w:r w:rsidRPr="0024115F">
              <w:rPr>
                <w:color w:val="000000"/>
                <w:kern w:val="24"/>
                <w:sz w:val="24"/>
                <w:szCs w:val="24"/>
              </w:rPr>
              <w:t>CET1</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7</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20</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tl/>
                <w:lang w:bidi="ar-JO"/>
              </w:rPr>
            </w:pPr>
            <w:r w:rsidRPr="0024115F">
              <w:rPr>
                <w:color w:val="000000"/>
                <w:kern w:val="24"/>
                <w:sz w:val="24"/>
                <w:szCs w:val="24"/>
                <w:rtl/>
                <w:lang w:bidi="ar-JO"/>
              </w:rPr>
              <w:t xml:space="preserve">ضمن أدوات </w:t>
            </w:r>
            <w:r w:rsidRPr="0024115F">
              <w:rPr>
                <w:color w:val="000000"/>
                <w:kern w:val="24"/>
                <w:sz w:val="24"/>
                <w:szCs w:val="24"/>
              </w:rPr>
              <w:t>AT1</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6</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0</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tl/>
                <w:lang w:bidi="ar-JO"/>
              </w:rPr>
            </w:pPr>
            <w:r w:rsidRPr="0024115F">
              <w:rPr>
                <w:color w:val="000000"/>
                <w:kern w:val="24"/>
                <w:sz w:val="24"/>
                <w:szCs w:val="24"/>
                <w:rtl/>
                <w:lang w:bidi="ar-JO"/>
              </w:rPr>
              <w:t xml:space="preserve">ضمن أدوات </w:t>
            </w:r>
            <w:r w:rsidRPr="0024115F">
              <w:rPr>
                <w:color w:val="000000"/>
                <w:kern w:val="24"/>
                <w:sz w:val="24"/>
                <w:szCs w:val="24"/>
              </w:rPr>
              <w:t>T2</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7</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0</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tl/>
                <w:lang w:bidi="ar-JO"/>
              </w:rPr>
            </w:pPr>
            <w:r w:rsidRPr="0024115F">
              <w:rPr>
                <w:color w:val="000000"/>
                <w:kern w:val="24"/>
                <w:sz w:val="24"/>
                <w:szCs w:val="24"/>
                <w:rtl/>
              </w:rPr>
              <w:t xml:space="preserve">(10%) </w:t>
            </w:r>
            <w:r w:rsidRPr="0024115F">
              <w:rPr>
                <w:color w:val="000000"/>
                <w:kern w:val="24"/>
                <w:sz w:val="24"/>
                <w:szCs w:val="24"/>
                <w:rtl/>
                <w:lang w:bidi="ar-JO"/>
              </w:rPr>
              <w:t>من رأس المال الأساسي للأسهم العادية</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9,5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9,5</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Pr>
            </w:pPr>
            <w:r w:rsidRPr="0024115F">
              <w:rPr>
                <w:color w:val="000000"/>
                <w:kern w:val="24"/>
                <w:sz w:val="24"/>
                <w:szCs w:val="24"/>
                <w:rtl/>
              </w:rPr>
              <w:t>الاستثمارات التي تزيد عن (10%) من رأس المال الأساسي للأسهم العادية</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10,5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10,5</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Pr>
            </w:pPr>
            <w:r w:rsidRPr="0024115F">
              <w:rPr>
                <w:color w:val="000000"/>
                <w:kern w:val="24"/>
                <w:sz w:val="24"/>
                <w:szCs w:val="24"/>
                <w:rtl/>
              </w:rPr>
              <w:t xml:space="preserve">الاقتطاع من </w:t>
            </w:r>
            <w:r w:rsidRPr="0024115F">
              <w:rPr>
                <w:color w:val="000000"/>
                <w:kern w:val="24"/>
                <w:sz w:val="24"/>
                <w:szCs w:val="24"/>
              </w:rPr>
              <w:t xml:space="preserve">CET1 </w:t>
            </w:r>
            <w:r w:rsidRPr="0024115F">
              <w:rPr>
                <w:color w:val="000000"/>
                <w:kern w:val="24"/>
                <w:sz w:val="24"/>
                <w:szCs w:val="24"/>
                <w:rtl/>
              </w:rPr>
              <w:t xml:space="preserve">     10,5 * 7/20   أو   10,5*20/20</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3,675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10,5</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Pr>
            </w:pPr>
            <w:r w:rsidRPr="0024115F">
              <w:rPr>
                <w:color w:val="000000"/>
                <w:kern w:val="24"/>
                <w:sz w:val="24"/>
                <w:szCs w:val="24"/>
                <w:rtl/>
              </w:rPr>
              <w:t xml:space="preserve">الاقتطاع من </w:t>
            </w:r>
            <w:r w:rsidRPr="0024115F">
              <w:rPr>
                <w:color w:val="000000"/>
                <w:kern w:val="24"/>
                <w:sz w:val="24"/>
                <w:szCs w:val="24"/>
              </w:rPr>
              <w:t>AT1</w:t>
            </w:r>
            <w:r w:rsidRPr="0024115F">
              <w:rPr>
                <w:color w:val="000000"/>
                <w:kern w:val="24"/>
                <w:sz w:val="24"/>
                <w:szCs w:val="24"/>
                <w:rtl/>
              </w:rPr>
              <w:t xml:space="preserve">        10,5 * 6/20    أو   10,5*0/20</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3,15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0</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Pr>
            </w:pPr>
            <w:r w:rsidRPr="0024115F">
              <w:rPr>
                <w:color w:val="000000"/>
                <w:kern w:val="24"/>
                <w:sz w:val="24"/>
                <w:szCs w:val="24"/>
                <w:rtl/>
              </w:rPr>
              <w:t xml:space="preserve">الاقتطاع من </w:t>
            </w:r>
            <w:r w:rsidRPr="0024115F">
              <w:rPr>
                <w:color w:val="000000"/>
                <w:kern w:val="24"/>
                <w:sz w:val="24"/>
                <w:szCs w:val="24"/>
              </w:rPr>
              <w:t>T2</w:t>
            </w:r>
            <w:r w:rsidRPr="0024115F">
              <w:rPr>
                <w:color w:val="000000"/>
                <w:kern w:val="24"/>
                <w:sz w:val="24"/>
                <w:szCs w:val="24"/>
                <w:rtl/>
              </w:rPr>
              <w:t xml:space="preserve">          10.5 * 7/20   أو   10,5*0/20</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3,675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0</w:t>
            </w:r>
          </w:p>
        </w:tc>
      </w:tr>
      <w:tr w:rsidR="005A2DDD" w:rsidRPr="009630CD" w:rsidTr="00921CA1">
        <w:trPr>
          <w:jc w:val="center"/>
        </w:trPr>
        <w:tc>
          <w:tcPr>
            <w:tcW w:w="4190" w:type="pct"/>
            <w:shd w:val="clear" w:color="auto" w:fill="F2F2F2"/>
            <w:vAlign w:val="center"/>
          </w:tcPr>
          <w:p w:rsidR="005A2DDD" w:rsidRPr="0024115F" w:rsidRDefault="005A2DDD" w:rsidP="005A2DDD">
            <w:pPr>
              <w:rPr>
                <w:color w:val="000000"/>
                <w:kern w:val="24"/>
                <w:sz w:val="24"/>
                <w:szCs w:val="24"/>
              </w:rPr>
            </w:pPr>
            <w:r w:rsidRPr="0024115F">
              <w:rPr>
                <w:color w:val="000000"/>
                <w:kern w:val="24"/>
                <w:sz w:val="24"/>
                <w:szCs w:val="24"/>
                <w:rtl/>
              </w:rPr>
              <w:t>توزن باقي الاستثمارات نسبة و تناسب حسب وزن المخاطر الخاص بها</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9,5</w:t>
            </w:r>
          </w:p>
        </w:tc>
        <w:tc>
          <w:tcPr>
            <w:tcW w:w="405" w:type="pct"/>
          </w:tcPr>
          <w:p w:rsidR="005A2DDD" w:rsidRPr="008C738C" w:rsidRDefault="005A2DDD" w:rsidP="00921CA1">
            <w:pPr>
              <w:jc w:val="center"/>
              <w:rPr>
                <w:sz w:val="24"/>
                <w:szCs w:val="24"/>
                <w:rtl/>
                <w:lang w:bidi="ar-JO"/>
              </w:rPr>
            </w:pPr>
            <w:r w:rsidRPr="008C738C">
              <w:rPr>
                <w:rFonts w:hint="cs"/>
                <w:sz w:val="24"/>
                <w:szCs w:val="24"/>
                <w:rtl/>
                <w:lang w:bidi="ar-JO"/>
              </w:rPr>
              <w:t>9,5</w:t>
            </w:r>
          </w:p>
        </w:tc>
      </w:tr>
    </w:tbl>
    <w:p w:rsidR="005A2DDD" w:rsidRDefault="005A2DDD" w:rsidP="005A2DDD">
      <w:pPr>
        <w:rPr>
          <w:lang w:bidi="ar-JO"/>
        </w:rPr>
      </w:pPr>
    </w:p>
    <w:p w:rsidR="005A2DDD" w:rsidRDefault="005A2DDD" w:rsidP="005A2DDD">
      <w:pPr>
        <w:rPr>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24115F" w:rsidRDefault="0024115F" w:rsidP="005A2DDD">
      <w:pPr>
        <w:rPr>
          <w:rtl/>
          <w:lang w:bidi="ar-JO"/>
        </w:rPr>
      </w:pPr>
    </w:p>
    <w:p w:rsidR="006A7565" w:rsidRDefault="006A7565" w:rsidP="005A2DDD">
      <w:pPr>
        <w:rPr>
          <w:rtl/>
          <w:lang w:bidi="ar-JO"/>
        </w:rPr>
      </w:pPr>
    </w:p>
    <w:p w:rsidR="005A2DDD" w:rsidRDefault="006A7565" w:rsidP="005C54C4">
      <w:pPr>
        <w:pStyle w:val="Caption"/>
        <w:jc w:val="center"/>
        <w:rPr>
          <w:b/>
          <w:bCs/>
          <w:color w:val="auto"/>
          <w:sz w:val="28"/>
          <w:szCs w:val="28"/>
          <w:rtl/>
          <w:lang w:bidi="ar-JO"/>
        </w:rPr>
      </w:pPr>
      <w:bookmarkStart w:id="2235" w:name="_Toc465255830"/>
      <w:r w:rsidRPr="006A7565">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4</w:t>
      </w:r>
      <w:r w:rsidR="004A0A06">
        <w:rPr>
          <w:b/>
          <w:bCs/>
          <w:color w:val="auto"/>
          <w:sz w:val="28"/>
          <w:szCs w:val="28"/>
          <w:rtl/>
        </w:rPr>
        <w:fldChar w:fldCharType="end"/>
      </w:r>
      <w:r w:rsidRPr="006A7565">
        <w:rPr>
          <w:rFonts w:hint="cs"/>
          <w:b/>
          <w:bCs/>
          <w:color w:val="auto"/>
          <w:sz w:val="28"/>
          <w:szCs w:val="28"/>
          <w:rtl/>
        </w:rPr>
        <w:t xml:space="preserve"> ): </w:t>
      </w:r>
      <w:r w:rsidR="005A2DDD" w:rsidRPr="006A7565">
        <w:rPr>
          <w:rFonts w:hint="cs"/>
          <w:b/>
          <w:bCs/>
          <w:color w:val="auto"/>
          <w:sz w:val="28"/>
          <w:szCs w:val="28"/>
          <w:rtl/>
          <w:lang w:bidi="ar-JO"/>
        </w:rPr>
        <w:t xml:space="preserve">مثال توضيحي لحدود </w:t>
      </w:r>
      <w:r w:rsidR="005C54C4">
        <w:rPr>
          <w:rFonts w:hint="cs"/>
          <w:b/>
          <w:bCs/>
          <w:color w:val="auto"/>
          <w:sz w:val="28"/>
          <w:szCs w:val="28"/>
          <w:rtl/>
          <w:lang w:bidi="ar-JO"/>
        </w:rPr>
        <w:t>الاستقطاع</w:t>
      </w:r>
      <w:bookmarkEnd w:id="2235"/>
    </w:p>
    <w:p w:rsidR="00534C47" w:rsidRPr="00534C47" w:rsidRDefault="00534C47" w:rsidP="00534C47">
      <w:pPr>
        <w:rPr>
          <w:rtl/>
          <w:lang w:bidi="ar-JO"/>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641"/>
      </w:tblGrid>
      <w:tr w:rsidR="005A2DDD" w:rsidRPr="00990F89" w:rsidTr="0024115F">
        <w:tc>
          <w:tcPr>
            <w:tcW w:w="3556" w:type="pct"/>
            <w:shd w:val="clear" w:color="auto" w:fill="F2F2F2" w:themeFill="background1" w:themeFillShade="F2"/>
            <w:vAlign w:val="center"/>
          </w:tcPr>
          <w:p w:rsidR="005A2DDD" w:rsidRPr="00990F89" w:rsidRDefault="005A2DDD" w:rsidP="0024115F">
            <w:pPr>
              <w:jc w:val="center"/>
              <w:rPr>
                <w:rtl/>
                <w:lang w:bidi="ar-JO"/>
              </w:rPr>
            </w:pPr>
            <w:r w:rsidRPr="00990F89">
              <w:rPr>
                <w:rFonts w:hint="cs"/>
                <w:rtl/>
                <w:lang w:bidi="ar-JO"/>
              </w:rPr>
              <w:t>البند</w:t>
            </w:r>
          </w:p>
        </w:tc>
        <w:tc>
          <w:tcPr>
            <w:tcW w:w="1444" w:type="pct"/>
            <w:shd w:val="clear" w:color="auto" w:fill="F2F2F2" w:themeFill="background1" w:themeFillShade="F2"/>
            <w:vAlign w:val="center"/>
          </w:tcPr>
          <w:p w:rsidR="0024115F" w:rsidRDefault="005A2DDD" w:rsidP="0024115F">
            <w:pPr>
              <w:jc w:val="center"/>
              <w:rPr>
                <w:rtl/>
                <w:lang w:bidi="ar-JO"/>
              </w:rPr>
            </w:pPr>
            <w:r w:rsidRPr="00990F89">
              <w:rPr>
                <w:rFonts w:hint="cs"/>
                <w:rtl/>
                <w:lang w:bidi="ar-JO"/>
              </w:rPr>
              <w:t>المبلغ</w:t>
            </w:r>
          </w:p>
          <w:p w:rsidR="005A2DDD" w:rsidRPr="0024115F" w:rsidRDefault="0024115F" w:rsidP="0024115F">
            <w:pPr>
              <w:jc w:val="center"/>
              <w:rPr>
                <w:sz w:val="22"/>
                <w:szCs w:val="22"/>
                <w:rtl/>
                <w:lang w:bidi="ar-JO"/>
              </w:rPr>
            </w:pPr>
            <w:r>
              <w:rPr>
                <w:rFonts w:hint="cs"/>
                <w:rtl/>
                <w:lang w:bidi="ar-JO"/>
              </w:rPr>
              <w:t>(</w:t>
            </w:r>
            <w:r w:rsidRPr="00813F8A">
              <w:rPr>
                <w:rFonts w:hint="cs"/>
                <w:sz w:val="22"/>
                <w:szCs w:val="22"/>
                <w:rtl/>
                <w:lang w:bidi="ar-JO"/>
              </w:rPr>
              <w:t>مليون دينار</w:t>
            </w:r>
            <w:r>
              <w:rPr>
                <w:rFonts w:hint="cs"/>
                <w:sz w:val="22"/>
                <w:szCs w:val="22"/>
                <w:rtl/>
                <w:lang w:bidi="ar-JO"/>
              </w:rPr>
              <w:t>)</w:t>
            </w:r>
          </w:p>
        </w:tc>
      </w:tr>
      <w:tr w:rsidR="005A2DDD" w:rsidRPr="00990F89" w:rsidTr="0024115F">
        <w:tc>
          <w:tcPr>
            <w:tcW w:w="3556" w:type="pct"/>
            <w:shd w:val="clear" w:color="auto" w:fill="auto"/>
          </w:tcPr>
          <w:p w:rsidR="005A2DDD" w:rsidRPr="00205AAB" w:rsidRDefault="005A2DDD" w:rsidP="005A2DDD">
            <w:pPr>
              <w:rPr>
                <w:b w:val="0"/>
                <w:bCs w:val="0"/>
                <w:sz w:val="24"/>
                <w:szCs w:val="24"/>
                <w:lang w:bidi="ar-JO"/>
              </w:rPr>
            </w:pPr>
            <w:r w:rsidRPr="00205AAB">
              <w:rPr>
                <w:rFonts w:hint="cs"/>
                <w:b w:val="0"/>
                <w:bCs w:val="0"/>
                <w:sz w:val="24"/>
                <w:szCs w:val="24"/>
                <w:rtl/>
                <w:lang w:bidi="ar-JO"/>
              </w:rPr>
              <w:t xml:space="preserve">رأس المال الاساسي للاسهم العادية </w:t>
            </w:r>
            <w:r w:rsidRPr="00205AAB">
              <w:rPr>
                <w:b w:val="0"/>
                <w:bCs w:val="0"/>
                <w:sz w:val="24"/>
                <w:szCs w:val="24"/>
                <w:lang w:bidi="ar-JO"/>
              </w:rPr>
              <w:t>CET1</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95</w:t>
            </w:r>
          </w:p>
        </w:tc>
      </w:tr>
      <w:tr w:rsidR="005A2DDD" w:rsidRPr="00990F89" w:rsidTr="0024115F">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الاستثمارات في البنوك والشركات المالية وشركات التأمين التي تزيد عن (10%) من رأسمال هذه الشركات</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20</w:t>
            </w:r>
          </w:p>
        </w:tc>
      </w:tr>
      <w:tr w:rsidR="005A2DDD" w:rsidRPr="00990F89" w:rsidTr="0024115F">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    ضمن أدوات </w:t>
            </w:r>
            <w:r w:rsidRPr="00205AAB">
              <w:rPr>
                <w:b w:val="0"/>
                <w:bCs w:val="0"/>
                <w:sz w:val="24"/>
                <w:szCs w:val="24"/>
                <w:lang w:bidi="ar-JO"/>
              </w:rPr>
              <w:t>CET1</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15</w:t>
            </w:r>
          </w:p>
        </w:tc>
      </w:tr>
      <w:tr w:rsidR="005A2DDD" w:rsidRPr="00990F89" w:rsidTr="0024115F">
        <w:tc>
          <w:tcPr>
            <w:tcW w:w="3556" w:type="pct"/>
            <w:shd w:val="clear" w:color="auto" w:fill="auto"/>
          </w:tcPr>
          <w:p w:rsidR="005A2DDD" w:rsidRPr="00197862" w:rsidRDefault="005A2DDD" w:rsidP="00197862">
            <w:pPr>
              <w:rPr>
                <w:b w:val="0"/>
                <w:bCs w:val="0"/>
                <w:sz w:val="24"/>
                <w:szCs w:val="24"/>
                <w:rtl/>
                <w:lang w:bidi="ar-JO"/>
              </w:rPr>
            </w:pPr>
            <w:r w:rsidRPr="00205AAB">
              <w:rPr>
                <w:rFonts w:hint="cs"/>
                <w:b w:val="0"/>
                <w:bCs w:val="0"/>
                <w:sz w:val="24"/>
                <w:szCs w:val="24"/>
                <w:rtl/>
                <w:lang w:bidi="ar-JO"/>
              </w:rPr>
              <w:t xml:space="preserve">    ضمن أدوات </w:t>
            </w:r>
            <w:r w:rsidRPr="00205AAB">
              <w:rPr>
                <w:b w:val="0"/>
                <w:bCs w:val="0"/>
                <w:sz w:val="24"/>
                <w:szCs w:val="24"/>
                <w:lang w:bidi="ar-JO"/>
              </w:rPr>
              <w:t>AT1</w:t>
            </w:r>
            <w:r w:rsidR="00290249">
              <w:rPr>
                <w:rFonts w:hint="cs"/>
                <w:b w:val="0"/>
                <w:bCs w:val="0"/>
                <w:sz w:val="24"/>
                <w:szCs w:val="24"/>
                <w:rtl/>
                <w:lang w:bidi="ar-JO"/>
              </w:rPr>
              <w:t xml:space="preserve"> </w:t>
            </w:r>
            <w:r w:rsidR="00197862" w:rsidRPr="00197862">
              <w:rPr>
                <w:rFonts w:hint="cs"/>
                <w:vertAlign w:val="superscript"/>
                <w:rtl/>
              </w:rPr>
              <w:t>*</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3</w:t>
            </w:r>
          </w:p>
        </w:tc>
      </w:tr>
      <w:tr w:rsidR="005A2DDD" w:rsidRPr="00990F89" w:rsidTr="0024115F">
        <w:tc>
          <w:tcPr>
            <w:tcW w:w="3556" w:type="pct"/>
            <w:shd w:val="clear" w:color="auto" w:fill="auto"/>
          </w:tcPr>
          <w:p w:rsidR="005A2DDD" w:rsidRPr="00205AAB" w:rsidRDefault="005A2DDD" w:rsidP="00197862">
            <w:pPr>
              <w:rPr>
                <w:b w:val="0"/>
                <w:bCs w:val="0"/>
                <w:sz w:val="24"/>
                <w:szCs w:val="24"/>
                <w:rtl/>
                <w:lang w:bidi="ar-JO"/>
              </w:rPr>
            </w:pPr>
            <w:r w:rsidRPr="00205AAB">
              <w:rPr>
                <w:rFonts w:hint="cs"/>
                <w:b w:val="0"/>
                <w:bCs w:val="0"/>
                <w:sz w:val="24"/>
                <w:szCs w:val="24"/>
                <w:rtl/>
                <w:lang w:bidi="ar-JO"/>
              </w:rPr>
              <w:t xml:space="preserve">    ضمن ادوات </w:t>
            </w:r>
            <w:r w:rsidRPr="00205AAB">
              <w:rPr>
                <w:b w:val="0"/>
                <w:bCs w:val="0"/>
                <w:sz w:val="24"/>
                <w:szCs w:val="24"/>
                <w:lang w:bidi="ar-JO"/>
              </w:rPr>
              <w:t>T2</w:t>
            </w:r>
            <w:r w:rsidR="00290249">
              <w:rPr>
                <w:rFonts w:hint="cs"/>
                <w:b w:val="0"/>
                <w:bCs w:val="0"/>
                <w:sz w:val="24"/>
                <w:szCs w:val="24"/>
                <w:rtl/>
                <w:lang w:bidi="ar-JO"/>
              </w:rPr>
              <w:t xml:space="preserve"> </w:t>
            </w:r>
            <w:r w:rsidR="00197862" w:rsidRPr="00197862">
              <w:rPr>
                <w:rFonts w:hint="cs"/>
                <w:vertAlign w:val="superscript"/>
                <w:rtl/>
              </w:rPr>
              <w:t>*</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2</w:t>
            </w:r>
          </w:p>
        </w:tc>
      </w:tr>
      <w:tr w:rsidR="005A2DDD" w:rsidRPr="00990F89" w:rsidTr="0024115F">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موجودات ضريبة مؤجلة نتيجة فروقات مؤقتة </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20</w:t>
            </w:r>
          </w:p>
        </w:tc>
      </w:tr>
    </w:tbl>
    <w:p w:rsidR="00534C47" w:rsidRDefault="00197862" w:rsidP="005A2DDD">
      <w:pPr>
        <w:rPr>
          <w:sz w:val="20"/>
          <w:szCs w:val="20"/>
          <w:rtl/>
        </w:rPr>
      </w:pPr>
      <w:r w:rsidRPr="00197862">
        <w:rPr>
          <w:rFonts w:hint="cs"/>
          <w:sz w:val="20"/>
          <w:szCs w:val="20"/>
          <w:rtl/>
        </w:rPr>
        <w:t xml:space="preserve">* أي أدوات </w:t>
      </w:r>
      <w:r w:rsidR="00036EC9" w:rsidRPr="00197862">
        <w:rPr>
          <w:rFonts w:hint="cs"/>
          <w:sz w:val="20"/>
          <w:szCs w:val="20"/>
          <w:rtl/>
        </w:rPr>
        <w:t>رأسمال</w:t>
      </w:r>
      <w:r w:rsidR="008B011C">
        <w:rPr>
          <w:rFonts w:hint="cs"/>
          <w:sz w:val="20"/>
          <w:szCs w:val="20"/>
          <w:rtl/>
        </w:rPr>
        <w:t>ية</w:t>
      </w:r>
      <w:r w:rsidRPr="00197862">
        <w:rPr>
          <w:rFonts w:hint="cs"/>
          <w:sz w:val="20"/>
          <w:szCs w:val="20"/>
          <w:rtl/>
        </w:rPr>
        <w:t xml:space="preserve"> غير </w:t>
      </w:r>
      <w:r w:rsidRPr="00197862">
        <w:rPr>
          <w:sz w:val="20"/>
          <w:szCs w:val="20"/>
        </w:rPr>
        <w:t>CET1</w:t>
      </w:r>
      <w:r w:rsidRPr="00197862">
        <w:rPr>
          <w:rFonts w:hint="cs"/>
          <w:sz w:val="20"/>
          <w:szCs w:val="20"/>
          <w:rtl/>
        </w:rPr>
        <w:t xml:space="preserve"> تستقطع بالكامل من بند رأس المال المقابل لها في رأس المال للبنك، بمعنى أنه إذا كان البنك يستثمر في اداة رأسمالية </w:t>
      </w:r>
      <w:r w:rsidRPr="00197862">
        <w:rPr>
          <w:sz w:val="20"/>
          <w:szCs w:val="20"/>
        </w:rPr>
        <w:t>AT1</w:t>
      </w:r>
      <w:r w:rsidRPr="00197862">
        <w:rPr>
          <w:rFonts w:hint="cs"/>
          <w:sz w:val="20"/>
          <w:szCs w:val="20"/>
          <w:rtl/>
        </w:rPr>
        <w:t xml:space="preserve"> بمبلغ معين فيجب الاقتطاع من </w:t>
      </w:r>
      <w:r w:rsidRPr="00197862">
        <w:rPr>
          <w:sz w:val="20"/>
          <w:szCs w:val="20"/>
        </w:rPr>
        <w:t>AT1</w:t>
      </w:r>
      <w:r w:rsidRPr="00197862">
        <w:rPr>
          <w:rFonts w:hint="cs"/>
          <w:sz w:val="20"/>
          <w:szCs w:val="20"/>
          <w:rtl/>
        </w:rPr>
        <w:t xml:space="preserve"> الموجودة ضمن رأس المال المقابل له.</w:t>
      </w:r>
    </w:p>
    <w:p w:rsidR="00036EC9" w:rsidRPr="00197862" w:rsidRDefault="00036EC9" w:rsidP="005A2DDD">
      <w:pPr>
        <w:rPr>
          <w:sz w:val="20"/>
          <w:szCs w:val="20"/>
          <w:rtl/>
        </w:rPr>
      </w:pPr>
    </w:p>
    <w:p w:rsidR="005A2DDD" w:rsidRDefault="005A2DDD" w:rsidP="005C54C4">
      <w:pPr>
        <w:rPr>
          <w:rtl/>
        </w:rPr>
      </w:pPr>
      <w:r>
        <w:rPr>
          <w:rFonts w:hint="cs"/>
          <w:rtl/>
          <w:lang w:bidi="ar-JO"/>
        </w:rPr>
        <w:t>الحد الأول</w:t>
      </w:r>
      <w:r w:rsidR="008B011C">
        <w:rPr>
          <w:rFonts w:hint="cs"/>
          <w:rtl/>
          <w:lang w:bidi="ar-JO"/>
        </w:rPr>
        <w:t xml:space="preserve"> </w:t>
      </w:r>
      <w:r w:rsidR="005C54C4">
        <w:rPr>
          <w:rFonts w:hint="cs"/>
          <w:rtl/>
          <w:lang w:bidi="ar-JO"/>
        </w:rPr>
        <w:t>للاستقطاع</w:t>
      </w:r>
      <w:r>
        <w:rPr>
          <w:rFonts w:hint="cs"/>
          <w:rtl/>
          <w:lang w:bidi="ar-JO"/>
        </w:rPr>
        <w:t xml:space="preserve">: </w:t>
      </w:r>
      <w:r w:rsidR="008B011C">
        <w:rPr>
          <w:rFonts w:hint="cs"/>
          <w:rtl/>
          <w:lang w:bidi="ar-JO"/>
        </w:rPr>
        <w:t>ما يزيد عن (</w:t>
      </w:r>
      <w:r>
        <w:rPr>
          <w:rFonts w:hint="cs"/>
          <w:rtl/>
          <w:lang w:bidi="ar-JO"/>
        </w:rPr>
        <w:t>10%</w:t>
      </w:r>
      <w:r w:rsidR="008B011C">
        <w:rPr>
          <w:rFonts w:hint="cs"/>
          <w:rtl/>
          <w:lang w:bidi="ar-JO"/>
        </w:rPr>
        <w:t>)</w:t>
      </w:r>
      <w:r>
        <w:rPr>
          <w:rFonts w:hint="cs"/>
          <w:rtl/>
          <w:lang w:bidi="ar-JO"/>
        </w:rPr>
        <w:t xml:space="preserve"> من كل بند بصورة إفرادية </w:t>
      </w:r>
      <w:r w:rsidR="00290249">
        <w:rPr>
          <w:rFonts w:hint="cs"/>
          <w:rtl/>
          <w:lang w:bidi="ar-JO"/>
        </w:rPr>
        <w:t xml:space="preserve">(ينطبق على الأدوات المستثمر بها في </w:t>
      </w:r>
      <w:r w:rsidR="00290249">
        <w:rPr>
          <w:lang w:bidi="ar-JO"/>
        </w:rPr>
        <w:t>CET1</w:t>
      </w:r>
      <w:r w:rsidR="00290249">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641"/>
      </w:tblGrid>
      <w:tr w:rsidR="005A2DDD" w:rsidRPr="00990F89" w:rsidTr="008C738C">
        <w:tc>
          <w:tcPr>
            <w:tcW w:w="3556" w:type="pct"/>
            <w:shd w:val="clear" w:color="auto" w:fill="F2F2F2" w:themeFill="background1" w:themeFillShade="F2"/>
            <w:vAlign w:val="center"/>
          </w:tcPr>
          <w:p w:rsidR="005A2DDD" w:rsidRPr="00990F89" w:rsidRDefault="005A2DDD" w:rsidP="0024115F">
            <w:pPr>
              <w:jc w:val="center"/>
              <w:rPr>
                <w:rtl/>
                <w:lang w:bidi="ar-JO"/>
              </w:rPr>
            </w:pPr>
            <w:r w:rsidRPr="00990F89">
              <w:rPr>
                <w:rFonts w:hint="cs"/>
                <w:rtl/>
                <w:lang w:bidi="ar-JO"/>
              </w:rPr>
              <w:t>البند</w:t>
            </w:r>
          </w:p>
        </w:tc>
        <w:tc>
          <w:tcPr>
            <w:tcW w:w="1444" w:type="pct"/>
            <w:shd w:val="clear" w:color="auto" w:fill="F2F2F2" w:themeFill="background1" w:themeFillShade="F2"/>
            <w:vAlign w:val="center"/>
          </w:tcPr>
          <w:p w:rsidR="005A2DDD" w:rsidRPr="00990F89" w:rsidRDefault="005A2DDD" w:rsidP="0024115F">
            <w:pPr>
              <w:jc w:val="center"/>
              <w:rPr>
                <w:rtl/>
                <w:lang w:bidi="ar-JO"/>
              </w:rPr>
            </w:pPr>
            <w:r w:rsidRPr="00990F89">
              <w:rPr>
                <w:rFonts w:hint="cs"/>
                <w:rtl/>
                <w:lang w:bidi="ar-JO"/>
              </w:rPr>
              <w:t>المبلغ</w:t>
            </w:r>
          </w:p>
        </w:tc>
      </w:tr>
      <w:tr w:rsidR="005A2DDD" w:rsidRPr="00990F89" w:rsidTr="008C738C">
        <w:tc>
          <w:tcPr>
            <w:tcW w:w="3556" w:type="pct"/>
            <w:shd w:val="clear" w:color="auto" w:fill="auto"/>
          </w:tcPr>
          <w:p w:rsidR="005A2DDD" w:rsidRPr="00205AAB" w:rsidRDefault="005A2DDD" w:rsidP="00290249">
            <w:pPr>
              <w:rPr>
                <w:b w:val="0"/>
                <w:bCs w:val="0"/>
                <w:sz w:val="24"/>
                <w:szCs w:val="24"/>
                <w:rtl/>
                <w:lang w:bidi="ar-JO"/>
              </w:rPr>
            </w:pPr>
            <w:r w:rsidRPr="00205AAB">
              <w:rPr>
                <w:rFonts w:hint="cs"/>
                <w:b w:val="0"/>
                <w:bCs w:val="0"/>
                <w:sz w:val="24"/>
                <w:szCs w:val="24"/>
                <w:rtl/>
                <w:lang w:bidi="ar-JO"/>
              </w:rPr>
              <w:t xml:space="preserve">(10%) من رأس المال الأساسي للأسهم العادية </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9.5</w:t>
            </w:r>
          </w:p>
        </w:tc>
      </w:tr>
      <w:tr w:rsidR="005A2DDD" w:rsidRPr="00990F89" w:rsidTr="008C738C">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    الاقتطاع من </w:t>
            </w:r>
            <w:r w:rsidRPr="00205AAB">
              <w:rPr>
                <w:b w:val="0"/>
                <w:bCs w:val="0"/>
                <w:sz w:val="24"/>
                <w:szCs w:val="24"/>
                <w:lang w:bidi="ar-JO"/>
              </w:rPr>
              <w:t>CET1</w:t>
            </w:r>
            <w:r w:rsidR="00290249">
              <w:rPr>
                <w:rFonts w:hint="cs"/>
                <w:b w:val="0"/>
                <w:bCs w:val="0"/>
                <w:sz w:val="24"/>
                <w:szCs w:val="24"/>
                <w:rtl/>
                <w:lang w:bidi="ar-JO"/>
              </w:rPr>
              <w:t xml:space="preserve"> </w:t>
            </w:r>
            <w:r w:rsidR="00290249" w:rsidRPr="00205AAB">
              <w:rPr>
                <w:rFonts w:hint="cs"/>
                <w:b w:val="0"/>
                <w:bCs w:val="0"/>
                <w:sz w:val="24"/>
                <w:szCs w:val="24"/>
                <w:rtl/>
                <w:lang w:bidi="ar-JO"/>
              </w:rPr>
              <w:t>[15-9.5 = 5.5]</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5.5</w:t>
            </w:r>
          </w:p>
        </w:tc>
      </w:tr>
      <w:tr w:rsidR="005A2DDD" w:rsidRPr="00990F89" w:rsidTr="008C738C">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    الاقتطاع من </w:t>
            </w:r>
            <w:r w:rsidRPr="00205AAB">
              <w:rPr>
                <w:b w:val="0"/>
                <w:bCs w:val="0"/>
                <w:sz w:val="24"/>
                <w:szCs w:val="24"/>
                <w:lang w:bidi="ar-JO"/>
              </w:rPr>
              <w:t>AT1</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3</w:t>
            </w:r>
          </w:p>
        </w:tc>
      </w:tr>
      <w:tr w:rsidR="005A2DDD" w:rsidRPr="00990F89" w:rsidTr="008C738C">
        <w:tc>
          <w:tcPr>
            <w:tcW w:w="3556" w:type="pct"/>
            <w:shd w:val="clear" w:color="auto" w:fill="auto"/>
          </w:tcPr>
          <w:p w:rsidR="005A2DDD" w:rsidRPr="00205AAB" w:rsidRDefault="005A2DDD" w:rsidP="005A2DDD">
            <w:pPr>
              <w:rPr>
                <w:b w:val="0"/>
                <w:bCs w:val="0"/>
                <w:sz w:val="24"/>
                <w:szCs w:val="24"/>
                <w:lang w:bidi="ar-JO"/>
              </w:rPr>
            </w:pPr>
            <w:r w:rsidRPr="00205AAB">
              <w:rPr>
                <w:rFonts w:hint="cs"/>
                <w:b w:val="0"/>
                <w:bCs w:val="0"/>
                <w:sz w:val="24"/>
                <w:szCs w:val="24"/>
                <w:rtl/>
                <w:lang w:bidi="ar-JO"/>
              </w:rPr>
              <w:t xml:space="preserve">    الاقتطاع من </w:t>
            </w:r>
            <w:r w:rsidRPr="00205AAB">
              <w:rPr>
                <w:b w:val="0"/>
                <w:bCs w:val="0"/>
                <w:sz w:val="24"/>
                <w:szCs w:val="24"/>
                <w:lang w:bidi="ar-JO"/>
              </w:rPr>
              <w:t>T2</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2</w:t>
            </w:r>
          </w:p>
        </w:tc>
      </w:tr>
      <w:tr w:rsidR="005A2DDD" w:rsidRPr="00990F89" w:rsidTr="008C738C">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موجودات ضريبة مؤجلة نتيجة فروقات مؤقتة  [20-9.5 = 10.5]</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10.5</w:t>
            </w:r>
          </w:p>
        </w:tc>
      </w:tr>
      <w:tr w:rsidR="005A2DDD" w:rsidRPr="00990F89" w:rsidTr="008C738C">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المتبقي من الاستثمارات وموجودات ضريبة مؤجلة نتيجة فروقات مؤقتة  </w:t>
            </w:r>
          </w:p>
        </w:tc>
        <w:tc>
          <w:tcPr>
            <w:tcW w:w="1444" w:type="pct"/>
            <w:shd w:val="clear" w:color="auto" w:fill="auto"/>
          </w:tcPr>
          <w:p w:rsidR="005A2DDD" w:rsidRPr="00205AAB" w:rsidRDefault="005A2DDD" w:rsidP="0024115F">
            <w:pPr>
              <w:jc w:val="center"/>
              <w:rPr>
                <w:b w:val="0"/>
                <w:bCs w:val="0"/>
                <w:sz w:val="24"/>
                <w:szCs w:val="24"/>
                <w:rtl/>
                <w:lang w:bidi="ar-JO"/>
              </w:rPr>
            </w:pPr>
            <w:r w:rsidRPr="00205AAB">
              <w:rPr>
                <w:rFonts w:hint="cs"/>
                <w:b w:val="0"/>
                <w:bCs w:val="0"/>
                <w:sz w:val="24"/>
                <w:szCs w:val="24"/>
                <w:rtl/>
                <w:lang w:bidi="ar-JO"/>
              </w:rPr>
              <w:t>9.5 + 9.5 = 19</w:t>
            </w:r>
          </w:p>
        </w:tc>
      </w:tr>
    </w:tbl>
    <w:p w:rsidR="00534C47" w:rsidRDefault="00534C47" w:rsidP="005A2DDD">
      <w:pPr>
        <w:rPr>
          <w:rtl/>
          <w:lang w:bidi="ar-JO"/>
        </w:rPr>
      </w:pPr>
    </w:p>
    <w:p w:rsidR="00534C47" w:rsidRDefault="00534C47" w:rsidP="005A2DDD">
      <w:pPr>
        <w:rPr>
          <w:rtl/>
          <w:lang w:bidi="ar-JO"/>
        </w:rPr>
      </w:pPr>
    </w:p>
    <w:p w:rsidR="00197862" w:rsidRDefault="00197862" w:rsidP="005A2DDD">
      <w:pPr>
        <w:rPr>
          <w:rtl/>
          <w:lang w:bidi="ar-JO"/>
        </w:rPr>
      </w:pPr>
    </w:p>
    <w:p w:rsidR="008B011C" w:rsidRDefault="005A2DDD" w:rsidP="008B011C">
      <w:pPr>
        <w:rPr>
          <w:rtl/>
          <w:lang w:bidi="ar-JO"/>
        </w:rPr>
      </w:pPr>
      <w:r>
        <w:rPr>
          <w:rFonts w:hint="cs"/>
          <w:rtl/>
          <w:lang w:bidi="ar-JO"/>
        </w:rPr>
        <w:lastRenderedPageBreak/>
        <w:t>الحد الثاني</w:t>
      </w:r>
      <w:r w:rsidR="008B011C">
        <w:rPr>
          <w:rFonts w:hint="cs"/>
          <w:rtl/>
          <w:lang w:bidi="ar-JO"/>
        </w:rPr>
        <w:t xml:space="preserve"> للا</w:t>
      </w:r>
      <w:r w:rsidR="005C54C4">
        <w:rPr>
          <w:rFonts w:hint="cs"/>
          <w:rtl/>
          <w:lang w:bidi="ar-JO"/>
        </w:rPr>
        <w:t>ستق</w:t>
      </w:r>
      <w:r w:rsidR="008B011C">
        <w:rPr>
          <w:rFonts w:hint="cs"/>
          <w:rtl/>
          <w:lang w:bidi="ar-JO"/>
        </w:rPr>
        <w:t>طاع</w:t>
      </w:r>
      <w:r>
        <w:rPr>
          <w:rFonts w:hint="cs"/>
          <w:rtl/>
          <w:lang w:bidi="ar-JO"/>
        </w:rPr>
        <w:t>:</w:t>
      </w:r>
      <w:r w:rsidR="008B011C">
        <w:rPr>
          <w:rFonts w:hint="cs"/>
          <w:rtl/>
          <w:lang w:bidi="ar-JO"/>
        </w:rPr>
        <w:t xml:space="preserve"> ما يزيد عن (</w:t>
      </w:r>
      <w:r>
        <w:rPr>
          <w:rFonts w:hint="cs"/>
          <w:rtl/>
          <w:lang w:bidi="ar-JO"/>
        </w:rPr>
        <w:t>15%</w:t>
      </w:r>
      <w:r w:rsidR="008B011C">
        <w:rPr>
          <w:rFonts w:hint="cs"/>
          <w:rtl/>
          <w:lang w:bidi="ar-JO"/>
        </w:rPr>
        <w:t>)</w:t>
      </w:r>
      <w:r>
        <w:rPr>
          <w:rFonts w:hint="cs"/>
          <w:rtl/>
          <w:lang w:bidi="ar-JO"/>
        </w:rPr>
        <w:t xml:space="preserve"> من </w:t>
      </w:r>
      <w:r w:rsidR="00782C90">
        <w:rPr>
          <w:rFonts w:hint="cs"/>
          <w:rtl/>
          <w:lang w:bidi="ar-JO"/>
        </w:rPr>
        <w:t>(</w:t>
      </w:r>
      <w:r w:rsidR="00782C90">
        <w:rPr>
          <w:lang w:bidi="ar-JO"/>
        </w:rPr>
        <w:t>CET1</w:t>
      </w:r>
      <w:r w:rsidR="00782C90">
        <w:rPr>
          <w:rFonts w:hint="cs"/>
          <w:rtl/>
        </w:rPr>
        <w:t xml:space="preserve">) للبنك وذلك بشكل </w:t>
      </w:r>
      <w:r>
        <w:rPr>
          <w:rFonts w:hint="cs"/>
          <w:rtl/>
          <w:lang w:bidi="ar-JO"/>
        </w:rPr>
        <w:t>إجمالي</w:t>
      </w:r>
      <w:r w:rsidR="008B011C">
        <w:rPr>
          <w:rFonts w:hint="cs"/>
          <w:rtl/>
          <w:lang w:bidi="ar-JO"/>
        </w:rPr>
        <w:t>، وكما يلي:</w:t>
      </w:r>
    </w:p>
    <w:p w:rsidR="005A2DDD" w:rsidRDefault="008B011C" w:rsidP="008B011C">
      <w:pPr>
        <w:pStyle w:val="ListParagraph"/>
        <w:numPr>
          <w:ilvl w:val="0"/>
          <w:numId w:val="29"/>
        </w:numPr>
        <w:ind w:left="850" w:hanging="567"/>
        <w:rPr>
          <w:rtl/>
          <w:lang w:bidi="ar-JO"/>
        </w:rPr>
      </w:pPr>
      <w:r>
        <w:rPr>
          <w:rFonts w:hint="cs"/>
          <w:rtl/>
          <w:lang w:bidi="ar-JO"/>
        </w:rPr>
        <w:t>اعتباراً من 30/9/2016 و</w:t>
      </w:r>
      <w:r w:rsidR="005A2DDD">
        <w:rPr>
          <w:rFonts w:hint="cs"/>
          <w:rtl/>
          <w:lang w:bidi="ar-JO"/>
        </w:rPr>
        <w:t>لغاية 31/12/2018</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5"/>
        <w:gridCol w:w="2641"/>
      </w:tblGrid>
      <w:tr w:rsidR="005A2DDD" w:rsidRPr="00990F89" w:rsidTr="008C738C">
        <w:trPr>
          <w:cantSplit/>
        </w:trPr>
        <w:tc>
          <w:tcPr>
            <w:tcW w:w="3556" w:type="pct"/>
            <w:shd w:val="clear" w:color="auto" w:fill="F2F2F2" w:themeFill="background1" w:themeFillShade="F2"/>
            <w:vAlign w:val="center"/>
          </w:tcPr>
          <w:p w:rsidR="005A2DDD" w:rsidRPr="00990F89" w:rsidRDefault="005A2DDD" w:rsidP="0024115F">
            <w:pPr>
              <w:jc w:val="center"/>
              <w:rPr>
                <w:rtl/>
                <w:lang w:bidi="ar-JO"/>
              </w:rPr>
            </w:pPr>
            <w:r w:rsidRPr="00990F89">
              <w:rPr>
                <w:rFonts w:hint="cs"/>
                <w:rtl/>
                <w:lang w:bidi="ar-JO"/>
              </w:rPr>
              <w:t>البند</w:t>
            </w:r>
          </w:p>
        </w:tc>
        <w:tc>
          <w:tcPr>
            <w:tcW w:w="1444" w:type="pct"/>
            <w:shd w:val="clear" w:color="auto" w:fill="F2F2F2" w:themeFill="background1" w:themeFillShade="F2"/>
            <w:vAlign w:val="center"/>
          </w:tcPr>
          <w:p w:rsidR="005A2DDD" w:rsidRPr="00990F89" w:rsidRDefault="005A2DDD" w:rsidP="0024115F">
            <w:pPr>
              <w:jc w:val="center"/>
              <w:rPr>
                <w:rtl/>
                <w:lang w:bidi="ar-JO"/>
              </w:rPr>
            </w:pPr>
            <w:r w:rsidRPr="00990F89">
              <w:rPr>
                <w:rFonts w:hint="cs"/>
                <w:rtl/>
                <w:lang w:bidi="ar-JO"/>
              </w:rPr>
              <w:t>المبلغ</w:t>
            </w:r>
          </w:p>
        </w:tc>
      </w:tr>
      <w:tr w:rsidR="005A2DDD" w:rsidRPr="00990F89" w:rsidTr="008C738C">
        <w:trPr>
          <w:cantSplit/>
        </w:trPr>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(15%) من رأس المال الأساسي للأسهم العادية [95 * 15%]</w:t>
            </w:r>
          </w:p>
        </w:tc>
        <w:tc>
          <w:tcPr>
            <w:tcW w:w="1444" w:type="pct"/>
            <w:shd w:val="clear" w:color="auto" w:fill="auto"/>
            <w:vAlign w:val="center"/>
          </w:tcPr>
          <w:p w:rsidR="005A2DDD" w:rsidRPr="00205AAB" w:rsidRDefault="005A2DDD" w:rsidP="008C738C">
            <w:pPr>
              <w:jc w:val="center"/>
              <w:rPr>
                <w:b w:val="0"/>
                <w:bCs w:val="0"/>
                <w:sz w:val="24"/>
                <w:szCs w:val="24"/>
                <w:rtl/>
                <w:lang w:bidi="ar-JO"/>
              </w:rPr>
            </w:pPr>
            <w:r w:rsidRPr="00205AAB">
              <w:rPr>
                <w:rFonts w:hint="cs"/>
                <w:b w:val="0"/>
                <w:bCs w:val="0"/>
                <w:sz w:val="24"/>
                <w:szCs w:val="24"/>
                <w:rtl/>
                <w:lang w:bidi="ar-JO"/>
              </w:rPr>
              <w:t>14.25</w:t>
            </w:r>
          </w:p>
        </w:tc>
      </w:tr>
      <w:tr w:rsidR="005A2DDD" w:rsidRPr="00990F89" w:rsidTr="008C738C">
        <w:trPr>
          <w:cantSplit/>
        </w:trPr>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الاقتطاع من </w:t>
            </w:r>
            <w:r w:rsidRPr="00205AAB">
              <w:rPr>
                <w:b w:val="0"/>
                <w:bCs w:val="0"/>
                <w:sz w:val="24"/>
                <w:szCs w:val="24"/>
                <w:lang w:bidi="ar-JO"/>
              </w:rPr>
              <w:t>CET1</w:t>
            </w:r>
            <w:r w:rsidRPr="00205AAB">
              <w:rPr>
                <w:rFonts w:hint="cs"/>
                <w:b w:val="0"/>
                <w:bCs w:val="0"/>
                <w:sz w:val="24"/>
                <w:szCs w:val="24"/>
                <w:rtl/>
                <w:lang w:bidi="ar-JO"/>
              </w:rPr>
              <w:t xml:space="preserve"> الذي يزيد عن الحد الثاني</w:t>
            </w:r>
          </w:p>
          <w:p w:rsidR="005A2DDD" w:rsidRPr="00205AAB" w:rsidRDefault="00E139E3" w:rsidP="005A2DDD">
            <w:pPr>
              <w:rPr>
                <w:b w:val="0"/>
                <w:bCs w:val="0"/>
                <w:sz w:val="24"/>
                <w:szCs w:val="24"/>
                <w:rtl/>
                <w:lang w:bidi="ar-JO"/>
              </w:rPr>
            </w:pPr>
            <w:r>
              <w:rPr>
                <w:rStyle w:val="FootnoteReference"/>
                <w:b w:val="0"/>
                <w:bCs w:val="0"/>
                <w:sz w:val="24"/>
                <w:szCs w:val="24"/>
                <w:rtl/>
                <w:lang w:bidi="ar-JO"/>
              </w:rPr>
              <w:footnoteReference w:id="22"/>
            </w:r>
            <w:r w:rsidR="005A2DDD" w:rsidRPr="00205AAB">
              <w:rPr>
                <w:rFonts w:hint="cs"/>
                <w:b w:val="0"/>
                <w:bCs w:val="0"/>
                <w:sz w:val="24"/>
                <w:szCs w:val="24"/>
                <w:rtl/>
                <w:lang w:bidi="ar-JO"/>
              </w:rPr>
              <w:t xml:space="preserve">35 </w:t>
            </w:r>
            <w:r w:rsidR="005A2DDD" w:rsidRPr="00205AAB">
              <w:rPr>
                <w:b w:val="0"/>
                <w:bCs w:val="0"/>
                <w:sz w:val="24"/>
                <w:szCs w:val="24"/>
                <w:rtl/>
                <w:lang w:bidi="ar-JO"/>
              </w:rPr>
              <w:t>–</w:t>
            </w:r>
            <w:r w:rsidR="005A2DDD" w:rsidRPr="00205AAB">
              <w:rPr>
                <w:rFonts w:hint="cs"/>
                <w:b w:val="0"/>
                <w:bCs w:val="0"/>
                <w:sz w:val="24"/>
                <w:szCs w:val="24"/>
                <w:rtl/>
                <w:lang w:bidi="ar-JO"/>
              </w:rPr>
              <w:t xml:space="preserve"> 5.5 </w:t>
            </w:r>
            <w:r w:rsidR="005A2DDD" w:rsidRPr="00205AAB">
              <w:rPr>
                <w:b w:val="0"/>
                <w:bCs w:val="0"/>
                <w:sz w:val="24"/>
                <w:szCs w:val="24"/>
                <w:rtl/>
                <w:lang w:bidi="ar-JO"/>
              </w:rPr>
              <w:t>–</w:t>
            </w:r>
            <w:r w:rsidR="005A2DDD" w:rsidRPr="00205AAB">
              <w:rPr>
                <w:rFonts w:hint="cs"/>
                <w:b w:val="0"/>
                <w:bCs w:val="0"/>
                <w:sz w:val="24"/>
                <w:szCs w:val="24"/>
                <w:rtl/>
                <w:lang w:bidi="ar-JO"/>
              </w:rPr>
              <w:t xml:space="preserve"> 10.5 = 19</w:t>
            </w:r>
          </w:p>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19 </w:t>
            </w:r>
            <w:r w:rsidRPr="00205AAB">
              <w:rPr>
                <w:b w:val="0"/>
                <w:bCs w:val="0"/>
                <w:sz w:val="24"/>
                <w:szCs w:val="24"/>
                <w:rtl/>
                <w:lang w:bidi="ar-JO"/>
              </w:rPr>
              <w:t>–</w:t>
            </w:r>
            <w:r w:rsidRPr="00205AAB">
              <w:rPr>
                <w:rFonts w:hint="cs"/>
                <w:b w:val="0"/>
                <w:bCs w:val="0"/>
                <w:sz w:val="24"/>
                <w:szCs w:val="24"/>
                <w:rtl/>
                <w:lang w:bidi="ar-JO"/>
              </w:rPr>
              <w:t xml:space="preserve"> 14.25 = 4.75</w:t>
            </w:r>
          </w:p>
        </w:tc>
        <w:tc>
          <w:tcPr>
            <w:tcW w:w="1444" w:type="pct"/>
            <w:shd w:val="clear" w:color="auto" w:fill="auto"/>
            <w:vAlign w:val="center"/>
          </w:tcPr>
          <w:p w:rsidR="005A2DDD" w:rsidRPr="00205AAB" w:rsidRDefault="005A2DDD" w:rsidP="008C738C">
            <w:pPr>
              <w:jc w:val="center"/>
              <w:rPr>
                <w:b w:val="0"/>
                <w:bCs w:val="0"/>
                <w:sz w:val="24"/>
                <w:szCs w:val="24"/>
                <w:rtl/>
                <w:lang w:bidi="ar-JO"/>
              </w:rPr>
            </w:pPr>
            <w:r w:rsidRPr="00205AAB">
              <w:rPr>
                <w:rFonts w:hint="cs"/>
                <w:b w:val="0"/>
                <w:bCs w:val="0"/>
                <w:sz w:val="24"/>
                <w:szCs w:val="24"/>
                <w:rtl/>
                <w:lang w:bidi="ar-JO"/>
              </w:rPr>
              <w:t>4.75</w:t>
            </w:r>
          </w:p>
        </w:tc>
      </w:tr>
      <w:tr w:rsidR="005A2DDD" w:rsidRPr="00990F89" w:rsidTr="008C738C">
        <w:trPr>
          <w:cantSplit/>
        </w:trPr>
        <w:tc>
          <w:tcPr>
            <w:tcW w:w="3556"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إجمالي الاقتطاعات من </w:t>
            </w:r>
            <w:r w:rsidRPr="00205AAB">
              <w:rPr>
                <w:b w:val="0"/>
                <w:bCs w:val="0"/>
                <w:sz w:val="24"/>
                <w:szCs w:val="24"/>
                <w:lang w:bidi="ar-JO"/>
              </w:rPr>
              <w:t>CET1</w:t>
            </w:r>
            <w:r w:rsidRPr="00205AAB">
              <w:rPr>
                <w:rFonts w:hint="cs"/>
                <w:b w:val="0"/>
                <w:bCs w:val="0"/>
                <w:sz w:val="24"/>
                <w:szCs w:val="24"/>
                <w:rtl/>
                <w:lang w:bidi="ar-JO"/>
              </w:rPr>
              <w:t xml:space="preserve"> [10.5 + 5.5 + 4.75 ]</w:t>
            </w:r>
          </w:p>
        </w:tc>
        <w:tc>
          <w:tcPr>
            <w:tcW w:w="1444" w:type="pct"/>
            <w:shd w:val="clear" w:color="auto" w:fill="auto"/>
            <w:vAlign w:val="center"/>
          </w:tcPr>
          <w:p w:rsidR="005A2DDD" w:rsidRPr="00205AAB" w:rsidRDefault="005A2DDD" w:rsidP="008C738C">
            <w:pPr>
              <w:jc w:val="center"/>
              <w:rPr>
                <w:b w:val="0"/>
                <w:bCs w:val="0"/>
                <w:sz w:val="24"/>
                <w:szCs w:val="24"/>
                <w:rtl/>
                <w:lang w:bidi="ar-JO"/>
              </w:rPr>
            </w:pPr>
            <w:r w:rsidRPr="00205AAB">
              <w:rPr>
                <w:rFonts w:hint="cs"/>
                <w:b w:val="0"/>
                <w:bCs w:val="0"/>
                <w:sz w:val="24"/>
                <w:szCs w:val="24"/>
                <w:rtl/>
                <w:lang w:bidi="ar-JO"/>
              </w:rPr>
              <w:t>20.75</w:t>
            </w:r>
          </w:p>
        </w:tc>
      </w:tr>
    </w:tbl>
    <w:p w:rsidR="0024115F" w:rsidRDefault="0024115F" w:rsidP="005A2DDD">
      <w:pPr>
        <w:rPr>
          <w:rtl/>
          <w:lang w:bidi="ar-JO"/>
        </w:rPr>
      </w:pPr>
    </w:p>
    <w:p w:rsidR="005A2DDD" w:rsidRDefault="005A2DDD" w:rsidP="008B011C">
      <w:pPr>
        <w:pStyle w:val="ListParagraph"/>
        <w:numPr>
          <w:ilvl w:val="0"/>
          <w:numId w:val="29"/>
        </w:numPr>
        <w:ind w:left="850" w:hanging="567"/>
        <w:rPr>
          <w:rtl/>
          <w:lang w:bidi="ar-JO"/>
        </w:rPr>
      </w:pPr>
      <w:r>
        <w:rPr>
          <w:rFonts w:hint="cs"/>
          <w:rtl/>
          <w:lang w:bidi="ar-JO"/>
        </w:rPr>
        <w:t>اعتباراً من 1/1/2019</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2687"/>
      </w:tblGrid>
      <w:tr w:rsidR="005A2DDD" w:rsidRPr="00990F89" w:rsidTr="008C738C">
        <w:tc>
          <w:tcPr>
            <w:tcW w:w="3531" w:type="pct"/>
            <w:shd w:val="clear" w:color="auto" w:fill="F2F2F2" w:themeFill="background1" w:themeFillShade="F2"/>
          </w:tcPr>
          <w:p w:rsidR="005A2DDD" w:rsidRPr="00990F89" w:rsidRDefault="005A2DDD" w:rsidP="0024115F">
            <w:pPr>
              <w:jc w:val="center"/>
              <w:rPr>
                <w:rtl/>
                <w:lang w:bidi="ar-JO"/>
              </w:rPr>
            </w:pPr>
            <w:r w:rsidRPr="00990F89">
              <w:rPr>
                <w:rFonts w:hint="cs"/>
                <w:rtl/>
                <w:lang w:bidi="ar-JO"/>
              </w:rPr>
              <w:t>البند</w:t>
            </w:r>
          </w:p>
        </w:tc>
        <w:tc>
          <w:tcPr>
            <w:tcW w:w="1469" w:type="pct"/>
            <w:shd w:val="clear" w:color="auto" w:fill="F2F2F2" w:themeFill="background1" w:themeFillShade="F2"/>
          </w:tcPr>
          <w:p w:rsidR="005A2DDD" w:rsidRPr="00990F89" w:rsidRDefault="005A2DDD" w:rsidP="0024115F">
            <w:pPr>
              <w:jc w:val="center"/>
              <w:rPr>
                <w:rtl/>
                <w:lang w:bidi="ar-JO"/>
              </w:rPr>
            </w:pPr>
            <w:r w:rsidRPr="00990F89">
              <w:rPr>
                <w:rFonts w:hint="cs"/>
                <w:rtl/>
                <w:lang w:bidi="ar-JO"/>
              </w:rPr>
              <w:t>المبلغ</w:t>
            </w:r>
          </w:p>
        </w:tc>
      </w:tr>
      <w:tr w:rsidR="005A2DDD" w:rsidRPr="00990F89" w:rsidTr="008C738C">
        <w:tc>
          <w:tcPr>
            <w:tcW w:w="3531"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(15%) من رأس المال الأساسي للأسهم العادية [95-35=60*17.65%]</w:t>
            </w:r>
          </w:p>
        </w:tc>
        <w:tc>
          <w:tcPr>
            <w:tcW w:w="1469" w:type="pct"/>
            <w:shd w:val="clear" w:color="auto" w:fill="auto"/>
            <w:vAlign w:val="center"/>
          </w:tcPr>
          <w:p w:rsidR="005A2DDD" w:rsidRPr="00205AAB" w:rsidRDefault="005A2DDD" w:rsidP="008C738C">
            <w:pPr>
              <w:jc w:val="center"/>
              <w:rPr>
                <w:b w:val="0"/>
                <w:bCs w:val="0"/>
                <w:sz w:val="24"/>
                <w:szCs w:val="24"/>
                <w:rtl/>
                <w:lang w:bidi="ar-JO"/>
              </w:rPr>
            </w:pPr>
            <w:r w:rsidRPr="00205AAB">
              <w:rPr>
                <w:rFonts w:hint="cs"/>
                <w:b w:val="0"/>
                <w:bCs w:val="0"/>
                <w:sz w:val="24"/>
                <w:szCs w:val="24"/>
                <w:rtl/>
                <w:lang w:bidi="ar-JO"/>
              </w:rPr>
              <w:t>10.59</w:t>
            </w:r>
          </w:p>
        </w:tc>
      </w:tr>
      <w:tr w:rsidR="005A2DDD" w:rsidRPr="00990F89" w:rsidTr="008C738C">
        <w:tc>
          <w:tcPr>
            <w:tcW w:w="3531"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الاقتطاع من </w:t>
            </w:r>
            <w:r w:rsidRPr="00205AAB">
              <w:rPr>
                <w:b w:val="0"/>
                <w:bCs w:val="0"/>
                <w:sz w:val="24"/>
                <w:szCs w:val="24"/>
                <w:lang w:bidi="ar-JO"/>
              </w:rPr>
              <w:t>CET1</w:t>
            </w:r>
            <w:r w:rsidRPr="00205AAB">
              <w:rPr>
                <w:rFonts w:hint="cs"/>
                <w:b w:val="0"/>
                <w:bCs w:val="0"/>
                <w:sz w:val="24"/>
                <w:szCs w:val="24"/>
                <w:rtl/>
                <w:lang w:bidi="ar-JO"/>
              </w:rPr>
              <w:t xml:space="preserve"> الذي يزيد عن الحد الثاني</w:t>
            </w:r>
          </w:p>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35 </w:t>
            </w:r>
            <w:r w:rsidRPr="00205AAB">
              <w:rPr>
                <w:b w:val="0"/>
                <w:bCs w:val="0"/>
                <w:sz w:val="24"/>
                <w:szCs w:val="24"/>
                <w:rtl/>
                <w:lang w:bidi="ar-JO"/>
              </w:rPr>
              <w:t>–</w:t>
            </w:r>
            <w:r w:rsidRPr="00205AAB">
              <w:rPr>
                <w:rFonts w:hint="cs"/>
                <w:b w:val="0"/>
                <w:bCs w:val="0"/>
                <w:sz w:val="24"/>
                <w:szCs w:val="24"/>
                <w:rtl/>
                <w:lang w:bidi="ar-JO"/>
              </w:rPr>
              <w:t xml:space="preserve"> 10.5 </w:t>
            </w:r>
            <w:r w:rsidRPr="00205AAB">
              <w:rPr>
                <w:b w:val="0"/>
                <w:bCs w:val="0"/>
                <w:sz w:val="24"/>
                <w:szCs w:val="24"/>
                <w:rtl/>
                <w:lang w:bidi="ar-JO"/>
              </w:rPr>
              <w:t>–</w:t>
            </w:r>
            <w:r w:rsidRPr="00205AAB">
              <w:rPr>
                <w:rFonts w:hint="cs"/>
                <w:b w:val="0"/>
                <w:bCs w:val="0"/>
                <w:sz w:val="24"/>
                <w:szCs w:val="24"/>
                <w:rtl/>
                <w:lang w:bidi="ar-JO"/>
              </w:rPr>
              <w:t xml:space="preserve"> 5.5 = 19-10.59</w:t>
            </w:r>
          </w:p>
        </w:tc>
        <w:tc>
          <w:tcPr>
            <w:tcW w:w="1469" w:type="pct"/>
            <w:shd w:val="clear" w:color="auto" w:fill="auto"/>
            <w:vAlign w:val="center"/>
          </w:tcPr>
          <w:p w:rsidR="005A2DDD" w:rsidRPr="00205AAB" w:rsidRDefault="005A2DDD" w:rsidP="008C738C">
            <w:pPr>
              <w:jc w:val="center"/>
              <w:rPr>
                <w:b w:val="0"/>
                <w:bCs w:val="0"/>
                <w:sz w:val="24"/>
                <w:szCs w:val="24"/>
                <w:rtl/>
                <w:lang w:bidi="ar-JO"/>
              </w:rPr>
            </w:pPr>
            <w:r w:rsidRPr="00205AAB">
              <w:rPr>
                <w:rFonts w:hint="cs"/>
                <w:b w:val="0"/>
                <w:bCs w:val="0"/>
                <w:sz w:val="24"/>
                <w:szCs w:val="24"/>
                <w:rtl/>
                <w:lang w:bidi="ar-JO"/>
              </w:rPr>
              <w:t>8.41</w:t>
            </w:r>
          </w:p>
        </w:tc>
      </w:tr>
      <w:tr w:rsidR="005A2DDD" w:rsidRPr="00990F89" w:rsidTr="008C738C">
        <w:tc>
          <w:tcPr>
            <w:tcW w:w="3531" w:type="pct"/>
            <w:shd w:val="clear" w:color="auto" w:fill="auto"/>
          </w:tcPr>
          <w:p w:rsidR="005A2DDD" w:rsidRPr="00205AAB" w:rsidRDefault="005A2DDD" w:rsidP="005A2DDD">
            <w:pPr>
              <w:rPr>
                <w:b w:val="0"/>
                <w:bCs w:val="0"/>
                <w:sz w:val="24"/>
                <w:szCs w:val="24"/>
                <w:rtl/>
                <w:lang w:bidi="ar-JO"/>
              </w:rPr>
            </w:pPr>
            <w:r w:rsidRPr="00205AAB">
              <w:rPr>
                <w:rFonts w:hint="cs"/>
                <w:b w:val="0"/>
                <w:bCs w:val="0"/>
                <w:sz w:val="24"/>
                <w:szCs w:val="24"/>
                <w:rtl/>
                <w:lang w:bidi="ar-JO"/>
              </w:rPr>
              <w:t xml:space="preserve">إجمالي الاقتطاعات من </w:t>
            </w:r>
            <w:r w:rsidRPr="00205AAB">
              <w:rPr>
                <w:b w:val="0"/>
                <w:bCs w:val="0"/>
                <w:sz w:val="24"/>
                <w:szCs w:val="24"/>
                <w:lang w:bidi="ar-JO"/>
              </w:rPr>
              <w:t>CET1</w:t>
            </w:r>
            <w:r w:rsidRPr="00205AAB">
              <w:rPr>
                <w:rFonts w:hint="cs"/>
                <w:b w:val="0"/>
                <w:bCs w:val="0"/>
                <w:sz w:val="24"/>
                <w:szCs w:val="24"/>
                <w:rtl/>
                <w:lang w:bidi="ar-JO"/>
              </w:rPr>
              <w:t xml:space="preserve"> [8.41 + 10.5 + 5.5]</w:t>
            </w:r>
          </w:p>
        </w:tc>
        <w:tc>
          <w:tcPr>
            <w:tcW w:w="1469" w:type="pct"/>
            <w:shd w:val="clear" w:color="auto" w:fill="auto"/>
            <w:vAlign w:val="center"/>
          </w:tcPr>
          <w:p w:rsidR="005A2DDD" w:rsidRPr="00205AAB" w:rsidRDefault="005A2DDD" w:rsidP="008C738C">
            <w:pPr>
              <w:jc w:val="center"/>
              <w:rPr>
                <w:b w:val="0"/>
                <w:bCs w:val="0"/>
                <w:sz w:val="24"/>
                <w:szCs w:val="24"/>
                <w:rtl/>
                <w:lang w:bidi="ar-JO"/>
              </w:rPr>
            </w:pPr>
            <w:r w:rsidRPr="00205AAB">
              <w:rPr>
                <w:rFonts w:hint="cs"/>
                <w:b w:val="0"/>
                <w:bCs w:val="0"/>
                <w:sz w:val="24"/>
                <w:szCs w:val="24"/>
                <w:rtl/>
                <w:lang w:bidi="ar-JO"/>
              </w:rPr>
              <w:t>24.41</w:t>
            </w:r>
          </w:p>
        </w:tc>
      </w:tr>
    </w:tbl>
    <w:p w:rsidR="008C738C" w:rsidRDefault="008C738C">
      <w:pPr>
        <w:rPr>
          <w:rtl/>
        </w:rPr>
      </w:pPr>
    </w:p>
    <w:p w:rsidR="008C738C" w:rsidRDefault="008C738C">
      <w:pPr>
        <w:rPr>
          <w:rtl/>
        </w:rPr>
      </w:pPr>
    </w:p>
    <w:p w:rsidR="008C738C" w:rsidRDefault="008C738C">
      <w:pPr>
        <w:rPr>
          <w:rtl/>
        </w:rPr>
      </w:pPr>
    </w:p>
    <w:p w:rsidR="008C738C" w:rsidRDefault="008C738C">
      <w:pPr>
        <w:rPr>
          <w:rtl/>
        </w:rPr>
      </w:pPr>
    </w:p>
    <w:p w:rsidR="008C738C" w:rsidRDefault="008C738C">
      <w:pPr>
        <w:rPr>
          <w:rtl/>
        </w:rPr>
      </w:pPr>
    </w:p>
    <w:p w:rsidR="008C738C" w:rsidRDefault="008C738C">
      <w:pPr>
        <w:rPr>
          <w:rtl/>
        </w:rPr>
      </w:pPr>
    </w:p>
    <w:p w:rsidR="008C738C" w:rsidRDefault="008C738C">
      <w:pPr>
        <w:rPr>
          <w:rtl/>
        </w:rPr>
      </w:pPr>
    </w:p>
    <w:p w:rsidR="00646CA2" w:rsidRDefault="00646CA2">
      <w:pPr>
        <w:rPr>
          <w:rtl/>
        </w:rPr>
      </w:pPr>
    </w:p>
    <w:p w:rsidR="006A7565" w:rsidRPr="006A7565" w:rsidRDefault="006A7565" w:rsidP="006A7565">
      <w:pPr>
        <w:jc w:val="center"/>
        <w:rPr>
          <w:sz w:val="28"/>
          <w:szCs w:val="28"/>
        </w:rPr>
      </w:pPr>
      <w:bookmarkStart w:id="2236" w:name="_Toc465255831"/>
      <w:r w:rsidRPr="006A7565">
        <w:rPr>
          <w:sz w:val="28"/>
          <w:szCs w:val="28"/>
          <w:rtl/>
        </w:rPr>
        <w:lastRenderedPageBreak/>
        <w:t xml:space="preserve">ملحق ( </w:t>
      </w:r>
      <w:r w:rsidR="004A0A06">
        <w:rPr>
          <w:sz w:val="28"/>
          <w:szCs w:val="28"/>
          <w:rtl/>
        </w:rPr>
        <w:fldChar w:fldCharType="begin"/>
      </w:r>
      <w:r w:rsidR="004A0A06">
        <w:rPr>
          <w:sz w:val="28"/>
          <w:szCs w:val="28"/>
          <w:rtl/>
        </w:rPr>
        <w:instrText xml:space="preserve"> </w:instrText>
      </w:r>
      <w:r w:rsidR="004A0A06">
        <w:rPr>
          <w:sz w:val="28"/>
          <w:szCs w:val="28"/>
        </w:rPr>
        <w:instrText>SEQ</w:instrText>
      </w:r>
      <w:r w:rsidR="004A0A06">
        <w:rPr>
          <w:sz w:val="28"/>
          <w:szCs w:val="28"/>
          <w:rtl/>
        </w:rPr>
        <w:instrText xml:space="preserve"> ملحق_( \* </w:instrText>
      </w:r>
      <w:r w:rsidR="004A0A06">
        <w:rPr>
          <w:sz w:val="28"/>
          <w:szCs w:val="28"/>
        </w:rPr>
        <w:instrText>ARABIC</w:instrText>
      </w:r>
      <w:r w:rsidR="004A0A06">
        <w:rPr>
          <w:sz w:val="28"/>
          <w:szCs w:val="28"/>
          <w:rtl/>
        </w:rPr>
        <w:instrText xml:space="preserve"> </w:instrText>
      </w:r>
      <w:r w:rsidR="004A0A06">
        <w:rPr>
          <w:sz w:val="28"/>
          <w:szCs w:val="28"/>
          <w:rtl/>
        </w:rPr>
        <w:fldChar w:fldCharType="separate"/>
      </w:r>
      <w:r w:rsidR="00BC120A">
        <w:rPr>
          <w:noProof/>
          <w:sz w:val="28"/>
          <w:szCs w:val="28"/>
          <w:rtl/>
        </w:rPr>
        <w:t>5</w:t>
      </w:r>
      <w:r w:rsidR="004A0A06">
        <w:rPr>
          <w:sz w:val="28"/>
          <w:szCs w:val="28"/>
          <w:rtl/>
        </w:rPr>
        <w:fldChar w:fldCharType="end"/>
      </w:r>
      <w:r w:rsidRPr="006A7565">
        <w:rPr>
          <w:rFonts w:hint="cs"/>
          <w:sz w:val="28"/>
          <w:szCs w:val="28"/>
          <w:rtl/>
        </w:rPr>
        <w:t xml:space="preserve"> ): </w:t>
      </w:r>
      <w:r w:rsidRPr="006A7565">
        <w:rPr>
          <w:sz w:val="28"/>
          <w:szCs w:val="28"/>
          <w:rtl/>
        </w:rPr>
        <w:t>رأس المال التنظيمي</w:t>
      </w:r>
      <w:bookmarkEnd w:id="2236"/>
    </w:p>
    <w:tbl>
      <w:tblPr>
        <w:bidiVisual/>
        <w:tblW w:w="5000" w:type="pct"/>
        <w:jc w:val="center"/>
        <w:tblLayout w:type="fixed"/>
        <w:tblLook w:val="04A0" w:firstRow="1" w:lastRow="0" w:firstColumn="1" w:lastColumn="0" w:noHBand="0" w:noVBand="1"/>
      </w:tblPr>
      <w:tblGrid>
        <w:gridCol w:w="8317"/>
        <w:gridCol w:w="829"/>
      </w:tblGrid>
      <w:tr w:rsidR="004A31B4" w:rsidRPr="00B92BBE" w:rsidTr="004A31B4">
        <w:trPr>
          <w:trHeight w:val="20"/>
          <w:jc w:val="center"/>
        </w:trPr>
        <w:tc>
          <w:tcPr>
            <w:tcW w:w="5000" w:type="pct"/>
            <w:gridSpan w:val="2"/>
            <w:tcBorders>
              <w:top w:val="nil"/>
              <w:left w:val="nil"/>
              <w:bottom w:val="nil"/>
              <w:right w:val="nil"/>
            </w:tcBorders>
            <w:shd w:val="clear" w:color="auto" w:fill="auto"/>
            <w:noWrap/>
            <w:vAlign w:val="center"/>
            <w:hideMark/>
          </w:tcPr>
          <w:p w:rsidR="004A31B4" w:rsidRPr="00B92BBE" w:rsidRDefault="004A31B4" w:rsidP="006A7565">
            <w:pPr>
              <w:rPr>
                <w:sz w:val="28"/>
                <w:szCs w:val="28"/>
              </w:rPr>
            </w:pPr>
          </w:p>
        </w:tc>
      </w:tr>
      <w:tr w:rsidR="004A31B4" w:rsidRPr="00B92BBE" w:rsidTr="00205AAB">
        <w:trPr>
          <w:trHeight w:val="392"/>
          <w:jc w:val="center"/>
        </w:trPr>
        <w:tc>
          <w:tcPr>
            <w:tcW w:w="5000" w:type="pct"/>
            <w:gridSpan w:val="2"/>
            <w:tcBorders>
              <w:top w:val="nil"/>
              <w:left w:val="nil"/>
              <w:bottom w:val="nil"/>
              <w:right w:val="nil"/>
            </w:tcBorders>
            <w:shd w:val="clear" w:color="auto" w:fill="auto"/>
            <w:noWrap/>
            <w:vAlign w:val="center"/>
            <w:hideMark/>
          </w:tcPr>
          <w:p w:rsidR="004A31B4" w:rsidRPr="00205AAB" w:rsidRDefault="004A31B4" w:rsidP="00DA36E0">
            <w:pPr>
              <w:jc w:val="center"/>
              <w:rPr>
                <w:sz w:val="24"/>
                <w:szCs w:val="24"/>
              </w:rPr>
            </w:pPr>
            <w:r w:rsidRPr="00205AAB">
              <w:rPr>
                <w:sz w:val="24"/>
                <w:szCs w:val="24"/>
                <w:rtl/>
              </w:rPr>
              <w:t xml:space="preserve">كما في  /   / </w:t>
            </w:r>
          </w:p>
        </w:tc>
      </w:tr>
      <w:tr w:rsidR="004A31B4" w:rsidRPr="00B92BBE" w:rsidTr="00205AAB">
        <w:trPr>
          <w:trHeight w:val="422"/>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auto" w:fill="F2F2F2" w:themeFill="background1" w:themeFillShade="F2"/>
            <w:noWrap/>
            <w:vAlign w:val="center"/>
            <w:hideMark/>
          </w:tcPr>
          <w:p w:rsidR="004A31B4" w:rsidRPr="004A31B4" w:rsidRDefault="004A31B4" w:rsidP="00205AAB">
            <w:pPr>
              <w:spacing w:after="0"/>
              <w:jc w:val="center"/>
            </w:pPr>
            <w:r w:rsidRPr="004A31B4">
              <w:rPr>
                <w:rtl/>
              </w:rPr>
              <w:t>1</w:t>
            </w:r>
            <w:r w:rsidRPr="00205AAB">
              <w:rPr>
                <w:sz w:val="24"/>
                <w:szCs w:val="24"/>
                <w:shd w:val="clear" w:color="auto" w:fill="F2F2F2" w:themeFill="background1" w:themeFillShade="F2"/>
                <w:rtl/>
              </w:rPr>
              <w:t xml:space="preserve">. حقوق حملة الأسهم العادية </w:t>
            </w:r>
            <w:r w:rsidRPr="00205AAB">
              <w:rPr>
                <w:sz w:val="24"/>
                <w:szCs w:val="24"/>
                <w:shd w:val="clear" w:color="auto" w:fill="F2F2F2" w:themeFill="background1" w:themeFillShade="F2"/>
              </w:rPr>
              <w:t>Common Equity Tier 1 Capital</w:t>
            </w:r>
            <w:r w:rsidRPr="004A31B4">
              <w:rPr>
                <w:rtl/>
              </w:rPr>
              <w:t xml:space="preserve">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رأس المال المكتتب به (المدفوع)</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الأرباح (الخسائر) المدورة </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بنود الدخل الشامل الأخرى </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0</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التغير المتراكم في القيمة العادلة بالكامل</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فروقات ترجمة العملات الأجنبية</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احتياطي التحوط للتدفقات النقدية لأصول غير  مقيمة بالقيمة العادلة</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علاوة (خصم) الإصدار </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الاحتياطي القانوني</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الاحتياطي الاختياري</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علاوة إصدار أسهم الخزينة</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احتياطيات أخرى موافق عليها من البنك المركزي </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حقوق الأقلية المسموح بالاعتراف بها</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b w:val="0"/>
                <w:bCs w:val="0"/>
                <w:color w:val="C00000"/>
                <w:sz w:val="22"/>
                <w:szCs w:val="22"/>
              </w:rPr>
            </w:pPr>
            <w:r w:rsidRPr="00B92BBE">
              <w:rPr>
                <w:rFonts w:ascii="Arial" w:hAnsi="Arial" w:cs="Arial"/>
                <w:b w:val="0"/>
                <w:bCs w:val="0"/>
                <w:color w:val="C0000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000000" w:fill="D9D9D9"/>
            <w:noWrap/>
            <w:vAlign w:val="center"/>
            <w:hideMark/>
          </w:tcPr>
          <w:p w:rsidR="004A31B4" w:rsidRPr="00B92BBE" w:rsidRDefault="004A31B4" w:rsidP="00205AAB">
            <w:pPr>
              <w:spacing w:after="0"/>
              <w:rPr>
                <w:b w:val="0"/>
                <w:bCs w:val="0"/>
                <w:sz w:val="20"/>
                <w:szCs w:val="20"/>
              </w:rPr>
            </w:pPr>
            <w:r w:rsidRPr="00B92BBE">
              <w:rPr>
                <w:b w:val="0"/>
                <w:bCs w:val="0"/>
                <w:sz w:val="20"/>
                <w:szCs w:val="20"/>
                <w:rtl/>
              </w:rPr>
              <w:t>إجمالي رأس المال الأساسي للأسهم العادية</w:t>
            </w:r>
          </w:p>
        </w:tc>
        <w:tc>
          <w:tcPr>
            <w:tcW w:w="453" w:type="pct"/>
            <w:tcBorders>
              <w:top w:val="nil"/>
              <w:left w:val="single" w:sz="4" w:space="0" w:color="auto"/>
              <w:bottom w:val="single" w:sz="4" w:space="0" w:color="auto"/>
              <w:right w:val="single" w:sz="8" w:space="0" w:color="auto"/>
            </w:tcBorders>
            <w:shd w:val="clear" w:color="000000" w:fill="D9D9D9"/>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0</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التعديلات الرقابية (الطروحات من رأس المال) </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0</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الشهرة والموجودات غير الملموسة</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الموجودات الضريبية المؤجلة الناتجة عن مخصصات الديون</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42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احتياطي التحوط للتدفقات النقدية لأصول غير مقيمة بالقيمة العادلة</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42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الربح من المبيعات الخاصة بعمليات التوريق</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vAlign w:val="center"/>
            <w:hideMark/>
          </w:tcPr>
          <w:p w:rsidR="004A31B4" w:rsidRPr="00B92BBE" w:rsidRDefault="004A31B4" w:rsidP="00205AAB">
            <w:pPr>
              <w:spacing w:after="0"/>
              <w:rPr>
                <w:sz w:val="18"/>
                <w:szCs w:val="18"/>
              </w:rPr>
            </w:pPr>
            <w:r w:rsidRPr="00B92BBE">
              <w:rPr>
                <w:sz w:val="18"/>
                <w:szCs w:val="18"/>
                <w:rtl/>
              </w:rPr>
              <w:t xml:space="preserve">       الأرباح والخسائر المتراكمة الناتجة عن التغير في مخاطر ائتمان البنك لالتزامات مالية مقيمة بالقيمة العادلة </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استثمارات في أسهم البنك نفسه (أسهم الخزينة)</w:t>
            </w:r>
          </w:p>
        </w:tc>
        <w:tc>
          <w:tcPr>
            <w:tcW w:w="453" w:type="pct"/>
            <w:tcBorders>
              <w:top w:val="nil"/>
              <w:left w:val="single" w:sz="4" w:space="0" w:color="auto"/>
              <w:bottom w:val="single" w:sz="4" w:space="0" w:color="auto"/>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المخصصات المؤجلة بموافقة البنك المركزي (ان وجدت)</w:t>
            </w:r>
          </w:p>
        </w:tc>
        <w:tc>
          <w:tcPr>
            <w:tcW w:w="453" w:type="pct"/>
            <w:tcBorders>
              <w:top w:val="nil"/>
              <w:left w:val="single" w:sz="4" w:space="0" w:color="auto"/>
              <w:bottom w:val="nil"/>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ind w:left="470" w:hanging="450"/>
              <w:rPr>
                <w:sz w:val="20"/>
                <w:szCs w:val="20"/>
              </w:rPr>
            </w:pPr>
            <w:r w:rsidRPr="00B92BBE">
              <w:rPr>
                <w:sz w:val="20"/>
                <w:szCs w:val="20"/>
                <w:rtl/>
              </w:rPr>
              <w:t xml:space="preserve">       </w:t>
            </w:r>
            <w:r w:rsidRPr="004A31B4">
              <w:rPr>
                <w:sz w:val="18"/>
                <w:szCs w:val="18"/>
                <w:rtl/>
              </w:rPr>
              <w:t>الاستثمارات</w:t>
            </w:r>
            <w:r w:rsidRPr="00B92BBE">
              <w:rPr>
                <w:sz w:val="20"/>
                <w:szCs w:val="20"/>
                <w:rtl/>
              </w:rPr>
              <w:t xml:space="preserve"> في </w:t>
            </w:r>
            <w:r w:rsidRPr="00B92BBE">
              <w:rPr>
                <w:rFonts w:hint="cs"/>
                <w:sz w:val="20"/>
                <w:szCs w:val="20"/>
                <w:rtl/>
              </w:rPr>
              <w:t>رؤوس</w:t>
            </w:r>
            <w:r w:rsidRPr="00B92BBE">
              <w:rPr>
                <w:sz w:val="20"/>
                <w:szCs w:val="20"/>
                <w:rtl/>
              </w:rPr>
              <w:t xml:space="preserve"> </w:t>
            </w:r>
            <w:r w:rsidRPr="00B92BBE">
              <w:rPr>
                <w:rFonts w:hint="cs"/>
                <w:sz w:val="20"/>
                <w:szCs w:val="20"/>
                <w:rtl/>
              </w:rPr>
              <w:t>أموال</w:t>
            </w:r>
            <w:r w:rsidRPr="00B92BBE">
              <w:rPr>
                <w:sz w:val="20"/>
                <w:szCs w:val="20"/>
                <w:rtl/>
              </w:rPr>
              <w:t xml:space="preserve"> الشركات التابعة غير الموحدة حساباتها مع حسابات البنك وحسب ما هو موضح في المرفق رقم (1)</w:t>
            </w:r>
          </w:p>
        </w:tc>
        <w:tc>
          <w:tcPr>
            <w:tcW w:w="453" w:type="pct"/>
            <w:tcBorders>
              <w:top w:val="single" w:sz="4" w:space="0" w:color="auto"/>
              <w:left w:val="single" w:sz="4" w:space="0" w:color="auto"/>
              <w:bottom w:val="nil"/>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الاستثمارات المتبادلة في رؤوس أموال البنوك والشركات المالية وشركات التأمين ضمن ال </w:t>
            </w:r>
            <w:r w:rsidRPr="00B92BBE">
              <w:rPr>
                <w:sz w:val="20"/>
                <w:szCs w:val="20"/>
              </w:rPr>
              <w:t>CET1</w:t>
            </w:r>
            <w:r w:rsidRPr="00B92BBE">
              <w:rPr>
                <w:sz w:val="20"/>
                <w:szCs w:val="20"/>
                <w:rtl/>
              </w:rPr>
              <w:t xml:space="preserve"> </w:t>
            </w:r>
          </w:p>
        </w:tc>
        <w:tc>
          <w:tcPr>
            <w:tcW w:w="453" w:type="pct"/>
            <w:tcBorders>
              <w:top w:val="single" w:sz="4" w:space="0" w:color="auto"/>
              <w:left w:val="single" w:sz="4" w:space="0" w:color="auto"/>
              <w:bottom w:val="nil"/>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nil"/>
            </w:tcBorders>
            <w:shd w:val="clear" w:color="auto" w:fill="auto"/>
            <w:vAlign w:val="center"/>
            <w:hideMark/>
          </w:tcPr>
          <w:p w:rsidR="004A31B4" w:rsidRPr="00B92BBE" w:rsidRDefault="004A31B4" w:rsidP="00205AAB">
            <w:pPr>
              <w:spacing w:after="0"/>
              <w:rPr>
                <w:sz w:val="18"/>
                <w:szCs w:val="18"/>
              </w:rPr>
            </w:pPr>
            <w:r w:rsidRPr="00B92BBE">
              <w:rPr>
                <w:sz w:val="18"/>
                <w:szCs w:val="18"/>
                <w:rtl/>
              </w:rPr>
              <w:t xml:space="preserve">       الاستثمارات في رؤوس </w:t>
            </w:r>
            <w:r w:rsidRPr="00B92BBE">
              <w:rPr>
                <w:rFonts w:hint="cs"/>
                <w:sz w:val="18"/>
                <w:szCs w:val="18"/>
                <w:rtl/>
              </w:rPr>
              <w:t>أموال</w:t>
            </w:r>
            <w:r w:rsidRPr="00B92BBE">
              <w:rPr>
                <w:sz w:val="18"/>
                <w:szCs w:val="18"/>
                <w:rtl/>
              </w:rPr>
              <w:t xml:space="preserve"> الشركات المالية والبنوك وشركات التأمين التي تقل عن 10% وحسب ما هو مبين في التعليمات</w:t>
            </w:r>
          </w:p>
        </w:tc>
        <w:tc>
          <w:tcPr>
            <w:tcW w:w="453" w:type="pct"/>
            <w:tcBorders>
              <w:top w:val="single" w:sz="4" w:space="0" w:color="auto"/>
              <w:left w:val="single" w:sz="4" w:space="0" w:color="auto"/>
              <w:bottom w:val="nil"/>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ind w:left="470" w:hanging="450"/>
              <w:rPr>
                <w:sz w:val="18"/>
                <w:szCs w:val="18"/>
              </w:rPr>
            </w:pPr>
            <w:r w:rsidRPr="00B92BBE">
              <w:rPr>
                <w:sz w:val="18"/>
                <w:szCs w:val="18"/>
                <w:rtl/>
              </w:rPr>
              <w:t xml:space="preserve">       الاستثمارات  في رؤوس أموال البنوك والشركات المالية وشركات التأمين خارج نطاق التوحيد الرقابي والتي يملك فيها البنك أكثر من (10%) وحسب ما هو مبين في التعليمات</w:t>
            </w:r>
          </w:p>
        </w:tc>
        <w:tc>
          <w:tcPr>
            <w:tcW w:w="453"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4" w:space="0" w:color="auto"/>
              <w:bottom w:val="single" w:sz="4" w:space="0" w:color="auto"/>
              <w:right w:val="single" w:sz="4" w:space="0" w:color="auto"/>
            </w:tcBorders>
            <w:shd w:val="clear" w:color="auto" w:fill="auto"/>
            <w:noWrap/>
            <w:vAlign w:val="center"/>
            <w:hideMark/>
          </w:tcPr>
          <w:p w:rsidR="004A31B4" w:rsidRPr="00B92BBE" w:rsidRDefault="004A31B4" w:rsidP="00DA36E0">
            <w:pPr>
              <w:rPr>
                <w:sz w:val="18"/>
                <w:szCs w:val="18"/>
              </w:rPr>
            </w:pPr>
            <w:r w:rsidRPr="00B92BBE">
              <w:rPr>
                <w:sz w:val="18"/>
                <w:szCs w:val="18"/>
                <w:rtl/>
              </w:rPr>
              <w:t xml:space="preserve">      موجودات ضريبية مؤجلة ناتجة عن الاستثمارات ضمن الحد الاول (10%)</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4A31B4" w:rsidRPr="00B92BBE" w:rsidRDefault="004A31B4" w:rsidP="00DA36E0">
            <w:pPr>
              <w:bidi w:val="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4" w:space="0" w:color="auto"/>
              <w:bottom w:val="single" w:sz="4" w:space="0" w:color="auto"/>
              <w:right w:val="single" w:sz="4" w:space="0" w:color="auto"/>
            </w:tcBorders>
            <w:shd w:val="clear" w:color="auto" w:fill="auto"/>
            <w:noWrap/>
            <w:vAlign w:val="center"/>
            <w:hideMark/>
          </w:tcPr>
          <w:p w:rsidR="004A31B4" w:rsidRPr="00B92BBE" w:rsidRDefault="004A31B4" w:rsidP="00DA36E0">
            <w:pPr>
              <w:rPr>
                <w:sz w:val="18"/>
                <w:szCs w:val="18"/>
              </w:rPr>
            </w:pPr>
            <w:r w:rsidRPr="00B92BBE">
              <w:rPr>
                <w:sz w:val="18"/>
                <w:szCs w:val="18"/>
                <w:rtl/>
              </w:rPr>
              <w:t xml:space="preserve">       موجودات ضريبية مؤجلة ناتجة عن الاستثمارات ضمن الحد الثاني (15%)</w:t>
            </w:r>
          </w:p>
        </w:tc>
        <w:tc>
          <w:tcPr>
            <w:tcW w:w="453" w:type="pct"/>
            <w:tcBorders>
              <w:top w:val="nil"/>
              <w:left w:val="single" w:sz="4" w:space="0" w:color="auto"/>
              <w:bottom w:val="single" w:sz="4" w:space="0" w:color="auto"/>
              <w:right w:val="single" w:sz="4" w:space="0" w:color="auto"/>
            </w:tcBorders>
            <w:shd w:val="clear" w:color="auto" w:fill="auto"/>
            <w:noWrap/>
            <w:vAlign w:val="center"/>
            <w:hideMark/>
          </w:tcPr>
          <w:p w:rsidR="004A31B4" w:rsidRPr="00B92BBE" w:rsidRDefault="004A31B4" w:rsidP="00DA36E0">
            <w:pPr>
              <w:bidi w:val="0"/>
              <w:jc w:val="center"/>
              <w:rPr>
                <w:rFonts w:ascii="Arial" w:hAnsi="Arial" w:cs="Arial"/>
                <w:sz w:val="22"/>
                <w:szCs w:val="22"/>
              </w:rPr>
            </w:pPr>
            <w:r w:rsidRPr="00B92BBE">
              <w:rPr>
                <w:rFonts w:ascii="Arial" w:hAnsi="Arial" w:cs="Arial"/>
                <w:sz w:val="22"/>
                <w:szCs w:val="22"/>
              </w:rPr>
              <w:t> </w:t>
            </w:r>
          </w:p>
        </w:tc>
      </w:tr>
      <w:tr w:rsidR="004A31B4" w:rsidRPr="00B92BBE" w:rsidTr="004A31B4">
        <w:trPr>
          <w:trHeight w:val="360"/>
          <w:jc w:val="center"/>
        </w:trPr>
        <w:tc>
          <w:tcPr>
            <w:tcW w:w="4547" w:type="pct"/>
            <w:tcBorders>
              <w:top w:val="nil"/>
              <w:left w:val="single" w:sz="4" w:space="0" w:color="auto"/>
              <w:bottom w:val="single" w:sz="4" w:space="0" w:color="auto"/>
              <w:right w:val="single" w:sz="4" w:space="0" w:color="auto"/>
            </w:tcBorders>
            <w:shd w:val="clear" w:color="000000" w:fill="D9D9D9"/>
            <w:vAlign w:val="center"/>
            <w:hideMark/>
          </w:tcPr>
          <w:p w:rsidR="004A31B4" w:rsidRPr="00B92BBE" w:rsidRDefault="004A31B4" w:rsidP="00DA36E0">
            <w:pPr>
              <w:rPr>
                <w:b w:val="0"/>
                <w:bCs w:val="0"/>
                <w:sz w:val="22"/>
                <w:szCs w:val="22"/>
              </w:rPr>
            </w:pPr>
            <w:r w:rsidRPr="00B92BBE">
              <w:rPr>
                <w:b w:val="0"/>
                <w:bCs w:val="0"/>
                <w:sz w:val="22"/>
                <w:szCs w:val="22"/>
                <w:rtl/>
              </w:rPr>
              <w:t xml:space="preserve">صافي حقوق حملة الأسهم العادية </w:t>
            </w:r>
          </w:p>
        </w:tc>
        <w:tc>
          <w:tcPr>
            <w:tcW w:w="453" w:type="pct"/>
            <w:tcBorders>
              <w:top w:val="nil"/>
              <w:left w:val="single" w:sz="4" w:space="0" w:color="auto"/>
              <w:bottom w:val="single" w:sz="4" w:space="0" w:color="auto"/>
              <w:right w:val="single" w:sz="4" w:space="0" w:color="auto"/>
            </w:tcBorders>
            <w:shd w:val="clear" w:color="000000" w:fill="D9D9D9"/>
            <w:noWrap/>
            <w:vAlign w:val="bottom"/>
            <w:hideMark/>
          </w:tcPr>
          <w:p w:rsidR="004A31B4" w:rsidRPr="00B92BBE" w:rsidRDefault="004A31B4" w:rsidP="00DA36E0">
            <w:pPr>
              <w:bidi w:val="0"/>
              <w:jc w:val="center"/>
              <w:rPr>
                <w:rFonts w:ascii="Arial" w:hAnsi="Arial" w:cs="Arial"/>
                <w:b w:val="0"/>
                <w:bCs w:val="0"/>
                <w:sz w:val="22"/>
                <w:szCs w:val="22"/>
              </w:rPr>
            </w:pPr>
            <w:r w:rsidRPr="00B92BBE">
              <w:rPr>
                <w:rFonts w:ascii="Arial" w:hAnsi="Arial" w:cs="Arial"/>
                <w:b w:val="0"/>
                <w:bCs w:val="0"/>
                <w:sz w:val="22"/>
                <w:szCs w:val="22"/>
              </w:rPr>
              <w:t>0</w:t>
            </w:r>
          </w:p>
        </w:tc>
      </w:tr>
    </w:tbl>
    <w:p w:rsidR="004A31B4" w:rsidRDefault="004A31B4" w:rsidP="004A31B4">
      <w:pPr>
        <w:rPr>
          <w:sz w:val="28"/>
          <w:szCs w:val="28"/>
          <w:rtl/>
          <w:lang w:bidi="ar-JO"/>
        </w:rPr>
      </w:pPr>
    </w:p>
    <w:p w:rsidR="004A31B4" w:rsidRPr="004A31B4" w:rsidRDefault="004A31B4" w:rsidP="004A31B4">
      <w:pPr>
        <w:rPr>
          <w:sz w:val="22"/>
          <w:szCs w:val="22"/>
          <w:rtl/>
          <w:lang w:bidi="ar-JO"/>
        </w:rPr>
      </w:pPr>
      <w:r w:rsidRPr="00B92BBE">
        <w:rPr>
          <w:rFonts w:hint="cs"/>
          <w:sz w:val="22"/>
          <w:szCs w:val="22"/>
          <w:rtl/>
          <w:lang w:bidi="ar-JO"/>
        </w:rPr>
        <w:lastRenderedPageBreak/>
        <w:t>تابع ملحق رقم (5)</w:t>
      </w:r>
    </w:p>
    <w:tbl>
      <w:tblPr>
        <w:bidiVisual/>
        <w:tblW w:w="5000" w:type="pct"/>
        <w:jc w:val="center"/>
        <w:tblLayout w:type="fixed"/>
        <w:tblLook w:val="04A0" w:firstRow="1" w:lastRow="0" w:firstColumn="1" w:lastColumn="0" w:noHBand="0" w:noVBand="1"/>
      </w:tblPr>
      <w:tblGrid>
        <w:gridCol w:w="8317"/>
        <w:gridCol w:w="829"/>
      </w:tblGrid>
      <w:tr w:rsidR="004A31B4" w:rsidRPr="00B92BBE" w:rsidTr="004A31B4">
        <w:trPr>
          <w:trHeight w:val="465"/>
          <w:jc w:val="center"/>
        </w:trPr>
        <w:tc>
          <w:tcPr>
            <w:tcW w:w="5000" w:type="pct"/>
            <w:gridSpan w:val="2"/>
            <w:tcBorders>
              <w:top w:val="nil"/>
              <w:left w:val="single" w:sz="8" w:space="0" w:color="auto"/>
              <w:bottom w:val="single" w:sz="4" w:space="0" w:color="auto"/>
              <w:right w:val="single" w:sz="8" w:space="0" w:color="000000"/>
            </w:tcBorders>
            <w:shd w:val="clear" w:color="000000" w:fill="95B3D7"/>
            <w:noWrap/>
            <w:vAlign w:val="bottom"/>
            <w:hideMark/>
          </w:tcPr>
          <w:p w:rsidR="004A31B4" w:rsidRPr="00B92BBE" w:rsidRDefault="004A31B4" w:rsidP="00205AAB">
            <w:pPr>
              <w:spacing w:after="0"/>
              <w:jc w:val="center"/>
              <w:rPr>
                <w:b w:val="0"/>
                <w:bCs w:val="0"/>
              </w:rPr>
            </w:pPr>
            <w:r w:rsidRPr="00B92BBE">
              <w:rPr>
                <w:b w:val="0"/>
                <w:bCs w:val="0"/>
                <w:rtl/>
              </w:rPr>
              <w:t xml:space="preserve">2. رأس المال الإضافي </w:t>
            </w:r>
            <w:r w:rsidRPr="00B92BBE">
              <w:rPr>
                <w:b w:val="0"/>
                <w:bCs w:val="0"/>
              </w:rPr>
              <w:t>Additional Tier 1</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السندات طويلة الأجل القابلة للتحول إلى أسهم </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الأسهم الممتازة غير متراكمة الفوائد (العوائد)</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الأدوات المالية الصادرة عن البنك التي تحمل صفات رأس المال الإضافي</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علاوة (خصم) الإصدار </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حقوق الأقلية المسموح بالاعتراف بها</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000000" w:fill="D9D9D9"/>
            <w:noWrap/>
            <w:vAlign w:val="center"/>
            <w:hideMark/>
          </w:tcPr>
          <w:p w:rsidR="004A31B4" w:rsidRPr="00B92BBE" w:rsidRDefault="004A31B4" w:rsidP="00205AAB">
            <w:pPr>
              <w:spacing w:after="0"/>
              <w:rPr>
                <w:b w:val="0"/>
                <w:bCs w:val="0"/>
                <w:sz w:val="22"/>
                <w:szCs w:val="22"/>
                <w:rtl/>
              </w:rPr>
            </w:pPr>
            <w:r w:rsidRPr="00B92BBE">
              <w:rPr>
                <w:b w:val="0"/>
                <w:bCs w:val="0"/>
                <w:sz w:val="22"/>
                <w:szCs w:val="22"/>
                <w:rtl/>
              </w:rPr>
              <w:t>إجمالي رأس المال الإضافي</w:t>
            </w:r>
          </w:p>
        </w:tc>
        <w:tc>
          <w:tcPr>
            <w:tcW w:w="453" w:type="pct"/>
            <w:tcBorders>
              <w:top w:val="nil"/>
              <w:left w:val="single" w:sz="4" w:space="0" w:color="auto"/>
              <w:bottom w:val="single" w:sz="4" w:space="0" w:color="auto"/>
              <w:right w:val="single" w:sz="8" w:space="0" w:color="auto"/>
            </w:tcBorders>
            <w:shd w:val="clear" w:color="000000" w:fill="D9D9D9"/>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التعديلات الرقابية (الطروحات من رأس المال) </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360"/>
          <w:jc w:val="center"/>
        </w:trPr>
        <w:tc>
          <w:tcPr>
            <w:tcW w:w="4547" w:type="pct"/>
            <w:tcBorders>
              <w:top w:val="nil"/>
              <w:left w:val="single" w:sz="8" w:space="0" w:color="auto"/>
              <w:bottom w:val="nil"/>
              <w:right w:val="nil"/>
            </w:tcBorders>
            <w:shd w:val="clear" w:color="auto" w:fill="auto"/>
            <w:vAlign w:val="center"/>
            <w:hideMark/>
          </w:tcPr>
          <w:p w:rsidR="004A31B4" w:rsidRPr="00B92BBE" w:rsidRDefault="004A31B4" w:rsidP="00205AAB">
            <w:pPr>
              <w:spacing w:after="0"/>
              <w:ind w:left="470" w:hanging="450"/>
              <w:rPr>
                <w:sz w:val="18"/>
                <w:szCs w:val="18"/>
              </w:rPr>
            </w:pPr>
            <w:r w:rsidRPr="00B92BBE">
              <w:rPr>
                <w:sz w:val="18"/>
                <w:szCs w:val="18"/>
                <w:rtl/>
              </w:rPr>
              <w:t xml:space="preserve">       الاستثمارات المتبادلة في رؤوس أموال البنوك والشركات المالية وشركات التأمين ضمن ال </w:t>
            </w:r>
            <w:r w:rsidRPr="00B92BBE">
              <w:rPr>
                <w:sz w:val="18"/>
                <w:szCs w:val="18"/>
              </w:rPr>
              <w:t>AT1</w:t>
            </w:r>
            <w:r w:rsidRPr="00B92BBE">
              <w:rPr>
                <w:sz w:val="18"/>
                <w:szCs w:val="18"/>
                <w:rtl/>
              </w:rPr>
              <w:t xml:space="preserve"> </w:t>
            </w:r>
          </w:p>
        </w:tc>
        <w:tc>
          <w:tcPr>
            <w:tcW w:w="453" w:type="pct"/>
            <w:tcBorders>
              <w:top w:val="nil"/>
              <w:left w:val="single" w:sz="4" w:space="0" w:color="auto"/>
              <w:bottom w:val="nil"/>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ind w:left="470" w:hanging="450"/>
              <w:rPr>
                <w:sz w:val="18"/>
                <w:szCs w:val="18"/>
              </w:rPr>
            </w:pPr>
            <w:r w:rsidRPr="00B92BBE">
              <w:rPr>
                <w:sz w:val="18"/>
                <w:szCs w:val="18"/>
                <w:rtl/>
              </w:rPr>
              <w:t xml:space="preserve">       الاستثمارات  في رؤوس أموال البنوك والشركات المالية وشركات التأمين  والتي يملك فيها البنك اقل من (10%) حسب ما هو موضح في التعليمات</w:t>
            </w:r>
          </w:p>
        </w:tc>
        <w:tc>
          <w:tcPr>
            <w:tcW w:w="453" w:type="pct"/>
            <w:tcBorders>
              <w:top w:val="single" w:sz="4" w:space="0" w:color="auto"/>
              <w:left w:val="single" w:sz="4" w:space="0" w:color="auto"/>
              <w:bottom w:val="nil"/>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ind w:left="470" w:hanging="450"/>
              <w:rPr>
                <w:sz w:val="18"/>
                <w:szCs w:val="18"/>
              </w:rPr>
            </w:pPr>
            <w:r w:rsidRPr="00B92BBE">
              <w:rPr>
                <w:sz w:val="18"/>
                <w:szCs w:val="18"/>
                <w:rtl/>
              </w:rPr>
              <w:t xml:space="preserve">       الاستثمارات  في رؤوس أموال البنوك والشركات المالية وشركات التأمين  والتي يملك فيها البنك اكثر من (10%) حسب ما هو موضح في التعليمات</w:t>
            </w:r>
          </w:p>
        </w:tc>
        <w:tc>
          <w:tcPr>
            <w:tcW w:w="453" w:type="pct"/>
            <w:tcBorders>
              <w:top w:val="single" w:sz="4" w:space="0" w:color="auto"/>
              <w:left w:val="single" w:sz="4" w:space="0" w:color="auto"/>
              <w:bottom w:val="nil"/>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402"/>
          <w:jc w:val="center"/>
        </w:trPr>
        <w:tc>
          <w:tcPr>
            <w:tcW w:w="4547" w:type="pct"/>
            <w:tcBorders>
              <w:top w:val="single" w:sz="4" w:space="0" w:color="auto"/>
              <w:left w:val="single" w:sz="8" w:space="0" w:color="auto"/>
              <w:bottom w:val="single" w:sz="4" w:space="0" w:color="auto"/>
              <w:right w:val="single" w:sz="4" w:space="0" w:color="auto"/>
            </w:tcBorders>
            <w:shd w:val="clear" w:color="000000" w:fill="D9D9D9"/>
            <w:vAlign w:val="center"/>
            <w:hideMark/>
          </w:tcPr>
          <w:p w:rsidR="004A31B4" w:rsidRPr="00B92BBE" w:rsidRDefault="004A31B4" w:rsidP="00205AAB">
            <w:pPr>
              <w:spacing w:after="0"/>
              <w:rPr>
                <w:b w:val="0"/>
                <w:bCs w:val="0"/>
                <w:sz w:val="22"/>
                <w:szCs w:val="22"/>
              </w:rPr>
            </w:pPr>
            <w:r w:rsidRPr="00B92BBE">
              <w:rPr>
                <w:b w:val="0"/>
                <w:bCs w:val="0"/>
                <w:sz w:val="22"/>
                <w:szCs w:val="22"/>
                <w:rtl/>
              </w:rPr>
              <w:t>صافي رأس المال الأساسي الإضافي</w:t>
            </w:r>
          </w:p>
        </w:tc>
        <w:tc>
          <w:tcPr>
            <w:tcW w:w="453" w:type="pct"/>
            <w:tcBorders>
              <w:top w:val="single" w:sz="4" w:space="0" w:color="auto"/>
              <w:left w:val="single" w:sz="4" w:space="0" w:color="auto"/>
              <w:bottom w:val="single" w:sz="4" w:space="0" w:color="auto"/>
              <w:right w:val="single" w:sz="8" w:space="0" w:color="auto"/>
            </w:tcBorders>
            <w:shd w:val="clear" w:color="000000" w:fill="D9D9D9"/>
            <w:noWrap/>
            <w:vAlign w:val="bottom"/>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402"/>
          <w:jc w:val="center"/>
        </w:trPr>
        <w:tc>
          <w:tcPr>
            <w:tcW w:w="4547" w:type="pct"/>
            <w:tcBorders>
              <w:top w:val="nil"/>
              <w:left w:val="single" w:sz="8" w:space="0" w:color="auto"/>
              <w:bottom w:val="single" w:sz="8" w:space="0" w:color="auto"/>
              <w:right w:val="single" w:sz="4" w:space="0" w:color="auto"/>
            </w:tcBorders>
            <w:shd w:val="clear" w:color="000000" w:fill="D9D9D9"/>
            <w:noWrap/>
            <w:vAlign w:val="center"/>
            <w:hideMark/>
          </w:tcPr>
          <w:p w:rsidR="004A31B4" w:rsidRPr="00B92BBE" w:rsidRDefault="004A31B4" w:rsidP="00205AAB">
            <w:pPr>
              <w:spacing w:after="0"/>
              <w:rPr>
                <w:b w:val="0"/>
                <w:bCs w:val="0"/>
                <w:sz w:val="22"/>
                <w:szCs w:val="22"/>
              </w:rPr>
            </w:pPr>
            <w:r w:rsidRPr="00B92BBE">
              <w:rPr>
                <w:b w:val="0"/>
                <w:bCs w:val="0"/>
                <w:sz w:val="22"/>
                <w:szCs w:val="22"/>
                <w:rtl/>
              </w:rPr>
              <w:t xml:space="preserve">صافي رأس المال الأساسي (الشريحة الأولى من رأس المال </w:t>
            </w:r>
            <w:r w:rsidRPr="00B92BBE">
              <w:rPr>
                <w:b w:val="0"/>
                <w:bCs w:val="0"/>
                <w:sz w:val="22"/>
                <w:szCs w:val="22"/>
              </w:rPr>
              <w:t>Tier 1</w:t>
            </w:r>
            <w:r w:rsidRPr="00B92BBE">
              <w:rPr>
                <w:b w:val="0"/>
                <w:bCs w:val="0"/>
                <w:sz w:val="22"/>
                <w:szCs w:val="22"/>
                <w:rtl/>
              </w:rPr>
              <w:t xml:space="preserve">) </w:t>
            </w:r>
          </w:p>
        </w:tc>
        <w:tc>
          <w:tcPr>
            <w:tcW w:w="453" w:type="pct"/>
            <w:tcBorders>
              <w:top w:val="nil"/>
              <w:left w:val="single" w:sz="4" w:space="0" w:color="auto"/>
              <w:bottom w:val="single" w:sz="8" w:space="0" w:color="auto"/>
              <w:right w:val="single" w:sz="8" w:space="0" w:color="auto"/>
            </w:tcBorders>
            <w:shd w:val="clear" w:color="000000" w:fill="D9D9D9"/>
            <w:noWrap/>
            <w:vAlign w:val="bottom"/>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555"/>
          <w:jc w:val="center"/>
        </w:trPr>
        <w:tc>
          <w:tcPr>
            <w:tcW w:w="5000" w:type="pct"/>
            <w:gridSpan w:val="2"/>
            <w:tcBorders>
              <w:top w:val="single" w:sz="8" w:space="0" w:color="auto"/>
              <w:left w:val="single" w:sz="8" w:space="0" w:color="auto"/>
              <w:bottom w:val="single" w:sz="4" w:space="0" w:color="auto"/>
              <w:right w:val="single" w:sz="8" w:space="0" w:color="000000"/>
            </w:tcBorders>
            <w:shd w:val="clear" w:color="000000" w:fill="95B3D7"/>
            <w:noWrap/>
            <w:vAlign w:val="center"/>
            <w:hideMark/>
          </w:tcPr>
          <w:p w:rsidR="004A31B4" w:rsidRPr="00B92BBE" w:rsidRDefault="004A31B4" w:rsidP="00205AAB">
            <w:pPr>
              <w:spacing w:after="0"/>
              <w:jc w:val="center"/>
              <w:rPr>
                <w:b w:val="0"/>
                <w:bCs w:val="0"/>
              </w:rPr>
            </w:pPr>
            <w:r w:rsidRPr="00B92BBE">
              <w:rPr>
                <w:b w:val="0"/>
                <w:bCs w:val="0"/>
                <w:rtl/>
              </w:rPr>
              <w:t xml:space="preserve">3. الشريحة الثانية من رأس المال </w:t>
            </w:r>
            <w:r w:rsidRPr="00B92BBE">
              <w:rPr>
                <w:b w:val="0"/>
                <w:bCs w:val="0"/>
              </w:rPr>
              <w:t>Tier 2</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الأدوات المالية الصادرة عن البنك التي تحمل صفات رأس المال المساند</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علاوة (خصم) الإصدار </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احتياطي مخاطر مصرفية عامة ( على ان لا تزيد عن 1.25%) من الموجودات المرجحة بالمخاطر</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حقوق الأقلية المسموح بالاعتراف بها</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000000" w:fill="D9D9D9"/>
            <w:noWrap/>
            <w:vAlign w:val="center"/>
            <w:hideMark/>
          </w:tcPr>
          <w:p w:rsidR="004A31B4" w:rsidRPr="00B92BBE" w:rsidRDefault="004A31B4" w:rsidP="00205AAB">
            <w:pPr>
              <w:spacing w:after="0"/>
              <w:rPr>
                <w:b w:val="0"/>
                <w:bCs w:val="0"/>
                <w:sz w:val="20"/>
                <w:szCs w:val="20"/>
              </w:rPr>
            </w:pPr>
            <w:r w:rsidRPr="00B92BBE">
              <w:rPr>
                <w:b w:val="0"/>
                <w:bCs w:val="0"/>
                <w:sz w:val="20"/>
                <w:szCs w:val="20"/>
                <w:rtl/>
              </w:rPr>
              <w:t>إجمالي رأس المال المساند</w:t>
            </w:r>
          </w:p>
        </w:tc>
        <w:tc>
          <w:tcPr>
            <w:tcW w:w="453" w:type="pct"/>
            <w:tcBorders>
              <w:top w:val="nil"/>
              <w:left w:val="single" w:sz="4" w:space="0" w:color="auto"/>
              <w:bottom w:val="single" w:sz="4" w:space="0" w:color="auto"/>
              <w:right w:val="single" w:sz="8" w:space="0" w:color="auto"/>
            </w:tcBorders>
            <w:shd w:val="clear" w:color="000000" w:fill="D9D9D9"/>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360"/>
          <w:jc w:val="center"/>
        </w:trPr>
        <w:tc>
          <w:tcPr>
            <w:tcW w:w="4547" w:type="pct"/>
            <w:tcBorders>
              <w:top w:val="nil"/>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b w:val="0"/>
                <w:bCs w:val="0"/>
                <w:sz w:val="20"/>
                <w:szCs w:val="20"/>
              </w:rPr>
            </w:pPr>
            <w:r w:rsidRPr="00B92BBE">
              <w:rPr>
                <w:b w:val="0"/>
                <w:bCs w:val="0"/>
                <w:sz w:val="20"/>
                <w:szCs w:val="20"/>
                <w:rtl/>
              </w:rPr>
              <w:t xml:space="preserve">التعديلات الرقابية (الطروحات من رأس المال) </w:t>
            </w:r>
          </w:p>
        </w:tc>
        <w:tc>
          <w:tcPr>
            <w:tcW w:w="453" w:type="pct"/>
            <w:tcBorders>
              <w:top w:val="nil"/>
              <w:left w:val="single" w:sz="4" w:space="0" w:color="auto"/>
              <w:bottom w:val="single" w:sz="4" w:space="0" w:color="auto"/>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360"/>
          <w:jc w:val="center"/>
        </w:trPr>
        <w:tc>
          <w:tcPr>
            <w:tcW w:w="4547" w:type="pct"/>
            <w:tcBorders>
              <w:top w:val="nil"/>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ind w:left="470"/>
              <w:rPr>
                <w:sz w:val="20"/>
                <w:szCs w:val="20"/>
              </w:rPr>
            </w:pPr>
            <w:r w:rsidRPr="00B92BBE">
              <w:rPr>
                <w:sz w:val="20"/>
                <w:szCs w:val="20"/>
                <w:rtl/>
              </w:rPr>
              <w:t>الاستثمارات في رؤؤس اموال الشركات التابعة غير الموحدة حساباتها مع حسابات البنك وحسب ما هو موضح في المرفق رقم (1)</w:t>
            </w:r>
          </w:p>
        </w:tc>
        <w:tc>
          <w:tcPr>
            <w:tcW w:w="453" w:type="pct"/>
            <w:tcBorders>
              <w:top w:val="nil"/>
              <w:left w:val="single" w:sz="4" w:space="0" w:color="auto"/>
              <w:bottom w:val="nil"/>
              <w:right w:val="single" w:sz="8" w:space="0" w:color="auto"/>
            </w:tcBorders>
            <w:shd w:val="clear" w:color="auto" w:fill="auto"/>
            <w:noWrap/>
            <w:vAlign w:val="center"/>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31B4" w:rsidRPr="00B92BBE" w:rsidRDefault="004A31B4" w:rsidP="00205AAB">
            <w:pPr>
              <w:spacing w:after="0"/>
              <w:rPr>
                <w:sz w:val="20"/>
                <w:szCs w:val="20"/>
              </w:rPr>
            </w:pPr>
            <w:r w:rsidRPr="00B92BBE">
              <w:rPr>
                <w:sz w:val="20"/>
                <w:szCs w:val="20"/>
                <w:rtl/>
              </w:rPr>
              <w:t xml:space="preserve">       الاستثمارات المتبادلة في رؤوس أموال البنوك والشركات المالية وشركات التأمين ضمن ال </w:t>
            </w:r>
            <w:r w:rsidRPr="00B92BBE">
              <w:rPr>
                <w:sz w:val="20"/>
                <w:szCs w:val="20"/>
              </w:rPr>
              <w:t>Tier 2</w:t>
            </w:r>
            <w:r w:rsidRPr="00B92BBE">
              <w:rPr>
                <w:sz w:val="20"/>
                <w:szCs w:val="20"/>
                <w:rtl/>
              </w:rPr>
              <w:t xml:space="preserve"> </w:t>
            </w:r>
          </w:p>
        </w:tc>
        <w:tc>
          <w:tcPr>
            <w:tcW w:w="453" w:type="pct"/>
            <w:tcBorders>
              <w:top w:val="single" w:sz="4" w:space="0" w:color="auto"/>
              <w:left w:val="single" w:sz="4" w:space="0" w:color="auto"/>
              <w:bottom w:val="nil"/>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nil"/>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ind w:left="470" w:hanging="450"/>
              <w:rPr>
                <w:sz w:val="18"/>
                <w:szCs w:val="18"/>
              </w:rPr>
            </w:pPr>
            <w:r w:rsidRPr="00B92BBE">
              <w:rPr>
                <w:sz w:val="18"/>
                <w:szCs w:val="18"/>
                <w:rtl/>
              </w:rPr>
              <w:t xml:space="preserve">       الاستثمارات المؤثرة في رؤوس أموال البنوك والشركات المالية وشركات التأمين  والتي يملك فيها البنك اقل من (10%) وحسب ما هو موضح في التعليمات</w:t>
            </w:r>
          </w:p>
        </w:tc>
        <w:tc>
          <w:tcPr>
            <w:tcW w:w="453" w:type="pct"/>
            <w:tcBorders>
              <w:top w:val="single" w:sz="4" w:space="0" w:color="auto"/>
              <w:left w:val="single" w:sz="4" w:space="0" w:color="auto"/>
              <w:bottom w:val="nil"/>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single" w:sz="4" w:space="0" w:color="auto"/>
            </w:tcBorders>
            <w:shd w:val="clear" w:color="auto" w:fill="auto"/>
            <w:noWrap/>
            <w:vAlign w:val="center"/>
            <w:hideMark/>
          </w:tcPr>
          <w:p w:rsidR="004A31B4" w:rsidRPr="00B92BBE" w:rsidRDefault="004A31B4" w:rsidP="00205AAB">
            <w:pPr>
              <w:spacing w:after="0"/>
              <w:ind w:left="470" w:hanging="450"/>
              <w:rPr>
                <w:sz w:val="18"/>
                <w:szCs w:val="18"/>
              </w:rPr>
            </w:pPr>
            <w:r w:rsidRPr="00B92BBE">
              <w:rPr>
                <w:sz w:val="18"/>
                <w:szCs w:val="18"/>
                <w:rtl/>
              </w:rPr>
              <w:t xml:space="preserve">       الاستثمارات المؤثرة في رؤوس أموال البنوك والشركات المالية وشركات التأمين  والتي يملك فيها البنك أكثر من (10%) وحسب ما هو موضح في التعليمات </w:t>
            </w:r>
          </w:p>
        </w:tc>
        <w:tc>
          <w:tcPr>
            <w:tcW w:w="453" w:type="pct"/>
            <w:tcBorders>
              <w:top w:val="single" w:sz="4" w:space="0" w:color="auto"/>
              <w:left w:val="single" w:sz="4" w:space="0" w:color="auto"/>
              <w:bottom w:val="nil"/>
              <w:right w:val="single" w:sz="8" w:space="0" w:color="auto"/>
            </w:tcBorders>
            <w:shd w:val="clear" w:color="auto" w:fill="auto"/>
            <w:noWrap/>
            <w:vAlign w:val="bottom"/>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 </w:t>
            </w:r>
          </w:p>
        </w:tc>
      </w:tr>
      <w:tr w:rsidR="004A31B4" w:rsidRPr="00B92BBE" w:rsidTr="004A31B4">
        <w:trPr>
          <w:trHeight w:val="360"/>
          <w:jc w:val="center"/>
        </w:trPr>
        <w:tc>
          <w:tcPr>
            <w:tcW w:w="4547" w:type="pct"/>
            <w:tcBorders>
              <w:top w:val="single" w:sz="4" w:space="0" w:color="auto"/>
              <w:left w:val="single" w:sz="8" w:space="0" w:color="auto"/>
              <w:bottom w:val="nil"/>
              <w:right w:val="single" w:sz="4" w:space="0" w:color="auto"/>
            </w:tcBorders>
            <w:shd w:val="clear" w:color="000000" w:fill="D9D9D9"/>
            <w:vAlign w:val="center"/>
            <w:hideMark/>
          </w:tcPr>
          <w:p w:rsidR="004A31B4" w:rsidRPr="00B92BBE" w:rsidRDefault="004A31B4" w:rsidP="00205AAB">
            <w:pPr>
              <w:spacing w:after="0"/>
              <w:rPr>
                <w:b w:val="0"/>
                <w:bCs w:val="0"/>
                <w:sz w:val="22"/>
                <w:szCs w:val="22"/>
              </w:rPr>
            </w:pPr>
            <w:r w:rsidRPr="00B92BBE">
              <w:rPr>
                <w:b w:val="0"/>
                <w:bCs w:val="0"/>
                <w:sz w:val="22"/>
                <w:szCs w:val="22"/>
                <w:rtl/>
              </w:rPr>
              <w:t xml:space="preserve">صافي رأس المال المساند </w:t>
            </w:r>
            <w:r w:rsidRPr="00B92BBE">
              <w:rPr>
                <w:b w:val="0"/>
                <w:bCs w:val="0"/>
                <w:sz w:val="22"/>
                <w:szCs w:val="22"/>
              </w:rPr>
              <w:t>Tier 2</w:t>
            </w:r>
          </w:p>
        </w:tc>
        <w:tc>
          <w:tcPr>
            <w:tcW w:w="453" w:type="pct"/>
            <w:tcBorders>
              <w:top w:val="single" w:sz="4" w:space="0" w:color="auto"/>
              <w:left w:val="single" w:sz="4" w:space="0" w:color="auto"/>
              <w:bottom w:val="nil"/>
              <w:right w:val="single" w:sz="8" w:space="0" w:color="auto"/>
            </w:tcBorders>
            <w:shd w:val="clear" w:color="000000" w:fill="D9D9D9"/>
            <w:noWrap/>
            <w:vAlign w:val="bottom"/>
            <w:hideMark/>
          </w:tcPr>
          <w:p w:rsidR="004A31B4" w:rsidRPr="00B92BBE" w:rsidRDefault="004A31B4" w:rsidP="00205AAB">
            <w:pPr>
              <w:bidi w:val="0"/>
              <w:spacing w:after="0"/>
              <w:jc w:val="center"/>
              <w:rPr>
                <w:rFonts w:ascii="Arial" w:hAnsi="Arial" w:cs="Arial"/>
                <w:b w:val="0"/>
                <w:bCs w:val="0"/>
                <w:sz w:val="22"/>
                <w:szCs w:val="22"/>
              </w:rPr>
            </w:pPr>
            <w:r w:rsidRPr="00B92BBE">
              <w:rPr>
                <w:rFonts w:ascii="Arial" w:hAnsi="Arial" w:cs="Arial"/>
                <w:b w:val="0"/>
                <w:bCs w:val="0"/>
                <w:sz w:val="22"/>
                <w:szCs w:val="22"/>
              </w:rPr>
              <w:t>0</w:t>
            </w:r>
          </w:p>
        </w:tc>
      </w:tr>
      <w:tr w:rsidR="004A31B4" w:rsidRPr="00B92BBE" w:rsidTr="004A31B4">
        <w:trPr>
          <w:trHeight w:val="555"/>
          <w:jc w:val="center"/>
        </w:trPr>
        <w:tc>
          <w:tcPr>
            <w:tcW w:w="4547" w:type="pct"/>
            <w:tcBorders>
              <w:top w:val="single" w:sz="8" w:space="0" w:color="auto"/>
              <w:left w:val="single" w:sz="8" w:space="0" w:color="auto"/>
              <w:bottom w:val="single" w:sz="8" w:space="0" w:color="auto"/>
              <w:right w:val="single" w:sz="4" w:space="0" w:color="auto"/>
            </w:tcBorders>
            <w:shd w:val="clear" w:color="000000" w:fill="95B3D7"/>
            <w:noWrap/>
            <w:vAlign w:val="bottom"/>
            <w:hideMark/>
          </w:tcPr>
          <w:p w:rsidR="004A31B4" w:rsidRPr="00B92BBE" w:rsidRDefault="004A31B4" w:rsidP="00205AAB">
            <w:pPr>
              <w:spacing w:after="0"/>
              <w:jc w:val="center"/>
              <w:rPr>
                <w:b w:val="0"/>
                <w:bCs w:val="0"/>
              </w:rPr>
            </w:pPr>
            <w:r w:rsidRPr="00B92BBE">
              <w:rPr>
                <w:b w:val="0"/>
                <w:bCs w:val="0"/>
                <w:rtl/>
              </w:rPr>
              <w:t xml:space="preserve">رأس المال التنظيمي </w:t>
            </w:r>
          </w:p>
        </w:tc>
        <w:tc>
          <w:tcPr>
            <w:tcW w:w="453" w:type="pct"/>
            <w:tcBorders>
              <w:top w:val="single" w:sz="8" w:space="0" w:color="auto"/>
              <w:left w:val="single" w:sz="4" w:space="0" w:color="auto"/>
              <w:bottom w:val="single" w:sz="8" w:space="0" w:color="auto"/>
              <w:right w:val="single" w:sz="8" w:space="0" w:color="auto"/>
            </w:tcBorders>
            <w:shd w:val="clear" w:color="000000" w:fill="95B3D7"/>
            <w:noWrap/>
            <w:vAlign w:val="bottom"/>
            <w:hideMark/>
          </w:tcPr>
          <w:p w:rsidR="004A31B4" w:rsidRPr="00B92BBE" w:rsidRDefault="004A31B4" w:rsidP="00205AAB">
            <w:pPr>
              <w:bidi w:val="0"/>
              <w:spacing w:after="0"/>
              <w:jc w:val="center"/>
              <w:rPr>
                <w:rFonts w:ascii="Arial" w:hAnsi="Arial" w:cs="Arial"/>
                <w:b w:val="0"/>
                <w:bCs w:val="0"/>
              </w:rPr>
            </w:pPr>
            <w:r w:rsidRPr="00B92BBE">
              <w:rPr>
                <w:rFonts w:ascii="Arial" w:hAnsi="Arial" w:cs="Arial"/>
                <w:b w:val="0"/>
                <w:bCs w:val="0"/>
              </w:rPr>
              <w:t>0</w:t>
            </w:r>
          </w:p>
        </w:tc>
      </w:tr>
      <w:tr w:rsidR="004A31B4" w:rsidRPr="00B92BBE" w:rsidTr="004A31B4">
        <w:trPr>
          <w:trHeight w:val="285"/>
          <w:jc w:val="center"/>
        </w:trPr>
        <w:tc>
          <w:tcPr>
            <w:tcW w:w="4547" w:type="pct"/>
            <w:tcBorders>
              <w:top w:val="nil"/>
              <w:left w:val="nil"/>
              <w:bottom w:val="nil"/>
              <w:right w:val="nil"/>
            </w:tcBorders>
            <w:shd w:val="clear" w:color="auto" w:fill="auto"/>
            <w:noWrap/>
            <w:vAlign w:val="bottom"/>
            <w:hideMark/>
          </w:tcPr>
          <w:p w:rsidR="004A31B4" w:rsidRPr="00B92BBE" w:rsidRDefault="004A31B4" w:rsidP="00DA36E0">
            <w:pPr>
              <w:rPr>
                <w:rFonts w:ascii="Arial" w:hAnsi="Arial" w:cs="Arial"/>
                <w:color w:val="000000"/>
                <w:sz w:val="22"/>
                <w:szCs w:val="22"/>
              </w:rPr>
            </w:pPr>
            <w:r w:rsidRPr="00B92BBE">
              <w:rPr>
                <w:rFonts w:ascii="Arial" w:hAnsi="Arial" w:cs="Arial"/>
                <w:color w:val="000000"/>
                <w:sz w:val="22"/>
                <w:szCs w:val="22"/>
                <w:rtl/>
              </w:rPr>
              <w:t xml:space="preserve">يعبأ على مستوى المجموعة البنكية، فروع الأردن والخارج وفروع الأردن.  </w:t>
            </w:r>
          </w:p>
        </w:tc>
        <w:tc>
          <w:tcPr>
            <w:tcW w:w="453" w:type="pct"/>
            <w:tcBorders>
              <w:top w:val="nil"/>
              <w:left w:val="nil"/>
              <w:bottom w:val="nil"/>
              <w:right w:val="nil"/>
            </w:tcBorders>
            <w:shd w:val="clear" w:color="auto" w:fill="auto"/>
            <w:noWrap/>
            <w:vAlign w:val="bottom"/>
            <w:hideMark/>
          </w:tcPr>
          <w:p w:rsidR="004A31B4" w:rsidRPr="00B92BBE" w:rsidRDefault="004A31B4" w:rsidP="00DA36E0">
            <w:pPr>
              <w:bidi w:val="0"/>
              <w:rPr>
                <w:rFonts w:ascii="Arial" w:hAnsi="Arial" w:cs="Arial"/>
                <w:color w:val="000000"/>
                <w:sz w:val="22"/>
                <w:szCs w:val="22"/>
              </w:rPr>
            </w:pPr>
          </w:p>
        </w:tc>
      </w:tr>
    </w:tbl>
    <w:p w:rsidR="005A2DDD" w:rsidRPr="004A31B4" w:rsidRDefault="005A2DDD" w:rsidP="005A2DDD">
      <w:pPr>
        <w:rPr>
          <w:rtl/>
          <w:lang w:bidi="ar-JO"/>
        </w:rPr>
      </w:pPr>
    </w:p>
    <w:p w:rsidR="005A2DDD" w:rsidRDefault="005A2DDD" w:rsidP="005A2DDD">
      <w:pPr>
        <w:rPr>
          <w:rtl/>
          <w:lang w:bidi="ar-JO"/>
        </w:rPr>
      </w:pPr>
    </w:p>
    <w:p w:rsidR="004A31B4" w:rsidRPr="006A7565" w:rsidRDefault="006A7565" w:rsidP="006A7565">
      <w:pPr>
        <w:pStyle w:val="Caption"/>
        <w:jc w:val="center"/>
        <w:rPr>
          <w:b/>
          <w:bCs/>
          <w:color w:val="auto"/>
          <w:sz w:val="28"/>
          <w:szCs w:val="28"/>
          <w:rtl/>
          <w:lang w:bidi="ar-JO"/>
        </w:rPr>
      </w:pPr>
      <w:bookmarkStart w:id="2237" w:name="_Toc465255832"/>
      <w:r w:rsidRPr="006A7565">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6</w:t>
      </w:r>
      <w:r w:rsidR="004A0A06">
        <w:rPr>
          <w:b/>
          <w:bCs/>
          <w:color w:val="auto"/>
          <w:sz w:val="28"/>
          <w:szCs w:val="28"/>
          <w:rtl/>
        </w:rPr>
        <w:fldChar w:fldCharType="end"/>
      </w:r>
      <w:r w:rsidRPr="006A7565">
        <w:rPr>
          <w:rFonts w:hint="cs"/>
          <w:b/>
          <w:bCs/>
          <w:color w:val="auto"/>
          <w:sz w:val="28"/>
          <w:szCs w:val="28"/>
          <w:rtl/>
        </w:rPr>
        <w:t xml:space="preserve"> )</w:t>
      </w:r>
      <w:r w:rsidRPr="006A7565">
        <w:rPr>
          <w:rFonts w:hint="cs"/>
          <w:b/>
          <w:bCs/>
          <w:color w:val="auto"/>
          <w:sz w:val="28"/>
          <w:szCs w:val="28"/>
          <w:rtl/>
          <w:lang w:bidi="ar-JO"/>
        </w:rPr>
        <w:t>:</w:t>
      </w:r>
      <w:r w:rsidR="004A31B4" w:rsidRPr="006A7565">
        <w:rPr>
          <w:b/>
          <w:bCs/>
          <w:color w:val="auto"/>
          <w:sz w:val="28"/>
          <w:szCs w:val="28"/>
          <w:rtl/>
          <w:lang w:bidi="ar-JO"/>
        </w:rPr>
        <w:t>الخطوات التي سيقوم البنك المركزي باتباعها بخصوص رأس المال لمواجهة التقلبات الدورية</w:t>
      </w:r>
      <w:bookmarkEnd w:id="2237"/>
    </w:p>
    <w:p w:rsidR="004A31B4" w:rsidRDefault="004A31B4" w:rsidP="004A31B4">
      <w:pPr>
        <w:rPr>
          <w:rtl/>
          <w:lang w:bidi="ar-JO"/>
        </w:rPr>
      </w:pPr>
    </w:p>
    <w:p w:rsidR="004A31B4" w:rsidRPr="004A31B4" w:rsidRDefault="004A31B4" w:rsidP="004A31B4">
      <w:pPr>
        <w:rPr>
          <w:b w:val="0"/>
          <w:bCs w:val="0"/>
          <w:rtl/>
          <w:lang w:bidi="ar-JO"/>
        </w:rPr>
      </w:pPr>
      <w:r w:rsidRPr="004A31B4">
        <w:rPr>
          <w:b w:val="0"/>
          <w:bCs w:val="0"/>
          <w:rtl/>
          <w:lang w:bidi="ar-JO"/>
        </w:rPr>
        <w:t xml:space="preserve">تتضمن آلية احتساب هامش رأس المال لمواجهة التقلبات الدورية الخطوات التالية: </w:t>
      </w:r>
    </w:p>
    <w:p w:rsidR="004A31B4" w:rsidRPr="004A31B4" w:rsidRDefault="004A31B4" w:rsidP="004A31B4">
      <w:pPr>
        <w:pStyle w:val="ListParagraph"/>
        <w:numPr>
          <w:ilvl w:val="0"/>
          <w:numId w:val="50"/>
        </w:numPr>
        <w:ind w:left="380"/>
        <w:rPr>
          <w:b w:val="0"/>
          <w:bCs w:val="0"/>
          <w:lang w:bidi="ar-JO"/>
        </w:rPr>
      </w:pPr>
      <w:r w:rsidRPr="004A31B4">
        <w:rPr>
          <w:b w:val="0"/>
          <w:bCs w:val="0"/>
          <w:rtl/>
          <w:lang w:bidi="ar-JO"/>
        </w:rPr>
        <w:t xml:space="preserve">احتساب نسبة الائتمان الممنوح للقطاع الخاص من قبل الجهاز المصرفي إلى الناتج المحلي الإجمالي. </w:t>
      </w:r>
    </w:p>
    <w:p w:rsidR="004A31B4" w:rsidRPr="004A31B4" w:rsidRDefault="004A31B4" w:rsidP="004A31B4">
      <w:pPr>
        <w:pStyle w:val="ListParagraph"/>
        <w:numPr>
          <w:ilvl w:val="0"/>
          <w:numId w:val="50"/>
        </w:numPr>
        <w:ind w:left="380"/>
        <w:rPr>
          <w:b w:val="0"/>
          <w:bCs w:val="0"/>
          <w:lang w:bidi="ar-JO"/>
        </w:rPr>
      </w:pPr>
      <w:r w:rsidRPr="004A31B4">
        <w:rPr>
          <w:b w:val="0"/>
          <w:bCs w:val="0"/>
          <w:rtl/>
          <w:lang w:bidi="ar-JO"/>
        </w:rPr>
        <w:t xml:space="preserve">تقدير فجوة نسبة الائتمان إلى الناتج المحلي الإجمالي (يبين النسبة واتجاهه العام)، باستخدام مقاييس إحصائية. </w:t>
      </w:r>
    </w:p>
    <w:p w:rsidR="004A31B4" w:rsidRPr="004A31B4" w:rsidRDefault="004A31B4" w:rsidP="004A31B4">
      <w:pPr>
        <w:pStyle w:val="ListParagraph"/>
        <w:numPr>
          <w:ilvl w:val="0"/>
          <w:numId w:val="50"/>
        </w:numPr>
        <w:ind w:left="380"/>
        <w:rPr>
          <w:b w:val="0"/>
          <w:bCs w:val="0"/>
          <w:rtl/>
          <w:lang w:bidi="ar-JO"/>
        </w:rPr>
      </w:pPr>
      <w:r w:rsidRPr="004A31B4">
        <w:rPr>
          <w:b w:val="0"/>
          <w:bCs w:val="0"/>
          <w:rtl/>
          <w:lang w:bidi="ar-JO"/>
        </w:rPr>
        <w:t xml:space="preserve">احتساب الهامش المطلوب لرأس المال بناءً على الفجوة المقدرة، وكما يلي: </w:t>
      </w:r>
    </w:p>
    <w:p w:rsidR="004A31B4" w:rsidRPr="004A31B4" w:rsidRDefault="004A31B4" w:rsidP="004A31B4">
      <w:pPr>
        <w:ind w:left="560" w:hanging="360"/>
        <w:rPr>
          <w:b w:val="0"/>
          <w:bCs w:val="0"/>
          <w:rtl/>
          <w:lang w:bidi="ar-JO"/>
        </w:rPr>
      </w:pPr>
      <w:r w:rsidRPr="004A31B4">
        <w:rPr>
          <w:b w:val="0"/>
          <w:bCs w:val="0"/>
          <w:rtl/>
          <w:lang w:bidi="ar-JO"/>
        </w:rPr>
        <w:t>-</w:t>
      </w:r>
      <w:r w:rsidRPr="004A31B4">
        <w:rPr>
          <w:b w:val="0"/>
          <w:bCs w:val="0"/>
          <w:rtl/>
          <w:lang w:bidi="ar-JO"/>
        </w:rPr>
        <w:tab/>
        <w:t xml:space="preserve">إذا قلت الفجوة عن نسبة (2%) فإن الهامش يساوي صفر. </w:t>
      </w:r>
    </w:p>
    <w:p w:rsidR="004A31B4" w:rsidRPr="004A31B4" w:rsidRDefault="004A31B4" w:rsidP="004A31B4">
      <w:pPr>
        <w:ind w:left="560" w:hanging="360"/>
        <w:rPr>
          <w:b w:val="0"/>
          <w:bCs w:val="0"/>
          <w:rtl/>
          <w:lang w:bidi="ar-JO"/>
        </w:rPr>
      </w:pPr>
      <w:r w:rsidRPr="004A31B4">
        <w:rPr>
          <w:b w:val="0"/>
          <w:bCs w:val="0"/>
          <w:rtl/>
          <w:lang w:bidi="ar-JO"/>
        </w:rPr>
        <w:t>-</w:t>
      </w:r>
      <w:r w:rsidRPr="004A31B4">
        <w:rPr>
          <w:b w:val="0"/>
          <w:bCs w:val="0"/>
          <w:rtl/>
          <w:lang w:bidi="ar-JO"/>
        </w:rPr>
        <w:tab/>
        <w:t xml:space="preserve">إذا زادت الفجوة عن نسبة (10%) فإن الهامش يساوي (2.5%). </w:t>
      </w:r>
    </w:p>
    <w:p w:rsidR="004A31B4" w:rsidRDefault="004A31B4" w:rsidP="00646CA2">
      <w:pPr>
        <w:ind w:left="560" w:hanging="360"/>
        <w:rPr>
          <w:b w:val="0"/>
          <w:bCs w:val="0"/>
          <w:rtl/>
          <w:lang w:bidi="ar-JO"/>
        </w:rPr>
      </w:pPr>
      <w:r w:rsidRPr="004A31B4">
        <w:rPr>
          <w:b w:val="0"/>
          <w:bCs w:val="0"/>
          <w:rtl/>
          <w:lang w:bidi="ar-JO"/>
        </w:rPr>
        <w:t>-</w:t>
      </w:r>
      <w:r w:rsidRPr="004A31B4">
        <w:rPr>
          <w:b w:val="0"/>
          <w:bCs w:val="0"/>
          <w:rtl/>
          <w:lang w:bidi="ar-JO"/>
        </w:rPr>
        <w:tab/>
        <w:t>إذا تراوحت الفجوة بين الحد الأدنى والحد الأعلى المذكورين أعلاه فإن الهامش</w:t>
      </w:r>
      <w:r>
        <w:rPr>
          <w:rFonts w:hint="cs"/>
          <w:b w:val="0"/>
          <w:bCs w:val="0"/>
          <w:rtl/>
          <w:lang w:bidi="ar-JO"/>
        </w:rPr>
        <w:t xml:space="preserve"> يساوي:</w:t>
      </w:r>
    </w:p>
    <w:p w:rsidR="004A31B4" w:rsidRPr="004A31B4" w:rsidRDefault="004A31B4" w:rsidP="004A31B4">
      <w:pPr>
        <w:ind w:left="560" w:hanging="360"/>
        <w:jc w:val="center"/>
        <w:rPr>
          <w:b w:val="0"/>
          <w:bCs w:val="0"/>
          <w:rtl/>
          <w:lang w:bidi="ar-JO"/>
        </w:rPr>
      </w:pPr>
      <w:r w:rsidRPr="004A31B4">
        <w:rPr>
          <w:b w:val="0"/>
          <w:bCs w:val="0"/>
          <w:rtl/>
          <w:lang w:bidi="ar-JO"/>
        </w:rPr>
        <w:t>(الفجوة – 2%)*2.5%/8%</w:t>
      </w:r>
    </w:p>
    <w:p w:rsidR="004A31B4" w:rsidRPr="004A31B4" w:rsidRDefault="004A31B4" w:rsidP="004A31B4">
      <w:pPr>
        <w:rPr>
          <w:b w:val="0"/>
          <w:bCs w:val="0"/>
          <w:rtl/>
          <w:lang w:bidi="ar-JO"/>
        </w:rPr>
      </w:pPr>
    </w:p>
    <w:p w:rsidR="005A2DDD" w:rsidRPr="004A31B4" w:rsidRDefault="004A31B4" w:rsidP="004A31B4">
      <w:pPr>
        <w:rPr>
          <w:b w:val="0"/>
          <w:bCs w:val="0"/>
          <w:rtl/>
          <w:lang w:bidi="ar-JO"/>
        </w:rPr>
      </w:pPr>
      <w:r w:rsidRPr="004A31B4">
        <w:rPr>
          <w:b w:val="0"/>
          <w:bCs w:val="0"/>
          <w:rtl/>
          <w:lang w:bidi="ar-JO"/>
        </w:rPr>
        <w:t>سيعمل البنك المركزي الأردني على تقييم مدى الحاجة إلى زيادة أو تخفيض الهامش حسب اتجاهات المخاطر النظامية، وقبل فرض الهامش فإن البنك المركزي سيقوم بإعطاء البنوك فترة سماح لمدة (12) شهراً للتقيد وذلك لإعطاء البنوك وقتاً كافياً لتحقيق متطلبات رأس المال الإضافية، أما عملية التخفيض فإنها قابلة للتنفيذ مباشرة فور الإعلان عنها من قبل البنك المركزي.</w:t>
      </w: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C51591">
      <w:pPr>
        <w:framePr w:w="6497" w:wrap="auto" w:hAnchor="text"/>
        <w:rPr>
          <w:rtl/>
          <w:lang w:bidi="ar-JO"/>
        </w:rPr>
        <w:sectPr w:rsidR="005A2DDD" w:rsidSect="000D1BAE">
          <w:headerReference w:type="even" r:id="rId9"/>
          <w:footerReference w:type="default" r:id="rId10"/>
          <w:footerReference w:type="first" r:id="rId11"/>
          <w:pgSz w:w="11906" w:h="16838"/>
          <w:pgMar w:top="1440" w:right="1558" w:bottom="1440" w:left="1418" w:header="708" w:footer="708" w:gutter="0"/>
          <w:cols w:space="708"/>
          <w:titlePg/>
          <w:bidi/>
          <w:rtlGutter/>
          <w:docGrid w:linePitch="360"/>
        </w:sectPr>
      </w:pPr>
    </w:p>
    <w:p w:rsidR="005A2DDD" w:rsidRPr="006A7565" w:rsidRDefault="006A7565" w:rsidP="006A7565">
      <w:pPr>
        <w:pStyle w:val="Caption"/>
        <w:jc w:val="center"/>
        <w:rPr>
          <w:b/>
          <w:bCs/>
          <w:color w:val="auto"/>
          <w:sz w:val="28"/>
          <w:szCs w:val="28"/>
        </w:rPr>
      </w:pPr>
      <w:bookmarkStart w:id="2238" w:name="_Toc465255833"/>
      <w:r w:rsidRPr="006A7565">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7</w:t>
      </w:r>
      <w:r w:rsidR="004A0A06">
        <w:rPr>
          <w:b/>
          <w:bCs/>
          <w:color w:val="auto"/>
          <w:sz w:val="28"/>
          <w:szCs w:val="28"/>
          <w:rtl/>
        </w:rPr>
        <w:fldChar w:fldCharType="end"/>
      </w:r>
      <w:r w:rsidRPr="006A7565">
        <w:rPr>
          <w:rFonts w:hint="cs"/>
          <w:b/>
          <w:bCs/>
          <w:color w:val="auto"/>
          <w:sz w:val="28"/>
          <w:szCs w:val="28"/>
          <w:rtl/>
          <w:lang w:bidi="ar-JO"/>
        </w:rPr>
        <w:t xml:space="preserve"> ): </w:t>
      </w:r>
      <w:r w:rsidR="005A2DDD" w:rsidRPr="006A7565">
        <w:rPr>
          <w:rFonts w:hint="cs"/>
          <w:b/>
          <w:bCs/>
          <w:color w:val="auto"/>
          <w:sz w:val="28"/>
          <w:szCs w:val="28"/>
          <w:rtl/>
        </w:rPr>
        <w:t>مواءمة التصنيف الائتماني الخارجي</w:t>
      </w:r>
      <w:bookmarkEnd w:id="2238"/>
    </w:p>
    <w:p w:rsidR="005A2DDD" w:rsidRPr="004A31B4" w:rsidRDefault="005A2DDD" w:rsidP="004A31B4">
      <w:pPr>
        <w:jc w:val="center"/>
        <w:rPr>
          <w:sz w:val="28"/>
          <w:szCs w:val="28"/>
        </w:rPr>
      </w:pPr>
      <w:r w:rsidRPr="004A31B4">
        <w:rPr>
          <w:rFonts w:hint="cs"/>
          <w:sz w:val="28"/>
          <w:szCs w:val="28"/>
          <w:rtl/>
        </w:rPr>
        <w:t>(</w:t>
      </w:r>
      <w:r w:rsidRPr="004A31B4">
        <w:rPr>
          <w:sz w:val="28"/>
          <w:szCs w:val="28"/>
        </w:rPr>
        <w:t>External Risk Rating Mapping</w:t>
      </w:r>
      <w:r w:rsidRPr="004A31B4">
        <w:rPr>
          <w:rFonts w:hint="cs"/>
          <w:sz w:val="28"/>
          <w:szCs w:val="28"/>
          <w:rtl/>
        </w:rPr>
        <w:t>)</w:t>
      </w:r>
    </w:p>
    <w:p w:rsidR="005A2DDD" w:rsidRDefault="005A2DDD" w:rsidP="005A2DDD">
      <w:pPr>
        <w:rPr>
          <w:rtl/>
        </w:rPr>
      </w:pPr>
    </w:p>
    <w:tbl>
      <w:tblPr>
        <w:tblW w:w="15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1579"/>
        <w:gridCol w:w="1579"/>
        <w:gridCol w:w="236"/>
        <w:gridCol w:w="1481"/>
        <w:gridCol w:w="79"/>
        <w:gridCol w:w="1402"/>
        <w:gridCol w:w="38"/>
        <w:gridCol w:w="1444"/>
        <w:gridCol w:w="236"/>
        <w:gridCol w:w="1592"/>
        <w:gridCol w:w="1592"/>
        <w:gridCol w:w="1440"/>
        <w:gridCol w:w="1440"/>
      </w:tblGrid>
      <w:tr w:rsidR="004A31B4" w:rsidRPr="004A31B4" w:rsidTr="00DA36E0">
        <w:trPr>
          <w:cantSplit/>
          <w:trHeight w:val="600"/>
          <w:jc w:val="center"/>
        </w:trPr>
        <w:tc>
          <w:tcPr>
            <w:tcW w:w="4737" w:type="dxa"/>
            <w:gridSpan w:val="3"/>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Long Term Rating Assessment</w:t>
            </w:r>
          </w:p>
        </w:tc>
        <w:tc>
          <w:tcPr>
            <w:tcW w:w="236" w:type="dxa"/>
            <w:vMerge w:val="restart"/>
            <w:shd w:val="clear" w:color="auto" w:fill="F2F2F2"/>
          </w:tcPr>
          <w:p w:rsidR="004A31B4" w:rsidRPr="004A31B4" w:rsidRDefault="004A31B4" w:rsidP="004A31B4">
            <w:pPr>
              <w:bidi w:val="0"/>
              <w:spacing w:after="0"/>
              <w:jc w:val="center"/>
              <w:rPr>
                <w:rFonts w:ascii="Times New Roman" w:eastAsia="Times New Roman" w:hAnsi="Times New Roman"/>
                <w:sz w:val="24"/>
                <w:szCs w:val="24"/>
                <w:lang w:eastAsia="ar-SA" w:bidi="ar-JO"/>
              </w:rPr>
            </w:pPr>
          </w:p>
        </w:tc>
        <w:tc>
          <w:tcPr>
            <w:tcW w:w="4444" w:type="dxa"/>
            <w:gridSpan w:val="5"/>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Short Term Rating Assessment</w:t>
            </w:r>
          </w:p>
        </w:tc>
        <w:tc>
          <w:tcPr>
            <w:tcW w:w="236" w:type="dxa"/>
            <w:vMerge w:val="restart"/>
            <w:shd w:val="clear" w:color="auto" w:fill="F2F2F2"/>
          </w:tcPr>
          <w:p w:rsidR="004A31B4" w:rsidRPr="004A31B4" w:rsidRDefault="004A31B4" w:rsidP="004A31B4">
            <w:pPr>
              <w:bidi w:val="0"/>
              <w:spacing w:after="0"/>
              <w:jc w:val="center"/>
              <w:rPr>
                <w:rFonts w:ascii="Times New Roman" w:eastAsia="Times New Roman" w:hAnsi="Times New Roman"/>
                <w:sz w:val="24"/>
                <w:szCs w:val="24"/>
                <w:lang w:eastAsia="ar-SA" w:bidi="ar-JO"/>
              </w:rPr>
            </w:pPr>
          </w:p>
        </w:tc>
        <w:tc>
          <w:tcPr>
            <w:tcW w:w="6064" w:type="dxa"/>
            <w:gridSpan w:val="4"/>
            <w:shd w:val="clear" w:color="auto" w:fill="F2F2F2"/>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Obligor</w:t>
            </w:r>
          </w:p>
        </w:tc>
      </w:tr>
      <w:tr w:rsidR="004A31B4" w:rsidRPr="004A31B4" w:rsidTr="00DA36E0">
        <w:trPr>
          <w:cantSplit/>
          <w:trHeight w:val="524"/>
          <w:jc w:val="center"/>
        </w:trPr>
        <w:tc>
          <w:tcPr>
            <w:tcW w:w="1579" w:type="dxa"/>
            <w:vMerge w:val="restart"/>
            <w:shd w:val="clear" w:color="auto" w:fill="F2F2F2"/>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S&amp;P’s</w:t>
            </w:r>
          </w:p>
        </w:tc>
        <w:tc>
          <w:tcPr>
            <w:tcW w:w="1579" w:type="dxa"/>
            <w:vMerge w:val="restart"/>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rtl/>
                <w:lang w:val="en-GB" w:eastAsia="ar-SA" w:bidi="ar-JO"/>
              </w:rPr>
            </w:pPr>
            <w:r w:rsidRPr="004A31B4">
              <w:rPr>
                <w:rFonts w:ascii="Times New Roman" w:eastAsia="Times New Roman" w:hAnsi="Times New Roman"/>
                <w:sz w:val="24"/>
                <w:szCs w:val="24"/>
                <w:lang w:eastAsia="ar-SA" w:bidi="ar-JO"/>
              </w:rPr>
              <w:t>Moody’s</w:t>
            </w:r>
          </w:p>
        </w:tc>
        <w:tc>
          <w:tcPr>
            <w:tcW w:w="1579" w:type="dxa"/>
            <w:vMerge w:val="restart"/>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Fitch’s</w:t>
            </w:r>
          </w:p>
        </w:tc>
        <w:tc>
          <w:tcPr>
            <w:tcW w:w="236" w:type="dxa"/>
            <w:vMerge/>
            <w:shd w:val="clear" w:color="auto" w:fill="F2F2F2"/>
          </w:tcPr>
          <w:p w:rsidR="004A31B4" w:rsidRPr="004A31B4" w:rsidRDefault="004A31B4" w:rsidP="004A31B4">
            <w:pPr>
              <w:bidi w:val="0"/>
              <w:spacing w:after="0"/>
              <w:jc w:val="center"/>
              <w:rPr>
                <w:rFonts w:ascii="Times New Roman" w:eastAsia="Times New Roman" w:hAnsi="Times New Roman"/>
                <w:sz w:val="24"/>
                <w:szCs w:val="24"/>
                <w:lang w:eastAsia="ar-SA" w:bidi="ar-JO"/>
              </w:rPr>
            </w:pPr>
          </w:p>
        </w:tc>
        <w:tc>
          <w:tcPr>
            <w:tcW w:w="1481" w:type="dxa"/>
            <w:vMerge w:val="restart"/>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rtl/>
                <w:lang w:val="en-GB" w:eastAsia="ar-SA" w:bidi="ar-JO"/>
              </w:rPr>
            </w:pPr>
            <w:r w:rsidRPr="004A31B4">
              <w:rPr>
                <w:rFonts w:ascii="Times New Roman" w:eastAsia="Times New Roman" w:hAnsi="Times New Roman"/>
                <w:sz w:val="24"/>
                <w:szCs w:val="24"/>
                <w:lang w:eastAsia="ar-SA" w:bidi="ar-JO"/>
              </w:rPr>
              <w:t>S&amp;P’s</w:t>
            </w:r>
          </w:p>
        </w:tc>
        <w:tc>
          <w:tcPr>
            <w:tcW w:w="1481" w:type="dxa"/>
            <w:gridSpan w:val="2"/>
            <w:vMerge w:val="restart"/>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Moody’s</w:t>
            </w:r>
          </w:p>
        </w:tc>
        <w:tc>
          <w:tcPr>
            <w:tcW w:w="1482" w:type="dxa"/>
            <w:gridSpan w:val="2"/>
            <w:vMerge w:val="restart"/>
            <w:shd w:val="clear" w:color="auto" w:fill="F2F2F2"/>
            <w:tcMar>
              <w:left w:w="57" w:type="dxa"/>
              <w:right w:w="57" w:type="dxa"/>
            </w:tcMar>
            <w:vAlign w:val="center"/>
          </w:tcPr>
          <w:p w:rsidR="004A31B4" w:rsidRPr="004A31B4" w:rsidRDefault="004A31B4" w:rsidP="004A31B4">
            <w:pPr>
              <w:spacing w:after="0"/>
              <w:jc w:val="center"/>
              <w:rPr>
                <w:rFonts w:ascii="Times New Roman" w:eastAsia="Times New Roman" w:hAnsi="Times New Roman"/>
                <w:sz w:val="24"/>
                <w:szCs w:val="24"/>
                <w:rtl/>
                <w:lang w:val="en-GB" w:eastAsia="ar-SA" w:bidi="ar-JO"/>
              </w:rPr>
            </w:pPr>
            <w:r w:rsidRPr="004A31B4">
              <w:rPr>
                <w:rFonts w:ascii="Times New Roman" w:eastAsia="Times New Roman" w:hAnsi="Times New Roman"/>
                <w:sz w:val="24"/>
                <w:szCs w:val="24"/>
                <w:lang w:eastAsia="ar-SA" w:bidi="ar-JO"/>
              </w:rPr>
              <w:t>Fitch’s</w:t>
            </w:r>
          </w:p>
        </w:tc>
        <w:tc>
          <w:tcPr>
            <w:tcW w:w="236" w:type="dxa"/>
            <w:vMerge/>
            <w:shd w:val="clear" w:color="auto" w:fill="F2F2F2"/>
          </w:tcPr>
          <w:p w:rsidR="004A31B4" w:rsidRPr="004A31B4" w:rsidRDefault="004A31B4" w:rsidP="004A31B4">
            <w:pPr>
              <w:bidi w:val="0"/>
              <w:spacing w:after="0"/>
              <w:jc w:val="center"/>
              <w:rPr>
                <w:rFonts w:ascii="Times New Roman" w:eastAsia="Times New Roman" w:hAnsi="Times New Roman"/>
                <w:sz w:val="24"/>
                <w:szCs w:val="24"/>
                <w:lang w:eastAsia="ar-SA" w:bidi="ar-JO"/>
              </w:rPr>
            </w:pPr>
          </w:p>
        </w:tc>
        <w:tc>
          <w:tcPr>
            <w:tcW w:w="1592" w:type="dxa"/>
            <w:vMerge w:val="restart"/>
            <w:shd w:val="clear" w:color="auto" w:fill="F2F2F2"/>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sz w:val="24"/>
                <w:szCs w:val="24"/>
                <w:rtl/>
                <w:lang w:val="en-GB" w:eastAsia="ar-SA" w:bidi="ar-JO"/>
              </w:rPr>
            </w:pPr>
            <w:r w:rsidRPr="004A31B4">
              <w:rPr>
                <w:rFonts w:ascii="Times New Roman" w:eastAsia="Times New Roman" w:hAnsi="Times New Roman"/>
                <w:sz w:val="24"/>
                <w:szCs w:val="24"/>
                <w:lang w:eastAsia="ar-SA" w:bidi="ar-JO"/>
              </w:rPr>
              <w:t>Sovereign</w:t>
            </w:r>
          </w:p>
        </w:tc>
        <w:tc>
          <w:tcPr>
            <w:tcW w:w="1592" w:type="dxa"/>
            <w:vMerge w:val="restart"/>
            <w:shd w:val="clear" w:color="auto" w:fill="F2F2F2"/>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sz w:val="24"/>
                <w:szCs w:val="24"/>
                <w:rtl/>
                <w:lang w:val="en-GB" w:eastAsia="ar-SA" w:bidi="ar-JO"/>
              </w:rPr>
            </w:pPr>
            <w:r w:rsidRPr="004A31B4">
              <w:rPr>
                <w:rFonts w:ascii="Times New Roman" w:eastAsia="Times New Roman" w:hAnsi="Times New Roman"/>
                <w:sz w:val="24"/>
                <w:szCs w:val="24"/>
                <w:lang w:eastAsia="ar-SA" w:bidi="ar-JO"/>
              </w:rPr>
              <w:t>Corporate</w:t>
            </w:r>
          </w:p>
        </w:tc>
        <w:tc>
          <w:tcPr>
            <w:tcW w:w="2880" w:type="dxa"/>
            <w:gridSpan w:val="2"/>
            <w:shd w:val="clear" w:color="auto" w:fill="F2F2F2"/>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Banks</w:t>
            </w:r>
          </w:p>
        </w:tc>
      </w:tr>
      <w:tr w:rsidR="004A31B4" w:rsidRPr="004A31B4" w:rsidTr="00DA36E0">
        <w:trPr>
          <w:cantSplit/>
          <w:trHeight w:val="300"/>
          <w:jc w:val="center"/>
        </w:trPr>
        <w:tc>
          <w:tcPr>
            <w:tcW w:w="1579" w:type="dxa"/>
            <w:vMerge/>
            <w:tcMar>
              <w:left w:w="57" w:type="dxa"/>
              <w:right w:w="57" w:type="dxa"/>
            </w:tcMar>
            <w:vAlign w:val="center"/>
          </w:tcPr>
          <w:p w:rsidR="004A31B4" w:rsidRPr="004A31B4" w:rsidRDefault="004A31B4" w:rsidP="004A31B4">
            <w:pPr>
              <w:bidi w:val="0"/>
              <w:spacing w:after="0"/>
              <w:jc w:val="right"/>
              <w:rPr>
                <w:rFonts w:ascii="Times New Roman" w:eastAsia="Times New Roman" w:hAnsi="Times New Roman"/>
                <w:sz w:val="24"/>
                <w:szCs w:val="24"/>
                <w:lang w:eastAsia="ar-SA" w:bidi="ar-JO"/>
              </w:rPr>
            </w:pPr>
          </w:p>
        </w:tc>
        <w:tc>
          <w:tcPr>
            <w:tcW w:w="1579" w:type="dxa"/>
            <w:vMerge/>
            <w:tcMar>
              <w:left w:w="57" w:type="dxa"/>
              <w:right w:w="57" w:type="dxa"/>
            </w:tcMar>
            <w:vAlign w:val="center"/>
          </w:tcPr>
          <w:p w:rsidR="004A31B4" w:rsidRPr="004A31B4" w:rsidRDefault="004A31B4" w:rsidP="004A31B4">
            <w:pPr>
              <w:spacing w:after="0"/>
              <w:jc w:val="right"/>
              <w:rPr>
                <w:rFonts w:ascii="Times New Roman" w:eastAsia="Times New Roman" w:hAnsi="Times New Roman"/>
                <w:sz w:val="24"/>
                <w:szCs w:val="24"/>
                <w:lang w:eastAsia="ar-SA" w:bidi="ar-JO"/>
              </w:rPr>
            </w:pPr>
          </w:p>
        </w:tc>
        <w:tc>
          <w:tcPr>
            <w:tcW w:w="1579" w:type="dxa"/>
            <w:vMerge/>
            <w:tcMar>
              <w:left w:w="57" w:type="dxa"/>
              <w:right w:w="57" w:type="dxa"/>
            </w:tcMar>
            <w:vAlign w:val="center"/>
          </w:tcPr>
          <w:p w:rsidR="004A31B4" w:rsidRPr="004A31B4" w:rsidRDefault="004A31B4" w:rsidP="004A31B4">
            <w:pPr>
              <w:spacing w:after="0"/>
              <w:jc w:val="right"/>
              <w:rPr>
                <w:rFonts w:ascii="Times New Roman" w:eastAsia="Times New Roman" w:hAnsi="Times New Roman"/>
                <w:sz w:val="24"/>
                <w:szCs w:val="24"/>
                <w:lang w:eastAsia="ar-SA" w:bidi="ar-JO"/>
              </w:rPr>
            </w:pPr>
          </w:p>
        </w:tc>
        <w:tc>
          <w:tcPr>
            <w:tcW w:w="236" w:type="dxa"/>
            <w:vMerge/>
          </w:tcPr>
          <w:p w:rsidR="004A31B4" w:rsidRPr="004A31B4" w:rsidRDefault="004A31B4" w:rsidP="004A31B4">
            <w:pPr>
              <w:bidi w:val="0"/>
              <w:spacing w:after="0"/>
              <w:jc w:val="right"/>
              <w:rPr>
                <w:rFonts w:ascii="Times New Roman" w:eastAsia="Times New Roman" w:hAnsi="Times New Roman"/>
                <w:sz w:val="24"/>
                <w:szCs w:val="24"/>
                <w:lang w:eastAsia="ar-SA" w:bidi="ar-JO"/>
              </w:rPr>
            </w:pPr>
          </w:p>
        </w:tc>
        <w:tc>
          <w:tcPr>
            <w:tcW w:w="1481" w:type="dxa"/>
            <w:vMerge/>
            <w:tcMar>
              <w:left w:w="57" w:type="dxa"/>
              <w:right w:w="57" w:type="dxa"/>
            </w:tcMar>
            <w:vAlign w:val="center"/>
          </w:tcPr>
          <w:p w:rsidR="004A31B4" w:rsidRPr="004A31B4" w:rsidRDefault="004A31B4" w:rsidP="004A31B4">
            <w:pPr>
              <w:spacing w:after="0"/>
              <w:jc w:val="right"/>
              <w:rPr>
                <w:rFonts w:ascii="Times New Roman" w:eastAsia="Times New Roman" w:hAnsi="Times New Roman"/>
                <w:sz w:val="24"/>
                <w:szCs w:val="24"/>
                <w:lang w:eastAsia="ar-SA" w:bidi="ar-JO"/>
              </w:rPr>
            </w:pPr>
          </w:p>
        </w:tc>
        <w:tc>
          <w:tcPr>
            <w:tcW w:w="1481" w:type="dxa"/>
            <w:gridSpan w:val="2"/>
            <w:vMerge/>
            <w:tcMar>
              <w:left w:w="57" w:type="dxa"/>
              <w:right w:w="57" w:type="dxa"/>
            </w:tcMar>
            <w:vAlign w:val="center"/>
          </w:tcPr>
          <w:p w:rsidR="004A31B4" w:rsidRPr="004A31B4" w:rsidRDefault="004A31B4" w:rsidP="004A31B4">
            <w:pPr>
              <w:spacing w:after="0"/>
              <w:jc w:val="right"/>
              <w:rPr>
                <w:rFonts w:ascii="Times New Roman" w:eastAsia="Times New Roman" w:hAnsi="Times New Roman"/>
                <w:sz w:val="24"/>
                <w:szCs w:val="24"/>
                <w:lang w:eastAsia="ar-SA" w:bidi="ar-JO"/>
              </w:rPr>
            </w:pPr>
          </w:p>
        </w:tc>
        <w:tc>
          <w:tcPr>
            <w:tcW w:w="1482" w:type="dxa"/>
            <w:gridSpan w:val="2"/>
            <w:vMerge/>
            <w:tcMar>
              <w:left w:w="57" w:type="dxa"/>
              <w:right w:w="57" w:type="dxa"/>
            </w:tcMar>
            <w:vAlign w:val="center"/>
          </w:tcPr>
          <w:p w:rsidR="004A31B4" w:rsidRPr="004A31B4" w:rsidRDefault="004A31B4" w:rsidP="004A31B4">
            <w:pPr>
              <w:spacing w:after="0"/>
              <w:jc w:val="right"/>
              <w:rPr>
                <w:rFonts w:ascii="Times New Roman" w:eastAsia="Times New Roman" w:hAnsi="Times New Roman"/>
                <w:sz w:val="24"/>
                <w:szCs w:val="24"/>
                <w:lang w:eastAsia="ar-SA" w:bidi="ar-JO"/>
              </w:rPr>
            </w:pPr>
          </w:p>
        </w:tc>
        <w:tc>
          <w:tcPr>
            <w:tcW w:w="236" w:type="dxa"/>
            <w:vMerge/>
          </w:tcPr>
          <w:p w:rsidR="004A31B4" w:rsidRPr="004A31B4" w:rsidRDefault="004A31B4" w:rsidP="004A31B4">
            <w:pPr>
              <w:bidi w:val="0"/>
              <w:spacing w:after="0"/>
              <w:jc w:val="right"/>
              <w:rPr>
                <w:rFonts w:ascii="Times New Roman" w:eastAsia="Times New Roman" w:hAnsi="Times New Roman"/>
                <w:sz w:val="24"/>
                <w:szCs w:val="24"/>
                <w:lang w:eastAsia="ar-SA" w:bidi="ar-JO"/>
              </w:rPr>
            </w:pPr>
          </w:p>
        </w:tc>
        <w:tc>
          <w:tcPr>
            <w:tcW w:w="1592" w:type="dxa"/>
            <w:vMerge/>
            <w:tcMar>
              <w:left w:w="57" w:type="dxa"/>
              <w:right w:w="57" w:type="dxa"/>
            </w:tcMar>
            <w:vAlign w:val="center"/>
          </w:tcPr>
          <w:p w:rsidR="004A31B4" w:rsidRPr="004A31B4" w:rsidRDefault="004A31B4" w:rsidP="004A31B4">
            <w:pPr>
              <w:bidi w:val="0"/>
              <w:spacing w:after="0"/>
              <w:jc w:val="right"/>
              <w:rPr>
                <w:rFonts w:ascii="Times New Roman" w:eastAsia="Times New Roman" w:hAnsi="Times New Roman"/>
                <w:sz w:val="24"/>
                <w:szCs w:val="24"/>
                <w:lang w:eastAsia="ar-SA" w:bidi="ar-JO"/>
              </w:rPr>
            </w:pPr>
          </w:p>
        </w:tc>
        <w:tc>
          <w:tcPr>
            <w:tcW w:w="1592" w:type="dxa"/>
            <w:vMerge/>
            <w:tcMar>
              <w:left w:w="57" w:type="dxa"/>
              <w:right w:w="57" w:type="dxa"/>
            </w:tcMar>
            <w:vAlign w:val="center"/>
          </w:tcPr>
          <w:p w:rsidR="004A31B4" w:rsidRPr="004A31B4" w:rsidRDefault="004A31B4" w:rsidP="004A31B4">
            <w:pPr>
              <w:bidi w:val="0"/>
              <w:spacing w:after="0"/>
              <w:jc w:val="right"/>
              <w:rPr>
                <w:rFonts w:ascii="Times New Roman" w:eastAsia="Times New Roman" w:hAnsi="Times New Roman"/>
                <w:sz w:val="24"/>
                <w:szCs w:val="24"/>
                <w:lang w:eastAsia="ar-SA" w:bidi="ar-JO"/>
              </w:rPr>
            </w:pPr>
          </w:p>
        </w:tc>
        <w:tc>
          <w:tcPr>
            <w:tcW w:w="1440" w:type="dxa"/>
            <w:shd w:val="clear" w:color="auto" w:fill="C0C0C0"/>
            <w:tcMar>
              <w:left w:w="57" w:type="dxa"/>
              <w:right w:w="57" w:type="dxa"/>
            </w:tcMar>
            <w:vAlign w:val="center"/>
          </w:tcPr>
          <w:p w:rsidR="004A31B4" w:rsidRPr="004A31B4" w:rsidRDefault="004A31B4" w:rsidP="006A7565">
            <w:pPr>
              <w:bidi w:val="0"/>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M ≤ 3 months</w:t>
            </w:r>
          </w:p>
        </w:tc>
        <w:tc>
          <w:tcPr>
            <w:tcW w:w="1440" w:type="dxa"/>
            <w:shd w:val="clear" w:color="auto" w:fill="C0C0C0"/>
            <w:tcMar>
              <w:left w:w="57" w:type="dxa"/>
              <w:right w:w="57" w:type="dxa"/>
            </w:tcMar>
            <w:vAlign w:val="center"/>
          </w:tcPr>
          <w:p w:rsidR="004A31B4" w:rsidRPr="004A31B4" w:rsidRDefault="004A31B4" w:rsidP="006A7565">
            <w:pPr>
              <w:bidi w:val="0"/>
              <w:spacing w:after="0"/>
              <w:jc w:val="center"/>
              <w:rPr>
                <w:rFonts w:ascii="Times New Roman" w:eastAsia="Times New Roman" w:hAnsi="Times New Roman"/>
                <w:sz w:val="24"/>
                <w:szCs w:val="24"/>
                <w:lang w:eastAsia="ar-SA" w:bidi="ar-JO"/>
              </w:rPr>
            </w:pPr>
            <w:r w:rsidRPr="004A31B4">
              <w:rPr>
                <w:rFonts w:ascii="Times New Roman" w:eastAsia="Times New Roman" w:hAnsi="Times New Roman"/>
                <w:sz w:val="24"/>
                <w:szCs w:val="24"/>
                <w:lang w:eastAsia="ar-SA" w:bidi="ar-JO"/>
              </w:rPr>
              <w:t>M &gt; 3 months</w:t>
            </w:r>
          </w:p>
        </w:tc>
      </w:tr>
      <w:tr w:rsidR="004A31B4" w:rsidRPr="004A31B4" w:rsidTr="00DA36E0">
        <w:trPr>
          <w:cantSplit/>
          <w:jc w:val="center"/>
        </w:trPr>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AAA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AA-</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Aaa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Aa3</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AAA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AA-</w:t>
            </w:r>
          </w:p>
        </w:tc>
        <w:tc>
          <w:tcPr>
            <w:tcW w:w="236" w:type="dxa"/>
            <w:vMerge/>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p>
        </w:tc>
        <w:tc>
          <w:tcPr>
            <w:tcW w:w="1481"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A-1+</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A-1</w:t>
            </w:r>
          </w:p>
        </w:tc>
        <w:tc>
          <w:tcPr>
            <w:tcW w:w="1481"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P-1</w:t>
            </w:r>
          </w:p>
        </w:tc>
        <w:tc>
          <w:tcPr>
            <w:tcW w:w="1482"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F1+</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F1</w:t>
            </w:r>
          </w:p>
        </w:tc>
        <w:tc>
          <w:tcPr>
            <w:tcW w:w="236" w:type="dxa"/>
            <w:vMerge/>
          </w:tcPr>
          <w:p w:rsidR="004A31B4" w:rsidRPr="004A31B4" w:rsidRDefault="004A31B4" w:rsidP="004A31B4">
            <w:pPr>
              <w:bidi w:val="0"/>
              <w:spacing w:after="0"/>
              <w:jc w:val="right"/>
              <w:rPr>
                <w:rFonts w:ascii="Times New Roman" w:eastAsia="Times New Roman" w:hAnsi="Times New Roman"/>
                <w:b w:val="0"/>
                <w:bCs w:val="0"/>
                <w:sz w:val="24"/>
                <w:szCs w:val="24"/>
                <w:lang w:eastAsia="ar-SA" w:bidi="ar-JO"/>
              </w:rPr>
            </w:pP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0%</w:t>
            </w: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20%</w:t>
            </w:r>
          </w:p>
        </w:tc>
        <w:tc>
          <w:tcPr>
            <w:tcW w:w="1440"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20%</w:t>
            </w:r>
          </w:p>
        </w:tc>
        <w:tc>
          <w:tcPr>
            <w:tcW w:w="1440"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20%</w:t>
            </w:r>
          </w:p>
        </w:tc>
      </w:tr>
      <w:tr w:rsidR="004A31B4" w:rsidRPr="004A31B4" w:rsidTr="00DA36E0">
        <w:trPr>
          <w:cantSplit/>
          <w:jc w:val="center"/>
        </w:trPr>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A1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A3</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A+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w:t>
            </w:r>
          </w:p>
        </w:tc>
        <w:tc>
          <w:tcPr>
            <w:tcW w:w="236" w:type="dxa"/>
            <w:vMerge/>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p>
        </w:tc>
        <w:tc>
          <w:tcPr>
            <w:tcW w:w="1481"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A-2</w:t>
            </w:r>
          </w:p>
        </w:tc>
        <w:tc>
          <w:tcPr>
            <w:tcW w:w="1481"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P-2</w:t>
            </w:r>
          </w:p>
        </w:tc>
        <w:tc>
          <w:tcPr>
            <w:tcW w:w="1482"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F2</w:t>
            </w:r>
          </w:p>
        </w:tc>
        <w:tc>
          <w:tcPr>
            <w:tcW w:w="236" w:type="dxa"/>
            <w:vMerge/>
          </w:tcPr>
          <w:p w:rsidR="004A31B4" w:rsidRPr="004A31B4" w:rsidRDefault="004A31B4" w:rsidP="004A31B4">
            <w:pPr>
              <w:bidi w:val="0"/>
              <w:spacing w:after="0"/>
              <w:jc w:val="right"/>
              <w:rPr>
                <w:rFonts w:ascii="Times New Roman" w:eastAsia="Times New Roman" w:hAnsi="Times New Roman"/>
                <w:b w:val="0"/>
                <w:bCs w:val="0"/>
                <w:sz w:val="24"/>
                <w:szCs w:val="24"/>
                <w:lang w:eastAsia="ar-SA" w:bidi="ar-JO"/>
              </w:rPr>
            </w:pP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20%</w:t>
            </w: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50%</w:t>
            </w:r>
          </w:p>
        </w:tc>
        <w:tc>
          <w:tcPr>
            <w:tcW w:w="1440"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20%</w:t>
            </w:r>
          </w:p>
        </w:tc>
        <w:tc>
          <w:tcPr>
            <w:tcW w:w="1440"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50%</w:t>
            </w:r>
          </w:p>
        </w:tc>
      </w:tr>
      <w:tr w:rsidR="004A31B4" w:rsidRPr="004A31B4" w:rsidTr="00DA36E0">
        <w:trPr>
          <w:cantSplit/>
          <w:jc w:val="center"/>
        </w:trPr>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BBB+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BBB-</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Baa1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Baa3</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BBB+ to</w:t>
            </w:r>
          </w:p>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BBB-</w:t>
            </w:r>
          </w:p>
        </w:tc>
        <w:tc>
          <w:tcPr>
            <w:tcW w:w="236" w:type="dxa"/>
            <w:vMerge/>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p>
        </w:tc>
        <w:tc>
          <w:tcPr>
            <w:tcW w:w="1481"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A-3</w:t>
            </w:r>
          </w:p>
        </w:tc>
        <w:tc>
          <w:tcPr>
            <w:tcW w:w="1481"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P-3</w:t>
            </w:r>
          </w:p>
        </w:tc>
        <w:tc>
          <w:tcPr>
            <w:tcW w:w="1482"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F3</w:t>
            </w:r>
          </w:p>
        </w:tc>
        <w:tc>
          <w:tcPr>
            <w:tcW w:w="236" w:type="dxa"/>
            <w:vMerge/>
          </w:tcPr>
          <w:p w:rsidR="004A31B4" w:rsidRPr="004A31B4" w:rsidRDefault="004A31B4" w:rsidP="004A31B4">
            <w:pPr>
              <w:bidi w:val="0"/>
              <w:spacing w:after="0"/>
              <w:jc w:val="right"/>
              <w:rPr>
                <w:rFonts w:ascii="Times New Roman" w:eastAsia="Times New Roman" w:hAnsi="Times New Roman"/>
                <w:b w:val="0"/>
                <w:bCs w:val="0"/>
                <w:sz w:val="24"/>
                <w:szCs w:val="24"/>
                <w:lang w:eastAsia="ar-SA" w:bidi="ar-JO"/>
              </w:rPr>
            </w:pP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50%</w:t>
            </w: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100%</w:t>
            </w:r>
          </w:p>
        </w:tc>
        <w:tc>
          <w:tcPr>
            <w:tcW w:w="1440"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20%</w:t>
            </w:r>
          </w:p>
        </w:tc>
        <w:tc>
          <w:tcPr>
            <w:tcW w:w="1440"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rtl/>
                <w:lang w:val="en-GB" w:eastAsia="ar-SA" w:bidi="ar-JO"/>
              </w:rPr>
            </w:pPr>
            <w:r w:rsidRPr="004A31B4">
              <w:rPr>
                <w:rFonts w:ascii="Times New Roman" w:eastAsia="Times New Roman" w:hAnsi="Times New Roman"/>
                <w:b w:val="0"/>
                <w:bCs w:val="0"/>
                <w:sz w:val="24"/>
                <w:szCs w:val="24"/>
                <w:lang w:eastAsia="ar-SA" w:bidi="ar-JO"/>
              </w:rPr>
              <w:t>50%</w:t>
            </w:r>
          </w:p>
        </w:tc>
      </w:tr>
      <w:tr w:rsidR="004A31B4" w:rsidRPr="004A31B4" w:rsidTr="00DA36E0">
        <w:trPr>
          <w:cantSplit/>
          <w:jc w:val="center"/>
        </w:trPr>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BB+ to</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BB-</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Ba1 to</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Ba3</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BB+ to</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BB-</w:t>
            </w:r>
          </w:p>
        </w:tc>
        <w:tc>
          <w:tcPr>
            <w:tcW w:w="236" w:type="dxa"/>
            <w:vMerge/>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p>
        </w:tc>
        <w:tc>
          <w:tcPr>
            <w:tcW w:w="1481" w:type="dxa"/>
            <w:shd w:val="clear" w:color="auto" w:fill="000000"/>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p>
        </w:tc>
        <w:tc>
          <w:tcPr>
            <w:tcW w:w="1481" w:type="dxa"/>
            <w:gridSpan w:val="2"/>
            <w:shd w:val="clear" w:color="auto" w:fill="000000"/>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p>
        </w:tc>
        <w:tc>
          <w:tcPr>
            <w:tcW w:w="1482" w:type="dxa"/>
            <w:gridSpan w:val="2"/>
            <w:shd w:val="clear" w:color="auto" w:fill="000000"/>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p>
        </w:tc>
        <w:tc>
          <w:tcPr>
            <w:tcW w:w="236" w:type="dxa"/>
            <w:vMerge/>
          </w:tcPr>
          <w:p w:rsidR="004A31B4" w:rsidRPr="004A31B4" w:rsidRDefault="004A31B4" w:rsidP="004A31B4">
            <w:pPr>
              <w:bidi w:val="0"/>
              <w:spacing w:after="0"/>
              <w:jc w:val="right"/>
              <w:rPr>
                <w:rFonts w:ascii="Times New Roman" w:eastAsia="Times New Roman" w:hAnsi="Times New Roman"/>
                <w:b w:val="0"/>
                <w:bCs w:val="0"/>
                <w:sz w:val="24"/>
                <w:szCs w:val="24"/>
                <w:lang w:eastAsia="ar-SA" w:bidi="ar-JO"/>
              </w:rPr>
            </w:pP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100%</w:t>
            </w: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100%</w:t>
            </w:r>
          </w:p>
        </w:tc>
        <w:tc>
          <w:tcPr>
            <w:tcW w:w="1440"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50%</w:t>
            </w:r>
          </w:p>
        </w:tc>
        <w:tc>
          <w:tcPr>
            <w:tcW w:w="1440"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100%</w:t>
            </w:r>
          </w:p>
        </w:tc>
      </w:tr>
      <w:tr w:rsidR="004A31B4" w:rsidRPr="004A31B4" w:rsidTr="00DA36E0">
        <w:trPr>
          <w:cantSplit/>
          <w:jc w:val="center"/>
        </w:trPr>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 to</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B1 to</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B3</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 to</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w:t>
            </w:r>
          </w:p>
        </w:tc>
        <w:tc>
          <w:tcPr>
            <w:tcW w:w="236" w:type="dxa"/>
            <w:vMerge/>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p>
        </w:tc>
        <w:tc>
          <w:tcPr>
            <w:tcW w:w="4444" w:type="dxa"/>
            <w:gridSpan w:val="5"/>
            <w:shd w:val="clear" w:color="auto" w:fill="000000"/>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p>
        </w:tc>
        <w:tc>
          <w:tcPr>
            <w:tcW w:w="236" w:type="dxa"/>
            <w:vMerge/>
          </w:tcPr>
          <w:p w:rsidR="004A31B4" w:rsidRPr="004A31B4" w:rsidRDefault="004A31B4" w:rsidP="004A31B4">
            <w:pPr>
              <w:bidi w:val="0"/>
              <w:spacing w:after="0"/>
              <w:jc w:val="right"/>
              <w:rPr>
                <w:rFonts w:ascii="Times New Roman" w:eastAsia="Times New Roman" w:hAnsi="Times New Roman"/>
                <w:b w:val="0"/>
                <w:bCs w:val="0"/>
                <w:sz w:val="24"/>
                <w:szCs w:val="24"/>
                <w:lang w:eastAsia="ar-SA" w:bidi="ar-JO"/>
              </w:rPr>
            </w:pP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100%</w:t>
            </w: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150%</w:t>
            </w:r>
          </w:p>
        </w:tc>
        <w:tc>
          <w:tcPr>
            <w:tcW w:w="1440"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50%</w:t>
            </w:r>
          </w:p>
        </w:tc>
        <w:tc>
          <w:tcPr>
            <w:tcW w:w="1440"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100%</w:t>
            </w:r>
          </w:p>
        </w:tc>
      </w:tr>
      <w:tr w:rsidR="004A31B4" w:rsidRPr="004A31B4" w:rsidTr="00DA36E0">
        <w:trPr>
          <w:cantSplit/>
          <w:jc w:val="center"/>
        </w:trPr>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CCC+ and below</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Caa1 and Below</w:t>
            </w:r>
          </w:p>
        </w:tc>
        <w:tc>
          <w:tcPr>
            <w:tcW w:w="1579" w:type="dxa"/>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CCC+ and below</w:t>
            </w:r>
          </w:p>
        </w:tc>
        <w:tc>
          <w:tcPr>
            <w:tcW w:w="236" w:type="dxa"/>
            <w:vMerge/>
          </w:tcPr>
          <w:p w:rsidR="004A31B4" w:rsidRPr="004A31B4" w:rsidRDefault="004A31B4" w:rsidP="004A31B4">
            <w:pPr>
              <w:bidi w:val="0"/>
              <w:spacing w:after="0"/>
              <w:jc w:val="center"/>
              <w:rPr>
                <w:rFonts w:ascii="Times New Roman" w:eastAsia="Times New Roman" w:hAnsi="Times New Roman"/>
                <w:b w:val="0"/>
                <w:bCs w:val="0"/>
                <w:sz w:val="28"/>
                <w:szCs w:val="28"/>
                <w:lang w:eastAsia="ar-SA" w:bidi="ar-JO"/>
              </w:rPr>
            </w:pPr>
          </w:p>
        </w:tc>
        <w:tc>
          <w:tcPr>
            <w:tcW w:w="1560" w:type="dxa"/>
            <w:gridSpan w:val="2"/>
            <w:tcMar>
              <w:left w:w="57" w:type="dxa"/>
              <w:right w:w="57" w:type="dxa"/>
            </w:tcMar>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B-1, B-2,</w:t>
            </w:r>
          </w:p>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B-3, C</w:t>
            </w:r>
          </w:p>
        </w:tc>
        <w:tc>
          <w:tcPr>
            <w:tcW w:w="1440" w:type="dxa"/>
            <w:gridSpan w:val="2"/>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NP</w:t>
            </w:r>
          </w:p>
        </w:tc>
        <w:tc>
          <w:tcPr>
            <w:tcW w:w="1444" w:type="dxa"/>
            <w:vAlign w:val="center"/>
          </w:tcPr>
          <w:p w:rsidR="004A31B4" w:rsidRPr="004A31B4" w:rsidRDefault="004A31B4" w:rsidP="004A31B4">
            <w:pPr>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Below F3</w:t>
            </w:r>
          </w:p>
        </w:tc>
        <w:tc>
          <w:tcPr>
            <w:tcW w:w="236" w:type="dxa"/>
            <w:vMerge/>
          </w:tcPr>
          <w:p w:rsidR="004A31B4" w:rsidRPr="004A31B4" w:rsidRDefault="004A31B4" w:rsidP="004A31B4">
            <w:pPr>
              <w:bidi w:val="0"/>
              <w:spacing w:after="0"/>
              <w:jc w:val="right"/>
              <w:rPr>
                <w:rFonts w:ascii="Times New Roman" w:eastAsia="Times New Roman" w:hAnsi="Times New Roman"/>
                <w:b w:val="0"/>
                <w:bCs w:val="0"/>
                <w:sz w:val="28"/>
                <w:szCs w:val="28"/>
                <w:lang w:eastAsia="ar-SA" w:bidi="ar-JO"/>
              </w:rPr>
            </w:pP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150%</w:t>
            </w:r>
          </w:p>
        </w:tc>
        <w:tc>
          <w:tcPr>
            <w:tcW w:w="1592"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150%</w:t>
            </w:r>
          </w:p>
        </w:tc>
        <w:tc>
          <w:tcPr>
            <w:tcW w:w="1440"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150%</w:t>
            </w:r>
          </w:p>
        </w:tc>
        <w:tc>
          <w:tcPr>
            <w:tcW w:w="1440" w:type="dxa"/>
            <w:tcMar>
              <w:left w:w="57" w:type="dxa"/>
              <w:right w:w="57" w:type="dxa"/>
            </w:tcMar>
            <w:vAlign w:val="center"/>
          </w:tcPr>
          <w:p w:rsidR="004A31B4" w:rsidRPr="004A31B4" w:rsidRDefault="004A31B4" w:rsidP="004A31B4">
            <w:pPr>
              <w:bidi w:val="0"/>
              <w:spacing w:after="0"/>
              <w:jc w:val="center"/>
              <w:rPr>
                <w:rFonts w:ascii="Times New Roman" w:eastAsia="Times New Roman" w:hAnsi="Times New Roman"/>
                <w:b w:val="0"/>
                <w:bCs w:val="0"/>
                <w:sz w:val="24"/>
                <w:szCs w:val="24"/>
                <w:lang w:eastAsia="ar-SA" w:bidi="ar-JO"/>
              </w:rPr>
            </w:pPr>
            <w:r w:rsidRPr="004A31B4">
              <w:rPr>
                <w:rFonts w:ascii="Times New Roman" w:eastAsia="Times New Roman" w:hAnsi="Times New Roman"/>
                <w:b w:val="0"/>
                <w:bCs w:val="0"/>
                <w:sz w:val="24"/>
                <w:szCs w:val="24"/>
                <w:lang w:eastAsia="ar-SA" w:bidi="ar-JO"/>
              </w:rPr>
              <w:t>150%</w:t>
            </w:r>
          </w:p>
        </w:tc>
      </w:tr>
    </w:tbl>
    <w:p w:rsidR="004A31B4" w:rsidRDefault="004A31B4" w:rsidP="005A2DDD">
      <w:pPr>
        <w:rPr>
          <w:rtl/>
        </w:rPr>
        <w:sectPr w:rsidR="004A31B4" w:rsidSect="005A2DDD">
          <w:pgSz w:w="16838" w:h="11906" w:orient="landscape"/>
          <w:pgMar w:top="1701" w:right="1440" w:bottom="1797" w:left="1440" w:header="709" w:footer="709" w:gutter="0"/>
          <w:cols w:space="708"/>
          <w:titlePg/>
          <w:bidi/>
          <w:rtlGutter/>
          <w:docGrid w:linePitch="360"/>
        </w:sectPr>
      </w:pPr>
    </w:p>
    <w:p w:rsidR="004A31B4" w:rsidRPr="00D37027" w:rsidRDefault="006A7565" w:rsidP="00D37027">
      <w:pPr>
        <w:pStyle w:val="Caption"/>
        <w:jc w:val="center"/>
        <w:rPr>
          <w:b/>
          <w:bCs/>
          <w:color w:val="auto"/>
          <w:sz w:val="28"/>
          <w:szCs w:val="28"/>
          <w:rtl/>
        </w:rPr>
      </w:pPr>
      <w:bookmarkStart w:id="2239" w:name="_Toc465255834"/>
      <w:r w:rsidRPr="00D37027">
        <w:rPr>
          <w:b/>
          <w:bCs/>
          <w:color w:val="auto"/>
          <w:sz w:val="28"/>
          <w:szCs w:val="28"/>
          <w:rtl/>
        </w:rPr>
        <w:lastRenderedPageBreak/>
        <w:t xml:space="preserve">ملحق ( </w:t>
      </w:r>
      <w:r w:rsidR="004A0A06" w:rsidRPr="00D37027">
        <w:rPr>
          <w:b/>
          <w:bCs/>
          <w:color w:val="auto"/>
          <w:sz w:val="28"/>
          <w:szCs w:val="28"/>
          <w:rtl/>
        </w:rPr>
        <w:fldChar w:fldCharType="begin"/>
      </w:r>
      <w:r w:rsidR="004A0A06" w:rsidRPr="00D37027">
        <w:rPr>
          <w:b/>
          <w:bCs/>
          <w:color w:val="auto"/>
          <w:sz w:val="28"/>
          <w:szCs w:val="28"/>
          <w:rtl/>
        </w:rPr>
        <w:instrText xml:space="preserve"> </w:instrText>
      </w:r>
      <w:r w:rsidR="004A0A06" w:rsidRPr="00D37027">
        <w:rPr>
          <w:b/>
          <w:bCs/>
          <w:color w:val="auto"/>
          <w:sz w:val="28"/>
          <w:szCs w:val="28"/>
        </w:rPr>
        <w:instrText>SEQ</w:instrText>
      </w:r>
      <w:r w:rsidR="004A0A06" w:rsidRPr="00D37027">
        <w:rPr>
          <w:b/>
          <w:bCs/>
          <w:color w:val="auto"/>
          <w:sz w:val="28"/>
          <w:szCs w:val="28"/>
          <w:rtl/>
        </w:rPr>
        <w:instrText xml:space="preserve"> ملحق_( \* </w:instrText>
      </w:r>
      <w:r w:rsidR="004A0A06" w:rsidRPr="00D37027">
        <w:rPr>
          <w:b/>
          <w:bCs/>
          <w:color w:val="auto"/>
          <w:sz w:val="28"/>
          <w:szCs w:val="28"/>
        </w:rPr>
        <w:instrText>ARABIC</w:instrText>
      </w:r>
      <w:r w:rsidR="004A0A06" w:rsidRPr="00D37027">
        <w:rPr>
          <w:b/>
          <w:bCs/>
          <w:color w:val="auto"/>
          <w:sz w:val="28"/>
          <w:szCs w:val="28"/>
          <w:rtl/>
        </w:rPr>
        <w:instrText xml:space="preserve"> </w:instrText>
      </w:r>
      <w:r w:rsidR="004A0A06" w:rsidRPr="00D37027">
        <w:rPr>
          <w:b/>
          <w:bCs/>
          <w:color w:val="auto"/>
          <w:sz w:val="28"/>
          <w:szCs w:val="28"/>
          <w:rtl/>
        </w:rPr>
        <w:fldChar w:fldCharType="separate"/>
      </w:r>
      <w:r w:rsidR="00BC120A">
        <w:rPr>
          <w:b/>
          <w:bCs/>
          <w:noProof/>
          <w:color w:val="auto"/>
          <w:sz w:val="28"/>
          <w:szCs w:val="28"/>
          <w:rtl/>
        </w:rPr>
        <w:t>8</w:t>
      </w:r>
      <w:r w:rsidR="004A0A06" w:rsidRPr="00D37027">
        <w:rPr>
          <w:b/>
          <w:bCs/>
          <w:color w:val="auto"/>
          <w:sz w:val="28"/>
          <w:szCs w:val="28"/>
          <w:rtl/>
        </w:rPr>
        <w:fldChar w:fldCharType="end"/>
      </w:r>
      <w:r w:rsidRPr="00D37027">
        <w:rPr>
          <w:rFonts w:hint="cs"/>
          <w:b/>
          <w:bCs/>
          <w:color w:val="auto"/>
          <w:sz w:val="28"/>
          <w:szCs w:val="28"/>
          <w:rtl/>
        </w:rPr>
        <w:t xml:space="preserve"> )*:</w:t>
      </w:r>
      <w:r w:rsidR="00D37027" w:rsidRPr="00D37027">
        <w:rPr>
          <w:rFonts w:hint="cs"/>
          <w:b/>
          <w:bCs/>
          <w:color w:val="auto"/>
          <w:sz w:val="28"/>
          <w:szCs w:val="28"/>
          <w:rtl/>
        </w:rPr>
        <w:t xml:space="preserve"> </w:t>
      </w:r>
      <w:r w:rsidR="005A2DDD" w:rsidRPr="00D37027">
        <w:rPr>
          <w:b/>
          <w:bCs/>
          <w:color w:val="auto"/>
          <w:sz w:val="28"/>
          <w:szCs w:val="28"/>
          <w:rtl/>
        </w:rPr>
        <w:t>الوزارات والمؤسسات المؤهلة للحصول على أوزان المخا</w:t>
      </w:r>
      <w:r w:rsidR="004A31B4" w:rsidRPr="00D37027">
        <w:rPr>
          <w:b/>
          <w:bCs/>
          <w:color w:val="auto"/>
          <w:sz w:val="28"/>
          <w:szCs w:val="28"/>
          <w:rtl/>
        </w:rPr>
        <w:t>طر الترجيحية للحكومة الأردنية (صفر</w:t>
      </w:r>
      <w:r w:rsidR="005A2DDD" w:rsidRPr="00D37027">
        <w:rPr>
          <w:b/>
          <w:bCs/>
          <w:color w:val="auto"/>
          <w:sz w:val="28"/>
          <w:szCs w:val="28"/>
          <w:rtl/>
        </w:rPr>
        <w:t>%)</w:t>
      </w:r>
      <w:bookmarkEnd w:id="2239"/>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7869"/>
      </w:tblGrid>
      <w:tr w:rsidR="005A2DDD" w:rsidRPr="004A31B4" w:rsidTr="004A31B4">
        <w:trPr>
          <w:cantSplit/>
          <w:trHeight w:hRule="exact" w:val="432"/>
        </w:trPr>
        <w:tc>
          <w:tcPr>
            <w:tcW w:w="436" w:type="pct"/>
            <w:shd w:val="clear" w:color="auto" w:fill="F2F2F2" w:themeFill="background1" w:themeFillShade="F2"/>
            <w:vAlign w:val="center"/>
          </w:tcPr>
          <w:p w:rsidR="005A2DDD" w:rsidRPr="004A31B4" w:rsidRDefault="005A2DDD" w:rsidP="004A31B4">
            <w:pPr>
              <w:jc w:val="center"/>
              <w:rPr>
                <w:sz w:val="24"/>
                <w:szCs w:val="24"/>
              </w:rPr>
            </w:pPr>
            <w:r w:rsidRPr="004A31B4">
              <w:rPr>
                <w:sz w:val="24"/>
                <w:szCs w:val="24"/>
                <w:rtl/>
              </w:rPr>
              <w:t>الرقم</w:t>
            </w:r>
          </w:p>
        </w:tc>
        <w:tc>
          <w:tcPr>
            <w:tcW w:w="4564" w:type="pct"/>
            <w:shd w:val="clear" w:color="auto" w:fill="F2F2F2" w:themeFill="background1" w:themeFillShade="F2"/>
            <w:vAlign w:val="center"/>
          </w:tcPr>
          <w:p w:rsidR="005A2DDD" w:rsidRPr="004A31B4" w:rsidRDefault="005A2DDD" w:rsidP="004A31B4">
            <w:pPr>
              <w:jc w:val="center"/>
              <w:rPr>
                <w:sz w:val="24"/>
                <w:szCs w:val="24"/>
              </w:rPr>
            </w:pPr>
            <w:r w:rsidRPr="004A31B4">
              <w:rPr>
                <w:sz w:val="24"/>
                <w:szCs w:val="24"/>
                <w:rtl/>
              </w:rPr>
              <w:t>الاســـم</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الديوان الملكي الهاشمي</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w:t>
            </w:r>
          </w:p>
        </w:tc>
        <w:tc>
          <w:tcPr>
            <w:tcW w:w="4564" w:type="pct"/>
            <w:vAlign w:val="center"/>
          </w:tcPr>
          <w:p w:rsidR="005A2DDD" w:rsidRPr="004A31B4" w:rsidRDefault="005A2DDD" w:rsidP="004A31B4">
            <w:pPr>
              <w:jc w:val="left"/>
              <w:rPr>
                <w:b w:val="0"/>
                <w:bCs w:val="0"/>
                <w:sz w:val="24"/>
                <w:szCs w:val="24"/>
                <w:rtl/>
              </w:rPr>
            </w:pPr>
            <w:r w:rsidRPr="004A31B4">
              <w:rPr>
                <w:b w:val="0"/>
                <w:bCs w:val="0"/>
                <w:sz w:val="24"/>
                <w:szCs w:val="24"/>
                <w:rtl/>
              </w:rPr>
              <w:t>مجلس الأمة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3</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مجلس الوزراء وديوان الرئاسة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4</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التنمية الإدارية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5</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الدفاع</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6</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القيادة العامة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7</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الخدمات الطبية الملكية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8</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سلاح الجو</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9</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المركز الجغرافي الملكي الأردني</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10</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الداخلية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11</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الأمن العام</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12</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الدفاع المدني</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13</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المخابرات العامة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14</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العدل</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15</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دائرة قاضي القضاة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16</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الخارجية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17</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دائرة الشؤون الفلسطينية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18</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المالية بكافة الدوائر التابعة لها</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19</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الصناعة والتجارة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20</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السياحة والآثار</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21</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الشؤون البلدية والقروية والبيئة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22</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الطاقة والثروة المعدنية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23</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سلطة المصادر الطبيعية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24</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الأشغال العامة والإسكان</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25</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دائرة العطاءات الحكومية</w:t>
            </w:r>
          </w:p>
        </w:tc>
      </w:tr>
      <w:tr w:rsidR="005A2DDD" w:rsidRPr="004A31B4" w:rsidTr="00B44B2E">
        <w:trPr>
          <w:cantSplit/>
          <w:trHeight w:hRule="exact" w:val="360"/>
        </w:trPr>
        <w:tc>
          <w:tcPr>
            <w:tcW w:w="436" w:type="pct"/>
            <w:vAlign w:val="center"/>
          </w:tcPr>
          <w:p w:rsidR="005A2DDD" w:rsidRPr="004A31B4" w:rsidRDefault="005A2DDD" w:rsidP="004A31B4">
            <w:pPr>
              <w:jc w:val="left"/>
              <w:rPr>
                <w:b w:val="0"/>
                <w:bCs w:val="0"/>
                <w:sz w:val="24"/>
                <w:szCs w:val="24"/>
              </w:rPr>
            </w:pPr>
            <w:r w:rsidRPr="004A31B4">
              <w:rPr>
                <w:b w:val="0"/>
                <w:bCs w:val="0"/>
                <w:sz w:val="24"/>
                <w:szCs w:val="24"/>
                <w:rtl/>
              </w:rPr>
              <w:t>26</w:t>
            </w:r>
          </w:p>
        </w:tc>
        <w:tc>
          <w:tcPr>
            <w:tcW w:w="4564" w:type="pct"/>
            <w:vAlign w:val="center"/>
          </w:tcPr>
          <w:p w:rsidR="005A2DDD" w:rsidRPr="004A31B4" w:rsidRDefault="005A2DDD" w:rsidP="004A31B4">
            <w:pPr>
              <w:jc w:val="left"/>
              <w:rPr>
                <w:b w:val="0"/>
                <w:bCs w:val="0"/>
                <w:sz w:val="24"/>
                <w:szCs w:val="24"/>
              </w:rPr>
            </w:pPr>
            <w:r w:rsidRPr="004A31B4">
              <w:rPr>
                <w:b w:val="0"/>
                <w:bCs w:val="0"/>
                <w:sz w:val="24"/>
                <w:szCs w:val="24"/>
                <w:rtl/>
              </w:rPr>
              <w:t>وزارة الزراعة</w:t>
            </w:r>
          </w:p>
        </w:tc>
      </w:tr>
    </w:tbl>
    <w:p w:rsidR="00B44B2E" w:rsidRPr="005F3E0D" w:rsidRDefault="00B44B2E" w:rsidP="00B44B2E">
      <w:pPr>
        <w:rPr>
          <w:sz w:val="24"/>
          <w:szCs w:val="24"/>
          <w:rtl/>
        </w:rPr>
      </w:pPr>
      <w:r w:rsidRPr="005F3E0D">
        <w:rPr>
          <w:sz w:val="24"/>
          <w:szCs w:val="24"/>
          <w:rtl/>
        </w:rPr>
        <w:t xml:space="preserve">*  يعتمد هذا الملحق حصراً لأغراض تطبيق معيار بازل </w:t>
      </w:r>
      <w:r w:rsidRPr="005F3E0D">
        <w:rPr>
          <w:sz w:val="24"/>
          <w:szCs w:val="24"/>
        </w:rPr>
        <w:t>III</w:t>
      </w:r>
      <w:r w:rsidRPr="005F3E0D">
        <w:rPr>
          <w:sz w:val="24"/>
          <w:szCs w:val="24"/>
          <w:rtl/>
        </w:rPr>
        <w:t>.</w:t>
      </w:r>
    </w:p>
    <w:p w:rsidR="00B44B2E" w:rsidRDefault="00B44B2E" w:rsidP="004A31B4">
      <w:pPr>
        <w:rPr>
          <w:rtl/>
        </w:rPr>
      </w:pPr>
    </w:p>
    <w:p w:rsidR="00B44B2E" w:rsidRDefault="00B44B2E" w:rsidP="004A31B4">
      <w:pPr>
        <w:rPr>
          <w:rtl/>
        </w:rPr>
      </w:pPr>
    </w:p>
    <w:p w:rsidR="00B44B2E" w:rsidRDefault="00B44B2E" w:rsidP="004A31B4">
      <w:pPr>
        <w:rPr>
          <w:rtl/>
        </w:rPr>
      </w:pPr>
    </w:p>
    <w:p w:rsidR="00B44B2E" w:rsidRDefault="00B44B2E" w:rsidP="004A31B4">
      <w:pPr>
        <w:rPr>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7859"/>
      </w:tblGrid>
      <w:tr w:rsidR="00B44B2E" w:rsidRPr="00B44B2E" w:rsidTr="00B44B2E">
        <w:trPr>
          <w:cantSplit/>
          <w:trHeight w:hRule="exact" w:val="432"/>
        </w:trPr>
        <w:tc>
          <w:tcPr>
            <w:tcW w:w="442" w:type="pct"/>
            <w:shd w:val="clear" w:color="auto" w:fill="F2F2F2" w:themeFill="background1" w:themeFillShade="F2"/>
          </w:tcPr>
          <w:p w:rsidR="00B44B2E" w:rsidRPr="00B44B2E" w:rsidRDefault="00B44B2E" w:rsidP="00B44B2E">
            <w:pPr>
              <w:jc w:val="center"/>
              <w:rPr>
                <w:sz w:val="24"/>
                <w:szCs w:val="24"/>
              </w:rPr>
            </w:pPr>
            <w:r w:rsidRPr="00B44B2E">
              <w:rPr>
                <w:sz w:val="24"/>
                <w:szCs w:val="24"/>
                <w:rtl/>
              </w:rPr>
              <w:lastRenderedPageBreak/>
              <w:t>الرقم</w:t>
            </w:r>
          </w:p>
        </w:tc>
        <w:tc>
          <w:tcPr>
            <w:tcW w:w="4558" w:type="pct"/>
            <w:shd w:val="clear" w:color="auto" w:fill="F2F2F2" w:themeFill="background1" w:themeFillShade="F2"/>
          </w:tcPr>
          <w:p w:rsidR="00B44B2E" w:rsidRPr="00B44B2E" w:rsidRDefault="00B44B2E" w:rsidP="00B44B2E">
            <w:pPr>
              <w:jc w:val="center"/>
              <w:rPr>
                <w:sz w:val="24"/>
                <w:szCs w:val="24"/>
              </w:rPr>
            </w:pPr>
            <w:r w:rsidRPr="00B44B2E">
              <w:rPr>
                <w:sz w:val="24"/>
                <w:szCs w:val="24"/>
                <w:rtl/>
              </w:rPr>
              <w:t>الاســـم</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27</w:t>
            </w:r>
          </w:p>
        </w:tc>
        <w:tc>
          <w:tcPr>
            <w:tcW w:w="4558" w:type="pct"/>
          </w:tcPr>
          <w:p w:rsidR="00B44B2E" w:rsidRPr="00B44B2E" w:rsidRDefault="00B44B2E" w:rsidP="00B44B2E">
            <w:pPr>
              <w:rPr>
                <w:b w:val="0"/>
                <w:bCs w:val="0"/>
                <w:sz w:val="24"/>
                <w:szCs w:val="24"/>
              </w:rPr>
            </w:pPr>
            <w:r w:rsidRPr="00B44B2E">
              <w:rPr>
                <w:b w:val="0"/>
                <w:bCs w:val="0"/>
                <w:sz w:val="24"/>
                <w:szCs w:val="24"/>
                <w:rtl/>
              </w:rPr>
              <w:t>مؤسسة التسويق الزراعي</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28</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المياه والري</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29</w:t>
            </w:r>
          </w:p>
        </w:tc>
        <w:tc>
          <w:tcPr>
            <w:tcW w:w="4558" w:type="pct"/>
          </w:tcPr>
          <w:p w:rsidR="00B44B2E" w:rsidRPr="00B44B2E" w:rsidRDefault="00B44B2E" w:rsidP="00B44B2E">
            <w:pPr>
              <w:rPr>
                <w:b w:val="0"/>
                <w:bCs w:val="0"/>
                <w:sz w:val="24"/>
                <w:szCs w:val="24"/>
              </w:rPr>
            </w:pPr>
            <w:r w:rsidRPr="00B44B2E">
              <w:rPr>
                <w:b w:val="0"/>
                <w:bCs w:val="0"/>
                <w:sz w:val="24"/>
                <w:szCs w:val="24"/>
                <w:rtl/>
              </w:rPr>
              <w:t>سلطة وادي الأردن</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30</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التربية والتعليم</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31</w:t>
            </w:r>
          </w:p>
        </w:tc>
        <w:tc>
          <w:tcPr>
            <w:tcW w:w="4558" w:type="pct"/>
          </w:tcPr>
          <w:p w:rsidR="00B44B2E" w:rsidRPr="00B44B2E" w:rsidRDefault="00B44B2E" w:rsidP="00B44B2E">
            <w:pPr>
              <w:rPr>
                <w:b w:val="0"/>
                <w:bCs w:val="0"/>
                <w:sz w:val="24"/>
                <w:szCs w:val="24"/>
              </w:rPr>
            </w:pPr>
            <w:r w:rsidRPr="00B44B2E">
              <w:rPr>
                <w:b w:val="0"/>
                <w:bCs w:val="0"/>
                <w:sz w:val="24"/>
                <w:szCs w:val="24"/>
                <w:rtl/>
              </w:rPr>
              <w:t>مجلس التعليم العالي</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32</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الصحة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33</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التنمية الاجتماعية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34</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العمل</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35</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الأوقاف والشؤون والمقدسات الإسلامية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36</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الثقافة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Pr>
            </w:pPr>
            <w:r w:rsidRPr="00B44B2E">
              <w:rPr>
                <w:b w:val="0"/>
                <w:bCs w:val="0"/>
                <w:sz w:val="24"/>
                <w:szCs w:val="24"/>
                <w:rtl/>
              </w:rPr>
              <w:t>37</w:t>
            </w:r>
          </w:p>
        </w:tc>
        <w:tc>
          <w:tcPr>
            <w:tcW w:w="4558" w:type="pct"/>
          </w:tcPr>
          <w:p w:rsidR="00B44B2E" w:rsidRPr="00B44B2E" w:rsidRDefault="00B44B2E" w:rsidP="00B44B2E">
            <w:pPr>
              <w:rPr>
                <w:b w:val="0"/>
                <w:bCs w:val="0"/>
                <w:sz w:val="24"/>
                <w:szCs w:val="24"/>
              </w:rPr>
            </w:pPr>
            <w:r w:rsidRPr="00B44B2E">
              <w:rPr>
                <w:b w:val="0"/>
                <w:bCs w:val="0"/>
                <w:sz w:val="24"/>
                <w:szCs w:val="24"/>
                <w:rtl/>
              </w:rPr>
              <w:t>وزارة النقل/ سلطة الطيران المدني</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38</w:t>
            </w:r>
          </w:p>
        </w:tc>
        <w:tc>
          <w:tcPr>
            <w:tcW w:w="4558" w:type="pct"/>
          </w:tcPr>
          <w:p w:rsidR="00B44B2E" w:rsidRPr="00B44B2E" w:rsidRDefault="00B44B2E" w:rsidP="00B44B2E">
            <w:pPr>
              <w:rPr>
                <w:b w:val="0"/>
                <w:bCs w:val="0"/>
                <w:sz w:val="24"/>
                <w:szCs w:val="24"/>
                <w:rtl/>
              </w:rPr>
            </w:pPr>
            <w:r w:rsidRPr="00B44B2E">
              <w:rPr>
                <w:b w:val="0"/>
                <w:bCs w:val="0"/>
                <w:sz w:val="24"/>
                <w:szCs w:val="24"/>
                <w:rtl/>
              </w:rPr>
              <w:t>وزارة الاتصالات وتكنولوجيا المعلومات</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39</w:t>
            </w:r>
          </w:p>
        </w:tc>
        <w:tc>
          <w:tcPr>
            <w:tcW w:w="4558" w:type="pct"/>
          </w:tcPr>
          <w:p w:rsidR="00B44B2E" w:rsidRPr="00B44B2E" w:rsidRDefault="00B44B2E" w:rsidP="00B44B2E">
            <w:pPr>
              <w:rPr>
                <w:b w:val="0"/>
                <w:bCs w:val="0"/>
                <w:sz w:val="24"/>
                <w:szCs w:val="24"/>
                <w:rtl/>
              </w:rPr>
            </w:pPr>
            <w:r w:rsidRPr="00B44B2E">
              <w:rPr>
                <w:b w:val="0"/>
                <w:bCs w:val="0"/>
                <w:sz w:val="24"/>
                <w:szCs w:val="24"/>
                <w:rtl/>
              </w:rPr>
              <w:t>وزارة البيئة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40</w:t>
            </w:r>
          </w:p>
        </w:tc>
        <w:tc>
          <w:tcPr>
            <w:tcW w:w="4558" w:type="pct"/>
          </w:tcPr>
          <w:p w:rsidR="00B44B2E" w:rsidRPr="00B44B2E" w:rsidRDefault="00B44B2E" w:rsidP="00B44B2E">
            <w:pPr>
              <w:rPr>
                <w:b w:val="0"/>
                <w:bCs w:val="0"/>
                <w:sz w:val="24"/>
                <w:szCs w:val="24"/>
                <w:rtl/>
              </w:rPr>
            </w:pPr>
            <w:r w:rsidRPr="00B44B2E">
              <w:rPr>
                <w:b w:val="0"/>
                <w:bCs w:val="0"/>
                <w:sz w:val="24"/>
                <w:szCs w:val="24"/>
                <w:rtl/>
              </w:rPr>
              <w:t>مؤسسة الضمان الاجتماعي</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41</w:t>
            </w:r>
          </w:p>
        </w:tc>
        <w:tc>
          <w:tcPr>
            <w:tcW w:w="4558" w:type="pct"/>
          </w:tcPr>
          <w:p w:rsidR="00B44B2E" w:rsidRPr="00B44B2E" w:rsidRDefault="00B44B2E" w:rsidP="00B44B2E">
            <w:pPr>
              <w:rPr>
                <w:b w:val="0"/>
                <w:bCs w:val="0"/>
                <w:sz w:val="24"/>
                <w:szCs w:val="24"/>
                <w:rtl/>
              </w:rPr>
            </w:pPr>
            <w:r w:rsidRPr="00B44B2E">
              <w:rPr>
                <w:b w:val="0"/>
                <w:bCs w:val="0"/>
                <w:sz w:val="24"/>
                <w:szCs w:val="24"/>
                <w:rtl/>
              </w:rPr>
              <w:t>مؤسسة المناطق الحرة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42</w:t>
            </w:r>
          </w:p>
        </w:tc>
        <w:tc>
          <w:tcPr>
            <w:tcW w:w="4558" w:type="pct"/>
          </w:tcPr>
          <w:p w:rsidR="00B44B2E" w:rsidRPr="00B44B2E" w:rsidRDefault="00B44B2E" w:rsidP="00B44B2E">
            <w:pPr>
              <w:rPr>
                <w:b w:val="0"/>
                <w:bCs w:val="0"/>
                <w:sz w:val="24"/>
                <w:szCs w:val="24"/>
                <w:rtl/>
              </w:rPr>
            </w:pPr>
            <w:r w:rsidRPr="00B44B2E">
              <w:rPr>
                <w:b w:val="0"/>
                <w:bCs w:val="0"/>
                <w:sz w:val="24"/>
                <w:szCs w:val="24"/>
                <w:rtl/>
              </w:rPr>
              <w:t>سلطة المياه</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43</w:t>
            </w:r>
          </w:p>
        </w:tc>
        <w:tc>
          <w:tcPr>
            <w:tcW w:w="4558" w:type="pct"/>
          </w:tcPr>
          <w:p w:rsidR="00B44B2E" w:rsidRPr="00B44B2E" w:rsidRDefault="00B44B2E" w:rsidP="00B44B2E">
            <w:pPr>
              <w:rPr>
                <w:b w:val="0"/>
                <w:bCs w:val="0"/>
                <w:sz w:val="24"/>
                <w:szCs w:val="24"/>
                <w:rtl/>
              </w:rPr>
            </w:pPr>
            <w:r w:rsidRPr="00B44B2E">
              <w:rPr>
                <w:b w:val="0"/>
                <w:bCs w:val="0"/>
                <w:sz w:val="24"/>
                <w:szCs w:val="24"/>
                <w:rtl/>
              </w:rPr>
              <w:t>منطقة العقبة الاقتصادية الخاصة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44</w:t>
            </w:r>
          </w:p>
        </w:tc>
        <w:tc>
          <w:tcPr>
            <w:tcW w:w="4558" w:type="pct"/>
          </w:tcPr>
          <w:p w:rsidR="00B44B2E" w:rsidRPr="00B44B2E" w:rsidRDefault="00B44B2E" w:rsidP="00B44B2E">
            <w:pPr>
              <w:rPr>
                <w:b w:val="0"/>
                <w:bCs w:val="0"/>
                <w:sz w:val="24"/>
                <w:szCs w:val="24"/>
                <w:rtl/>
              </w:rPr>
            </w:pPr>
            <w:r w:rsidRPr="00B44B2E">
              <w:rPr>
                <w:b w:val="0"/>
                <w:bCs w:val="0"/>
                <w:sz w:val="24"/>
                <w:szCs w:val="24"/>
                <w:rtl/>
              </w:rPr>
              <w:t>مؤسسة الموانئ</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45</w:t>
            </w:r>
          </w:p>
        </w:tc>
        <w:tc>
          <w:tcPr>
            <w:tcW w:w="4558" w:type="pct"/>
          </w:tcPr>
          <w:p w:rsidR="00B44B2E" w:rsidRPr="00B44B2E" w:rsidRDefault="00B44B2E" w:rsidP="00B44B2E">
            <w:pPr>
              <w:rPr>
                <w:b w:val="0"/>
                <w:bCs w:val="0"/>
                <w:sz w:val="24"/>
                <w:szCs w:val="24"/>
                <w:rtl/>
              </w:rPr>
            </w:pPr>
            <w:r w:rsidRPr="00B44B2E">
              <w:rPr>
                <w:b w:val="0"/>
                <w:bCs w:val="0"/>
                <w:sz w:val="24"/>
                <w:szCs w:val="24"/>
                <w:rtl/>
              </w:rPr>
              <w:t>هيئة تنظيم قطاع الاتصالات</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46</w:t>
            </w:r>
          </w:p>
        </w:tc>
        <w:tc>
          <w:tcPr>
            <w:tcW w:w="4558" w:type="pct"/>
          </w:tcPr>
          <w:p w:rsidR="00B44B2E" w:rsidRPr="00B44B2E" w:rsidRDefault="00B44B2E" w:rsidP="00B44B2E">
            <w:pPr>
              <w:rPr>
                <w:b w:val="0"/>
                <w:bCs w:val="0"/>
                <w:sz w:val="24"/>
                <w:szCs w:val="24"/>
                <w:rtl/>
              </w:rPr>
            </w:pPr>
            <w:r w:rsidRPr="00B44B2E">
              <w:rPr>
                <w:b w:val="0"/>
                <w:bCs w:val="0"/>
                <w:sz w:val="24"/>
                <w:szCs w:val="24"/>
                <w:rtl/>
              </w:rPr>
              <w:t>هيئة الأوراق المالية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47</w:t>
            </w:r>
          </w:p>
        </w:tc>
        <w:tc>
          <w:tcPr>
            <w:tcW w:w="4558" w:type="pct"/>
          </w:tcPr>
          <w:p w:rsidR="00B44B2E" w:rsidRPr="00B44B2E" w:rsidRDefault="00B44B2E" w:rsidP="00B44B2E">
            <w:pPr>
              <w:rPr>
                <w:b w:val="0"/>
                <w:bCs w:val="0"/>
                <w:sz w:val="24"/>
                <w:szCs w:val="24"/>
                <w:rtl/>
              </w:rPr>
            </w:pPr>
            <w:r w:rsidRPr="00B44B2E">
              <w:rPr>
                <w:b w:val="0"/>
                <w:bCs w:val="0"/>
                <w:sz w:val="24"/>
                <w:szCs w:val="24"/>
                <w:rtl/>
              </w:rPr>
              <w:t>هيئة تنظيم قطاع النقل</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48</w:t>
            </w:r>
          </w:p>
        </w:tc>
        <w:tc>
          <w:tcPr>
            <w:tcW w:w="4558" w:type="pct"/>
          </w:tcPr>
          <w:p w:rsidR="00B44B2E" w:rsidRPr="00B44B2E" w:rsidRDefault="00B44B2E" w:rsidP="00B44B2E">
            <w:pPr>
              <w:rPr>
                <w:b w:val="0"/>
                <w:bCs w:val="0"/>
                <w:sz w:val="24"/>
                <w:szCs w:val="24"/>
                <w:rtl/>
              </w:rPr>
            </w:pPr>
            <w:r w:rsidRPr="00B44B2E">
              <w:rPr>
                <w:b w:val="0"/>
                <w:bCs w:val="0"/>
                <w:sz w:val="24"/>
                <w:szCs w:val="24"/>
                <w:rtl/>
              </w:rPr>
              <w:t>هيئة تنظيم قطاع التأمين</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49</w:t>
            </w:r>
          </w:p>
        </w:tc>
        <w:tc>
          <w:tcPr>
            <w:tcW w:w="4558" w:type="pct"/>
          </w:tcPr>
          <w:p w:rsidR="00B44B2E" w:rsidRPr="00B44B2E" w:rsidRDefault="00B44B2E" w:rsidP="00B44B2E">
            <w:pPr>
              <w:rPr>
                <w:b w:val="0"/>
                <w:bCs w:val="0"/>
                <w:sz w:val="24"/>
                <w:szCs w:val="24"/>
                <w:rtl/>
              </w:rPr>
            </w:pPr>
            <w:r w:rsidRPr="00B44B2E">
              <w:rPr>
                <w:b w:val="0"/>
                <w:bCs w:val="0"/>
                <w:sz w:val="24"/>
                <w:szCs w:val="24"/>
                <w:rtl/>
              </w:rPr>
              <w:t>هيئة تنظيم قطاع الكهرباء</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50</w:t>
            </w:r>
          </w:p>
        </w:tc>
        <w:tc>
          <w:tcPr>
            <w:tcW w:w="4558" w:type="pct"/>
          </w:tcPr>
          <w:p w:rsidR="00B44B2E" w:rsidRPr="00B44B2E" w:rsidRDefault="00B44B2E" w:rsidP="00B44B2E">
            <w:pPr>
              <w:rPr>
                <w:b w:val="0"/>
                <w:bCs w:val="0"/>
                <w:sz w:val="24"/>
                <w:szCs w:val="24"/>
                <w:rtl/>
              </w:rPr>
            </w:pPr>
            <w:r w:rsidRPr="00B44B2E">
              <w:rPr>
                <w:b w:val="0"/>
                <w:bCs w:val="0"/>
                <w:sz w:val="24"/>
                <w:szCs w:val="24"/>
                <w:rtl/>
              </w:rPr>
              <w:t>هيئة تنظيم قطاع الطاقة النووية</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51</w:t>
            </w:r>
          </w:p>
        </w:tc>
        <w:tc>
          <w:tcPr>
            <w:tcW w:w="4558" w:type="pct"/>
          </w:tcPr>
          <w:p w:rsidR="00B44B2E" w:rsidRPr="00B44B2E" w:rsidRDefault="00B44B2E" w:rsidP="00B44B2E">
            <w:pPr>
              <w:rPr>
                <w:b w:val="0"/>
                <w:bCs w:val="0"/>
                <w:sz w:val="24"/>
                <w:szCs w:val="24"/>
                <w:rtl/>
              </w:rPr>
            </w:pPr>
            <w:r w:rsidRPr="00B44B2E">
              <w:rPr>
                <w:b w:val="0"/>
                <w:bCs w:val="0"/>
                <w:sz w:val="24"/>
                <w:szCs w:val="24"/>
                <w:rtl/>
              </w:rPr>
              <w:t>مؤسسة ضمان الودائع</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52</w:t>
            </w:r>
          </w:p>
        </w:tc>
        <w:tc>
          <w:tcPr>
            <w:tcW w:w="4558" w:type="pct"/>
          </w:tcPr>
          <w:p w:rsidR="00B44B2E" w:rsidRPr="00B44B2E" w:rsidRDefault="00B44B2E" w:rsidP="00B44B2E">
            <w:pPr>
              <w:rPr>
                <w:b w:val="0"/>
                <w:bCs w:val="0"/>
                <w:sz w:val="24"/>
                <w:szCs w:val="24"/>
                <w:rtl/>
              </w:rPr>
            </w:pPr>
            <w:r w:rsidRPr="00B44B2E">
              <w:rPr>
                <w:b w:val="0"/>
                <w:bCs w:val="0"/>
                <w:sz w:val="24"/>
                <w:szCs w:val="24"/>
                <w:rtl/>
              </w:rPr>
              <w:t>أمانة عمان الكبرى</w:t>
            </w:r>
          </w:p>
        </w:tc>
      </w:tr>
      <w:tr w:rsidR="00B44B2E" w:rsidRPr="00B44B2E" w:rsidTr="00B44B2E">
        <w:trPr>
          <w:cantSplit/>
          <w:trHeight w:hRule="exact" w:val="360"/>
        </w:trPr>
        <w:tc>
          <w:tcPr>
            <w:tcW w:w="442" w:type="pct"/>
          </w:tcPr>
          <w:p w:rsidR="00B44B2E" w:rsidRPr="00B44B2E" w:rsidRDefault="00B44B2E" w:rsidP="00B44B2E">
            <w:pPr>
              <w:rPr>
                <w:b w:val="0"/>
                <w:bCs w:val="0"/>
                <w:sz w:val="24"/>
                <w:szCs w:val="24"/>
                <w:rtl/>
              </w:rPr>
            </w:pPr>
            <w:r w:rsidRPr="00B44B2E">
              <w:rPr>
                <w:b w:val="0"/>
                <w:bCs w:val="0"/>
                <w:sz w:val="24"/>
                <w:szCs w:val="24"/>
                <w:rtl/>
              </w:rPr>
              <w:t>53</w:t>
            </w:r>
          </w:p>
        </w:tc>
        <w:tc>
          <w:tcPr>
            <w:tcW w:w="4558" w:type="pct"/>
          </w:tcPr>
          <w:p w:rsidR="00B44B2E" w:rsidRPr="00B44B2E" w:rsidRDefault="00B44B2E" w:rsidP="00B44B2E">
            <w:pPr>
              <w:rPr>
                <w:b w:val="0"/>
                <w:bCs w:val="0"/>
                <w:sz w:val="24"/>
                <w:szCs w:val="24"/>
                <w:rtl/>
              </w:rPr>
            </w:pPr>
            <w:r w:rsidRPr="00B44B2E">
              <w:rPr>
                <w:b w:val="0"/>
                <w:bCs w:val="0"/>
                <w:sz w:val="24"/>
                <w:szCs w:val="24"/>
                <w:rtl/>
              </w:rPr>
              <w:t>أخرى (تخضع لموافقة مسبقة من البنك المركزي)</w:t>
            </w:r>
          </w:p>
        </w:tc>
      </w:tr>
    </w:tbl>
    <w:p w:rsidR="00B44B2E" w:rsidRPr="005F3E0D" w:rsidRDefault="00B44B2E" w:rsidP="00B44B2E">
      <w:pPr>
        <w:rPr>
          <w:sz w:val="24"/>
          <w:szCs w:val="24"/>
          <w:rtl/>
        </w:rPr>
      </w:pPr>
      <w:r w:rsidRPr="005F3E0D">
        <w:rPr>
          <w:sz w:val="24"/>
          <w:szCs w:val="24"/>
          <w:rtl/>
        </w:rPr>
        <w:t xml:space="preserve">*  يعتمد هذا الملحق حصراً لأغراض تطبيق معيار بازل </w:t>
      </w:r>
      <w:r w:rsidRPr="005F3E0D">
        <w:rPr>
          <w:sz w:val="24"/>
          <w:szCs w:val="24"/>
        </w:rPr>
        <w:t>III</w:t>
      </w:r>
      <w:r w:rsidRPr="005F3E0D">
        <w:rPr>
          <w:sz w:val="24"/>
          <w:szCs w:val="24"/>
          <w:rtl/>
        </w:rPr>
        <w:t>.</w:t>
      </w:r>
    </w:p>
    <w:p w:rsidR="00B44B2E" w:rsidRDefault="005A2DDD" w:rsidP="00B44B2E">
      <w:pPr>
        <w:rPr>
          <w:rtl/>
        </w:rPr>
      </w:pPr>
      <w:r w:rsidRPr="00AF0943">
        <w:rPr>
          <w:rtl/>
        </w:rPr>
        <w:br w:type="page"/>
      </w:r>
    </w:p>
    <w:p w:rsidR="005A2DDD" w:rsidRPr="00434971" w:rsidRDefault="00434971" w:rsidP="00434971">
      <w:pPr>
        <w:pStyle w:val="Caption"/>
        <w:rPr>
          <w:b/>
          <w:bCs/>
          <w:color w:val="auto"/>
          <w:sz w:val="28"/>
          <w:szCs w:val="28"/>
          <w:rtl/>
        </w:rPr>
      </w:pPr>
      <w:bookmarkStart w:id="2240" w:name="_Toc465255835"/>
      <w:r w:rsidRPr="00434971">
        <w:rPr>
          <w:b/>
          <w:bCs/>
          <w:color w:val="auto"/>
          <w:sz w:val="28"/>
          <w:szCs w:val="28"/>
          <w:rtl/>
        </w:rPr>
        <w:lastRenderedPageBreak/>
        <w:t xml:space="preserve">ملحق ( </w:t>
      </w:r>
      <w:r w:rsidRPr="00434971">
        <w:rPr>
          <w:b/>
          <w:bCs/>
          <w:color w:val="auto"/>
          <w:sz w:val="28"/>
          <w:szCs w:val="28"/>
          <w:rtl/>
        </w:rPr>
        <w:fldChar w:fldCharType="begin"/>
      </w:r>
      <w:r w:rsidRPr="00434971">
        <w:rPr>
          <w:b/>
          <w:bCs/>
          <w:color w:val="auto"/>
          <w:sz w:val="28"/>
          <w:szCs w:val="28"/>
          <w:rtl/>
        </w:rPr>
        <w:instrText xml:space="preserve"> </w:instrText>
      </w:r>
      <w:r w:rsidRPr="00434971">
        <w:rPr>
          <w:b/>
          <w:bCs/>
          <w:color w:val="auto"/>
          <w:sz w:val="28"/>
          <w:szCs w:val="28"/>
        </w:rPr>
        <w:instrText>SEQ</w:instrText>
      </w:r>
      <w:r w:rsidRPr="00434971">
        <w:rPr>
          <w:b/>
          <w:bCs/>
          <w:color w:val="auto"/>
          <w:sz w:val="28"/>
          <w:szCs w:val="28"/>
          <w:rtl/>
        </w:rPr>
        <w:instrText xml:space="preserve"> ملحق_( \* </w:instrText>
      </w:r>
      <w:r w:rsidRPr="00434971">
        <w:rPr>
          <w:b/>
          <w:bCs/>
          <w:color w:val="auto"/>
          <w:sz w:val="28"/>
          <w:szCs w:val="28"/>
        </w:rPr>
        <w:instrText>ARABIC</w:instrText>
      </w:r>
      <w:r w:rsidRPr="00434971">
        <w:rPr>
          <w:b/>
          <w:bCs/>
          <w:color w:val="auto"/>
          <w:sz w:val="28"/>
          <w:szCs w:val="28"/>
          <w:rtl/>
        </w:rPr>
        <w:instrText xml:space="preserve"> </w:instrText>
      </w:r>
      <w:r w:rsidRPr="00434971">
        <w:rPr>
          <w:b/>
          <w:bCs/>
          <w:color w:val="auto"/>
          <w:sz w:val="28"/>
          <w:szCs w:val="28"/>
          <w:rtl/>
        </w:rPr>
        <w:fldChar w:fldCharType="separate"/>
      </w:r>
      <w:r w:rsidR="00BC120A">
        <w:rPr>
          <w:b/>
          <w:bCs/>
          <w:noProof/>
          <w:color w:val="auto"/>
          <w:sz w:val="28"/>
          <w:szCs w:val="28"/>
          <w:rtl/>
        </w:rPr>
        <w:t>9</w:t>
      </w:r>
      <w:r w:rsidRPr="00434971">
        <w:rPr>
          <w:b/>
          <w:bCs/>
          <w:color w:val="auto"/>
          <w:sz w:val="28"/>
          <w:szCs w:val="28"/>
          <w:rtl/>
        </w:rPr>
        <w:fldChar w:fldCharType="end"/>
      </w:r>
      <w:r w:rsidRPr="00434971">
        <w:rPr>
          <w:rFonts w:hint="cs"/>
          <w:b/>
          <w:bCs/>
          <w:color w:val="auto"/>
          <w:sz w:val="28"/>
          <w:szCs w:val="28"/>
          <w:rtl/>
        </w:rPr>
        <w:t xml:space="preserve"> ): </w:t>
      </w:r>
      <w:r w:rsidR="005A2DDD" w:rsidRPr="00434971">
        <w:rPr>
          <w:b/>
          <w:bCs/>
          <w:color w:val="auto"/>
          <w:sz w:val="28"/>
          <w:szCs w:val="28"/>
          <w:rtl/>
        </w:rPr>
        <w:t>المنشآت والمؤسسات المؤهلة للحصول على أوزان المخاطر الترجيحية للبنوك</w:t>
      </w:r>
      <w:r w:rsidR="005A2DDD" w:rsidRPr="00434971">
        <w:rPr>
          <w:rFonts w:hint="cs"/>
          <w:b/>
          <w:bCs/>
          <w:color w:val="auto"/>
          <w:sz w:val="28"/>
          <w:szCs w:val="28"/>
          <w:rtl/>
        </w:rPr>
        <w:t xml:space="preserve"> </w:t>
      </w:r>
      <w:r w:rsidR="005A2DDD" w:rsidRPr="00434971">
        <w:rPr>
          <w:rStyle w:val="FootnoteReference"/>
          <w:b/>
          <w:bCs/>
          <w:color w:val="auto"/>
          <w:sz w:val="28"/>
          <w:szCs w:val="28"/>
          <w:rtl/>
        </w:rPr>
        <w:footnoteReference w:id="23"/>
      </w:r>
      <w:bookmarkEnd w:id="2240"/>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7869"/>
      </w:tblGrid>
      <w:tr w:rsidR="005A2DDD" w:rsidRPr="00F20D2C" w:rsidTr="00B44B2E">
        <w:tc>
          <w:tcPr>
            <w:tcW w:w="436" w:type="pct"/>
            <w:shd w:val="clear" w:color="auto" w:fill="F2F2F2" w:themeFill="background1" w:themeFillShade="F2"/>
          </w:tcPr>
          <w:p w:rsidR="005A2DDD" w:rsidRPr="00DA36E0" w:rsidRDefault="005A2DDD" w:rsidP="00B44B2E">
            <w:pPr>
              <w:jc w:val="center"/>
              <w:rPr>
                <w:sz w:val="24"/>
                <w:szCs w:val="24"/>
              </w:rPr>
            </w:pPr>
            <w:r w:rsidRPr="00DA36E0">
              <w:rPr>
                <w:sz w:val="24"/>
                <w:szCs w:val="24"/>
                <w:rtl/>
              </w:rPr>
              <w:t>الرقم</w:t>
            </w:r>
          </w:p>
        </w:tc>
        <w:tc>
          <w:tcPr>
            <w:tcW w:w="4564" w:type="pct"/>
            <w:shd w:val="clear" w:color="auto" w:fill="F2F2F2" w:themeFill="background1" w:themeFillShade="F2"/>
          </w:tcPr>
          <w:p w:rsidR="005A2DDD" w:rsidRPr="00DA36E0" w:rsidRDefault="005A2DDD" w:rsidP="00B44B2E">
            <w:pPr>
              <w:jc w:val="center"/>
              <w:rPr>
                <w:sz w:val="24"/>
                <w:szCs w:val="24"/>
              </w:rPr>
            </w:pPr>
            <w:r w:rsidRPr="00DA36E0">
              <w:rPr>
                <w:sz w:val="24"/>
                <w:szCs w:val="24"/>
                <w:rtl/>
              </w:rPr>
              <w:t>الاســـم</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w:t>
            </w:r>
          </w:p>
        </w:tc>
        <w:tc>
          <w:tcPr>
            <w:tcW w:w="4564" w:type="pct"/>
          </w:tcPr>
          <w:p w:rsidR="005A2DDD" w:rsidRPr="00B44B2E" w:rsidRDefault="005A2DDD" w:rsidP="00B44B2E">
            <w:pPr>
              <w:rPr>
                <w:b w:val="0"/>
                <w:bCs w:val="0"/>
                <w:sz w:val="24"/>
                <w:szCs w:val="24"/>
              </w:rPr>
            </w:pPr>
            <w:r w:rsidRPr="00B44B2E">
              <w:rPr>
                <w:b w:val="0"/>
                <w:bCs w:val="0"/>
                <w:sz w:val="24"/>
                <w:szCs w:val="24"/>
                <w:rtl/>
              </w:rPr>
              <w:t>البلديات والمجالس المحلية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2</w:t>
            </w:r>
          </w:p>
        </w:tc>
        <w:tc>
          <w:tcPr>
            <w:tcW w:w="4564" w:type="pct"/>
          </w:tcPr>
          <w:p w:rsidR="005A2DDD" w:rsidRPr="00B44B2E" w:rsidRDefault="005A2DDD" w:rsidP="00B44B2E">
            <w:pPr>
              <w:rPr>
                <w:b w:val="0"/>
                <w:bCs w:val="0"/>
                <w:sz w:val="24"/>
                <w:szCs w:val="24"/>
              </w:rPr>
            </w:pPr>
            <w:r w:rsidRPr="00B44B2E">
              <w:rPr>
                <w:b w:val="0"/>
                <w:bCs w:val="0"/>
                <w:sz w:val="24"/>
                <w:szCs w:val="24"/>
                <w:rtl/>
              </w:rPr>
              <w:t>الملكية الأردنية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3</w:t>
            </w:r>
          </w:p>
        </w:tc>
        <w:tc>
          <w:tcPr>
            <w:tcW w:w="4564" w:type="pct"/>
          </w:tcPr>
          <w:p w:rsidR="005A2DDD" w:rsidRPr="00B44B2E" w:rsidRDefault="005A2DDD" w:rsidP="00B44B2E">
            <w:pPr>
              <w:rPr>
                <w:b w:val="0"/>
                <w:bCs w:val="0"/>
                <w:sz w:val="24"/>
                <w:szCs w:val="24"/>
              </w:rPr>
            </w:pPr>
            <w:r w:rsidRPr="00B44B2E">
              <w:rPr>
                <w:b w:val="0"/>
                <w:bCs w:val="0"/>
                <w:sz w:val="24"/>
                <w:szCs w:val="24"/>
                <w:rtl/>
              </w:rPr>
              <w:t>شركة الكهرباء الوطنية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4</w:t>
            </w:r>
          </w:p>
        </w:tc>
        <w:tc>
          <w:tcPr>
            <w:tcW w:w="4564" w:type="pct"/>
          </w:tcPr>
          <w:p w:rsidR="005A2DDD" w:rsidRPr="00B44B2E" w:rsidRDefault="005A2DDD" w:rsidP="00B44B2E">
            <w:pPr>
              <w:rPr>
                <w:b w:val="0"/>
                <w:bCs w:val="0"/>
                <w:sz w:val="24"/>
                <w:szCs w:val="24"/>
              </w:rPr>
            </w:pPr>
            <w:r w:rsidRPr="00B44B2E">
              <w:rPr>
                <w:b w:val="0"/>
                <w:bCs w:val="0"/>
                <w:sz w:val="24"/>
                <w:szCs w:val="24"/>
                <w:rtl/>
              </w:rPr>
              <w:t>شركة توزيع الكهرباء</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5</w:t>
            </w:r>
          </w:p>
        </w:tc>
        <w:tc>
          <w:tcPr>
            <w:tcW w:w="4564" w:type="pct"/>
          </w:tcPr>
          <w:p w:rsidR="005A2DDD" w:rsidRPr="00B44B2E" w:rsidRDefault="005A2DDD" w:rsidP="00B44B2E">
            <w:pPr>
              <w:rPr>
                <w:b w:val="0"/>
                <w:bCs w:val="0"/>
                <w:sz w:val="24"/>
                <w:szCs w:val="24"/>
              </w:rPr>
            </w:pPr>
            <w:r w:rsidRPr="00B44B2E">
              <w:rPr>
                <w:b w:val="0"/>
                <w:bCs w:val="0"/>
                <w:sz w:val="24"/>
                <w:szCs w:val="24"/>
                <w:rtl/>
              </w:rPr>
              <w:t>شركة توليد الكهرباء</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6</w:t>
            </w:r>
          </w:p>
        </w:tc>
        <w:tc>
          <w:tcPr>
            <w:tcW w:w="4564" w:type="pct"/>
          </w:tcPr>
          <w:p w:rsidR="005A2DDD" w:rsidRPr="00B44B2E" w:rsidRDefault="005A2DDD" w:rsidP="00B44B2E">
            <w:pPr>
              <w:rPr>
                <w:b w:val="0"/>
                <w:bCs w:val="0"/>
                <w:sz w:val="24"/>
                <w:szCs w:val="24"/>
              </w:rPr>
            </w:pPr>
            <w:r w:rsidRPr="00B44B2E">
              <w:rPr>
                <w:b w:val="0"/>
                <w:bCs w:val="0"/>
                <w:sz w:val="24"/>
                <w:szCs w:val="24"/>
                <w:rtl/>
              </w:rPr>
              <w:t>مؤسسة المدن الصناعية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7</w:t>
            </w:r>
          </w:p>
        </w:tc>
        <w:tc>
          <w:tcPr>
            <w:tcW w:w="4564" w:type="pct"/>
          </w:tcPr>
          <w:p w:rsidR="005A2DDD" w:rsidRPr="00B44B2E" w:rsidRDefault="005A2DDD" w:rsidP="00B44B2E">
            <w:pPr>
              <w:rPr>
                <w:b w:val="0"/>
                <w:bCs w:val="0"/>
                <w:sz w:val="24"/>
                <w:szCs w:val="24"/>
              </w:rPr>
            </w:pPr>
            <w:r w:rsidRPr="00B44B2E">
              <w:rPr>
                <w:b w:val="0"/>
                <w:bCs w:val="0"/>
                <w:sz w:val="24"/>
                <w:szCs w:val="24"/>
                <w:rtl/>
              </w:rPr>
              <w:t>مؤسسة المراكز التجارية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8</w:t>
            </w:r>
          </w:p>
        </w:tc>
        <w:tc>
          <w:tcPr>
            <w:tcW w:w="4564" w:type="pct"/>
          </w:tcPr>
          <w:p w:rsidR="005A2DDD" w:rsidRPr="00B44B2E" w:rsidRDefault="005A2DDD" w:rsidP="00B44B2E">
            <w:pPr>
              <w:rPr>
                <w:b w:val="0"/>
                <w:bCs w:val="0"/>
                <w:sz w:val="24"/>
                <w:szCs w:val="24"/>
              </w:rPr>
            </w:pPr>
            <w:r w:rsidRPr="00B44B2E">
              <w:rPr>
                <w:b w:val="0"/>
                <w:bCs w:val="0"/>
                <w:sz w:val="24"/>
                <w:szCs w:val="24"/>
                <w:rtl/>
              </w:rPr>
              <w:t>لجنة إعمار المسجد الأقصى</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9</w:t>
            </w:r>
          </w:p>
        </w:tc>
        <w:tc>
          <w:tcPr>
            <w:tcW w:w="4564" w:type="pct"/>
          </w:tcPr>
          <w:p w:rsidR="005A2DDD" w:rsidRPr="00B44B2E" w:rsidRDefault="005A2DDD" w:rsidP="00B44B2E">
            <w:pPr>
              <w:rPr>
                <w:b w:val="0"/>
                <w:bCs w:val="0"/>
                <w:sz w:val="24"/>
                <w:szCs w:val="24"/>
              </w:rPr>
            </w:pPr>
            <w:r w:rsidRPr="00B44B2E">
              <w:rPr>
                <w:b w:val="0"/>
                <w:bCs w:val="0"/>
                <w:sz w:val="24"/>
                <w:szCs w:val="24"/>
                <w:rtl/>
              </w:rPr>
              <w:t>مؤسسة المتقاعدين العسكريين</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10</w:t>
            </w:r>
          </w:p>
        </w:tc>
        <w:tc>
          <w:tcPr>
            <w:tcW w:w="4564" w:type="pct"/>
          </w:tcPr>
          <w:p w:rsidR="005A2DDD" w:rsidRPr="00B44B2E" w:rsidRDefault="005A2DDD" w:rsidP="00B44B2E">
            <w:pPr>
              <w:rPr>
                <w:b w:val="0"/>
                <w:bCs w:val="0"/>
                <w:sz w:val="24"/>
                <w:szCs w:val="24"/>
              </w:rPr>
            </w:pPr>
            <w:r w:rsidRPr="00B44B2E">
              <w:rPr>
                <w:b w:val="0"/>
                <w:bCs w:val="0"/>
                <w:sz w:val="24"/>
                <w:szCs w:val="24"/>
                <w:rtl/>
              </w:rPr>
              <w:t>الجمعية العلمية الملكية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11</w:t>
            </w:r>
          </w:p>
        </w:tc>
        <w:tc>
          <w:tcPr>
            <w:tcW w:w="4564" w:type="pct"/>
          </w:tcPr>
          <w:p w:rsidR="005A2DDD" w:rsidRPr="00B44B2E" w:rsidRDefault="005A2DDD" w:rsidP="00B44B2E">
            <w:pPr>
              <w:rPr>
                <w:b w:val="0"/>
                <w:bCs w:val="0"/>
                <w:sz w:val="24"/>
                <w:szCs w:val="24"/>
              </w:rPr>
            </w:pPr>
            <w:r w:rsidRPr="00B44B2E">
              <w:rPr>
                <w:b w:val="0"/>
                <w:bCs w:val="0"/>
                <w:sz w:val="24"/>
                <w:szCs w:val="24"/>
                <w:rtl/>
              </w:rPr>
              <w:t>المؤسسة الاستهلاكية العسكرية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12</w:t>
            </w:r>
          </w:p>
        </w:tc>
        <w:tc>
          <w:tcPr>
            <w:tcW w:w="4564" w:type="pct"/>
          </w:tcPr>
          <w:p w:rsidR="005A2DDD" w:rsidRPr="00B44B2E" w:rsidRDefault="005A2DDD" w:rsidP="00B44B2E">
            <w:pPr>
              <w:rPr>
                <w:b w:val="0"/>
                <w:bCs w:val="0"/>
                <w:sz w:val="24"/>
                <w:szCs w:val="24"/>
              </w:rPr>
            </w:pPr>
            <w:r w:rsidRPr="00B44B2E">
              <w:rPr>
                <w:b w:val="0"/>
                <w:bCs w:val="0"/>
                <w:sz w:val="24"/>
                <w:szCs w:val="24"/>
                <w:rtl/>
              </w:rPr>
              <w:t>المؤسسة الاستهلاكية للأمن العام</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13</w:t>
            </w:r>
          </w:p>
        </w:tc>
        <w:tc>
          <w:tcPr>
            <w:tcW w:w="4564" w:type="pct"/>
          </w:tcPr>
          <w:p w:rsidR="005A2DDD" w:rsidRPr="00B44B2E" w:rsidRDefault="005A2DDD" w:rsidP="00B44B2E">
            <w:pPr>
              <w:rPr>
                <w:b w:val="0"/>
                <w:bCs w:val="0"/>
                <w:sz w:val="24"/>
                <w:szCs w:val="24"/>
              </w:rPr>
            </w:pPr>
            <w:r w:rsidRPr="00B44B2E">
              <w:rPr>
                <w:b w:val="0"/>
                <w:bCs w:val="0"/>
                <w:sz w:val="24"/>
                <w:szCs w:val="24"/>
                <w:rtl/>
              </w:rPr>
              <w:t>الجامعة الأردنية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14</w:t>
            </w:r>
          </w:p>
        </w:tc>
        <w:tc>
          <w:tcPr>
            <w:tcW w:w="4564" w:type="pct"/>
          </w:tcPr>
          <w:p w:rsidR="005A2DDD" w:rsidRPr="00B44B2E" w:rsidRDefault="005A2DDD" w:rsidP="00B44B2E">
            <w:pPr>
              <w:rPr>
                <w:b w:val="0"/>
                <w:bCs w:val="0"/>
                <w:sz w:val="24"/>
                <w:szCs w:val="24"/>
              </w:rPr>
            </w:pPr>
            <w:r w:rsidRPr="00B44B2E">
              <w:rPr>
                <w:b w:val="0"/>
                <w:bCs w:val="0"/>
                <w:sz w:val="24"/>
                <w:szCs w:val="24"/>
                <w:rtl/>
              </w:rPr>
              <w:t>جامعة اليرموك</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15</w:t>
            </w:r>
          </w:p>
        </w:tc>
        <w:tc>
          <w:tcPr>
            <w:tcW w:w="4564" w:type="pct"/>
          </w:tcPr>
          <w:p w:rsidR="005A2DDD" w:rsidRPr="00B44B2E" w:rsidRDefault="005A2DDD" w:rsidP="00B44B2E">
            <w:pPr>
              <w:rPr>
                <w:b w:val="0"/>
                <w:bCs w:val="0"/>
                <w:sz w:val="24"/>
                <w:szCs w:val="24"/>
              </w:rPr>
            </w:pPr>
            <w:r w:rsidRPr="00B44B2E">
              <w:rPr>
                <w:b w:val="0"/>
                <w:bCs w:val="0"/>
                <w:sz w:val="24"/>
                <w:szCs w:val="24"/>
                <w:rtl/>
              </w:rPr>
              <w:t>جامعة آل البيت</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16</w:t>
            </w:r>
          </w:p>
        </w:tc>
        <w:tc>
          <w:tcPr>
            <w:tcW w:w="4564" w:type="pct"/>
          </w:tcPr>
          <w:p w:rsidR="005A2DDD" w:rsidRPr="00B44B2E" w:rsidRDefault="005A2DDD" w:rsidP="00B44B2E">
            <w:pPr>
              <w:rPr>
                <w:b w:val="0"/>
                <w:bCs w:val="0"/>
                <w:sz w:val="24"/>
                <w:szCs w:val="24"/>
              </w:rPr>
            </w:pPr>
            <w:r w:rsidRPr="00B44B2E">
              <w:rPr>
                <w:b w:val="0"/>
                <w:bCs w:val="0"/>
                <w:sz w:val="24"/>
                <w:szCs w:val="24"/>
                <w:rtl/>
              </w:rPr>
              <w:t>جامعة مؤتة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17</w:t>
            </w:r>
          </w:p>
        </w:tc>
        <w:tc>
          <w:tcPr>
            <w:tcW w:w="4564" w:type="pct"/>
          </w:tcPr>
          <w:p w:rsidR="005A2DDD" w:rsidRPr="00B44B2E" w:rsidRDefault="005A2DDD" w:rsidP="00B44B2E">
            <w:pPr>
              <w:rPr>
                <w:b w:val="0"/>
                <w:bCs w:val="0"/>
                <w:sz w:val="24"/>
                <w:szCs w:val="24"/>
              </w:rPr>
            </w:pPr>
            <w:r w:rsidRPr="00B44B2E">
              <w:rPr>
                <w:b w:val="0"/>
                <w:bCs w:val="0"/>
                <w:sz w:val="24"/>
                <w:szCs w:val="24"/>
                <w:rtl/>
              </w:rPr>
              <w:t>جامعة البلقاء</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18</w:t>
            </w:r>
          </w:p>
        </w:tc>
        <w:tc>
          <w:tcPr>
            <w:tcW w:w="4564" w:type="pct"/>
          </w:tcPr>
          <w:p w:rsidR="005A2DDD" w:rsidRPr="00B44B2E" w:rsidRDefault="005A2DDD" w:rsidP="00B44B2E">
            <w:pPr>
              <w:rPr>
                <w:b w:val="0"/>
                <w:bCs w:val="0"/>
                <w:sz w:val="24"/>
                <w:szCs w:val="24"/>
              </w:rPr>
            </w:pPr>
            <w:r w:rsidRPr="00B44B2E">
              <w:rPr>
                <w:b w:val="0"/>
                <w:bCs w:val="0"/>
                <w:sz w:val="24"/>
                <w:szCs w:val="24"/>
                <w:rtl/>
              </w:rPr>
              <w:t>جامعة العلوم والتكنولوجيا</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19</w:t>
            </w:r>
          </w:p>
        </w:tc>
        <w:tc>
          <w:tcPr>
            <w:tcW w:w="4564" w:type="pct"/>
          </w:tcPr>
          <w:p w:rsidR="005A2DDD" w:rsidRPr="00B44B2E" w:rsidRDefault="005A2DDD" w:rsidP="00B44B2E">
            <w:pPr>
              <w:rPr>
                <w:b w:val="0"/>
                <w:bCs w:val="0"/>
                <w:sz w:val="24"/>
                <w:szCs w:val="24"/>
                <w:rtl/>
              </w:rPr>
            </w:pPr>
            <w:r w:rsidRPr="00B44B2E">
              <w:rPr>
                <w:b w:val="0"/>
                <w:bCs w:val="0"/>
                <w:sz w:val="24"/>
                <w:szCs w:val="24"/>
                <w:rtl/>
              </w:rPr>
              <w:t>كلية عمان الهندسية التكنولوجية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20</w:t>
            </w:r>
          </w:p>
        </w:tc>
        <w:tc>
          <w:tcPr>
            <w:tcW w:w="4564" w:type="pct"/>
          </w:tcPr>
          <w:p w:rsidR="005A2DDD" w:rsidRPr="00B44B2E" w:rsidRDefault="005A2DDD" w:rsidP="00B44B2E">
            <w:pPr>
              <w:rPr>
                <w:b w:val="0"/>
                <w:bCs w:val="0"/>
                <w:sz w:val="24"/>
                <w:szCs w:val="24"/>
                <w:rtl/>
              </w:rPr>
            </w:pPr>
            <w:r w:rsidRPr="00B44B2E">
              <w:rPr>
                <w:b w:val="0"/>
                <w:bCs w:val="0"/>
                <w:sz w:val="24"/>
                <w:szCs w:val="24"/>
                <w:rtl/>
              </w:rPr>
              <w:t>جامعة الحسين بن طلال</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21</w:t>
            </w:r>
          </w:p>
        </w:tc>
        <w:tc>
          <w:tcPr>
            <w:tcW w:w="4564" w:type="pct"/>
          </w:tcPr>
          <w:p w:rsidR="005A2DDD" w:rsidRPr="00B44B2E" w:rsidRDefault="005A2DDD" w:rsidP="00B44B2E">
            <w:pPr>
              <w:rPr>
                <w:b w:val="0"/>
                <w:bCs w:val="0"/>
                <w:sz w:val="24"/>
                <w:szCs w:val="24"/>
                <w:rtl/>
              </w:rPr>
            </w:pPr>
            <w:r w:rsidRPr="00B44B2E">
              <w:rPr>
                <w:b w:val="0"/>
                <w:bCs w:val="0"/>
                <w:sz w:val="24"/>
                <w:szCs w:val="24"/>
                <w:rtl/>
              </w:rPr>
              <w:t>الجامعة الهاشمية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22</w:t>
            </w:r>
          </w:p>
        </w:tc>
        <w:tc>
          <w:tcPr>
            <w:tcW w:w="4564" w:type="pct"/>
          </w:tcPr>
          <w:p w:rsidR="005A2DDD" w:rsidRPr="00B44B2E" w:rsidRDefault="005A2DDD" w:rsidP="00B44B2E">
            <w:pPr>
              <w:rPr>
                <w:b w:val="0"/>
                <w:bCs w:val="0"/>
                <w:sz w:val="24"/>
                <w:szCs w:val="24"/>
                <w:rtl/>
              </w:rPr>
            </w:pPr>
            <w:r w:rsidRPr="00B44B2E">
              <w:rPr>
                <w:b w:val="0"/>
                <w:bCs w:val="0"/>
                <w:sz w:val="24"/>
                <w:szCs w:val="24"/>
                <w:rtl/>
              </w:rPr>
              <w:t>المجلس الأعلى للعلوم والتكنولوجيا</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23</w:t>
            </w:r>
          </w:p>
        </w:tc>
        <w:tc>
          <w:tcPr>
            <w:tcW w:w="4564" w:type="pct"/>
          </w:tcPr>
          <w:p w:rsidR="005A2DDD" w:rsidRPr="00B44B2E" w:rsidRDefault="005A2DDD" w:rsidP="00B44B2E">
            <w:pPr>
              <w:rPr>
                <w:b w:val="0"/>
                <w:bCs w:val="0"/>
                <w:sz w:val="24"/>
                <w:szCs w:val="24"/>
                <w:rtl/>
              </w:rPr>
            </w:pPr>
            <w:r w:rsidRPr="00B44B2E">
              <w:rPr>
                <w:b w:val="0"/>
                <w:bCs w:val="0"/>
                <w:sz w:val="24"/>
                <w:szCs w:val="24"/>
                <w:rtl/>
              </w:rPr>
              <w:t>مستشفى الجامعة الأردنية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24</w:t>
            </w:r>
          </w:p>
        </w:tc>
        <w:tc>
          <w:tcPr>
            <w:tcW w:w="4564" w:type="pct"/>
          </w:tcPr>
          <w:p w:rsidR="005A2DDD" w:rsidRPr="00B44B2E" w:rsidRDefault="005A2DDD" w:rsidP="00B44B2E">
            <w:pPr>
              <w:rPr>
                <w:b w:val="0"/>
                <w:bCs w:val="0"/>
                <w:sz w:val="24"/>
                <w:szCs w:val="24"/>
                <w:rtl/>
              </w:rPr>
            </w:pPr>
            <w:r w:rsidRPr="00B44B2E">
              <w:rPr>
                <w:b w:val="0"/>
                <w:bCs w:val="0"/>
                <w:sz w:val="24"/>
                <w:szCs w:val="24"/>
                <w:rtl/>
              </w:rPr>
              <w:t>المجلس الطبي الأردني</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tl/>
              </w:rPr>
            </w:pPr>
            <w:r w:rsidRPr="00B44B2E">
              <w:rPr>
                <w:b w:val="0"/>
                <w:bCs w:val="0"/>
                <w:sz w:val="24"/>
                <w:szCs w:val="24"/>
                <w:rtl/>
              </w:rPr>
              <w:t>25</w:t>
            </w:r>
          </w:p>
        </w:tc>
        <w:tc>
          <w:tcPr>
            <w:tcW w:w="4564" w:type="pct"/>
          </w:tcPr>
          <w:p w:rsidR="005A2DDD" w:rsidRPr="00B44B2E" w:rsidRDefault="005A2DDD" w:rsidP="00B44B2E">
            <w:pPr>
              <w:rPr>
                <w:b w:val="0"/>
                <w:bCs w:val="0"/>
                <w:sz w:val="24"/>
                <w:szCs w:val="24"/>
                <w:rtl/>
              </w:rPr>
            </w:pPr>
            <w:r w:rsidRPr="00B44B2E">
              <w:rPr>
                <w:b w:val="0"/>
                <w:bCs w:val="0"/>
                <w:sz w:val="24"/>
                <w:szCs w:val="24"/>
                <w:rtl/>
              </w:rPr>
              <w:t>صندوق ادخار موظفي الجامعة الأردنية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26</w:t>
            </w:r>
          </w:p>
        </w:tc>
        <w:tc>
          <w:tcPr>
            <w:tcW w:w="4564" w:type="pct"/>
          </w:tcPr>
          <w:p w:rsidR="005A2DDD" w:rsidRPr="00B44B2E" w:rsidRDefault="005A2DDD" w:rsidP="00B44B2E">
            <w:pPr>
              <w:rPr>
                <w:b w:val="0"/>
                <w:bCs w:val="0"/>
                <w:sz w:val="24"/>
                <w:szCs w:val="24"/>
                <w:rtl/>
              </w:rPr>
            </w:pPr>
            <w:r w:rsidRPr="00B44B2E">
              <w:rPr>
                <w:b w:val="0"/>
                <w:bCs w:val="0"/>
                <w:sz w:val="24"/>
                <w:szCs w:val="24"/>
                <w:rtl/>
              </w:rPr>
              <w:t>صندوق تعويض نهاية الخدمة لموظفي الجامعة الأردنية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27</w:t>
            </w:r>
          </w:p>
        </w:tc>
        <w:tc>
          <w:tcPr>
            <w:tcW w:w="4564" w:type="pct"/>
          </w:tcPr>
          <w:p w:rsidR="005A2DDD" w:rsidRPr="00B44B2E" w:rsidRDefault="005A2DDD" w:rsidP="00B44B2E">
            <w:pPr>
              <w:rPr>
                <w:b w:val="0"/>
                <w:bCs w:val="0"/>
                <w:sz w:val="24"/>
                <w:szCs w:val="24"/>
              </w:rPr>
            </w:pPr>
            <w:r w:rsidRPr="00B44B2E">
              <w:rPr>
                <w:b w:val="0"/>
                <w:bCs w:val="0"/>
                <w:sz w:val="24"/>
                <w:szCs w:val="24"/>
                <w:rtl/>
              </w:rPr>
              <w:t>صندوق استثمار الجامعة الأردنية</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28</w:t>
            </w:r>
          </w:p>
        </w:tc>
        <w:tc>
          <w:tcPr>
            <w:tcW w:w="4564" w:type="pct"/>
          </w:tcPr>
          <w:p w:rsidR="005A2DDD" w:rsidRPr="00B44B2E" w:rsidRDefault="005A2DDD" w:rsidP="00B44B2E">
            <w:pPr>
              <w:rPr>
                <w:b w:val="0"/>
                <w:bCs w:val="0"/>
                <w:sz w:val="24"/>
                <w:szCs w:val="24"/>
              </w:rPr>
            </w:pPr>
            <w:r w:rsidRPr="00B44B2E">
              <w:rPr>
                <w:b w:val="0"/>
                <w:bCs w:val="0"/>
                <w:sz w:val="24"/>
                <w:szCs w:val="24"/>
                <w:rtl/>
              </w:rPr>
              <w:t>صندوق استثمار جامعة اليرموك</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29</w:t>
            </w:r>
          </w:p>
        </w:tc>
        <w:tc>
          <w:tcPr>
            <w:tcW w:w="4564" w:type="pct"/>
          </w:tcPr>
          <w:p w:rsidR="005A2DDD" w:rsidRPr="00B44B2E" w:rsidRDefault="005A2DDD" w:rsidP="00B44B2E">
            <w:pPr>
              <w:rPr>
                <w:b w:val="0"/>
                <w:bCs w:val="0"/>
                <w:sz w:val="24"/>
                <w:szCs w:val="24"/>
              </w:rPr>
            </w:pPr>
            <w:r w:rsidRPr="00B44B2E">
              <w:rPr>
                <w:b w:val="0"/>
                <w:bCs w:val="0"/>
                <w:sz w:val="24"/>
                <w:szCs w:val="24"/>
                <w:rtl/>
              </w:rPr>
              <w:t>صندوق إسكان عاملي جامعة التكنولوجيا</w:t>
            </w:r>
          </w:p>
        </w:tc>
      </w:tr>
      <w:tr w:rsidR="005A2DDD" w:rsidRPr="00F20D2C" w:rsidTr="00B44B2E">
        <w:trPr>
          <w:cantSplit/>
          <w:trHeight w:hRule="exact" w:val="360"/>
        </w:trPr>
        <w:tc>
          <w:tcPr>
            <w:tcW w:w="436" w:type="pct"/>
          </w:tcPr>
          <w:p w:rsidR="005A2DDD" w:rsidRPr="00B44B2E" w:rsidRDefault="005A2DDD" w:rsidP="00B44B2E">
            <w:pPr>
              <w:rPr>
                <w:b w:val="0"/>
                <w:bCs w:val="0"/>
                <w:sz w:val="24"/>
                <w:szCs w:val="24"/>
              </w:rPr>
            </w:pPr>
            <w:r w:rsidRPr="00B44B2E">
              <w:rPr>
                <w:b w:val="0"/>
                <w:bCs w:val="0"/>
                <w:sz w:val="24"/>
                <w:szCs w:val="24"/>
                <w:rtl/>
              </w:rPr>
              <w:t>30</w:t>
            </w:r>
          </w:p>
        </w:tc>
        <w:tc>
          <w:tcPr>
            <w:tcW w:w="4564" w:type="pct"/>
          </w:tcPr>
          <w:p w:rsidR="005A2DDD" w:rsidRPr="00B44B2E" w:rsidRDefault="005A2DDD" w:rsidP="00B44B2E">
            <w:pPr>
              <w:rPr>
                <w:b w:val="0"/>
                <w:bCs w:val="0"/>
                <w:sz w:val="24"/>
                <w:szCs w:val="24"/>
              </w:rPr>
            </w:pPr>
            <w:r w:rsidRPr="00B44B2E">
              <w:rPr>
                <w:b w:val="0"/>
                <w:bCs w:val="0"/>
                <w:sz w:val="24"/>
                <w:szCs w:val="24"/>
                <w:rtl/>
              </w:rPr>
              <w:t>صندوق ادخار جامعة العلوم والتكنولوجيا</w:t>
            </w:r>
          </w:p>
        </w:tc>
      </w:tr>
    </w:tbl>
    <w:p w:rsidR="005A2DDD" w:rsidRPr="00AF0943" w:rsidRDefault="005A2DDD" w:rsidP="005A2DDD">
      <w:pPr>
        <w:rPr>
          <w:rtl/>
        </w:rPr>
      </w:pPr>
    </w:p>
    <w:tbl>
      <w:tblPr>
        <w:bidiVisual/>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7339"/>
      </w:tblGrid>
      <w:tr w:rsidR="00B44B2E" w:rsidRPr="00B44B2E" w:rsidTr="00DA36E0">
        <w:trPr>
          <w:trHeight w:hRule="exact" w:val="432"/>
        </w:trPr>
        <w:tc>
          <w:tcPr>
            <w:tcW w:w="701" w:type="dxa"/>
            <w:shd w:val="clear" w:color="auto" w:fill="F2F2F2" w:themeFill="background1" w:themeFillShade="F2"/>
          </w:tcPr>
          <w:p w:rsidR="00B44B2E" w:rsidRPr="00DA36E0" w:rsidRDefault="00B44B2E" w:rsidP="00DA36E0">
            <w:pPr>
              <w:jc w:val="center"/>
              <w:rPr>
                <w:sz w:val="24"/>
                <w:szCs w:val="24"/>
              </w:rPr>
            </w:pPr>
            <w:r w:rsidRPr="00DA36E0">
              <w:rPr>
                <w:sz w:val="24"/>
                <w:szCs w:val="24"/>
                <w:rtl/>
              </w:rPr>
              <w:t>الرقم</w:t>
            </w:r>
          </w:p>
        </w:tc>
        <w:tc>
          <w:tcPr>
            <w:tcW w:w="7339" w:type="dxa"/>
            <w:shd w:val="clear" w:color="auto" w:fill="F2F2F2" w:themeFill="background1" w:themeFillShade="F2"/>
          </w:tcPr>
          <w:p w:rsidR="00B44B2E" w:rsidRPr="00DA36E0" w:rsidRDefault="00B44B2E" w:rsidP="00DA36E0">
            <w:pPr>
              <w:jc w:val="center"/>
              <w:rPr>
                <w:sz w:val="24"/>
                <w:szCs w:val="24"/>
              </w:rPr>
            </w:pPr>
            <w:r w:rsidRPr="00DA36E0">
              <w:rPr>
                <w:sz w:val="24"/>
                <w:szCs w:val="24"/>
                <w:rtl/>
              </w:rPr>
              <w:t>الاســـم</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31</w:t>
            </w:r>
          </w:p>
        </w:tc>
        <w:tc>
          <w:tcPr>
            <w:tcW w:w="7339" w:type="dxa"/>
          </w:tcPr>
          <w:p w:rsidR="00B44B2E" w:rsidRPr="00B44B2E" w:rsidRDefault="00B44B2E" w:rsidP="005A2DDD">
            <w:pPr>
              <w:rPr>
                <w:b w:val="0"/>
                <w:bCs w:val="0"/>
                <w:sz w:val="22"/>
                <w:szCs w:val="22"/>
              </w:rPr>
            </w:pPr>
            <w:r w:rsidRPr="00B44B2E">
              <w:rPr>
                <w:b w:val="0"/>
                <w:bCs w:val="0"/>
                <w:sz w:val="22"/>
                <w:szCs w:val="22"/>
                <w:rtl/>
              </w:rPr>
              <w:t>المعهد الدبلوماسي</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32</w:t>
            </w:r>
          </w:p>
        </w:tc>
        <w:tc>
          <w:tcPr>
            <w:tcW w:w="7339" w:type="dxa"/>
          </w:tcPr>
          <w:p w:rsidR="00B44B2E" w:rsidRPr="00B44B2E" w:rsidRDefault="00B44B2E" w:rsidP="005A2DDD">
            <w:pPr>
              <w:rPr>
                <w:b w:val="0"/>
                <w:bCs w:val="0"/>
                <w:sz w:val="22"/>
                <w:szCs w:val="22"/>
              </w:rPr>
            </w:pPr>
            <w:r w:rsidRPr="00B44B2E">
              <w:rPr>
                <w:b w:val="0"/>
                <w:bCs w:val="0"/>
                <w:sz w:val="22"/>
                <w:szCs w:val="22"/>
                <w:rtl/>
              </w:rPr>
              <w:t>مؤسسة الإسكان العسكري/صندوق الإسكان</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33</w:t>
            </w:r>
          </w:p>
        </w:tc>
        <w:tc>
          <w:tcPr>
            <w:tcW w:w="7339" w:type="dxa"/>
          </w:tcPr>
          <w:p w:rsidR="00B44B2E" w:rsidRPr="00B44B2E" w:rsidRDefault="00B44B2E" w:rsidP="005A2DDD">
            <w:pPr>
              <w:rPr>
                <w:b w:val="0"/>
                <w:bCs w:val="0"/>
                <w:sz w:val="22"/>
                <w:szCs w:val="22"/>
              </w:rPr>
            </w:pPr>
            <w:r w:rsidRPr="00B44B2E">
              <w:rPr>
                <w:b w:val="0"/>
                <w:bCs w:val="0"/>
                <w:sz w:val="22"/>
                <w:szCs w:val="22"/>
                <w:rtl/>
              </w:rPr>
              <w:t>مجالس الخدمات المشتركة في المحافظات</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34</w:t>
            </w:r>
          </w:p>
        </w:tc>
        <w:tc>
          <w:tcPr>
            <w:tcW w:w="7339" w:type="dxa"/>
          </w:tcPr>
          <w:p w:rsidR="00B44B2E" w:rsidRPr="00B44B2E" w:rsidRDefault="00B44B2E" w:rsidP="005A2DDD">
            <w:pPr>
              <w:rPr>
                <w:b w:val="0"/>
                <w:bCs w:val="0"/>
                <w:sz w:val="22"/>
                <w:szCs w:val="22"/>
              </w:rPr>
            </w:pPr>
            <w:r w:rsidRPr="00B44B2E">
              <w:rPr>
                <w:b w:val="0"/>
                <w:bCs w:val="0"/>
                <w:sz w:val="22"/>
                <w:szCs w:val="22"/>
                <w:rtl/>
              </w:rPr>
              <w:t>صندوق الضمان الاجتماعي لموظفي ديوان المحاسبة</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35</w:t>
            </w:r>
          </w:p>
        </w:tc>
        <w:tc>
          <w:tcPr>
            <w:tcW w:w="7339" w:type="dxa"/>
          </w:tcPr>
          <w:p w:rsidR="00B44B2E" w:rsidRPr="00B44B2E" w:rsidRDefault="00B44B2E" w:rsidP="005A2DDD">
            <w:pPr>
              <w:rPr>
                <w:b w:val="0"/>
                <w:bCs w:val="0"/>
                <w:sz w:val="22"/>
                <w:szCs w:val="22"/>
              </w:rPr>
            </w:pPr>
            <w:r w:rsidRPr="00B44B2E">
              <w:rPr>
                <w:b w:val="0"/>
                <w:bCs w:val="0"/>
                <w:sz w:val="22"/>
                <w:szCs w:val="22"/>
                <w:rtl/>
              </w:rPr>
              <w:t>نادي ضباط القوات المسلحة</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36</w:t>
            </w:r>
          </w:p>
        </w:tc>
        <w:tc>
          <w:tcPr>
            <w:tcW w:w="7339" w:type="dxa"/>
          </w:tcPr>
          <w:p w:rsidR="00B44B2E" w:rsidRPr="00B44B2E" w:rsidRDefault="00B44B2E" w:rsidP="005A2DDD">
            <w:pPr>
              <w:rPr>
                <w:b w:val="0"/>
                <w:bCs w:val="0"/>
                <w:sz w:val="22"/>
                <w:szCs w:val="22"/>
              </w:rPr>
            </w:pPr>
            <w:r w:rsidRPr="00B44B2E">
              <w:rPr>
                <w:b w:val="0"/>
                <w:bCs w:val="0"/>
                <w:sz w:val="22"/>
                <w:szCs w:val="22"/>
                <w:rtl/>
              </w:rPr>
              <w:t>صندوق الضمان الاجتماعي للعاملين بالتربية</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37</w:t>
            </w:r>
          </w:p>
        </w:tc>
        <w:tc>
          <w:tcPr>
            <w:tcW w:w="7339" w:type="dxa"/>
          </w:tcPr>
          <w:p w:rsidR="00B44B2E" w:rsidRPr="00B44B2E" w:rsidRDefault="00B44B2E" w:rsidP="005A2DDD">
            <w:pPr>
              <w:rPr>
                <w:b w:val="0"/>
                <w:bCs w:val="0"/>
                <w:sz w:val="22"/>
                <w:szCs w:val="22"/>
              </w:rPr>
            </w:pPr>
            <w:r w:rsidRPr="00B44B2E">
              <w:rPr>
                <w:b w:val="0"/>
                <w:bCs w:val="0"/>
                <w:sz w:val="22"/>
                <w:szCs w:val="22"/>
                <w:rtl/>
              </w:rPr>
              <w:t>صندوق إسكان موظفي وزارة التربية والتعليم</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38</w:t>
            </w:r>
          </w:p>
        </w:tc>
        <w:tc>
          <w:tcPr>
            <w:tcW w:w="7339" w:type="dxa"/>
          </w:tcPr>
          <w:p w:rsidR="00B44B2E" w:rsidRPr="00B44B2E" w:rsidRDefault="00B44B2E" w:rsidP="005A2DDD">
            <w:pPr>
              <w:rPr>
                <w:b w:val="0"/>
                <w:bCs w:val="0"/>
                <w:sz w:val="22"/>
                <w:szCs w:val="22"/>
              </w:rPr>
            </w:pPr>
            <w:r w:rsidRPr="00B44B2E">
              <w:rPr>
                <w:b w:val="0"/>
                <w:bCs w:val="0"/>
                <w:sz w:val="22"/>
                <w:szCs w:val="22"/>
                <w:rtl/>
              </w:rPr>
              <w:t>صندوق الملك عبد الله الثاني</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39</w:t>
            </w:r>
          </w:p>
        </w:tc>
        <w:tc>
          <w:tcPr>
            <w:tcW w:w="7339" w:type="dxa"/>
          </w:tcPr>
          <w:p w:rsidR="00B44B2E" w:rsidRPr="00B44B2E" w:rsidRDefault="00B44B2E" w:rsidP="005A2DDD">
            <w:pPr>
              <w:rPr>
                <w:b w:val="0"/>
                <w:bCs w:val="0"/>
                <w:sz w:val="22"/>
                <w:szCs w:val="22"/>
              </w:rPr>
            </w:pPr>
            <w:r w:rsidRPr="00B44B2E">
              <w:rPr>
                <w:b w:val="0"/>
                <w:bCs w:val="0"/>
                <w:sz w:val="22"/>
                <w:szCs w:val="22"/>
                <w:rtl/>
              </w:rPr>
              <w:t>مركز الحسين للسرطان</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40</w:t>
            </w:r>
          </w:p>
        </w:tc>
        <w:tc>
          <w:tcPr>
            <w:tcW w:w="7339" w:type="dxa"/>
          </w:tcPr>
          <w:p w:rsidR="00B44B2E" w:rsidRPr="00B44B2E" w:rsidRDefault="00B44B2E" w:rsidP="005A2DDD">
            <w:pPr>
              <w:rPr>
                <w:b w:val="0"/>
                <w:bCs w:val="0"/>
                <w:sz w:val="22"/>
                <w:szCs w:val="22"/>
              </w:rPr>
            </w:pPr>
            <w:r w:rsidRPr="00B44B2E">
              <w:rPr>
                <w:b w:val="0"/>
                <w:bCs w:val="0"/>
                <w:sz w:val="22"/>
                <w:szCs w:val="22"/>
                <w:rtl/>
              </w:rPr>
              <w:t>مستشفى الملك المؤسس عبد الله الجامعي</w:t>
            </w:r>
          </w:p>
        </w:tc>
      </w:tr>
      <w:tr w:rsidR="00B44B2E" w:rsidRPr="00F20D2C" w:rsidTr="00B44B2E">
        <w:trPr>
          <w:trHeight w:hRule="exact" w:val="360"/>
        </w:trPr>
        <w:tc>
          <w:tcPr>
            <w:tcW w:w="701" w:type="dxa"/>
          </w:tcPr>
          <w:p w:rsidR="00B44B2E" w:rsidRPr="00B44B2E" w:rsidRDefault="00B44B2E" w:rsidP="005A2DDD">
            <w:pPr>
              <w:rPr>
                <w:b w:val="0"/>
                <w:bCs w:val="0"/>
                <w:sz w:val="22"/>
                <w:szCs w:val="22"/>
              </w:rPr>
            </w:pPr>
            <w:r w:rsidRPr="00B44B2E">
              <w:rPr>
                <w:b w:val="0"/>
                <w:bCs w:val="0"/>
                <w:sz w:val="22"/>
                <w:szCs w:val="22"/>
                <w:rtl/>
              </w:rPr>
              <w:t>41</w:t>
            </w:r>
          </w:p>
        </w:tc>
        <w:tc>
          <w:tcPr>
            <w:tcW w:w="7339" w:type="dxa"/>
          </w:tcPr>
          <w:p w:rsidR="00B44B2E" w:rsidRPr="00B44B2E" w:rsidRDefault="00B44B2E" w:rsidP="005A2DDD">
            <w:pPr>
              <w:rPr>
                <w:b w:val="0"/>
                <w:bCs w:val="0"/>
                <w:sz w:val="22"/>
                <w:szCs w:val="22"/>
              </w:rPr>
            </w:pPr>
            <w:r w:rsidRPr="00B44B2E">
              <w:rPr>
                <w:b w:val="0"/>
                <w:bCs w:val="0"/>
                <w:sz w:val="22"/>
                <w:szCs w:val="22"/>
                <w:rtl/>
              </w:rPr>
              <w:t>المركز الوطني للسكري والغدد الصماء</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42</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تبرعات مركز السكري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43</w:t>
            </w:r>
          </w:p>
        </w:tc>
        <w:tc>
          <w:tcPr>
            <w:tcW w:w="7339" w:type="dxa"/>
          </w:tcPr>
          <w:p w:rsidR="00B44B2E" w:rsidRPr="00B44B2E" w:rsidRDefault="00B44B2E" w:rsidP="005A2DDD">
            <w:pPr>
              <w:rPr>
                <w:b w:val="0"/>
                <w:bCs w:val="0"/>
                <w:sz w:val="22"/>
                <w:szCs w:val="22"/>
                <w:rtl/>
              </w:rPr>
            </w:pPr>
            <w:r w:rsidRPr="00B44B2E">
              <w:rPr>
                <w:b w:val="0"/>
                <w:bCs w:val="0"/>
                <w:sz w:val="22"/>
                <w:szCs w:val="22"/>
                <w:rtl/>
              </w:rPr>
              <w:t>جامعة الطفيلة التقنية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44</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الادخار للعاملين في جامعة الطفيلة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45</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دعم التعليم والتدريب المهني والتقني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46</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إسكان ضباط المخابرات العامة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47</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المشاريع التنموية والاستثمارية للقوات المسلحة</w:t>
            </w:r>
          </w:p>
        </w:tc>
      </w:tr>
      <w:tr w:rsidR="00B44B2E" w:rsidRPr="00F20D2C" w:rsidTr="00B44B2E">
        <w:trPr>
          <w:trHeight w:hRule="exact" w:val="360"/>
        </w:trPr>
        <w:tc>
          <w:tcPr>
            <w:tcW w:w="701" w:type="dxa"/>
            <w:tcBorders>
              <w:bottom w:val="single" w:sz="4" w:space="0" w:color="auto"/>
            </w:tcBorders>
          </w:tcPr>
          <w:p w:rsidR="00B44B2E" w:rsidRPr="00B44B2E" w:rsidRDefault="00B44B2E" w:rsidP="005A2DDD">
            <w:pPr>
              <w:rPr>
                <w:b w:val="0"/>
                <w:bCs w:val="0"/>
                <w:sz w:val="22"/>
                <w:szCs w:val="22"/>
                <w:rtl/>
              </w:rPr>
            </w:pPr>
            <w:r w:rsidRPr="00B44B2E">
              <w:rPr>
                <w:b w:val="0"/>
                <w:bCs w:val="0"/>
                <w:sz w:val="22"/>
                <w:szCs w:val="22"/>
                <w:rtl/>
              </w:rPr>
              <w:t>48</w:t>
            </w:r>
          </w:p>
        </w:tc>
        <w:tc>
          <w:tcPr>
            <w:tcW w:w="7339" w:type="dxa"/>
            <w:tcBorders>
              <w:bottom w:val="single" w:sz="4" w:space="0" w:color="auto"/>
            </w:tcBorders>
          </w:tcPr>
          <w:p w:rsidR="00B44B2E" w:rsidRPr="00B44B2E" w:rsidRDefault="00B44B2E" w:rsidP="005A2DDD">
            <w:pPr>
              <w:rPr>
                <w:b w:val="0"/>
                <w:bCs w:val="0"/>
                <w:sz w:val="22"/>
                <w:szCs w:val="22"/>
                <w:rtl/>
              </w:rPr>
            </w:pPr>
            <w:r w:rsidRPr="00B44B2E">
              <w:rPr>
                <w:b w:val="0"/>
                <w:bCs w:val="0"/>
                <w:sz w:val="22"/>
                <w:szCs w:val="22"/>
                <w:rtl/>
              </w:rPr>
              <w:t>المؤسسة الاستهلاكية المدينة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49</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المعونة الوطنية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50</w:t>
            </w:r>
          </w:p>
        </w:tc>
        <w:tc>
          <w:tcPr>
            <w:tcW w:w="7339" w:type="dxa"/>
          </w:tcPr>
          <w:p w:rsidR="00B44B2E" w:rsidRPr="00B44B2E" w:rsidRDefault="00B44B2E" w:rsidP="005A2DDD">
            <w:pPr>
              <w:rPr>
                <w:b w:val="0"/>
                <w:bCs w:val="0"/>
                <w:sz w:val="22"/>
                <w:szCs w:val="22"/>
                <w:rtl/>
              </w:rPr>
            </w:pPr>
            <w:r w:rsidRPr="00B44B2E">
              <w:rPr>
                <w:b w:val="0"/>
                <w:bCs w:val="0"/>
                <w:sz w:val="22"/>
                <w:szCs w:val="22"/>
                <w:rtl/>
              </w:rPr>
              <w:t>سكة حديد العقبة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51</w:t>
            </w:r>
          </w:p>
        </w:tc>
        <w:tc>
          <w:tcPr>
            <w:tcW w:w="7339" w:type="dxa"/>
          </w:tcPr>
          <w:p w:rsidR="00B44B2E" w:rsidRPr="00B44B2E" w:rsidRDefault="00B44B2E" w:rsidP="005A2DDD">
            <w:pPr>
              <w:rPr>
                <w:b w:val="0"/>
                <w:bCs w:val="0"/>
                <w:sz w:val="22"/>
                <w:szCs w:val="22"/>
                <w:rtl/>
              </w:rPr>
            </w:pPr>
            <w:r w:rsidRPr="00B44B2E">
              <w:rPr>
                <w:b w:val="0"/>
                <w:bCs w:val="0"/>
                <w:sz w:val="22"/>
                <w:szCs w:val="22"/>
                <w:rtl/>
              </w:rPr>
              <w:t>مؤسسة التدريب المهني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52</w:t>
            </w:r>
          </w:p>
        </w:tc>
        <w:tc>
          <w:tcPr>
            <w:tcW w:w="7339" w:type="dxa"/>
          </w:tcPr>
          <w:p w:rsidR="00B44B2E" w:rsidRPr="00B44B2E" w:rsidRDefault="00B44B2E" w:rsidP="005A2DDD">
            <w:pPr>
              <w:rPr>
                <w:b w:val="0"/>
                <w:bCs w:val="0"/>
                <w:sz w:val="22"/>
                <w:szCs w:val="22"/>
                <w:rtl/>
              </w:rPr>
            </w:pPr>
            <w:r w:rsidRPr="00B44B2E">
              <w:rPr>
                <w:b w:val="0"/>
                <w:bCs w:val="0"/>
                <w:sz w:val="22"/>
                <w:szCs w:val="22"/>
                <w:rtl/>
              </w:rPr>
              <w:t>المؤسسة العامة لحماية البيئة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53</w:t>
            </w:r>
          </w:p>
        </w:tc>
        <w:tc>
          <w:tcPr>
            <w:tcW w:w="7339" w:type="dxa"/>
          </w:tcPr>
          <w:p w:rsidR="00B44B2E" w:rsidRPr="00B44B2E" w:rsidRDefault="00B44B2E" w:rsidP="005A2DDD">
            <w:pPr>
              <w:rPr>
                <w:b w:val="0"/>
                <w:bCs w:val="0"/>
                <w:sz w:val="22"/>
                <w:szCs w:val="22"/>
                <w:rtl/>
              </w:rPr>
            </w:pPr>
            <w:r w:rsidRPr="00B44B2E">
              <w:rPr>
                <w:b w:val="0"/>
                <w:bCs w:val="0"/>
                <w:sz w:val="22"/>
                <w:szCs w:val="22"/>
                <w:rtl/>
              </w:rPr>
              <w:t>مؤسسة الإسكان والتطوير الحضري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54</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التنمية والتشغيل</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55</w:t>
            </w:r>
          </w:p>
        </w:tc>
        <w:tc>
          <w:tcPr>
            <w:tcW w:w="7339" w:type="dxa"/>
          </w:tcPr>
          <w:p w:rsidR="00B44B2E" w:rsidRPr="00B44B2E" w:rsidRDefault="00B44B2E" w:rsidP="005A2DDD">
            <w:pPr>
              <w:rPr>
                <w:b w:val="0"/>
                <w:bCs w:val="0"/>
                <w:sz w:val="22"/>
                <w:szCs w:val="22"/>
                <w:rtl/>
              </w:rPr>
            </w:pPr>
            <w:r w:rsidRPr="00B44B2E">
              <w:rPr>
                <w:b w:val="0"/>
                <w:bCs w:val="0"/>
                <w:sz w:val="22"/>
                <w:szCs w:val="22"/>
                <w:rtl/>
              </w:rPr>
              <w:t>الخط الحديدي الحجازي الأردني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56</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التأمين الصحي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57</w:t>
            </w:r>
          </w:p>
        </w:tc>
        <w:tc>
          <w:tcPr>
            <w:tcW w:w="7339" w:type="dxa"/>
          </w:tcPr>
          <w:p w:rsidR="00B44B2E" w:rsidRPr="00B44B2E" w:rsidRDefault="00B44B2E" w:rsidP="005A2DDD">
            <w:pPr>
              <w:rPr>
                <w:b w:val="0"/>
                <w:bCs w:val="0"/>
                <w:sz w:val="22"/>
                <w:szCs w:val="22"/>
                <w:rtl/>
              </w:rPr>
            </w:pPr>
            <w:r w:rsidRPr="00B44B2E">
              <w:rPr>
                <w:b w:val="0"/>
                <w:bCs w:val="0"/>
                <w:sz w:val="22"/>
                <w:szCs w:val="22"/>
                <w:rtl/>
              </w:rPr>
              <w:t>مؤسسة المواصفات والمقاييس</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58</w:t>
            </w:r>
          </w:p>
        </w:tc>
        <w:tc>
          <w:tcPr>
            <w:tcW w:w="7339" w:type="dxa"/>
          </w:tcPr>
          <w:p w:rsidR="00B44B2E" w:rsidRPr="00B44B2E" w:rsidRDefault="00B44B2E" w:rsidP="005A2DDD">
            <w:pPr>
              <w:rPr>
                <w:b w:val="0"/>
                <w:bCs w:val="0"/>
                <w:sz w:val="22"/>
                <w:szCs w:val="22"/>
                <w:rtl/>
              </w:rPr>
            </w:pPr>
            <w:r w:rsidRPr="00B44B2E">
              <w:rPr>
                <w:b w:val="0"/>
                <w:bCs w:val="0"/>
                <w:sz w:val="22"/>
                <w:szCs w:val="22"/>
                <w:rtl/>
              </w:rPr>
              <w:t>صندوق التوفير البريدي</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59</w:t>
            </w:r>
          </w:p>
        </w:tc>
        <w:tc>
          <w:tcPr>
            <w:tcW w:w="7339" w:type="dxa"/>
          </w:tcPr>
          <w:p w:rsidR="00B44B2E" w:rsidRPr="00B44B2E" w:rsidRDefault="00B44B2E" w:rsidP="005A2DDD">
            <w:pPr>
              <w:rPr>
                <w:b w:val="0"/>
                <w:bCs w:val="0"/>
                <w:sz w:val="22"/>
                <w:szCs w:val="22"/>
                <w:rtl/>
              </w:rPr>
            </w:pPr>
            <w:r w:rsidRPr="00B44B2E">
              <w:rPr>
                <w:b w:val="0"/>
                <w:bCs w:val="0"/>
                <w:sz w:val="22"/>
                <w:szCs w:val="22"/>
                <w:rtl/>
              </w:rPr>
              <w:t>المجمع الملكي لبحوث الحضارة الإسلامية</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60</w:t>
            </w:r>
          </w:p>
        </w:tc>
        <w:tc>
          <w:tcPr>
            <w:tcW w:w="7339" w:type="dxa"/>
          </w:tcPr>
          <w:p w:rsidR="00B44B2E" w:rsidRPr="00B44B2E" w:rsidRDefault="00B44B2E" w:rsidP="005A2DDD">
            <w:pPr>
              <w:rPr>
                <w:b w:val="0"/>
                <w:bCs w:val="0"/>
                <w:sz w:val="22"/>
                <w:szCs w:val="22"/>
                <w:rtl/>
              </w:rPr>
            </w:pPr>
            <w:r w:rsidRPr="00B44B2E">
              <w:rPr>
                <w:b w:val="0"/>
                <w:bCs w:val="0"/>
                <w:sz w:val="22"/>
                <w:szCs w:val="22"/>
                <w:rtl/>
              </w:rPr>
              <w:t>المجلس الأعلى للشباب</w:t>
            </w:r>
          </w:p>
        </w:tc>
      </w:tr>
      <w:tr w:rsidR="00B44B2E" w:rsidRPr="00F20D2C" w:rsidTr="00B44B2E">
        <w:trPr>
          <w:trHeight w:hRule="exact" w:val="360"/>
        </w:trPr>
        <w:tc>
          <w:tcPr>
            <w:tcW w:w="701" w:type="dxa"/>
          </w:tcPr>
          <w:p w:rsidR="00B44B2E" w:rsidRPr="00B44B2E" w:rsidRDefault="00B44B2E" w:rsidP="005A2DDD">
            <w:pPr>
              <w:rPr>
                <w:b w:val="0"/>
                <w:bCs w:val="0"/>
                <w:sz w:val="22"/>
                <w:szCs w:val="22"/>
                <w:rtl/>
              </w:rPr>
            </w:pPr>
            <w:r w:rsidRPr="00B44B2E">
              <w:rPr>
                <w:b w:val="0"/>
                <w:bCs w:val="0"/>
                <w:sz w:val="22"/>
                <w:szCs w:val="22"/>
                <w:rtl/>
              </w:rPr>
              <w:t>61</w:t>
            </w:r>
          </w:p>
        </w:tc>
        <w:tc>
          <w:tcPr>
            <w:tcW w:w="7339" w:type="dxa"/>
          </w:tcPr>
          <w:p w:rsidR="00B44B2E" w:rsidRPr="00B44B2E" w:rsidRDefault="00B44B2E" w:rsidP="005A2DDD">
            <w:pPr>
              <w:rPr>
                <w:b w:val="0"/>
                <w:bCs w:val="0"/>
                <w:sz w:val="22"/>
                <w:szCs w:val="22"/>
                <w:rtl/>
              </w:rPr>
            </w:pPr>
            <w:r w:rsidRPr="00B44B2E">
              <w:rPr>
                <w:b w:val="0"/>
                <w:bCs w:val="0"/>
                <w:sz w:val="22"/>
                <w:szCs w:val="22"/>
                <w:rtl/>
              </w:rPr>
              <w:t>أُخــرى (تخضع لموافقة مسبقة من البنك المركزي)</w:t>
            </w:r>
          </w:p>
        </w:tc>
      </w:tr>
    </w:tbl>
    <w:p w:rsidR="005A2DDD" w:rsidRDefault="005A2DDD" w:rsidP="005A2DDD">
      <w:pPr>
        <w:rPr>
          <w:rtl/>
        </w:rPr>
      </w:pPr>
    </w:p>
    <w:p w:rsidR="005A2DDD" w:rsidRDefault="005A2DDD" w:rsidP="005A2DDD">
      <w:pPr>
        <w:rPr>
          <w:rtl/>
          <w:lang w:bidi="ar-JO"/>
        </w:rPr>
      </w:pPr>
    </w:p>
    <w:p w:rsidR="00B44B2E" w:rsidRDefault="00B44B2E" w:rsidP="005A2DDD">
      <w:pPr>
        <w:rPr>
          <w:rtl/>
          <w:lang w:bidi="ar-JO"/>
        </w:rPr>
      </w:pPr>
    </w:p>
    <w:p w:rsidR="00B44B2E" w:rsidRPr="00F20D2C" w:rsidRDefault="00B44B2E" w:rsidP="005A2DDD">
      <w:pPr>
        <w:rPr>
          <w:rtl/>
          <w:lang w:bidi="ar-JO"/>
        </w:rPr>
      </w:pPr>
    </w:p>
    <w:p w:rsidR="005A2DDD" w:rsidRPr="00D37027" w:rsidRDefault="00434971" w:rsidP="00D37027">
      <w:pPr>
        <w:pStyle w:val="Caption"/>
        <w:jc w:val="center"/>
        <w:rPr>
          <w:b/>
          <w:bCs/>
          <w:color w:val="auto"/>
          <w:sz w:val="28"/>
          <w:szCs w:val="28"/>
          <w:rtl/>
        </w:rPr>
      </w:pPr>
      <w:bookmarkStart w:id="2241" w:name="_Toc465255836"/>
      <w:r w:rsidRPr="00D37027">
        <w:rPr>
          <w:b/>
          <w:bCs/>
          <w:color w:val="auto"/>
          <w:sz w:val="28"/>
          <w:szCs w:val="28"/>
          <w:rtl/>
        </w:rPr>
        <w:t xml:space="preserve">ملحق ( </w:t>
      </w:r>
      <w:r w:rsidRPr="00D37027">
        <w:rPr>
          <w:b/>
          <w:bCs/>
          <w:color w:val="auto"/>
          <w:sz w:val="28"/>
          <w:szCs w:val="28"/>
          <w:rtl/>
        </w:rPr>
        <w:fldChar w:fldCharType="begin"/>
      </w:r>
      <w:r w:rsidRPr="00D37027">
        <w:rPr>
          <w:b/>
          <w:bCs/>
          <w:color w:val="auto"/>
          <w:sz w:val="28"/>
          <w:szCs w:val="28"/>
          <w:rtl/>
        </w:rPr>
        <w:instrText xml:space="preserve"> </w:instrText>
      </w:r>
      <w:r w:rsidRPr="00D37027">
        <w:rPr>
          <w:b/>
          <w:bCs/>
          <w:color w:val="auto"/>
          <w:sz w:val="28"/>
          <w:szCs w:val="28"/>
        </w:rPr>
        <w:instrText>SEQ</w:instrText>
      </w:r>
      <w:r w:rsidRPr="00D37027">
        <w:rPr>
          <w:b/>
          <w:bCs/>
          <w:color w:val="auto"/>
          <w:sz w:val="28"/>
          <w:szCs w:val="28"/>
          <w:rtl/>
        </w:rPr>
        <w:instrText xml:space="preserve"> ملحق_( \* </w:instrText>
      </w:r>
      <w:r w:rsidRPr="00D37027">
        <w:rPr>
          <w:b/>
          <w:bCs/>
          <w:color w:val="auto"/>
          <w:sz w:val="28"/>
          <w:szCs w:val="28"/>
        </w:rPr>
        <w:instrText>ARABIC</w:instrText>
      </w:r>
      <w:r w:rsidRPr="00D37027">
        <w:rPr>
          <w:b/>
          <w:bCs/>
          <w:color w:val="auto"/>
          <w:sz w:val="28"/>
          <w:szCs w:val="28"/>
          <w:rtl/>
        </w:rPr>
        <w:instrText xml:space="preserve"> </w:instrText>
      </w:r>
      <w:r w:rsidRPr="00D37027">
        <w:rPr>
          <w:b/>
          <w:bCs/>
          <w:color w:val="auto"/>
          <w:sz w:val="28"/>
          <w:szCs w:val="28"/>
          <w:rtl/>
        </w:rPr>
        <w:fldChar w:fldCharType="separate"/>
      </w:r>
      <w:r w:rsidR="00BC120A">
        <w:rPr>
          <w:b/>
          <w:bCs/>
          <w:noProof/>
          <w:color w:val="auto"/>
          <w:sz w:val="28"/>
          <w:szCs w:val="28"/>
          <w:rtl/>
        </w:rPr>
        <w:t>10</w:t>
      </w:r>
      <w:r w:rsidRPr="00D37027">
        <w:rPr>
          <w:b/>
          <w:bCs/>
          <w:color w:val="auto"/>
          <w:sz w:val="28"/>
          <w:szCs w:val="28"/>
          <w:rtl/>
        </w:rPr>
        <w:fldChar w:fldCharType="end"/>
      </w:r>
      <w:r w:rsidRPr="00D37027">
        <w:rPr>
          <w:rFonts w:hint="cs"/>
          <w:b/>
          <w:bCs/>
          <w:color w:val="auto"/>
          <w:sz w:val="28"/>
          <w:szCs w:val="28"/>
          <w:rtl/>
        </w:rPr>
        <w:t xml:space="preserve"> ): </w:t>
      </w:r>
      <w:r w:rsidR="005A2DDD" w:rsidRPr="00D37027">
        <w:rPr>
          <w:b/>
          <w:bCs/>
          <w:color w:val="auto"/>
          <w:sz w:val="28"/>
          <w:szCs w:val="28"/>
          <w:rtl/>
        </w:rPr>
        <w:t>المنشآت والمؤسسات المؤهلة للحصول على أوزان المخاطر الترجيحية للشركات</w:t>
      </w:r>
      <w:bookmarkEnd w:id="2241"/>
    </w:p>
    <w:tbl>
      <w:tblPr>
        <w:bidiVisual/>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7339"/>
      </w:tblGrid>
      <w:tr w:rsidR="005A2DDD" w:rsidRPr="00F20D2C" w:rsidTr="00DA36E0">
        <w:trPr>
          <w:trHeight w:hRule="exact" w:val="432"/>
        </w:trPr>
        <w:tc>
          <w:tcPr>
            <w:tcW w:w="701" w:type="dxa"/>
            <w:shd w:val="clear" w:color="auto" w:fill="F2F2F2" w:themeFill="background1" w:themeFillShade="F2"/>
          </w:tcPr>
          <w:p w:rsidR="005A2DDD" w:rsidRPr="00DA36E0" w:rsidRDefault="005A2DDD" w:rsidP="00DA36E0">
            <w:pPr>
              <w:jc w:val="center"/>
              <w:rPr>
                <w:sz w:val="24"/>
                <w:szCs w:val="24"/>
              </w:rPr>
            </w:pPr>
            <w:r w:rsidRPr="00DA36E0">
              <w:rPr>
                <w:sz w:val="24"/>
                <w:szCs w:val="24"/>
                <w:rtl/>
              </w:rPr>
              <w:t>الرقم</w:t>
            </w:r>
          </w:p>
        </w:tc>
        <w:tc>
          <w:tcPr>
            <w:tcW w:w="7339" w:type="dxa"/>
            <w:shd w:val="clear" w:color="auto" w:fill="F2F2F2" w:themeFill="background1" w:themeFillShade="F2"/>
          </w:tcPr>
          <w:p w:rsidR="005A2DDD" w:rsidRPr="00DA36E0" w:rsidRDefault="005A2DDD" w:rsidP="00DA36E0">
            <w:pPr>
              <w:jc w:val="center"/>
              <w:rPr>
                <w:sz w:val="24"/>
                <w:szCs w:val="24"/>
              </w:rPr>
            </w:pPr>
            <w:r w:rsidRPr="00DA36E0">
              <w:rPr>
                <w:sz w:val="24"/>
                <w:szCs w:val="24"/>
                <w:rtl/>
              </w:rPr>
              <w:t>الاســـم</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1</w:t>
            </w:r>
          </w:p>
        </w:tc>
        <w:tc>
          <w:tcPr>
            <w:tcW w:w="7339" w:type="dxa"/>
          </w:tcPr>
          <w:p w:rsidR="005A2DDD" w:rsidRPr="00DA36E0" w:rsidRDefault="005A2DDD" w:rsidP="005A2DDD">
            <w:pPr>
              <w:rPr>
                <w:b w:val="0"/>
                <w:bCs w:val="0"/>
                <w:sz w:val="24"/>
                <w:szCs w:val="24"/>
              </w:rPr>
            </w:pPr>
            <w:r w:rsidRPr="00DA36E0">
              <w:rPr>
                <w:b w:val="0"/>
                <w:bCs w:val="0"/>
                <w:sz w:val="24"/>
                <w:szCs w:val="24"/>
                <w:rtl/>
              </w:rPr>
              <w:t>شركة مصفاة البترول الاردنية</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2</w:t>
            </w:r>
          </w:p>
        </w:tc>
        <w:tc>
          <w:tcPr>
            <w:tcW w:w="7339" w:type="dxa"/>
          </w:tcPr>
          <w:p w:rsidR="005A2DDD" w:rsidRPr="00DA36E0" w:rsidRDefault="005A2DDD" w:rsidP="005A2DDD">
            <w:pPr>
              <w:rPr>
                <w:b w:val="0"/>
                <w:bCs w:val="0"/>
                <w:sz w:val="24"/>
                <w:szCs w:val="24"/>
              </w:rPr>
            </w:pPr>
            <w:r w:rsidRPr="00DA36E0">
              <w:rPr>
                <w:b w:val="0"/>
                <w:bCs w:val="0"/>
                <w:sz w:val="24"/>
                <w:szCs w:val="24"/>
                <w:rtl/>
              </w:rPr>
              <w:t>شركة الفوسفات</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3</w:t>
            </w:r>
          </w:p>
        </w:tc>
        <w:tc>
          <w:tcPr>
            <w:tcW w:w="7339" w:type="dxa"/>
          </w:tcPr>
          <w:p w:rsidR="005A2DDD" w:rsidRPr="00DA36E0" w:rsidRDefault="005A2DDD" w:rsidP="005A2DDD">
            <w:pPr>
              <w:rPr>
                <w:b w:val="0"/>
                <w:bCs w:val="0"/>
                <w:sz w:val="24"/>
                <w:szCs w:val="24"/>
              </w:rPr>
            </w:pPr>
            <w:r w:rsidRPr="00DA36E0">
              <w:rPr>
                <w:b w:val="0"/>
                <w:bCs w:val="0"/>
                <w:sz w:val="24"/>
                <w:szCs w:val="24"/>
                <w:rtl/>
              </w:rPr>
              <w:t>شركة البوتاس العربية</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4</w:t>
            </w:r>
          </w:p>
        </w:tc>
        <w:tc>
          <w:tcPr>
            <w:tcW w:w="7339" w:type="dxa"/>
          </w:tcPr>
          <w:p w:rsidR="005A2DDD" w:rsidRPr="00DA36E0" w:rsidRDefault="005A2DDD" w:rsidP="005A2DDD">
            <w:pPr>
              <w:rPr>
                <w:b w:val="0"/>
                <w:bCs w:val="0"/>
                <w:sz w:val="24"/>
                <w:szCs w:val="24"/>
              </w:rPr>
            </w:pPr>
            <w:r w:rsidRPr="00DA36E0">
              <w:rPr>
                <w:b w:val="0"/>
                <w:bCs w:val="0"/>
                <w:sz w:val="24"/>
                <w:szCs w:val="24"/>
                <w:rtl/>
              </w:rPr>
              <w:t>الشركة العامة للتعدين</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5</w:t>
            </w:r>
          </w:p>
        </w:tc>
        <w:tc>
          <w:tcPr>
            <w:tcW w:w="7339" w:type="dxa"/>
          </w:tcPr>
          <w:p w:rsidR="005A2DDD" w:rsidRPr="00DA36E0" w:rsidRDefault="005A2DDD" w:rsidP="005A2DDD">
            <w:pPr>
              <w:rPr>
                <w:b w:val="0"/>
                <w:bCs w:val="0"/>
                <w:sz w:val="24"/>
                <w:szCs w:val="24"/>
              </w:rPr>
            </w:pPr>
            <w:r w:rsidRPr="00DA36E0">
              <w:rPr>
                <w:b w:val="0"/>
                <w:bCs w:val="0"/>
                <w:sz w:val="24"/>
                <w:szCs w:val="24"/>
                <w:rtl/>
              </w:rPr>
              <w:t>شركة مصانع الزجاج الأردنية</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6</w:t>
            </w:r>
          </w:p>
        </w:tc>
        <w:tc>
          <w:tcPr>
            <w:tcW w:w="7339" w:type="dxa"/>
          </w:tcPr>
          <w:p w:rsidR="005A2DDD" w:rsidRPr="00DA36E0" w:rsidRDefault="005A2DDD" w:rsidP="005A2DDD">
            <w:pPr>
              <w:rPr>
                <w:b w:val="0"/>
                <w:bCs w:val="0"/>
                <w:sz w:val="24"/>
                <w:szCs w:val="24"/>
              </w:rPr>
            </w:pPr>
            <w:r w:rsidRPr="00DA36E0">
              <w:rPr>
                <w:b w:val="0"/>
                <w:bCs w:val="0"/>
                <w:sz w:val="24"/>
                <w:szCs w:val="24"/>
                <w:rtl/>
              </w:rPr>
              <w:t>الشركة الأردنية لتصنيع وانتاج الخشب</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7</w:t>
            </w:r>
          </w:p>
        </w:tc>
        <w:tc>
          <w:tcPr>
            <w:tcW w:w="7339" w:type="dxa"/>
          </w:tcPr>
          <w:p w:rsidR="005A2DDD" w:rsidRPr="00DA36E0" w:rsidRDefault="005A2DDD" w:rsidP="005A2DDD">
            <w:pPr>
              <w:rPr>
                <w:b w:val="0"/>
                <w:bCs w:val="0"/>
                <w:sz w:val="24"/>
                <w:szCs w:val="24"/>
              </w:rPr>
            </w:pPr>
            <w:r w:rsidRPr="00DA36E0">
              <w:rPr>
                <w:b w:val="0"/>
                <w:bCs w:val="0"/>
                <w:sz w:val="24"/>
                <w:szCs w:val="24"/>
                <w:rtl/>
              </w:rPr>
              <w:t>شركة الفنادق السياحة الأردنية</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8</w:t>
            </w:r>
          </w:p>
        </w:tc>
        <w:tc>
          <w:tcPr>
            <w:tcW w:w="7339" w:type="dxa"/>
          </w:tcPr>
          <w:p w:rsidR="005A2DDD" w:rsidRPr="00DA36E0" w:rsidRDefault="005A2DDD" w:rsidP="005A2DDD">
            <w:pPr>
              <w:rPr>
                <w:b w:val="0"/>
                <w:bCs w:val="0"/>
                <w:sz w:val="24"/>
                <w:szCs w:val="24"/>
              </w:rPr>
            </w:pPr>
            <w:r w:rsidRPr="00DA36E0">
              <w:rPr>
                <w:b w:val="0"/>
                <w:bCs w:val="0"/>
                <w:sz w:val="24"/>
                <w:szCs w:val="24"/>
                <w:rtl/>
              </w:rPr>
              <w:t>الشركة الأردنية للإنتاج التلفزيوني</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9</w:t>
            </w:r>
          </w:p>
        </w:tc>
        <w:tc>
          <w:tcPr>
            <w:tcW w:w="7339" w:type="dxa"/>
          </w:tcPr>
          <w:p w:rsidR="005A2DDD" w:rsidRPr="00DA36E0" w:rsidRDefault="005A2DDD" w:rsidP="005A2DDD">
            <w:pPr>
              <w:rPr>
                <w:b w:val="0"/>
                <w:bCs w:val="0"/>
                <w:sz w:val="24"/>
                <w:szCs w:val="24"/>
              </w:rPr>
            </w:pPr>
            <w:r w:rsidRPr="00DA36E0">
              <w:rPr>
                <w:b w:val="0"/>
                <w:bCs w:val="0"/>
                <w:sz w:val="24"/>
                <w:szCs w:val="24"/>
                <w:rtl/>
              </w:rPr>
              <w:t>شركة المنشآت العقارية</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10</w:t>
            </w:r>
          </w:p>
        </w:tc>
        <w:tc>
          <w:tcPr>
            <w:tcW w:w="7339" w:type="dxa"/>
          </w:tcPr>
          <w:p w:rsidR="005A2DDD" w:rsidRPr="00DA36E0" w:rsidRDefault="005A2DDD" w:rsidP="005A2DDD">
            <w:pPr>
              <w:rPr>
                <w:b w:val="0"/>
                <w:bCs w:val="0"/>
                <w:sz w:val="24"/>
                <w:szCs w:val="24"/>
              </w:rPr>
            </w:pPr>
            <w:r w:rsidRPr="00DA36E0">
              <w:rPr>
                <w:b w:val="0"/>
                <w:bCs w:val="0"/>
                <w:sz w:val="24"/>
                <w:szCs w:val="24"/>
                <w:rtl/>
              </w:rPr>
              <w:t>الشركة السورية الأردنية للصناعة</w:t>
            </w:r>
          </w:p>
        </w:tc>
      </w:tr>
      <w:tr w:rsidR="005A2DDD" w:rsidRPr="00F20D2C" w:rsidTr="00DA36E0">
        <w:trPr>
          <w:trHeight w:hRule="exact" w:val="432"/>
        </w:trPr>
        <w:tc>
          <w:tcPr>
            <w:tcW w:w="701" w:type="dxa"/>
          </w:tcPr>
          <w:p w:rsidR="005A2DDD" w:rsidRPr="00DA36E0" w:rsidRDefault="005A2DDD" w:rsidP="005A2DDD">
            <w:pPr>
              <w:rPr>
                <w:b w:val="0"/>
                <w:bCs w:val="0"/>
                <w:sz w:val="24"/>
                <w:szCs w:val="24"/>
              </w:rPr>
            </w:pPr>
            <w:r w:rsidRPr="00DA36E0">
              <w:rPr>
                <w:b w:val="0"/>
                <w:bCs w:val="0"/>
                <w:sz w:val="24"/>
                <w:szCs w:val="24"/>
                <w:rtl/>
              </w:rPr>
              <w:t>11</w:t>
            </w:r>
          </w:p>
        </w:tc>
        <w:tc>
          <w:tcPr>
            <w:tcW w:w="7339" w:type="dxa"/>
          </w:tcPr>
          <w:p w:rsidR="005A2DDD" w:rsidRPr="00DA36E0" w:rsidRDefault="005A2DDD" w:rsidP="005A2DDD">
            <w:pPr>
              <w:rPr>
                <w:b w:val="0"/>
                <w:bCs w:val="0"/>
                <w:sz w:val="24"/>
                <w:szCs w:val="24"/>
              </w:rPr>
            </w:pPr>
            <w:r w:rsidRPr="00DA36E0">
              <w:rPr>
                <w:b w:val="0"/>
                <w:bCs w:val="0"/>
                <w:sz w:val="24"/>
                <w:szCs w:val="24"/>
                <w:rtl/>
              </w:rPr>
              <w:t>الشركة العربية للإسمنت الأبيض</w:t>
            </w:r>
          </w:p>
        </w:tc>
      </w:tr>
      <w:tr w:rsidR="005A2DDD" w:rsidRPr="00F20D2C" w:rsidTr="00DA36E0">
        <w:trPr>
          <w:trHeight w:hRule="exact" w:val="432"/>
        </w:trPr>
        <w:tc>
          <w:tcPr>
            <w:tcW w:w="701" w:type="dxa"/>
          </w:tcPr>
          <w:p w:rsidR="005A2DDD" w:rsidRPr="00DA36E0" w:rsidRDefault="005A2DDD" w:rsidP="005A2DDD">
            <w:pPr>
              <w:rPr>
                <w:b w:val="0"/>
                <w:bCs w:val="0"/>
                <w:sz w:val="24"/>
                <w:szCs w:val="24"/>
                <w:rtl/>
              </w:rPr>
            </w:pPr>
            <w:r w:rsidRPr="00DA36E0">
              <w:rPr>
                <w:b w:val="0"/>
                <w:bCs w:val="0"/>
                <w:sz w:val="24"/>
                <w:szCs w:val="24"/>
                <w:rtl/>
              </w:rPr>
              <w:t>12</w:t>
            </w:r>
          </w:p>
        </w:tc>
        <w:tc>
          <w:tcPr>
            <w:tcW w:w="7339" w:type="dxa"/>
          </w:tcPr>
          <w:p w:rsidR="005A2DDD" w:rsidRPr="00DA36E0" w:rsidRDefault="005A2DDD" w:rsidP="005A2DDD">
            <w:pPr>
              <w:rPr>
                <w:b w:val="0"/>
                <w:bCs w:val="0"/>
                <w:sz w:val="24"/>
                <w:szCs w:val="24"/>
                <w:rtl/>
              </w:rPr>
            </w:pPr>
            <w:r w:rsidRPr="00DA36E0">
              <w:rPr>
                <w:b w:val="0"/>
                <w:bCs w:val="0"/>
                <w:sz w:val="24"/>
                <w:szCs w:val="24"/>
                <w:rtl/>
              </w:rPr>
              <w:t>شركة الاتصالات الأردنية</w:t>
            </w:r>
          </w:p>
        </w:tc>
      </w:tr>
    </w:tbl>
    <w:p w:rsidR="005A2DDD" w:rsidRPr="00AF0943" w:rsidRDefault="005A2DDD" w:rsidP="005A2DDD">
      <w:pPr>
        <w:rPr>
          <w:rtl/>
        </w:rPr>
      </w:pPr>
    </w:p>
    <w:p w:rsidR="005A2DDD" w:rsidRDefault="005A2DDD" w:rsidP="005A2DDD">
      <w:pPr>
        <w:rPr>
          <w:rtl/>
        </w:rPr>
      </w:pPr>
    </w:p>
    <w:p w:rsidR="005A2DDD" w:rsidRDefault="005A2DDD" w:rsidP="005A2DDD">
      <w:pPr>
        <w:rPr>
          <w:rtl/>
        </w:rPr>
      </w:pPr>
    </w:p>
    <w:p w:rsidR="005A2DDD" w:rsidRDefault="005A2DDD" w:rsidP="005A2DDD">
      <w:pPr>
        <w:rPr>
          <w:rtl/>
        </w:rPr>
      </w:pPr>
    </w:p>
    <w:p w:rsidR="005A2DDD" w:rsidRDefault="005A2DDD" w:rsidP="005A2DDD">
      <w:pPr>
        <w:rPr>
          <w:rtl/>
        </w:rPr>
      </w:pPr>
    </w:p>
    <w:p w:rsidR="005A2DDD" w:rsidRPr="003C0AC7" w:rsidRDefault="005A2DDD" w:rsidP="005A2DDD">
      <w:pPr>
        <w:rPr>
          <w:rtl/>
        </w:rPr>
      </w:pPr>
    </w:p>
    <w:p w:rsidR="005A2DDD" w:rsidRDefault="005A2DDD" w:rsidP="005A2DDD"/>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Pr="005F3E0D" w:rsidRDefault="005F3E0D" w:rsidP="005F3E0D">
      <w:pPr>
        <w:pStyle w:val="Caption"/>
        <w:jc w:val="center"/>
        <w:rPr>
          <w:b/>
          <w:bCs/>
          <w:color w:val="auto"/>
          <w:sz w:val="28"/>
          <w:szCs w:val="28"/>
          <w:rtl/>
        </w:rPr>
      </w:pPr>
      <w:bookmarkStart w:id="2242" w:name="_Toc465255837"/>
      <w:r w:rsidRPr="005F3E0D">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11</w:t>
      </w:r>
      <w:r w:rsidR="004A0A06">
        <w:rPr>
          <w:b/>
          <w:bCs/>
          <w:color w:val="auto"/>
          <w:sz w:val="28"/>
          <w:szCs w:val="28"/>
          <w:rtl/>
        </w:rPr>
        <w:fldChar w:fldCharType="end"/>
      </w:r>
      <w:r w:rsidRPr="005F3E0D">
        <w:rPr>
          <w:rFonts w:hint="cs"/>
          <w:b/>
          <w:bCs/>
          <w:color w:val="auto"/>
          <w:sz w:val="28"/>
          <w:szCs w:val="28"/>
          <w:rtl/>
        </w:rPr>
        <w:t xml:space="preserve"> ): </w:t>
      </w:r>
      <w:r w:rsidR="005A2DDD" w:rsidRPr="005F3E0D">
        <w:rPr>
          <w:b/>
          <w:bCs/>
          <w:color w:val="auto"/>
          <w:sz w:val="28"/>
          <w:szCs w:val="28"/>
          <w:rtl/>
        </w:rPr>
        <w:t>الشروط الواجب توافرها في المنشأة الصغيرة</w:t>
      </w:r>
      <w:r w:rsidR="005A2DDD" w:rsidRPr="005F3E0D">
        <w:rPr>
          <w:rFonts w:hint="cs"/>
          <w:b/>
          <w:bCs/>
          <w:color w:val="auto"/>
          <w:sz w:val="28"/>
          <w:szCs w:val="28"/>
          <w:rtl/>
        </w:rPr>
        <w:t xml:space="preserve"> </w:t>
      </w:r>
      <w:r w:rsidR="005A2DDD" w:rsidRPr="005F3E0D">
        <w:rPr>
          <w:b/>
          <w:bCs/>
          <w:color w:val="auto"/>
          <w:sz w:val="28"/>
          <w:szCs w:val="28"/>
          <w:rtl/>
        </w:rPr>
        <w:t>لإدراجها ضمن محفظة التجزئة التنظيمية</w:t>
      </w:r>
      <w:bookmarkEnd w:id="2242"/>
    </w:p>
    <w:p w:rsidR="005A2DDD" w:rsidRPr="00036905" w:rsidRDefault="005A2DDD" w:rsidP="005F3E0D">
      <w:pPr>
        <w:ind w:left="1025" w:hanging="450"/>
        <w:rPr>
          <w:rtl/>
          <w:lang w:bidi="ar-JO"/>
        </w:rPr>
      </w:pPr>
    </w:p>
    <w:p w:rsidR="005A2DDD" w:rsidRPr="00205AAB" w:rsidRDefault="005A2DDD" w:rsidP="005F3E0D">
      <w:pPr>
        <w:ind w:left="1025" w:hanging="450"/>
        <w:rPr>
          <w:b w:val="0"/>
          <w:bCs w:val="0"/>
          <w:rtl/>
        </w:rPr>
      </w:pPr>
      <w:r w:rsidRPr="00205AAB">
        <w:rPr>
          <w:rFonts w:hint="cs"/>
          <w:b w:val="0"/>
          <w:bCs w:val="0"/>
          <w:rtl/>
        </w:rPr>
        <w:t>1.</w:t>
      </w:r>
      <w:r w:rsidRPr="00205AAB">
        <w:rPr>
          <w:rFonts w:hint="cs"/>
          <w:b w:val="0"/>
          <w:bCs w:val="0"/>
          <w:rtl/>
        </w:rPr>
        <w:tab/>
      </w:r>
      <w:r w:rsidRPr="00205AAB">
        <w:rPr>
          <w:b w:val="0"/>
          <w:bCs w:val="0"/>
          <w:rtl/>
        </w:rPr>
        <w:t>أن لا تكون صفتها القانونية شركة مساهمة عامة.</w:t>
      </w:r>
    </w:p>
    <w:p w:rsidR="005A2DDD" w:rsidRPr="00205AAB" w:rsidRDefault="005A2DDD" w:rsidP="005F3E0D">
      <w:pPr>
        <w:ind w:left="1025" w:hanging="450"/>
        <w:rPr>
          <w:b w:val="0"/>
          <w:bCs w:val="0"/>
          <w:rtl/>
        </w:rPr>
      </w:pPr>
      <w:r w:rsidRPr="00205AAB">
        <w:rPr>
          <w:rFonts w:hint="cs"/>
          <w:b w:val="0"/>
          <w:bCs w:val="0"/>
          <w:rtl/>
        </w:rPr>
        <w:t>2.</w:t>
      </w:r>
      <w:r w:rsidRPr="00205AAB">
        <w:rPr>
          <w:rFonts w:hint="cs"/>
          <w:b w:val="0"/>
          <w:bCs w:val="0"/>
          <w:rtl/>
        </w:rPr>
        <w:tab/>
      </w:r>
      <w:r w:rsidRPr="00205AAB">
        <w:rPr>
          <w:b w:val="0"/>
          <w:bCs w:val="0"/>
          <w:rtl/>
        </w:rPr>
        <w:t xml:space="preserve">أن لا يزيد إجمالي مركزية مخاطرها (السقوف المباشرة وغير المباشرة بما في ذلك الالتزامات المتعلقة </w:t>
      </w:r>
      <w:r w:rsidRPr="00205AAB">
        <w:rPr>
          <w:rFonts w:hint="cs"/>
          <w:b w:val="0"/>
          <w:bCs w:val="0"/>
          <w:rtl/>
        </w:rPr>
        <w:t>بالتأجير</w:t>
      </w:r>
      <w:r w:rsidRPr="00205AAB">
        <w:rPr>
          <w:b w:val="0"/>
          <w:bCs w:val="0"/>
          <w:rtl/>
        </w:rPr>
        <w:t xml:space="preserve"> التمويلي) عن (250) ألف دينار لدى البنك الواحد.</w:t>
      </w:r>
    </w:p>
    <w:p w:rsidR="005A2DDD" w:rsidRPr="00205AAB" w:rsidRDefault="005A2DDD" w:rsidP="005F3E0D">
      <w:pPr>
        <w:ind w:left="1025" w:hanging="450"/>
        <w:rPr>
          <w:b w:val="0"/>
          <w:bCs w:val="0"/>
          <w:rtl/>
        </w:rPr>
      </w:pPr>
      <w:r w:rsidRPr="00205AAB">
        <w:rPr>
          <w:rFonts w:hint="cs"/>
          <w:b w:val="0"/>
          <w:bCs w:val="0"/>
          <w:rtl/>
        </w:rPr>
        <w:t>3.</w:t>
      </w:r>
      <w:r w:rsidRPr="00205AAB">
        <w:rPr>
          <w:rFonts w:hint="cs"/>
          <w:b w:val="0"/>
          <w:bCs w:val="0"/>
          <w:rtl/>
        </w:rPr>
        <w:tab/>
      </w:r>
      <w:r w:rsidRPr="00205AAB">
        <w:rPr>
          <w:b w:val="0"/>
          <w:bCs w:val="0"/>
          <w:rtl/>
        </w:rPr>
        <w:t>أن لا يزيد إجمالي موجوداتها عن (500) ألف دينار.</w:t>
      </w:r>
    </w:p>
    <w:p w:rsidR="005A2DDD" w:rsidRPr="00205AAB" w:rsidRDefault="005A2DDD" w:rsidP="005F3E0D">
      <w:pPr>
        <w:ind w:left="1025" w:hanging="450"/>
        <w:rPr>
          <w:b w:val="0"/>
          <w:bCs w:val="0"/>
          <w:rtl/>
        </w:rPr>
      </w:pPr>
      <w:r w:rsidRPr="00205AAB">
        <w:rPr>
          <w:rFonts w:hint="cs"/>
          <w:b w:val="0"/>
          <w:bCs w:val="0"/>
          <w:rtl/>
        </w:rPr>
        <w:t>4.</w:t>
      </w:r>
      <w:r w:rsidRPr="00205AAB">
        <w:rPr>
          <w:rFonts w:hint="cs"/>
          <w:b w:val="0"/>
          <w:bCs w:val="0"/>
          <w:rtl/>
        </w:rPr>
        <w:tab/>
      </w:r>
      <w:r w:rsidRPr="00205AAB">
        <w:rPr>
          <w:b w:val="0"/>
          <w:bCs w:val="0"/>
          <w:rtl/>
        </w:rPr>
        <w:t>أن لا يزيد إجمالي مبيعاتها السنوية عن مليون دينار.</w:t>
      </w:r>
    </w:p>
    <w:p w:rsidR="005A2DDD" w:rsidRPr="00205AAB" w:rsidRDefault="005A2DDD" w:rsidP="005F3E0D">
      <w:pPr>
        <w:ind w:left="1025" w:hanging="450"/>
        <w:rPr>
          <w:b w:val="0"/>
          <w:bCs w:val="0"/>
        </w:rPr>
      </w:pPr>
      <w:r w:rsidRPr="00205AAB">
        <w:rPr>
          <w:rFonts w:hint="cs"/>
          <w:b w:val="0"/>
          <w:bCs w:val="0"/>
          <w:rtl/>
        </w:rPr>
        <w:t>5.</w:t>
      </w:r>
      <w:r w:rsidRPr="00205AAB">
        <w:rPr>
          <w:rFonts w:hint="cs"/>
          <w:b w:val="0"/>
          <w:bCs w:val="0"/>
          <w:rtl/>
        </w:rPr>
        <w:tab/>
      </w:r>
      <w:r w:rsidRPr="00205AAB">
        <w:rPr>
          <w:b w:val="0"/>
          <w:bCs w:val="0"/>
          <w:rtl/>
        </w:rPr>
        <w:t>تنطبق هذه الشروط فقط على عملاء فروع البنوك داخل المملكة أما بالنسبة لعملاء فروع البنوك الأردنية العاملة في الخارج فتنطبق تعليمات الدول المُضيفة، شريطة أن يثبت الفرع الخارجي التزامه بكافة التعليمات بهذا الخصوص.</w:t>
      </w:r>
    </w:p>
    <w:p w:rsidR="005A2DDD" w:rsidRPr="00205AAB" w:rsidRDefault="005A2DDD" w:rsidP="005F3E0D">
      <w:pPr>
        <w:ind w:left="1025" w:hanging="450"/>
        <w:rPr>
          <w:b w:val="0"/>
          <w:bCs w:val="0"/>
          <w:rtl/>
        </w:rPr>
      </w:pPr>
      <w:r w:rsidRPr="00205AAB">
        <w:rPr>
          <w:rFonts w:hint="cs"/>
          <w:b w:val="0"/>
          <w:bCs w:val="0"/>
          <w:rtl/>
        </w:rPr>
        <w:t>6.</w:t>
      </w:r>
      <w:r w:rsidRPr="00205AAB">
        <w:rPr>
          <w:rFonts w:hint="cs"/>
          <w:b w:val="0"/>
          <w:bCs w:val="0"/>
          <w:rtl/>
        </w:rPr>
        <w:tab/>
      </w:r>
      <w:r w:rsidRPr="00205AAB">
        <w:rPr>
          <w:b w:val="0"/>
          <w:bCs w:val="0"/>
          <w:rtl/>
        </w:rPr>
        <w:t xml:space="preserve">على البنك التأكد من الالتزام بالشروط أعلاه بدورية لا تزيد عن سنة واحدة. </w:t>
      </w:r>
    </w:p>
    <w:p w:rsidR="005A2DDD" w:rsidRPr="00AF0943" w:rsidRDefault="005A2DDD" w:rsidP="005F3E0D">
      <w:pPr>
        <w:ind w:left="1025" w:hanging="450"/>
        <w:rPr>
          <w:rtl/>
        </w:rPr>
      </w:pPr>
    </w:p>
    <w:p w:rsidR="005A2DDD" w:rsidRPr="00AF0943" w:rsidRDefault="005A2DDD" w:rsidP="005A2DDD">
      <w:pPr>
        <w:rPr>
          <w:rtl/>
        </w:rPr>
      </w:pPr>
    </w:p>
    <w:p w:rsidR="005A2DDD" w:rsidRDefault="005A2DDD" w:rsidP="005A2DDD">
      <w:pPr>
        <w:rPr>
          <w:lang w:bidi="ar-JO"/>
        </w:rPr>
      </w:pPr>
    </w:p>
    <w:p w:rsidR="005A2DDD" w:rsidRPr="0024790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Pr="005F3E0D" w:rsidRDefault="005F3E0D" w:rsidP="005F3E0D">
      <w:pPr>
        <w:pStyle w:val="Caption"/>
        <w:jc w:val="center"/>
        <w:rPr>
          <w:b/>
          <w:bCs/>
          <w:color w:val="auto"/>
          <w:sz w:val="28"/>
          <w:szCs w:val="28"/>
          <w:rtl/>
        </w:rPr>
      </w:pPr>
      <w:bookmarkStart w:id="2243" w:name="_Toc465255838"/>
      <w:r w:rsidRPr="005F3E0D">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12</w:t>
      </w:r>
      <w:r w:rsidR="004A0A06">
        <w:rPr>
          <w:b/>
          <w:bCs/>
          <w:color w:val="auto"/>
          <w:sz w:val="28"/>
          <w:szCs w:val="28"/>
          <w:rtl/>
        </w:rPr>
        <w:fldChar w:fldCharType="end"/>
      </w:r>
      <w:r w:rsidRPr="005F3E0D">
        <w:rPr>
          <w:rFonts w:hint="cs"/>
          <w:b/>
          <w:bCs/>
          <w:color w:val="auto"/>
          <w:sz w:val="28"/>
          <w:szCs w:val="28"/>
          <w:rtl/>
        </w:rPr>
        <w:t xml:space="preserve"> ):  </w:t>
      </w:r>
      <w:r w:rsidR="005A2DDD" w:rsidRPr="005F3E0D">
        <w:rPr>
          <w:b/>
          <w:bCs/>
          <w:color w:val="auto"/>
          <w:sz w:val="28"/>
          <w:szCs w:val="28"/>
          <w:rtl/>
        </w:rPr>
        <w:t>القروض السكنية المؤهلة</w:t>
      </w:r>
      <w:bookmarkEnd w:id="2243"/>
    </w:p>
    <w:p w:rsidR="005A2DDD" w:rsidRPr="00DA36E0" w:rsidRDefault="00DA36E0" w:rsidP="00205AAB">
      <w:pPr>
        <w:spacing w:after="0"/>
      </w:pPr>
      <w:r w:rsidRPr="00DA36E0">
        <w:rPr>
          <w:rFonts w:hint="cs"/>
          <w:rtl/>
        </w:rPr>
        <w:t xml:space="preserve">1. </w:t>
      </w:r>
      <w:r w:rsidR="005A2DDD" w:rsidRPr="00DA36E0">
        <w:rPr>
          <w:rtl/>
        </w:rPr>
        <w:t xml:space="preserve">قواعد عامة </w:t>
      </w:r>
      <w:r w:rsidR="005A2DDD" w:rsidRPr="00DA36E0">
        <w:t>General Rules</w:t>
      </w:r>
    </w:p>
    <w:p w:rsidR="005A2DDD" w:rsidRPr="00DA36E0" w:rsidRDefault="005A2DDD" w:rsidP="00205AAB">
      <w:pPr>
        <w:spacing w:after="0"/>
        <w:ind w:left="1115" w:hanging="540"/>
        <w:rPr>
          <w:b w:val="0"/>
          <w:bCs w:val="0"/>
          <w:rtl/>
        </w:rPr>
      </w:pPr>
      <w:r w:rsidRPr="00DA36E0">
        <w:rPr>
          <w:rFonts w:hint="cs"/>
          <w:b w:val="0"/>
          <w:bCs w:val="0"/>
          <w:rtl/>
        </w:rPr>
        <w:t>1.1</w:t>
      </w:r>
      <w:r w:rsidR="00DA36E0" w:rsidRPr="00DA36E0">
        <w:rPr>
          <w:rFonts w:hint="cs"/>
          <w:b w:val="0"/>
          <w:bCs w:val="0"/>
          <w:rtl/>
        </w:rPr>
        <w:t>.</w:t>
      </w:r>
      <w:r w:rsidRPr="00DA36E0">
        <w:rPr>
          <w:rFonts w:hint="cs"/>
          <w:b w:val="0"/>
          <w:bCs w:val="0"/>
          <w:rtl/>
        </w:rPr>
        <w:tab/>
      </w:r>
      <w:r w:rsidRPr="00DA36E0">
        <w:rPr>
          <w:b w:val="0"/>
          <w:bCs w:val="0"/>
          <w:rtl/>
        </w:rPr>
        <w:t>تكون القروض السكنية الممنوحة لغايات سكنية فقط والمضمونة بالكامل برهونات عقارية مؤهلة لوزن مخاطر ترجيحي (35%) شريطة تحقيق كافة المعايير أدناه.</w:t>
      </w:r>
    </w:p>
    <w:p w:rsidR="005A2DDD" w:rsidRPr="00DA36E0" w:rsidRDefault="005A2DDD" w:rsidP="00205AAB">
      <w:pPr>
        <w:spacing w:after="0"/>
        <w:ind w:left="1115" w:hanging="540"/>
        <w:rPr>
          <w:b w:val="0"/>
          <w:bCs w:val="0"/>
        </w:rPr>
      </w:pPr>
      <w:r w:rsidRPr="00DA36E0">
        <w:rPr>
          <w:rFonts w:hint="cs"/>
          <w:b w:val="0"/>
          <w:bCs w:val="0"/>
          <w:rtl/>
        </w:rPr>
        <w:t>2.1</w:t>
      </w:r>
      <w:r w:rsidR="00DA36E0" w:rsidRPr="00DA36E0">
        <w:rPr>
          <w:rFonts w:hint="cs"/>
          <w:b w:val="0"/>
          <w:bCs w:val="0"/>
          <w:rtl/>
        </w:rPr>
        <w:t>.</w:t>
      </w:r>
      <w:r w:rsidRPr="00DA36E0">
        <w:rPr>
          <w:rFonts w:hint="cs"/>
          <w:b w:val="0"/>
          <w:bCs w:val="0"/>
          <w:rtl/>
        </w:rPr>
        <w:tab/>
      </w:r>
      <w:r w:rsidRPr="00DA36E0">
        <w:rPr>
          <w:b w:val="0"/>
          <w:bCs w:val="0"/>
          <w:rtl/>
        </w:rPr>
        <w:t>لا تسري المعاملة التفضيلية على:</w:t>
      </w:r>
    </w:p>
    <w:p w:rsidR="005A2DDD" w:rsidRPr="00DA36E0" w:rsidRDefault="005A2DDD" w:rsidP="00DA36E0">
      <w:pPr>
        <w:ind w:left="2105" w:hanging="990"/>
        <w:rPr>
          <w:b w:val="0"/>
          <w:bCs w:val="0"/>
        </w:rPr>
      </w:pPr>
      <w:r w:rsidRPr="00DA36E0">
        <w:rPr>
          <w:rFonts w:hint="cs"/>
          <w:b w:val="0"/>
          <w:bCs w:val="0"/>
          <w:rtl/>
        </w:rPr>
        <w:t>1.2.1</w:t>
      </w:r>
      <w:r w:rsidR="00DA36E0" w:rsidRPr="00DA36E0">
        <w:rPr>
          <w:rFonts w:hint="cs"/>
          <w:b w:val="0"/>
          <w:bCs w:val="0"/>
          <w:rtl/>
        </w:rPr>
        <w:t xml:space="preserve">. </w:t>
      </w:r>
      <w:r w:rsidRPr="00DA36E0">
        <w:rPr>
          <w:rFonts w:hint="cs"/>
          <w:b w:val="0"/>
          <w:bCs w:val="0"/>
          <w:rtl/>
        </w:rPr>
        <w:tab/>
      </w:r>
      <w:r w:rsidRPr="00DA36E0">
        <w:rPr>
          <w:b w:val="0"/>
          <w:bCs w:val="0"/>
          <w:rtl/>
        </w:rPr>
        <w:t>السندات المضمونة برهونات عقارية (</w:t>
      </w:r>
      <w:r w:rsidRPr="00DA36E0">
        <w:rPr>
          <w:b w:val="0"/>
          <w:bCs w:val="0"/>
        </w:rPr>
        <w:t>Mortgage backed Securities</w:t>
      </w:r>
      <w:r w:rsidRPr="00DA36E0">
        <w:rPr>
          <w:b w:val="0"/>
          <w:bCs w:val="0"/>
          <w:rtl/>
        </w:rPr>
        <w:t>)</w:t>
      </w:r>
      <w:r w:rsidRPr="00DA36E0">
        <w:rPr>
          <w:b w:val="0"/>
          <w:bCs w:val="0"/>
        </w:rPr>
        <w:t xml:space="preserve"> </w:t>
      </w:r>
    </w:p>
    <w:p w:rsidR="005A2DDD" w:rsidRPr="00DA36E0" w:rsidRDefault="005A2DDD" w:rsidP="00DA36E0">
      <w:pPr>
        <w:ind w:left="2105" w:hanging="990"/>
        <w:rPr>
          <w:b w:val="0"/>
          <w:bCs w:val="0"/>
        </w:rPr>
      </w:pPr>
      <w:r w:rsidRPr="00DA36E0">
        <w:rPr>
          <w:rFonts w:hint="cs"/>
          <w:b w:val="0"/>
          <w:bCs w:val="0"/>
          <w:rtl/>
        </w:rPr>
        <w:t>2.2.1</w:t>
      </w:r>
      <w:r w:rsidR="00DA36E0" w:rsidRPr="00DA36E0">
        <w:rPr>
          <w:rFonts w:hint="cs"/>
          <w:b w:val="0"/>
          <w:bCs w:val="0"/>
          <w:rtl/>
        </w:rPr>
        <w:t xml:space="preserve">. </w:t>
      </w:r>
      <w:r w:rsidRPr="00DA36E0">
        <w:rPr>
          <w:rFonts w:hint="cs"/>
          <w:b w:val="0"/>
          <w:bCs w:val="0"/>
          <w:rtl/>
        </w:rPr>
        <w:tab/>
      </w:r>
      <w:r w:rsidRPr="00DA36E0">
        <w:rPr>
          <w:b w:val="0"/>
          <w:bCs w:val="0"/>
          <w:rtl/>
        </w:rPr>
        <w:t>قيمة الزيادة في مبلغ القرض الممنوح من قبل البنك في حال قيامة بإعادة تمويل قروض سكنية ممنوحة من قبل بنوك أخرى.</w:t>
      </w:r>
    </w:p>
    <w:p w:rsidR="005A2DDD" w:rsidRPr="00DA36E0" w:rsidRDefault="005A2DDD" w:rsidP="00205AAB">
      <w:pPr>
        <w:spacing w:after="0"/>
        <w:ind w:left="1115" w:hanging="540"/>
        <w:rPr>
          <w:b w:val="0"/>
          <w:bCs w:val="0"/>
          <w:rtl/>
        </w:rPr>
      </w:pPr>
      <w:r w:rsidRPr="00DA36E0">
        <w:rPr>
          <w:rFonts w:hint="cs"/>
          <w:b w:val="0"/>
          <w:bCs w:val="0"/>
          <w:rtl/>
        </w:rPr>
        <w:t>3.1</w:t>
      </w:r>
      <w:r w:rsidR="00DA36E0" w:rsidRPr="00DA36E0">
        <w:rPr>
          <w:rFonts w:hint="cs"/>
          <w:b w:val="0"/>
          <w:bCs w:val="0"/>
          <w:rtl/>
        </w:rPr>
        <w:t>.</w:t>
      </w:r>
      <w:r w:rsidRPr="00DA36E0">
        <w:rPr>
          <w:rFonts w:hint="cs"/>
          <w:b w:val="0"/>
          <w:bCs w:val="0"/>
          <w:rtl/>
        </w:rPr>
        <w:tab/>
      </w:r>
      <w:r w:rsidRPr="00DA36E0">
        <w:rPr>
          <w:b w:val="0"/>
          <w:bCs w:val="0"/>
          <w:rtl/>
        </w:rPr>
        <w:t>في حال مخالفة أي من المعايير أعلاه يدرج القرض بكامل قيمته ضمن محفظة القروض السكنية غير المؤهلة والتي تُعطى وزن مخاطر ترجيحي (100%).</w:t>
      </w:r>
    </w:p>
    <w:p w:rsidR="005A2DDD" w:rsidRPr="00DA36E0" w:rsidRDefault="00DA36E0" w:rsidP="005A2DDD">
      <w:r>
        <w:rPr>
          <w:rFonts w:hint="cs"/>
          <w:rtl/>
        </w:rPr>
        <w:t xml:space="preserve">2. </w:t>
      </w:r>
      <w:r w:rsidR="005A2DDD" w:rsidRPr="00DA36E0">
        <w:rPr>
          <w:rtl/>
        </w:rPr>
        <w:t>معيار الإقراض:</w:t>
      </w:r>
    </w:p>
    <w:p w:rsidR="005A2DDD" w:rsidRPr="00DA36E0" w:rsidRDefault="005A2DDD" w:rsidP="00205AAB">
      <w:pPr>
        <w:spacing w:after="0"/>
        <w:ind w:left="1115" w:hanging="540"/>
        <w:rPr>
          <w:b w:val="0"/>
          <w:bCs w:val="0"/>
        </w:rPr>
      </w:pPr>
      <w:r w:rsidRPr="00DA36E0">
        <w:rPr>
          <w:rFonts w:hint="cs"/>
          <w:b w:val="0"/>
          <w:bCs w:val="0"/>
          <w:rtl/>
        </w:rPr>
        <w:t>1.2</w:t>
      </w:r>
      <w:r w:rsidR="00DA36E0" w:rsidRPr="00DA36E0">
        <w:rPr>
          <w:rFonts w:hint="cs"/>
          <w:b w:val="0"/>
          <w:bCs w:val="0"/>
          <w:rtl/>
        </w:rPr>
        <w:t>.</w:t>
      </w:r>
      <w:r w:rsidRPr="00DA36E0">
        <w:rPr>
          <w:rFonts w:hint="cs"/>
          <w:b w:val="0"/>
          <w:bCs w:val="0"/>
          <w:rtl/>
        </w:rPr>
        <w:tab/>
      </w:r>
      <w:r w:rsidRPr="00DA36E0">
        <w:rPr>
          <w:b w:val="0"/>
          <w:bCs w:val="0"/>
          <w:rtl/>
        </w:rPr>
        <w:t>غاية القرض بناء أو شراء أو توسعة أو تجديد عقار سكني داخل الاردن و في حال فروع البنك في الخارج ان يكون العقار الممول في البلد المضيف (لا تشمل القروض الشخصية المضمونة برهونات عقارية).</w:t>
      </w:r>
    </w:p>
    <w:p w:rsidR="005A2DDD" w:rsidRPr="00DA36E0" w:rsidRDefault="005A2DDD" w:rsidP="00205AAB">
      <w:pPr>
        <w:spacing w:after="0"/>
        <w:ind w:left="1115" w:hanging="540"/>
        <w:rPr>
          <w:b w:val="0"/>
          <w:bCs w:val="0"/>
          <w:rtl/>
        </w:rPr>
      </w:pPr>
      <w:r w:rsidRPr="00DA36E0">
        <w:rPr>
          <w:rFonts w:hint="cs"/>
          <w:b w:val="0"/>
          <w:bCs w:val="0"/>
          <w:rtl/>
        </w:rPr>
        <w:t>2.2</w:t>
      </w:r>
      <w:r w:rsidR="00DA36E0" w:rsidRPr="00DA36E0">
        <w:rPr>
          <w:rFonts w:hint="cs"/>
          <w:b w:val="0"/>
          <w:bCs w:val="0"/>
          <w:rtl/>
        </w:rPr>
        <w:t>.</w:t>
      </w:r>
      <w:r w:rsidRPr="00DA36E0">
        <w:rPr>
          <w:rFonts w:hint="cs"/>
          <w:b w:val="0"/>
          <w:bCs w:val="0"/>
          <w:rtl/>
        </w:rPr>
        <w:tab/>
      </w:r>
      <w:r w:rsidRPr="00DA36E0">
        <w:rPr>
          <w:b w:val="0"/>
          <w:bCs w:val="0"/>
          <w:rtl/>
        </w:rPr>
        <w:t>يجب فصل اي مبالغ يعاد اقراضها للعميل تحت اي مسمى كان عن محفظة القروض السكنية المؤهلة الا اذا كانت مرتبطة بالعقار و بما يحقق كافة الشروط الأخرى.</w:t>
      </w:r>
    </w:p>
    <w:p w:rsidR="005A2DDD" w:rsidRPr="00DA36E0" w:rsidRDefault="005A2DDD" w:rsidP="00205AAB">
      <w:pPr>
        <w:spacing w:after="0"/>
        <w:ind w:left="1115" w:hanging="540"/>
        <w:rPr>
          <w:b w:val="0"/>
          <w:bCs w:val="0"/>
          <w:rtl/>
        </w:rPr>
      </w:pPr>
      <w:r w:rsidRPr="00DA36E0">
        <w:rPr>
          <w:rFonts w:hint="cs"/>
          <w:b w:val="0"/>
          <w:bCs w:val="0"/>
          <w:rtl/>
        </w:rPr>
        <w:t>3.2</w:t>
      </w:r>
      <w:r w:rsidR="00DA36E0" w:rsidRPr="00DA36E0">
        <w:rPr>
          <w:rFonts w:hint="cs"/>
          <w:b w:val="0"/>
          <w:bCs w:val="0"/>
          <w:rtl/>
        </w:rPr>
        <w:t>.</w:t>
      </w:r>
      <w:r w:rsidRPr="00DA36E0">
        <w:rPr>
          <w:rFonts w:hint="cs"/>
          <w:b w:val="0"/>
          <w:bCs w:val="0"/>
          <w:rtl/>
        </w:rPr>
        <w:tab/>
      </w:r>
      <w:r w:rsidRPr="00DA36E0">
        <w:rPr>
          <w:b w:val="0"/>
          <w:bCs w:val="0"/>
          <w:rtl/>
        </w:rPr>
        <w:t>يجب أن يتوفر للبنك و في جميع الأوقات الحق القانوني في التنفيذ على العقار بما فيه حق البيع أو التملك في حال تعثر المقترض.</w:t>
      </w:r>
    </w:p>
    <w:p w:rsidR="005A2DDD" w:rsidRPr="00DA36E0" w:rsidRDefault="005A2DDD" w:rsidP="00205AAB">
      <w:pPr>
        <w:spacing w:after="0"/>
        <w:ind w:left="1115" w:hanging="540"/>
        <w:rPr>
          <w:b w:val="0"/>
          <w:bCs w:val="0"/>
          <w:rtl/>
        </w:rPr>
      </w:pPr>
      <w:r w:rsidRPr="00DA36E0">
        <w:rPr>
          <w:rFonts w:hint="cs"/>
          <w:b w:val="0"/>
          <w:bCs w:val="0"/>
          <w:rtl/>
        </w:rPr>
        <w:t>4.2</w:t>
      </w:r>
      <w:r w:rsidR="00DA36E0" w:rsidRPr="00DA36E0">
        <w:rPr>
          <w:rFonts w:hint="cs"/>
          <w:b w:val="0"/>
          <w:bCs w:val="0"/>
          <w:rtl/>
        </w:rPr>
        <w:t>.</w:t>
      </w:r>
      <w:r w:rsidRPr="00DA36E0">
        <w:rPr>
          <w:rFonts w:hint="cs"/>
          <w:b w:val="0"/>
          <w:bCs w:val="0"/>
          <w:rtl/>
        </w:rPr>
        <w:tab/>
      </w:r>
      <w:r w:rsidRPr="00DA36E0">
        <w:rPr>
          <w:b w:val="0"/>
          <w:bCs w:val="0"/>
          <w:rtl/>
        </w:rPr>
        <w:t>يجب ان يتوفر لدى البنك سياسات وإجراءات واضحة ومكتوبة ضمن سياسته الائتمانية لتقييم قدرة المقترض على الوفاء بكافة التزاماته.</w:t>
      </w:r>
    </w:p>
    <w:p w:rsidR="005A2DDD" w:rsidRPr="00DA36E0" w:rsidRDefault="005A2DDD" w:rsidP="00205AAB">
      <w:pPr>
        <w:spacing w:after="0"/>
        <w:ind w:left="1115" w:hanging="540"/>
        <w:rPr>
          <w:b w:val="0"/>
          <w:bCs w:val="0"/>
          <w:rtl/>
        </w:rPr>
      </w:pPr>
      <w:r w:rsidRPr="00DA36E0">
        <w:rPr>
          <w:rFonts w:hint="cs"/>
          <w:b w:val="0"/>
          <w:bCs w:val="0"/>
          <w:rtl/>
        </w:rPr>
        <w:t>5.2</w:t>
      </w:r>
      <w:r w:rsidR="00DA36E0" w:rsidRPr="00DA36E0">
        <w:rPr>
          <w:rFonts w:hint="cs"/>
          <w:b w:val="0"/>
          <w:bCs w:val="0"/>
          <w:rtl/>
        </w:rPr>
        <w:t>.</w:t>
      </w:r>
      <w:r w:rsidRPr="00DA36E0">
        <w:rPr>
          <w:rFonts w:hint="cs"/>
          <w:b w:val="0"/>
          <w:bCs w:val="0"/>
          <w:rtl/>
        </w:rPr>
        <w:tab/>
      </w:r>
      <w:r w:rsidRPr="00DA36E0">
        <w:rPr>
          <w:b w:val="0"/>
          <w:bCs w:val="0"/>
          <w:rtl/>
        </w:rPr>
        <w:t xml:space="preserve">يجب أن يتوفر لدى البنك إجراءات واضحة ومكتوبة وموثقة ضمن سياسته الائتمانية للتأكد من صحة المعلومات المستخدمة في عملية التحليل الائتماني للمقترض، وخصوصاً تلك البيانات المتعلقة بدخل العميل الرئيسي ومصادر الدخل الأخرى ان وجدت، بياناته الوظيفية وشروط التوظيف، والبيانات المتعلقة بالتزاماته المالية الأخرى لدى البنك أو لدى الجهاز المصرفي. ويشترط القيام بهذه المهام قبل الموافقة النهائية على المنح. </w:t>
      </w:r>
    </w:p>
    <w:p w:rsidR="005A2DDD" w:rsidRPr="00DA36E0" w:rsidRDefault="005A2DDD" w:rsidP="00DA36E0">
      <w:pPr>
        <w:ind w:left="1115" w:hanging="540"/>
        <w:rPr>
          <w:b w:val="0"/>
          <w:bCs w:val="0"/>
          <w:rtl/>
        </w:rPr>
      </w:pPr>
      <w:r w:rsidRPr="00DA36E0">
        <w:rPr>
          <w:rFonts w:hint="cs"/>
          <w:b w:val="0"/>
          <w:bCs w:val="0"/>
          <w:rtl/>
        </w:rPr>
        <w:t>6.2</w:t>
      </w:r>
      <w:r w:rsidR="00DA36E0">
        <w:rPr>
          <w:rFonts w:hint="cs"/>
          <w:b w:val="0"/>
          <w:bCs w:val="0"/>
          <w:rtl/>
        </w:rPr>
        <w:t>.</w:t>
      </w:r>
      <w:r w:rsidRPr="00DA36E0">
        <w:rPr>
          <w:rFonts w:hint="cs"/>
          <w:b w:val="0"/>
          <w:bCs w:val="0"/>
          <w:rtl/>
        </w:rPr>
        <w:tab/>
      </w:r>
      <w:r w:rsidRPr="00DA36E0">
        <w:rPr>
          <w:b w:val="0"/>
          <w:bCs w:val="0"/>
          <w:rtl/>
        </w:rPr>
        <w:t>في حال الاستعانة بخدمات أطراف خارجية (</w:t>
      </w:r>
      <w:r w:rsidRPr="00DA36E0">
        <w:rPr>
          <w:b w:val="0"/>
          <w:bCs w:val="0"/>
        </w:rPr>
        <w:t>Outsourcing</w:t>
      </w:r>
      <w:r w:rsidRPr="00DA36E0">
        <w:rPr>
          <w:b w:val="0"/>
          <w:bCs w:val="0"/>
          <w:rtl/>
        </w:rPr>
        <w:t>) في عملية التحليل الائتماني، مثال ذلك: خدمات المكاتب العقارية و/أو الشركات العقارية، يجب أن يكون لدى البنك  سياسة واضحة تحكم مثل هذه العلاقات وإجراءات واضحة ومكتوبة للتأكد من سلامة المعايير المعتمدة من قبل الجهات الخارجية عند إجراء عملية التحليل الائتماني.</w:t>
      </w:r>
    </w:p>
    <w:p w:rsidR="005A2DDD" w:rsidRPr="00DA36E0" w:rsidRDefault="005A2DDD" w:rsidP="00205AAB">
      <w:pPr>
        <w:spacing w:after="0"/>
        <w:ind w:left="1115" w:hanging="540"/>
        <w:rPr>
          <w:b w:val="0"/>
          <w:bCs w:val="0"/>
          <w:rtl/>
        </w:rPr>
      </w:pPr>
      <w:r w:rsidRPr="00DA36E0">
        <w:rPr>
          <w:rFonts w:hint="cs"/>
          <w:b w:val="0"/>
          <w:bCs w:val="0"/>
          <w:rtl/>
        </w:rPr>
        <w:lastRenderedPageBreak/>
        <w:t>7.2</w:t>
      </w:r>
      <w:r w:rsidR="00DA36E0">
        <w:rPr>
          <w:rFonts w:hint="cs"/>
          <w:b w:val="0"/>
          <w:bCs w:val="0"/>
          <w:rtl/>
        </w:rPr>
        <w:t>.</w:t>
      </w:r>
      <w:r w:rsidRPr="00DA36E0">
        <w:rPr>
          <w:rFonts w:hint="cs"/>
          <w:b w:val="0"/>
          <w:bCs w:val="0"/>
          <w:rtl/>
        </w:rPr>
        <w:tab/>
      </w:r>
      <w:r w:rsidRPr="00DA36E0">
        <w:rPr>
          <w:b w:val="0"/>
          <w:bCs w:val="0"/>
          <w:rtl/>
        </w:rPr>
        <w:t>يجب أن تتضمن السياسات والإجراءات الائتمانية لدى البنك معايير واضحة وموثقة لعملية تقييم العقارات بحيث تتضمن هذه المعايير الحالات التي يقوم البنك فيها باعتماد المخمنين الداخليين والحالات التي يعتمد فيها مخمن خارجي. كما يجب على البنك اعتماد قائمة بالمخمنين الخارجيين المعتمدين لديه .</w:t>
      </w:r>
    </w:p>
    <w:p w:rsidR="005A2DDD" w:rsidRPr="00DA36E0" w:rsidRDefault="005A2DDD" w:rsidP="00DA36E0">
      <w:pPr>
        <w:ind w:left="1115" w:hanging="540"/>
        <w:rPr>
          <w:b w:val="0"/>
          <w:bCs w:val="0"/>
          <w:rtl/>
        </w:rPr>
      </w:pPr>
      <w:r w:rsidRPr="00DA36E0">
        <w:rPr>
          <w:rFonts w:hint="cs"/>
          <w:b w:val="0"/>
          <w:bCs w:val="0"/>
          <w:rtl/>
        </w:rPr>
        <w:t>8.2</w:t>
      </w:r>
      <w:r w:rsidR="00DA36E0">
        <w:rPr>
          <w:rFonts w:hint="cs"/>
          <w:b w:val="0"/>
          <w:bCs w:val="0"/>
          <w:rtl/>
        </w:rPr>
        <w:t>.</w:t>
      </w:r>
      <w:r w:rsidRPr="00DA36E0">
        <w:rPr>
          <w:rFonts w:hint="cs"/>
          <w:b w:val="0"/>
          <w:bCs w:val="0"/>
          <w:rtl/>
        </w:rPr>
        <w:tab/>
      </w:r>
      <w:r w:rsidRPr="00DA36E0">
        <w:rPr>
          <w:b w:val="0"/>
          <w:bCs w:val="0"/>
          <w:rtl/>
        </w:rPr>
        <w:t>يجب أن تتضمن السياسات والإجراءات الائتمانية لدى البنك معايير واضحة وموثقة لعملية إعادة تقييم العقارات وبحيث تتضمن بالحد الأدنى الدورية المعتمدة لإعادة التقييم، متطلبات إعادة التقييم في ظل الظروف الاقتصادية التي قد تؤثر سلباً على قيمة العقارات، ومتطلبات إعادة التقييم في حال تعثر المقترض .</w:t>
      </w:r>
    </w:p>
    <w:p w:rsidR="005A2DDD" w:rsidRPr="00DA36E0" w:rsidRDefault="005A2DDD" w:rsidP="00205AAB">
      <w:pPr>
        <w:spacing w:after="0"/>
        <w:ind w:left="1115" w:hanging="540"/>
        <w:rPr>
          <w:b w:val="0"/>
          <w:bCs w:val="0"/>
          <w:rtl/>
        </w:rPr>
      </w:pPr>
      <w:r w:rsidRPr="00DA36E0">
        <w:rPr>
          <w:rFonts w:hint="cs"/>
          <w:b w:val="0"/>
          <w:bCs w:val="0"/>
          <w:rtl/>
        </w:rPr>
        <w:t>9.2</w:t>
      </w:r>
      <w:r w:rsidR="00DA36E0">
        <w:rPr>
          <w:rFonts w:hint="cs"/>
          <w:b w:val="0"/>
          <w:bCs w:val="0"/>
          <w:rtl/>
        </w:rPr>
        <w:t>.</w:t>
      </w:r>
      <w:r w:rsidRPr="00DA36E0">
        <w:rPr>
          <w:rFonts w:hint="cs"/>
          <w:b w:val="0"/>
          <w:bCs w:val="0"/>
          <w:rtl/>
        </w:rPr>
        <w:tab/>
      </w:r>
      <w:r w:rsidRPr="00DA36E0">
        <w:rPr>
          <w:b w:val="0"/>
          <w:bCs w:val="0"/>
          <w:rtl/>
        </w:rPr>
        <w:t>يشترط في العقارات السكنية المرهونة ان تكون سهلة التسييل وضمن فترة زمنية معقولة ودون خسارة جوهرية في قيمتها السوقية. وفي حال وجود ما يحول دون ذلك لا يصنف القرض ضمن  محفظة القروض السكنية المؤهلة.</w:t>
      </w:r>
    </w:p>
    <w:p w:rsidR="005A2DDD" w:rsidRPr="00DA36E0" w:rsidRDefault="005A2DDD" w:rsidP="00205AAB">
      <w:pPr>
        <w:spacing w:after="0"/>
      </w:pPr>
      <w:r w:rsidRPr="00DA36E0">
        <w:rPr>
          <w:rFonts w:hint="cs"/>
          <w:rtl/>
        </w:rPr>
        <w:t>3.</w:t>
      </w:r>
      <w:r w:rsidRPr="00DA36E0">
        <w:rPr>
          <w:rFonts w:hint="cs"/>
          <w:rtl/>
        </w:rPr>
        <w:tab/>
      </w:r>
      <w:r w:rsidRPr="00DA36E0">
        <w:rPr>
          <w:rtl/>
        </w:rPr>
        <w:t>معيار نسبة التمويل:</w:t>
      </w:r>
    </w:p>
    <w:p w:rsidR="005A2DDD" w:rsidRPr="00DA36E0" w:rsidRDefault="005A2DDD" w:rsidP="00205AAB">
      <w:pPr>
        <w:spacing w:after="0"/>
        <w:ind w:left="1115" w:hanging="540"/>
        <w:rPr>
          <w:b w:val="0"/>
          <w:bCs w:val="0"/>
          <w:rtl/>
        </w:rPr>
      </w:pPr>
      <w:r w:rsidRPr="00DA36E0">
        <w:rPr>
          <w:rFonts w:hint="cs"/>
          <w:b w:val="0"/>
          <w:bCs w:val="0"/>
          <w:rtl/>
        </w:rPr>
        <w:t>1.3</w:t>
      </w:r>
      <w:r w:rsidR="00DA36E0">
        <w:rPr>
          <w:rFonts w:hint="cs"/>
          <w:b w:val="0"/>
          <w:bCs w:val="0"/>
          <w:rtl/>
        </w:rPr>
        <w:t>.</w:t>
      </w:r>
      <w:r w:rsidRPr="00DA36E0">
        <w:rPr>
          <w:rFonts w:hint="cs"/>
          <w:b w:val="0"/>
          <w:bCs w:val="0"/>
          <w:rtl/>
        </w:rPr>
        <w:tab/>
      </w:r>
      <w:r w:rsidRPr="00DA36E0">
        <w:rPr>
          <w:b w:val="0"/>
          <w:bCs w:val="0"/>
          <w:rtl/>
        </w:rPr>
        <w:t>يشترط في القروض السكنية حتى تدرج ضمن محفظة القروض السكنية المؤهلة أن لا تزيد نسبة التمويل فيها عن (80%) من القيمة التقديرية أو الشرائية للعقار أيهما أقل عند المنح. وبخلاف ذلك يجب أن تدرج ضمن محفظة القروض السكنية غير المؤهلة وتعطى وزن مخاطر ترجيحي   (100%).</w:t>
      </w:r>
    </w:p>
    <w:p w:rsidR="005A2DDD" w:rsidRPr="00DA36E0" w:rsidRDefault="005A2DDD" w:rsidP="00205AAB">
      <w:pPr>
        <w:spacing w:after="0"/>
        <w:ind w:left="1115" w:hanging="540"/>
        <w:rPr>
          <w:b w:val="0"/>
          <w:bCs w:val="0"/>
          <w:rtl/>
        </w:rPr>
      </w:pPr>
      <w:r w:rsidRPr="00DA36E0">
        <w:rPr>
          <w:rFonts w:hint="cs"/>
          <w:b w:val="0"/>
          <w:bCs w:val="0"/>
          <w:rtl/>
        </w:rPr>
        <w:t>2.3</w:t>
      </w:r>
      <w:r w:rsidR="00DA36E0">
        <w:rPr>
          <w:rFonts w:hint="cs"/>
          <w:b w:val="0"/>
          <w:bCs w:val="0"/>
          <w:rtl/>
        </w:rPr>
        <w:t>.</w:t>
      </w:r>
      <w:r w:rsidRPr="00DA36E0">
        <w:rPr>
          <w:rFonts w:hint="cs"/>
          <w:b w:val="0"/>
          <w:bCs w:val="0"/>
          <w:rtl/>
        </w:rPr>
        <w:tab/>
      </w:r>
      <w:r w:rsidRPr="00DA36E0">
        <w:rPr>
          <w:b w:val="0"/>
          <w:bCs w:val="0"/>
          <w:rtl/>
        </w:rPr>
        <w:t>بالنسبة للقروض السكنية التي استثنيت من المحفظة المؤهلة لمخالفة هذا الشرط، يجوز إعادة إدراجها ضمن المحفظة فور وصول الرصيد القائم إلى (80%) من القيمة التقديرية أو الشرائية للعقار عند المنح.</w:t>
      </w:r>
    </w:p>
    <w:p w:rsidR="005A2DDD" w:rsidRPr="00DA36E0" w:rsidRDefault="00DA36E0" w:rsidP="00205AAB">
      <w:pPr>
        <w:spacing w:after="0"/>
      </w:pPr>
      <w:r>
        <w:rPr>
          <w:rFonts w:hint="cs"/>
          <w:rtl/>
        </w:rPr>
        <w:t xml:space="preserve">4. </w:t>
      </w:r>
      <w:r w:rsidR="005A2DDD" w:rsidRPr="00DA36E0">
        <w:rPr>
          <w:rtl/>
        </w:rPr>
        <w:t>معيار الرهن:</w:t>
      </w:r>
    </w:p>
    <w:p w:rsidR="005A2DDD" w:rsidRPr="00DA36E0" w:rsidRDefault="005A2DDD" w:rsidP="00DA36E0">
      <w:pPr>
        <w:ind w:left="1115" w:hanging="540"/>
        <w:rPr>
          <w:b w:val="0"/>
          <w:bCs w:val="0"/>
          <w:rtl/>
        </w:rPr>
      </w:pPr>
      <w:r w:rsidRPr="00DA36E0">
        <w:rPr>
          <w:rFonts w:hint="cs"/>
          <w:b w:val="0"/>
          <w:bCs w:val="0"/>
          <w:rtl/>
        </w:rPr>
        <w:t>1.4</w:t>
      </w:r>
      <w:r w:rsidR="00DA36E0">
        <w:rPr>
          <w:rFonts w:hint="cs"/>
          <w:b w:val="0"/>
          <w:bCs w:val="0"/>
          <w:rtl/>
        </w:rPr>
        <w:t>.</w:t>
      </w:r>
      <w:r w:rsidRPr="00DA36E0">
        <w:rPr>
          <w:rFonts w:hint="cs"/>
          <w:b w:val="0"/>
          <w:bCs w:val="0"/>
          <w:rtl/>
        </w:rPr>
        <w:tab/>
      </w:r>
      <w:r w:rsidRPr="00DA36E0">
        <w:rPr>
          <w:b w:val="0"/>
          <w:bCs w:val="0"/>
          <w:rtl/>
        </w:rPr>
        <w:t>يجب أن يكون العقار الممول مرهون من الدرجة الأولى وتقبل الدرجات اللاحقة شريطة عدم الرهن لصالح جهة أخرى.</w:t>
      </w:r>
    </w:p>
    <w:p w:rsidR="005A2DDD" w:rsidRPr="00DA36E0" w:rsidRDefault="005A2DDD" w:rsidP="00DA36E0">
      <w:pPr>
        <w:ind w:left="1115" w:hanging="540"/>
        <w:rPr>
          <w:b w:val="0"/>
          <w:bCs w:val="0"/>
          <w:rtl/>
        </w:rPr>
      </w:pPr>
      <w:r w:rsidRPr="00DA36E0">
        <w:rPr>
          <w:rFonts w:hint="cs"/>
          <w:b w:val="0"/>
          <w:bCs w:val="0"/>
          <w:rtl/>
        </w:rPr>
        <w:t>2.4</w:t>
      </w:r>
      <w:r w:rsidR="00DA36E0">
        <w:rPr>
          <w:rFonts w:hint="cs"/>
          <w:b w:val="0"/>
          <w:bCs w:val="0"/>
          <w:rtl/>
        </w:rPr>
        <w:t>.</w:t>
      </w:r>
      <w:r w:rsidRPr="00DA36E0">
        <w:rPr>
          <w:rFonts w:hint="cs"/>
          <w:b w:val="0"/>
          <w:bCs w:val="0"/>
          <w:rtl/>
        </w:rPr>
        <w:tab/>
      </w:r>
      <w:r w:rsidRPr="00DA36E0">
        <w:rPr>
          <w:b w:val="0"/>
          <w:bCs w:val="0"/>
          <w:rtl/>
        </w:rPr>
        <w:t>يجب أن لا تقل قيمة سند الرهن عن قيمة القرض الممنوح.</w:t>
      </w:r>
    </w:p>
    <w:p w:rsidR="005A2DDD" w:rsidRDefault="005A2DDD" w:rsidP="00136C4D">
      <w:pPr>
        <w:ind w:left="1115" w:hanging="540"/>
        <w:rPr>
          <w:b w:val="0"/>
          <w:bCs w:val="0"/>
          <w:rtl/>
        </w:rPr>
      </w:pPr>
      <w:r w:rsidRPr="00DA36E0">
        <w:rPr>
          <w:rFonts w:hint="cs"/>
          <w:b w:val="0"/>
          <w:bCs w:val="0"/>
          <w:rtl/>
        </w:rPr>
        <w:t>3.4</w:t>
      </w:r>
      <w:r w:rsidR="00DA36E0">
        <w:rPr>
          <w:rFonts w:hint="cs"/>
          <w:b w:val="0"/>
          <w:bCs w:val="0"/>
          <w:rtl/>
        </w:rPr>
        <w:t>.</w:t>
      </w:r>
      <w:r w:rsidRPr="00DA36E0">
        <w:rPr>
          <w:rFonts w:hint="cs"/>
          <w:b w:val="0"/>
          <w:bCs w:val="0"/>
          <w:rtl/>
        </w:rPr>
        <w:tab/>
      </w:r>
      <w:r w:rsidRPr="00DA36E0">
        <w:rPr>
          <w:b w:val="0"/>
          <w:bCs w:val="0"/>
          <w:rtl/>
        </w:rPr>
        <w:t>لا تقبل الرهونات لأغراض إدراج القرض ضمن محفظة القروض السكنية المؤهلة إذا كانت متعلقة بحصص أو عقارات مملوكة على الشيوع.</w:t>
      </w:r>
    </w:p>
    <w:p w:rsidR="005A2DDD" w:rsidRPr="00DA36E0" w:rsidRDefault="00DA36E0" w:rsidP="00205AAB">
      <w:pPr>
        <w:spacing w:after="0"/>
        <w:rPr>
          <w:rtl/>
        </w:rPr>
      </w:pPr>
      <w:r>
        <w:rPr>
          <w:rFonts w:hint="cs"/>
          <w:rtl/>
        </w:rPr>
        <w:t xml:space="preserve">5. </w:t>
      </w:r>
      <w:r w:rsidR="005A2DDD" w:rsidRPr="00DA36E0">
        <w:rPr>
          <w:rtl/>
        </w:rPr>
        <w:t>معيار التأمين:</w:t>
      </w:r>
    </w:p>
    <w:p w:rsidR="005A2DDD" w:rsidRPr="00DA36E0" w:rsidRDefault="005A2DDD" w:rsidP="00DA36E0">
      <w:pPr>
        <w:ind w:left="305"/>
        <w:rPr>
          <w:b w:val="0"/>
          <w:bCs w:val="0"/>
        </w:rPr>
      </w:pPr>
      <w:r w:rsidRPr="00DA36E0">
        <w:rPr>
          <w:b w:val="0"/>
          <w:bCs w:val="0"/>
          <w:rtl/>
        </w:rPr>
        <w:t>في حال كان التمويل بنسبة تزيد عن (80%) من قيمة العقار مع وجود غطاء تأميني للتمويل الممنوح</w:t>
      </w:r>
      <w:r w:rsidRPr="00DA36E0">
        <w:rPr>
          <w:rFonts w:hint="cs"/>
          <w:b w:val="0"/>
          <w:bCs w:val="0"/>
          <w:rtl/>
        </w:rPr>
        <w:t xml:space="preserve"> </w:t>
      </w:r>
      <w:r w:rsidRPr="00DA36E0">
        <w:rPr>
          <w:b w:val="0"/>
          <w:bCs w:val="0"/>
          <w:rtl/>
        </w:rPr>
        <w:t>(</w:t>
      </w:r>
      <w:r w:rsidRPr="00DA36E0">
        <w:rPr>
          <w:b w:val="0"/>
          <w:bCs w:val="0"/>
        </w:rPr>
        <w:t>Mortgage Insurance</w:t>
      </w:r>
      <w:r w:rsidRPr="00DA36E0">
        <w:rPr>
          <w:b w:val="0"/>
          <w:bCs w:val="0"/>
          <w:rtl/>
        </w:rPr>
        <w:t>) وبنسبة لا  تقل عن (40%) من قيمة القرض صادر عن جهة تأمينية معترف بها من قبل البنك المركزي، فيجوز في هذه الحالة إدراج القرض ضمن محفظة القروض السكنية المؤهلة.</w:t>
      </w:r>
    </w:p>
    <w:p w:rsidR="005A2DDD" w:rsidRDefault="005F3E0D" w:rsidP="005F3E0D">
      <w:pPr>
        <w:pStyle w:val="Caption"/>
        <w:jc w:val="center"/>
        <w:rPr>
          <w:b/>
          <w:bCs/>
          <w:color w:val="auto"/>
          <w:sz w:val="28"/>
          <w:szCs w:val="28"/>
          <w:rtl/>
        </w:rPr>
      </w:pPr>
      <w:bookmarkStart w:id="2244" w:name="_Toc465255839"/>
      <w:r w:rsidRPr="005F3E0D">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13</w:t>
      </w:r>
      <w:r w:rsidR="004A0A06">
        <w:rPr>
          <w:b/>
          <w:bCs/>
          <w:color w:val="auto"/>
          <w:sz w:val="28"/>
          <w:szCs w:val="28"/>
          <w:rtl/>
        </w:rPr>
        <w:fldChar w:fldCharType="end"/>
      </w:r>
      <w:r w:rsidRPr="005F3E0D">
        <w:rPr>
          <w:rFonts w:hint="cs"/>
          <w:b/>
          <w:bCs/>
          <w:color w:val="auto"/>
          <w:sz w:val="28"/>
          <w:szCs w:val="28"/>
          <w:rtl/>
        </w:rPr>
        <w:t xml:space="preserve"> ):  </w:t>
      </w:r>
      <w:r w:rsidR="00EC227C" w:rsidRPr="005F3E0D">
        <w:rPr>
          <w:b/>
          <w:bCs/>
          <w:color w:val="auto"/>
          <w:sz w:val="28"/>
          <w:szCs w:val="28"/>
          <w:rtl/>
        </w:rPr>
        <w:t>الإقراض المتخصص</w:t>
      </w:r>
      <w:bookmarkEnd w:id="2244"/>
    </w:p>
    <w:p w:rsidR="005A2DDD" w:rsidRPr="0024790D" w:rsidRDefault="005A2DDD" w:rsidP="005A2DDD">
      <w:pPr>
        <w:rPr>
          <w:rtl/>
        </w:rPr>
      </w:pPr>
      <w:r w:rsidRPr="0024790D">
        <w:rPr>
          <w:rtl/>
        </w:rPr>
        <w:t>1</w:t>
      </w:r>
      <w:r w:rsidRPr="0024790D">
        <w:rPr>
          <w:rFonts w:hint="cs"/>
          <w:rtl/>
        </w:rPr>
        <w:t>.</w:t>
      </w:r>
      <w:r w:rsidR="00DA36E0">
        <w:rPr>
          <w:rFonts w:hint="cs"/>
          <w:rtl/>
        </w:rPr>
        <w:t xml:space="preserve"> </w:t>
      </w:r>
      <w:r w:rsidRPr="0024790D">
        <w:rPr>
          <w:rtl/>
        </w:rPr>
        <w:t>قواعد عامة:</w:t>
      </w:r>
    </w:p>
    <w:p w:rsidR="005A2DDD" w:rsidRPr="0024790D" w:rsidRDefault="005A2DDD" w:rsidP="007B5DF6">
      <w:pPr>
        <w:ind w:left="1025" w:hanging="720"/>
        <w:rPr>
          <w:rtl/>
        </w:rPr>
      </w:pPr>
      <w:r w:rsidRPr="0024790D">
        <w:rPr>
          <w:rtl/>
        </w:rPr>
        <w:t>يتميز الإقراض المتخصص بالصفات المشتركة التالية:</w:t>
      </w:r>
    </w:p>
    <w:p w:rsidR="005A2DDD" w:rsidRPr="00DA36E0" w:rsidRDefault="005A2DDD" w:rsidP="007B5DF6">
      <w:pPr>
        <w:ind w:left="1025" w:hanging="720"/>
        <w:rPr>
          <w:b w:val="0"/>
          <w:bCs w:val="0"/>
          <w:rtl/>
        </w:rPr>
      </w:pPr>
      <w:r w:rsidRPr="00DA36E0">
        <w:rPr>
          <w:rFonts w:hint="cs"/>
          <w:b w:val="0"/>
          <w:bCs w:val="0"/>
          <w:rtl/>
        </w:rPr>
        <w:t>1.1</w:t>
      </w:r>
      <w:r w:rsidR="00DA36E0">
        <w:rPr>
          <w:rFonts w:hint="cs"/>
          <w:b w:val="0"/>
          <w:bCs w:val="0"/>
          <w:rtl/>
        </w:rPr>
        <w:t>.</w:t>
      </w:r>
      <w:r w:rsidRPr="00DA36E0">
        <w:rPr>
          <w:rFonts w:hint="cs"/>
          <w:b w:val="0"/>
          <w:bCs w:val="0"/>
          <w:rtl/>
        </w:rPr>
        <w:tab/>
      </w:r>
      <w:r w:rsidRPr="00DA36E0">
        <w:rPr>
          <w:b w:val="0"/>
          <w:bCs w:val="0"/>
          <w:rtl/>
        </w:rPr>
        <w:t>التعرض الائتماني غالباً ما يمنح لمنشأة محددة الغرض</w:t>
      </w:r>
      <w:r w:rsidRPr="00DA36E0">
        <w:rPr>
          <w:b w:val="0"/>
          <w:bCs w:val="0"/>
        </w:rPr>
        <w:t xml:space="preserve"> </w:t>
      </w:r>
      <w:r w:rsidRPr="00DA36E0">
        <w:rPr>
          <w:b w:val="0"/>
          <w:bCs w:val="0"/>
          <w:rtl/>
        </w:rPr>
        <w:t xml:space="preserve">( </w:t>
      </w:r>
      <w:r w:rsidRPr="00DA36E0">
        <w:rPr>
          <w:b w:val="0"/>
          <w:bCs w:val="0"/>
        </w:rPr>
        <w:t>Special Purpose Entity/Vehicle</w:t>
      </w:r>
      <w:r w:rsidRPr="00DA36E0">
        <w:rPr>
          <w:b w:val="0"/>
          <w:bCs w:val="0"/>
          <w:rtl/>
        </w:rPr>
        <w:t xml:space="preserve"> ) أسست خصيصاً لتنفيذ / تشغيل/ تمويل أي من النشاطات الخمسة الواردة في بند مطالبات الإقراض المتخصص (</w:t>
      </w:r>
      <w:r w:rsidRPr="00DA36E0">
        <w:rPr>
          <w:b w:val="0"/>
          <w:bCs w:val="0"/>
        </w:rPr>
        <w:t>2.2.12/1</w:t>
      </w:r>
      <w:r w:rsidRPr="00DA36E0">
        <w:rPr>
          <w:b w:val="0"/>
          <w:bCs w:val="0"/>
          <w:rtl/>
        </w:rPr>
        <w:t>).</w:t>
      </w:r>
    </w:p>
    <w:p w:rsidR="005A2DDD" w:rsidRPr="00DA36E0" w:rsidRDefault="005A2DDD" w:rsidP="007B5DF6">
      <w:pPr>
        <w:ind w:left="1025" w:hanging="720"/>
        <w:rPr>
          <w:b w:val="0"/>
          <w:bCs w:val="0"/>
          <w:rtl/>
        </w:rPr>
      </w:pPr>
      <w:r w:rsidRPr="00DA36E0">
        <w:rPr>
          <w:rFonts w:hint="cs"/>
          <w:b w:val="0"/>
          <w:bCs w:val="0"/>
          <w:rtl/>
        </w:rPr>
        <w:t>2.1</w:t>
      </w:r>
      <w:r w:rsidR="00DA36E0">
        <w:rPr>
          <w:rFonts w:hint="cs"/>
          <w:b w:val="0"/>
          <w:bCs w:val="0"/>
          <w:rtl/>
        </w:rPr>
        <w:t>.</w:t>
      </w:r>
      <w:r w:rsidRPr="00DA36E0">
        <w:rPr>
          <w:rFonts w:hint="cs"/>
          <w:b w:val="0"/>
          <w:bCs w:val="0"/>
          <w:rtl/>
        </w:rPr>
        <w:tab/>
      </w:r>
      <w:r w:rsidRPr="00DA36E0">
        <w:rPr>
          <w:b w:val="0"/>
          <w:bCs w:val="0"/>
          <w:rtl/>
        </w:rPr>
        <w:t>يعتمد القرار الائتماني بشكل أساسي على قدرة الأصول الممولة على توليد دخل (تدفقات نقدية) يكفي لسداد التعرض الائتماني وليس على المقدرة (الملاءة) الائتمانية للجهات التي تملك المنشاة محددة الغرض.</w:t>
      </w:r>
    </w:p>
    <w:p w:rsidR="005A2DDD" w:rsidRPr="00DA36E0" w:rsidRDefault="005A2DDD" w:rsidP="007B5DF6">
      <w:pPr>
        <w:ind w:left="1025" w:hanging="720"/>
        <w:rPr>
          <w:b w:val="0"/>
          <w:bCs w:val="0"/>
          <w:rtl/>
        </w:rPr>
      </w:pPr>
      <w:r w:rsidRPr="00DA36E0">
        <w:rPr>
          <w:rFonts w:hint="cs"/>
          <w:b w:val="0"/>
          <w:bCs w:val="0"/>
          <w:rtl/>
        </w:rPr>
        <w:t>3.1</w:t>
      </w:r>
      <w:r w:rsidR="00DA36E0">
        <w:rPr>
          <w:rFonts w:hint="cs"/>
          <w:b w:val="0"/>
          <w:bCs w:val="0"/>
          <w:rtl/>
        </w:rPr>
        <w:t>.</w:t>
      </w:r>
      <w:r w:rsidRPr="00DA36E0">
        <w:rPr>
          <w:rFonts w:hint="cs"/>
          <w:b w:val="0"/>
          <w:bCs w:val="0"/>
          <w:rtl/>
        </w:rPr>
        <w:tab/>
      </w:r>
      <w:r w:rsidRPr="00DA36E0">
        <w:rPr>
          <w:b w:val="0"/>
          <w:bCs w:val="0"/>
          <w:rtl/>
        </w:rPr>
        <w:t>في حال اعتماد القرار الائتماني على القدرة (الملاءة) الائتمانية  للجهات التي تملك المنشاة محددة الغرض يخرج التعرض الائتماني من إطار (مفهوم) الإقراض المتخصص ويعامل حكماً معاملة مطالبات الشركات، ويشترط لذلك الحصول على كفالات الجهات المالكة لكامل قيمة التمويل و حتى تاريخ آخر استحقاق.</w:t>
      </w:r>
    </w:p>
    <w:p w:rsidR="005A2DDD" w:rsidRPr="00DA36E0" w:rsidRDefault="005A2DDD" w:rsidP="007B5DF6">
      <w:pPr>
        <w:ind w:left="1025" w:hanging="720"/>
        <w:rPr>
          <w:b w:val="0"/>
          <w:bCs w:val="0"/>
          <w:rtl/>
        </w:rPr>
      </w:pPr>
      <w:r w:rsidRPr="00DA36E0">
        <w:rPr>
          <w:rFonts w:hint="cs"/>
          <w:b w:val="0"/>
          <w:bCs w:val="0"/>
          <w:rtl/>
        </w:rPr>
        <w:t>4.1</w:t>
      </w:r>
      <w:r w:rsidR="00DA36E0">
        <w:rPr>
          <w:rFonts w:hint="cs"/>
          <w:b w:val="0"/>
          <w:bCs w:val="0"/>
          <w:rtl/>
        </w:rPr>
        <w:t>.</w:t>
      </w:r>
      <w:r w:rsidRPr="00DA36E0">
        <w:rPr>
          <w:rFonts w:hint="cs"/>
          <w:b w:val="0"/>
          <w:bCs w:val="0"/>
          <w:rtl/>
        </w:rPr>
        <w:tab/>
      </w:r>
      <w:r w:rsidRPr="00DA36E0">
        <w:rPr>
          <w:b w:val="0"/>
          <w:bCs w:val="0"/>
          <w:rtl/>
        </w:rPr>
        <w:t>ليس لدى المنشأة المقترضة أي أصول أو نشاطات أخرى (ذات أهمية باستثناء الأصول الممولة) وبذلك فإن مصدر السداد الرئيسي ناشئ عن هذه الأصول/ المشروع.</w:t>
      </w:r>
    </w:p>
    <w:p w:rsidR="005A2DDD" w:rsidRPr="00DA36E0" w:rsidRDefault="005A2DDD" w:rsidP="007B5DF6">
      <w:pPr>
        <w:ind w:left="1025" w:hanging="720"/>
        <w:rPr>
          <w:b w:val="0"/>
          <w:bCs w:val="0"/>
          <w:rtl/>
        </w:rPr>
      </w:pPr>
      <w:r w:rsidRPr="00DA36E0">
        <w:rPr>
          <w:rFonts w:hint="cs"/>
          <w:b w:val="0"/>
          <w:bCs w:val="0"/>
          <w:rtl/>
        </w:rPr>
        <w:t>5.1</w:t>
      </w:r>
      <w:r w:rsidR="00DA36E0">
        <w:rPr>
          <w:rFonts w:hint="cs"/>
          <w:b w:val="0"/>
          <w:bCs w:val="0"/>
          <w:rtl/>
        </w:rPr>
        <w:t>.</w:t>
      </w:r>
      <w:r w:rsidRPr="00DA36E0">
        <w:rPr>
          <w:rFonts w:hint="cs"/>
          <w:b w:val="0"/>
          <w:bCs w:val="0"/>
          <w:rtl/>
        </w:rPr>
        <w:tab/>
      </w:r>
      <w:r w:rsidRPr="00DA36E0">
        <w:rPr>
          <w:b w:val="0"/>
          <w:bCs w:val="0"/>
          <w:rtl/>
        </w:rPr>
        <w:t>شروط التمويل توفر للبنك درجة عالية من السيطرة على الأصول الممولة والدخل (التدفقات النقدية) الناتج عنها.</w:t>
      </w:r>
    </w:p>
    <w:p w:rsidR="005A2DDD" w:rsidRPr="00DA36E0" w:rsidRDefault="005A2DDD" w:rsidP="007B5DF6">
      <w:pPr>
        <w:ind w:left="1025" w:hanging="720"/>
        <w:rPr>
          <w:b w:val="0"/>
          <w:bCs w:val="0"/>
          <w:rtl/>
        </w:rPr>
      </w:pPr>
      <w:r w:rsidRPr="00DA36E0">
        <w:rPr>
          <w:rFonts w:hint="cs"/>
          <w:b w:val="0"/>
          <w:bCs w:val="0"/>
          <w:rtl/>
        </w:rPr>
        <w:t>6.1</w:t>
      </w:r>
      <w:r w:rsidR="00DA36E0">
        <w:rPr>
          <w:rFonts w:hint="cs"/>
          <w:b w:val="0"/>
          <w:bCs w:val="0"/>
          <w:rtl/>
        </w:rPr>
        <w:t>.</w:t>
      </w:r>
      <w:r w:rsidRPr="00DA36E0">
        <w:rPr>
          <w:rFonts w:hint="cs"/>
          <w:b w:val="0"/>
          <w:bCs w:val="0"/>
          <w:rtl/>
        </w:rPr>
        <w:tab/>
      </w:r>
      <w:r w:rsidRPr="00DA36E0">
        <w:rPr>
          <w:b w:val="0"/>
          <w:bCs w:val="0"/>
          <w:rtl/>
        </w:rPr>
        <w:t>أن تكون الأصول الممولة مرهونة بالكامل كضمان لصالح البنك المقرض.</w:t>
      </w:r>
    </w:p>
    <w:p w:rsidR="005A2DDD" w:rsidRPr="0024790D" w:rsidRDefault="005A2DDD" w:rsidP="005A2DDD">
      <w:pPr>
        <w:rPr>
          <w:rtl/>
        </w:rPr>
      </w:pPr>
    </w:p>
    <w:p w:rsidR="005A2DDD" w:rsidRPr="0024790D" w:rsidRDefault="005A2DDD" w:rsidP="005A2DDD">
      <w:pPr>
        <w:rPr>
          <w:rtl/>
        </w:rPr>
      </w:pPr>
      <w:r w:rsidRPr="0024790D">
        <w:rPr>
          <w:rtl/>
        </w:rPr>
        <w:t>2</w:t>
      </w:r>
      <w:r w:rsidRPr="0024790D">
        <w:rPr>
          <w:rFonts w:hint="cs"/>
          <w:rtl/>
        </w:rPr>
        <w:t>.</w:t>
      </w:r>
      <w:r w:rsidR="00DA36E0">
        <w:rPr>
          <w:rFonts w:hint="cs"/>
          <w:rtl/>
        </w:rPr>
        <w:t xml:space="preserve"> </w:t>
      </w:r>
      <w:r w:rsidRPr="0024790D">
        <w:rPr>
          <w:rtl/>
        </w:rPr>
        <w:t>أنواع الإقراض المتخصص:</w:t>
      </w:r>
    </w:p>
    <w:p w:rsidR="005A2DDD" w:rsidRPr="00205AAB" w:rsidRDefault="005A2DDD" w:rsidP="007B5DF6">
      <w:pPr>
        <w:ind w:left="1025" w:hanging="720"/>
        <w:rPr>
          <w:b w:val="0"/>
          <w:bCs w:val="0"/>
          <w:rtl/>
        </w:rPr>
      </w:pPr>
      <w:r w:rsidRPr="00205AAB">
        <w:rPr>
          <w:b w:val="0"/>
          <w:bCs w:val="0"/>
          <w:rtl/>
        </w:rPr>
        <w:t>يقسم هذا النوع من الإقراض إلى خمسة أنواع و على النحو التالي:</w:t>
      </w:r>
    </w:p>
    <w:p w:rsidR="005A2DDD" w:rsidRPr="007B5DF6" w:rsidRDefault="005A2DDD" w:rsidP="007B5DF6">
      <w:pPr>
        <w:ind w:left="1025" w:hanging="720"/>
        <w:rPr>
          <w:b w:val="0"/>
          <w:bCs w:val="0"/>
          <w:rtl/>
        </w:rPr>
      </w:pPr>
      <w:r w:rsidRPr="007B5DF6">
        <w:rPr>
          <w:rFonts w:hint="cs"/>
          <w:b w:val="0"/>
          <w:bCs w:val="0"/>
          <w:rtl/>
        </w:rPr>
        <w:t>1.2</w:t>
      </w:r>
      <w:r w:rsidR="007B5DF6">
        <w:rPr>
          <w:rFonts w:hint="cs"/>
          <w:b w:val="0"/>
          <w:bCs w:val="0"/>
          <w:rtl/>
        </w:rPr>
        <w:t>.</w:t>
      </w:r>
      <w:r w:rsidRPr="007B5DF6">
        <w:rPr>
          <w:rFonts w:hint="cs"/>
          <w:b w:val="0"/>
          <w:bCs w:val="0"/>
          <w:rtl/>
        </w:rPr>
        <w:tab/>
      </w:r>
      <w:r w:rsidRPr="007B5DF6">
        <w:rPr>
          <w:b w:val="0"/>
          <w:bCs w:val="0"/>
          <w:rtl/>
        </w:rPr>
        <w:t>تمويل المشاريع (</w:t>
      </w:r>
      <w:r w:rsidRPr="007B5DF6">
        <w:rPr>
          <w:b w:val="0"/>
          <w:bCs w:val="0"/>
        </w:rPr>
        <w:t>Project Finance</w:t>
      </w:r>
      <w:r w:rsidRPr="007B5DF6">
        <w:rPr>
          <w:b w:val="0"/>
          <w:bCs w:val="0"/>
          <w:rtl/>
        </w:rPr>
        <w:t>):</w:t>
      </w:r>
    </w:p>
    <w:p w:rsidR="005A2DDD" w:rsidRPr="007B5DF6" w:rsidRDefault="005A2DDD" w:rsidP="007B5DF6">
      <w:pPr>
        <w:ind w:left="1745" w:hanging="720"/>
        <w:rPr>
          <w:b w:val="0"/>
          <w:bCs w:val="0"/>
          <w:rtl/>
        </w:rPr>
      </w:pPr>
      <w:r w:rsidRPr="007B5DF6">
        <w:rPr>
          <w:rFonts w:hint="cs"/>
          <w:b w:val="0"/>
          <w:bCs w:val="0"/>
          <w:rtl/>
        </w:rPr>
        <w:t>1.1.2</w:t>
      </w:r>
      <w:r w:rsidR="007B5DF6">
        <w:rPr>
          <w:rFonts w:hint="cs"/>
          <w:b w:val="0"/>
          <w:bCs w:val="0"/>
          <w:rtl/>
        </w:rPr>
        <w:t>.</w:t>
      </w:r>
      <w:r w:rsidRPr="007B5DF6">
        <w:rPr>
          <w:rFonts w:hint="cs"/>
          <w:b w:val="0"/>
          <w:bCs w:val="0"/>
          <w:rtl/>
        </w:rPr>
        <w:tab/>
      </w:r>
      <w:r w:rsidRPr="007B5DF6">
        <w:rPr>
          <w:b w:val="0"/>
          <w:bCs w:val="0"/>
          <w:rtl/>
        </w:rPr>
        <w:t>وسيلة تمويل يعتمد فيها البنك المقرض بشكل أساسي على الإيرادات المتأتية من مشروع واحد قائم بذاته كمصدر رئيسي للسداد، وتكون فيها أصول ذلك المشروع مرهونة بالكامل كضمان لصالح البنك المقرض.</w:t>
      </w:r>
    </w:p>
    <w:p w:rsidR="005A2DDD" w:rsidRPr="007B5DF6" w:rsidRDefault="005A2DDD" w:rsidP="007B5DF6">
      <w:pPr>
        <w:ind w:left="1745" w:hanging="720"/>
        <w:rPr>
          <w:b w:val="0"/>
          <w:bCs w:val="0"/>
        </w:rPr>
      </w:pPr>
      <w:r w:rsidRPr="007B5DF6">
        <w:rPr>
          <w:rFonts w:hint="cs"/>
          <w:b w:val="0"/>
          <w:bCs w:val="0"/>
          <w:rtl/>
        </w:rPr>
        <w:t>2.1.2</w:t>
      </w:r>
      <w:r w:rsidR="007B5DF6">
        <w:rPr>
          <w:rFonts w:hint="cs"/>
          <w:b w:val="0"/>
          <w:bCs w:val="0"/>
          <w:rtl/>
        </w:rPr>
        <w:t>.</w:t>
      </w:r>
      <w:r w:rsidRPr="007B5DF6">
        <w:rPr>
          <w:rFonts w:hint="cs"/>
          <w:b w:val="0"/>
          <w:bCs w:val="0"/>
          <w:rtl/>
        </w:rPr>
        <w:tab/>
      </w:r>
      <w:r w:rsidRPr="007B5DF6">
        <w:rPr>
          <w:b w:val="0"/>
          <w:bCs w:val="0"/>
          <w:rtl/>
        </w:rPr>
        <w:t xml:space="preserve">يمنح هذا النوع من التمويل عادة للمشاريع الكبيرة والمعقدة ذات الكلفة العالية ومنها على سبيل المثال محطات توليد الطاقة، مصانع إنتاج وتحويل المواد الكيماوية، </w:t>
      </w:r>
      <w:r w:rsidRPr="007B5DF6">
        <w:rPr>
          <w:b w:val="0"/>
          <w:bCs w:val="0"/>
          <w:rtl/>
        </w:rPr>
        <w:lastRenderedPageBreak/>
        <w:t>المناجم، مشاريع البنية التحتية المتعلقة بالنقل، مشاريع البيئة ومشاريع البنية التحتية للاتصالات.</w:t>
      </w:r>
    </w:p>
    <w:p w:rsidR="005A2DDD" w:rsidRPr="007B5DF6" w:rsidRDefault="005A2DDD" w:rsidP="007B5DF6">
      <w:pPr>
        <w:ind w:left="1745" w:hanging="720"/>
        <w:rPr>
          <w:b w:val="0"/>
          <w:bCs w:val="0"/>
          <w:rtl/>
        </w:rPr>
      </w:pPr>
      <w:r w:rsidRPr="007B5DF6">
        <w:rPr>
          <w:rFonts w:hint="cs"/>
          <w:b w:val="0"/>
          <w:bCs w:val="0"/>
          <w:rtl/>
        </w:rPr>
        <w:t>3.1.2</w:t>
      </w:r>
      <w:r w:rsidR="007B5DF6">
        <w:rPr>
          <w:rFonts w:hint="cs"/>
          <w:b w:val="0"/>
          <w:bCs w:val="0"/>
          <w:rtl/>
        </w:rPr>
        <w:t>.</w:t>
      </w:r>
      <w:r w:rsidRPr="007B5DF6">
        <w:rPr>
          <w:rFonts w:hint="cs"/>
          <w:b w:val="0"/>
          <w:bCs w:val="0"/>
          <w:rtl/>
        </w:rPr>
        <w:tab/>
      </w:r>
      <w:r w:rsidRPr="007B5DF6">
        <w:rPr>
          <w:b w:val="0"/>
          <w:bCs w:val="0"/>
          <w:rtl/>
        </w:rPr>
        <w:t>يندرج تحت هذه الفئة تمويل إنشاء هذه المشاريع و/أو إعادة تمويل مشاريع قائمة مع أو بدون إجراء تحسينات.</w:t>
      </w:r>
    </w:p>
    <w:p w:rsidR="005A2DDD" w:rsidRPr="007B5DF6" w:rsidRDefault="005A2DDD" w:rsidP="007B5DF6">
      <w:pPr>
        <w:ind w:left="1745" w:hanging="720"/>
        <w:rPr>
          <w:b w:val="0"/>
          <w:bCs w:val="0"/>
        </w:rPr>
      </w:pPr>
      <w:r w:rsidRPr="007B5DF6">
        <w:rPr>
          <w:rFonts w:hint="cs"/>
          <w:b w:val="0"/>
          <w:bCs w:val="0"/>
          <w:rtl/>
        </w:rPr>
        <w:t>4.1.2</w:t>
      </w:r>
      <w:r w:rsidR="007B5DF6">
        <w:rPr>
          <w:rFonts w:hint="cs"/>
          <w:b w:val="0"/>
          <w:bCs w:val="0"/>
          <w:rtl/>
        </w:rPr>
        <w:t>.</w:t>
      </w:r>
      <w:r w:rsidRPr="007B5DF6">
        <w:rPr>
          <w:rFonts w:hint="cs"/>
          <w:b w:val="0"/>
          <w:bCs w:val="0"/>
          <w:rtl/>
        </w:rPr>
        <w:tab/>
      </w:r>
      <w:r w:rsidRPr="007B5DF6">
        <w:rPr>
          <w:b w:val="0"/>
          <w:bCs w:val="0"/>
          <w:rtl/>
        </w:rPr>
        <w:t>يعتمد البنك المقرض في هذا النوع من عمليات التمويل حصرياً على التدفقات النقدية الناتجة عن المشروع لسداد كامل قيمة التعرض الائتماني ومثال ذلك قيمة الكهرباء المباعة من قبل محطة توليد الطاقة.</w:t>
      </w:r>
    </w:p>
    <w:p w:rsidR="005A2DDD" w:rsidRPr="00EC227C" w:rsidRDefault="005A2DDD" w:rsidP="00EC227C">
      <w:pPr>
        <w:ind w:left="1745" w:hanging="720"/>
        <w:rPr>
          <w:b w:val="0"/>
          <w:bCs w:val="0"/>
          <w:rtl/>
        </w:rPr>
      </w:pPr>
      <w:r w:rsidRPr="007B5DF6">
        <w:rPr>
          <w:rFonts w:hint="cs"/>
          <w:b w:val="0"/>
          <w:bCs w:val="0"/>
          <w:rtl/>
        </w:rPr>
        <w:t>5.1.2</w:t>
      </w:r>
      <w:r w:rsidR="007B5DF6">
        <w:rPr>
          <w:rFonts w:hint="cs"/>
          <w:b w:val="0"/>
          <w:bCs w:val="0"/>
          <w:rtl/>
        </w:rPr>
        <w:t>.</w:t>
      </w:r>
      <w:r w:rsidRPr="007B5DF6">
        <w:rPr>
          <w:rFonts w:hint="cs"/>
          <w:b w:val="0"/>
          <w:bCs w:val="0"/>
          <w:rtl/>
        </w:rPr>
        <w:tab/>
      </w:r>
      <w:r w:rsidRPr="007B5DF6">
        <w:rPr>
          <w:b w:val="0"/>
          <w:bCs w:val="0"/>
          <w:rtl/>
        </w:rPr>
        <w:t>عادة ما يكون المقترض منشأة محددة الغرض لا يسمح لها بمزاولة أي أعمال باستثناء تطوير أو بناء</w:t>
      </w:r>
      <w:r w:rsidR="00EC227C">
        <w:rPr>
          <w:b w:val="0"/>
          <w:bCs w:val="0"/>
          <w:rtl/>
        </w:rPr>
        <w:t xml:space="preserve"> وامتلاك وتشغيل الأصول الممولة.</w:t>
      </w:r>
    </w:p>
    <w:p w:rsidR="005A2DDD" w:rsidRPr="007B5DF6" w:rsidRDefault="005A2DDD" w:rsidP="007B5DF6">
      <w:pPr>
        <w:ind w:left="1025" w:hanging="720"/>
        <w:rPr>
          <w:b w:val="0"/>
          <w:bCs w:val="0"/>
          <w:rtl/>
        </w:rPr>
      </w:pPr>
      <w:r w:rsidRPr="007B5DF6">
        <w:rPr>
          <w:b w:val="0"/>
          <w:bCs w:val="0"/>
          <w:rtl/>
        </w:rPr>
        <w:t>2</w:t>
      </w:r>
      <w:r w:rsidRPr="007B5DF6">
        <w:rPr>
          <w:rFonts w:hint="cs"/>
          <w:b w:val="0"/>
          <w:bCs w:val="0"/>
          <w:rtl/>
        </w:rPr>
        <w:t>.</w:t>
      </w:r>
      <w:r w:rsidRPr="007B5DF6">
        <w:rPr>
          <w:b w:val="0"/>
          <w:bCs w:val="0"/>
          <w:rtl/>
        </w:rPr>
        <w:t>2</w:t>
      </w:r>
      <w:r w:rsidR="007B5DF6" w:rsidRPr="007B5DF6">
        <w:rPr>
          <w:rFonts w:hint="cs"/>
          <w:b w:val="0"/>
          <w:bCs w:val="0"/>
          <w:rtl/>
        </w:rPr>
        <w:t>.</w:t>
      </w:r>
      <w:r w:rsidRPr="007B5DF6">
        <w:rPr>
          <w:b w:val="0"/>
          <w:bCs w:val="0"/>
          <w:rtl/>
        </w:rPr>
        <w:tab/>
        <w:t>تمويل الأصول المادية (</w:t>
      </w:r>
      <w:r w:rsidRPr="007B5DF6">
        <w:rPr>
          <w:b w:val="0"/>
          <w:bCs w:val="0"/>
        </w:rPr>
        <w:t>Object Finance</w:t>
      </w:r>
      <w:r w:rsidRPr="007B5DF6">
        <w:rPr>
          <w:b w:val="0"/>
          <w:bCs w:val="0"/>
          <w:rtl/>
        </w:rPr>
        <w:t xml:space="preserve">): </w:t>
      </w:r>
    </w:p>
    <w:p w:rsidR="005A2DDD" w:rsidRPr="007B5DF6" w:rsidRDefault="005A2DDD" w:rsidP="007B5DF6">
      <w:pPr>
        <w:ind w:left="1745" w:hanging="720"/>
        <w:rPr>
          <w:b w:val="0"/>
          <w:bCs w:val="0"/>
        </w:rPr>
      </w:pPr>
      <w:r w:rsidRPr="007B5DF6">
        <w:rPr>
          <w:rFonts w:hint="cs"/>
          <w:b w:val="0"/>
          <w:bCs w:val="0"/>
          <w:rtl/>
        </w:rPr>
        <w:t>1.2.2</w:t>
      </w:r>
      <w:r w:rsidR="007B5DF6" w:rsidRPr="007B5DF6">
        <w:rPr>
          <w:rFonts w:hint="cs"/>
          <w:b w:val="0"/>
          <w:bCs w:val="0"/>
          <w:rtl/>
        </w:rPr>
        <w:t>.</w:t>
      </w:r>
      <w:r w:rsidRPr="007B5DF6">
        <w:rPr>
          <w:rFonts w:hint="cs"/>
          <w:b w:val="0"/>
          <w:bCs w:val="0"/>
          <w:rtl/>
        </w:rPr>
        <w:tab/>
      </w:r>
      <w:r w:rsidRPr="007B5DF6">
        <w:rPr>
          <w:b w:val="0"/>
          <w:bCs w:val="0"/>
          <w:rtl/>
        </w:rPr>
        <w:t>وسيلة تمويل الهدف منها شراء أصول مادية مثل السفن، الطائرات، القطارات وأساطيل الشحن وما هو بحكمها حيث تعتمد عملية سداد قيمة التعرض الائتماني بشكل رئيسي على التدفقات النقدية الناتجة عن هذه الأصول وشريطة أن تكون هذه الأصول مرهونة بالكامل لصالح الجهة المقرضة.</w:t>
      </w:r>
    </w:p>
    <w:p w:rsidR="005A2DDD" w:rsidRPr="007B5DF6" w:rsidRDefault="005A2DDD" w:rsidP="00EC227C">
      <w:pPr>
        <w:ind w:left="1745" w:hanging="720"/>
        <w:rPr>
          <w:b w:val="0"/>
          <w:bCs w:val="0"/>
        </w:rPr>
      </w:pPr>
      <w:r w:rsidRPr="007B5DF6">
        <w:rPr>
          <w:rFonts w:hint="cs"/>
          <w:b w:val="0"/>
          <w:bCs w:val="0"/>
          <w:rtl/>
        </w:rPr>
        <w:t>2.2.2</w:t>
      </w:r>
      <w:r w:rsidR="007B5DF6" w:rsidRPr="007B5DF6">
        <w:rPr>
          <w:rFonts w:hint="cs"/>
          <w:b w:val="0"/>
          <w:bCs w:val="0"/>
          <w:rtl/>
        </w:rPr>
        <w:t>.</w:t>
      </w:r>
      <w:r w:rsidRPr="007B5DF6">
        <w:rPr>
          <w:rFonts w:hint="cs"/>
          <w:b w:val="0"/>
          <w:bCs w:val="0"/>
          <w:rtl/>
        </w:rPr>
        <w:tab/>
      </w:r>
      <w:r w:rsidRPr="007B5DF6">
        <w:rPr>
          <w:b w:val="0"/>
          <w:bCs w:val="0"/>
          <w:rtl/>
        </w:rPr>
        <w:t>عادة ما تكون التدفقات النقدية الناتجة عن هذه الأصول عبارة عن دفعات ضمن عقود تأج</w:t>
      </w:r>
      <w:r w:rsidR="00EC227C">
        <w:rPr>
          <w:b w:val="0"/>
          <w:bCs w:val="0"/>
          <w:rtl/>
        </w:rPr>
        <w:t>ير تمويلي مع طرف أو أطراف أخرى.</w:t>
      </w:r>
    </w:p>
    <w:p w:rsidR="005A2DDD" w:rsidRPr="007B5DF6" w:rsidRDefault="005A2DDD" w:rsidP="00DA36E0">
      <w:pPr>
        <w:ind w:left="1115" w:hanging="540"/>
        <w:rPr>
          <w:b w:val="0"/>
          <w:bCs w:val="0"/>
        </w:rPr>
      </w:pPr>
      <w:r w:rsidRPr="007B5DF6">
        <w:rPr>
          <w:rFonts w:hint="cs"/>
          <w:b w:val="0"/>
          <w:bCs w:val="0"/>
          <w:rtl/>
        </w:rPr>
        <w:t>3.2</w:t>
      </w:r>
      <w:r w:rsidR="007B5DF6">
        <w:rPr>
          <w:rFonts w:hint="cs"/>
          <w:b w:val="0"/>
          <w:bCs w:val="0"/>
          <w:rtl/>
        </w:rPr>
        <w:t>.</w:t>
      </w:r>
      <w:r w:rsidRPr="007B5DF6">
        <w:rPr>
          <w:b w:val="0"/>
          <w:bCs w:val="0"/>
          <w:rtl/>
        </w:rPr>
        <w:tab/>
        <w:t>تمويل البضائع (</w:t>
      </w:r>
      <w:r w:rsidRPr="007B5DF6">
        <w:rPr>
          <w:b w:val="0"/>
          <w:bCs w:val="0"/>
        </w:rPr>
        <w:t>Commodities Finance</w:t>
      </w:r>
      <w:r w:rsidRPr="007B5DF6">
        <w:rPr>
          <w:b w:val="0"/>
          <w:bCs w:val="0"/>
          <w:rtl/>
        </w:rPr>
        <w:t xml:space="preserve">): </w:t>
      </w:r>
    </w:p>
    <w:p w:rsidR="005A2DDD" w:rsidRPr="007B5DF6" w:rsidRDefault="005A2DDD" w:rsidP="007B5DF6">
      <w:pPr>
        <w:ind w:left="1745" w:hanging="720"/>
        <w:rPr>
          <w:b w:val="0"/>
          <w:bCs w:val="0"/>
        </w:rPr>
      </w:pPr>
      <w:r w:rsidRPr="007B5DF6">
        <w:rPr>
          <w:rFonts w:hint="cs"/>
          <w:b w:val="0"/>
          <w:bCs w:val="0"/>
          <w:rtl/>
        </w:rPr>
        <w:t>1.3.2</w:t>
      </w:r>
      <w:r w:rsidRPr="007B5DF6">
        <w:rPr>
          <w:rFonts w:hint="cs"/>
          <w:b w:val="0"/>
          <w:bCs w:val="0"/>
          <w:rtl/>
        </w:rPr>
        <w:tab/>
      </w:r>
      <w:r w:rsidRPr="007B5DF6">
        <w:rPr>
          <w:b w:val="0"/>
          <w:bCs w:val="0"/>
          <w:rtl/>
        </w:rPr>
        <w:t>وسيلة تمويل قصيرة الأجل، لا تزيد مدتها عن 180 يوما،  مصممة خصيصا بهدف تمويل الاحتياطيات و/ أو المخزون و/أو الذمم المدينة المتعلقة ببضائع يتم المتاجرة بها من خلال الأسواق العالمية ومثالها: النفط الخام، المعادن أو المحاصيل.</w:t>
      </w:r>
    </w:p>
    <w:p w:rsidR="005A2DDD" w:rsidRPr="007B5DF6" w:rsidRDefault="005A2DDD" w:rsidP="007B5DF6">
      <w:pPr>
        <w:ind w:left="1745" w:hanging="720"/>
        <w:rPr>
          <w:b w:val="0"/>
          <w:bCs w:val="0"/>
          <w:rtl/>
        </w:rPr>
      </w:pPr>
      <w:r w:rsidRPr="007B5DF6">
        <w:rPr>
          <w:rFonts w:hint="cs"/>
          <w:b w:val="0"/>
          <w:bCs w:val="0"/>
          <w:rtl/>
        </w:rPr>
        <w:t>2.3.2</w:t>
      </w:r>
      <w:r w:rsidRPr="007B5DF6">
        <w:rPr>
          <w:rFonts w:hint="cs"/>
          <w:b w:val="0"/>
          <w:bCs w:val="0"/>
          <w:rtl/>
        </w:rPr>
        <w:tab/>
      </w:r>
      <w:r w:rsidRPr="007B5DF6">
        <w:rPr>
          <w:b w:val="0"/>
          <w:bCs w:val="0"/>
          <w:rtl/>
        </w:rPr>
        <w:t>يكون المصدر الرئيسي للسداد حصيلة بيع البضاعة لأن المقترض ليس لديه القدرة المستقلة و/أو الرغبة في سداد التعرض الائتماني من مصادره الخاصة لان نشاطه ينحصر بعمليات المتاجرة بهذا النوع من البضائع.</w:t>
      </w:r>
    </w:p>
    <w:p w:rsidR="005A2DDD" w:rsidRPr="007B5DF6" w:rsidRDefault="005A2DDD" w:rsidP="007B5DF6">
      <w:pPr>
        <w:ind w:left="1745" w:hanging="720"/>
        <w:rPr>
          <w:b w:val="0"/>
          <w:bCs w:val="0"/>
        </w:rPr>
      </w:pPr>
      <w:r w:rsidRPr="007B5DF6">
        <w:rPr>
          <w:rFonts w:hint="cs"/>
          <w:b w:val="0"/>
          <w:bCs w:val="0"/>
          <w:rtl/>
        </w:rPr>
        <w:t>3.3.2</w:t>
      </w:r>
      <w:r w:rsidR="007B5DF6">
        <w:rPr>
          <w:rFonts w:hint="cs"/>
          <w:b w:val="0"/>
          <w:bCs w:val="0"/>
          <w:rtl/>
        </w:rPr>
        <w:t>.</w:t>
      </w:r>
      <w:r w:rsidRPr="007B5DF6">
        <w:rPr>
          <w:rFonts w:hint="cs"/>
          <w:b w:val="0"/>
          <w:bCs w:val="0"/>
          <w:rtl/>
        </w:rPr>
        <w:tab/>
      </w:r>
      <w:r w:rsidRPr="007B5DF6">
        <w:rPr>
          <w:b w:val="0"/>
          <w:bCs w:val="0"/>
          <w:rtl/>
        </w:rPr>
        <w:t>عادة ما يكون سبب منح الائتمان هو قدرة البنك المقرض على تصميم آلية خاصة للائتمان تضمن حقه بأولوية السداد من خلال ذاتية التسييل (</w:t>
      </w:r>
      <w:r w:rsidR="007B5DF6" w:rsidRPr="007B5DF6">
        <w:rPr>
          <w:b w:val="0"/>
          <w:bCs w:val="0"/>
        </w:rPr>
        <w:t>Self-Liquidating</w:t>
      </w:r>
      <w:r w:rsidRPr="007B5DF6">
        <w:rPr>
          <w:b w:val="0"/>
          <w:bCs w:val="0"/>
        </w:rPr>
        <w:t xml:space="preserve"> Nature</w:t>
      </w:r>
      <w:r w:rsidRPr="007B5DF6">
        <w:rPr>
          <w:b w:val="0"/>
          <w:bCs w:val="0"/>
          <w:rtl/>
        </w:rPr>
        <w:t>) للبضائع الممولة وليس من خلال اعتماده على القدرة (الملاءة) الائتمانية للمقترض.</w:t>
      </w:r>
    </w:p>
    <w:p w:rsidR="005A2DDD" w:rsidRPr="007B5DF6" w:rsidRDefault="005A2DDD" w:rsidP="00EC227C">
      <w:pPr>
        <w:ind w:left="1745" w:hanging="720"/>
        <w:rPr>
          <w:b w:val="0"/>
          <w:bCs w:val="0"/>
          <w:rtl/>
        </w:rPr>
      </w:pPr>
      <w:r w:rsidRPr="007B5DF6">
        <w:rPr>
          <w:rFonts w:hint="cs"/>
          <w:b w:val="0"/>
          <w:bCs w:val="0"/>
          <w:rtl/>
        </w:rPr>
        <w:lastRenderedPageBreak/>
        <w:t>4.3.2</w:t>
      </w:r>
      <w:r w:rsidR="007B5DF6">
        <w:rPr>
          <w:rFonts w:hint="cs"/>
          <w:b w:val="0"/>
          <w:bCs w:val="0"/>
          <w:rtl/>
        </w:rPr>
        <w:t>.</w:t>
      </w:r>
      <w:r w:rsidRPr="007B5DF6">
        <w:rPr>
          <w:rFonts w:hint="cs"/>
          <w:b w:val="0"/>
          <w:bCs w:val="0"/>
          <w:rtl/>
        </w:rPr>
        <w:tab/>
      </w:r>
      <w:r w:rsidRPr="007B5DF6">
        <w:rPr>
          <w:b w:val="0"/>
          <w:bCs w:val="0"/>
          <w:rtl/>
        </w:rPr>
        <w:t>لا يدرج ضمن هذه الفئة تمويل احتياطيات / مخزون الشركات من هذه البضائع اذ أنها تعتبر بالنسبة لها مدخلات إنتاج و بالتالي فان القدرة المالية لهذه الشركات هي أساس منح الائتمان وليس قدرة البنك</w:t>
      </w:r>
      <w:r w:rsidR="00EC227C">
        <w:rPr>
          <w:b w:val="0"/>
          <w:bCs w:val="0"/>
          <w:rtl/>
        </w:rPr>
        <w:t xml:space="preserve"> المقرض على تسييل قيمة البضائع.</w:t>
      </w:r>
    </w:p>
    <w:p w:rsidR="005A2DDD" w:rsidRPr="007B5DF6" w:rsidRDefault="005A2DDD" w:rsidP="00DA36E0">
      <w:pPr>
        <w:ind w:left="1115" w:hanging="540"/>
        <w:rPr>
          <w:b w:val="0"/>
          <w:bCs w:val="0"/>
        </w:rPr>
      </w:pPr>
      <w:r w:rsidRPr="007B5DF6">
        <w:rPr>
          <w:rFonts w:hint="cs"/>
          <w:b w:val="0"/>
          <w:bCs w:val="0"/>
          <w:rtl/>
        </w:rPr>
        <w:t>4.2</w:t>
      </w:r>
      <w:r w:rsidRPr="007B5DF6">
        <w:rPr>
          <w:b w:val="0"/>
          <w:bCs w:val="0"/>
          <w:rtl/>
        </w:rPr>
        <w:tab/>
        <w:t>العقارات المدرة للدخل (</w:t>
      </w:r>
      <w:r w:rsidRPr="007B5DF6">
        <w:rPr>
          <w:b w:val="0"/>
          <w:bCs w:val="0"/>
        </w:rPr>
        <w:t>Income-Producing Real Estate</w:t>
      </w:r>
      <w:r w:rsidRPr="007B5DF6">
        <w:rPr>
          <w:b w:val="0"/>
          <w:bCs w:val="0"/>
          <w:rtl/>
        </w:rPr>
        <w:t xml:space="preserve">): </w:t>
      </w:r>
    </w:p>
    <w:p w:rsidR="005A2DDD" w:rsidRPr="007B5DF6" w:rsidRDefault="005A2DDD" w:rsidP="007B5DF6">
      <w:pPr>
        <w:ind w:left="1745" w:hanging="720"/>
        <w:rPr>
          <w:b w:val="0"/>
          <w:bCs w:val="0"/>
        </w:rPr>
      </w:pPr>
      <w:r w:rsidRPr="007B5DF6">
        <w:rPr>
          <w:rFonts w:hint="cs"/>
          <w:b w:val="0"/>
          <w:bCs w:val="0"/>
          <w:rtl/>
        </w:rPr>
        <w:t>1.4.2</w:t>
      </w:r>
      <w:r w:rsidR="007B5DF6">
        <w:rPr>
          <w:rFonts w:hint="cs"/>
          <w:b w:val="0"/>
          <w:bCs w:val="0"/>
          <w:rtl/>
        </w:rPr>
        <w:t>.</w:t>
      </w:r>
      <w:r w:rsidRPr="007B5DF6">
        <w:rPr>
          <w:rFonts w:hint="cs"/>
          <w:b w:val="0"/>
          <w:bCs w:val="0"/>
          <w:rtl/>
        </w:rPr>
        <w:tab/>
      </w:r>
      <w:r w:rsidRPr="007B5DF6">
        <w:rPr>
          <w:b w:val="0"/>
          <w:bCs w:val="0"/>
          <w:rtl/>
        </w:rPr>
        <w:t>وسيلة  تهدف لتمويل إنشاء و/أو شراء منشآت عقارية يكون المصدر الرئيسي لسدادها التدفقات النقدية الناتجة عن تأجير و/أو  بيع و/أو  التأجير التمويلي لهذه المنشآت العقارية.</w:t>
      </w:r>
    </w:p>
    <w:p w:rsidR="005A2DDD" w:rsidRPr="007B5DF6" w:rsidRDefault="005A2DDD" w:rsidP="007B5DF6">
      <w:pPr>
        <w:ind w:left="1745" w:hanging="720"/>
        <w:rPr>
          <w:b w:val="0"/>
          <w:bCs w:val="0"/>
        </w:rPr>
      </w:pPr>
      <w:r w:rsidRPr="007B5DF6">
        <w:rPr>
          <w:rFonts w:hint="cs"/>
          <w:b w:val="0"/>
          <w:bCs w:val="0"/>
          <w:rtl/>
        </w:rPr>
        <w:t>2.4.2</w:t>
      </w:r>
      <w:r w:rsidR="007B5DF6">
        <w:rPr>
          <w:rFonts w:hint="cs"/>
          <w:b w:val="0"/>
          <w:bCs w:val="0"/>
          <w:rtl/>
        </w:rPr>
        <w:t>.</w:t>
      </w:r>
      <w:r w:rsidRPr="007B5DF6">
        <w:rPr>
          <w:rFonts w:hint="cs"/>
          <w:b w:val="0"/>
          <w:bCs w:val="0"/>
          <w:rtl/>
        </w:rPr>
        <w:tab/>
      </w:r>
      <w:r w:rsidRPr="007B5DF6">
        <w:rPr>
          <w:b w:val="0"/>
          <w:bCs w:val="0"/>
          <w:rtl/>
        </w:rPr>
        <w:t>تندرج ضمن هذه الفئة الأنواع التالية من العقارات:</w:t>
      </w:r>
    </w:p>
    <w:p w:rsidR="005A2DDD" w:rsidRPr="007B5DF6" w:rsidRDefault="005A2DDD" w:rsidP="007B5DF6">
      <w:pPr>
        <w:ind w:left="2105" w:hanging="360"/>
        <w:rPr>
          <w:b w:val="0"/>
          <w:bCs w:val="0"/>
        </w:rPr>
      </w:pPr>
      <w:r w:rsidRPr="007B5DF6">
        <w:rPr>
          <w:b w:val="0"/>
          <w:bCs w:val="0"/>
          <w:rtl/>
        </w:rPr>
        <w:t>-</w:t>
      </w:r>
      <w:r w:rsidRPr="007B5DF6">
        <w:rPr>
          <w:b w:val="0"/>
          <w:bCs w:val="0"/>
          <w:rtl/>
        </w:rPr>
        <w:tab/>
        <w:t>المباني / الأسواق التجارية</w:t>
      </w:r>
    </w:p>
    <w:p w:rsidR="005A2DDD" w:rsidRPr="007B5DF6" w:rsidRDefault="005A2DDD" w:rsidP="007B5DF6">
      <w:pPr>
        <w:ind w:left="2105" w:hanging="360"/>
        <w:rPr>
          <w:b w:val="0"/>
          <w:bCs w:val="0"/>
        </w:rPr>
      </w:pPr>
      <w:r w:rsidRPr="007B5DF6">
        <w:rPr>
          <w:b w:val="0"/>
          <w:bCs w:val="0"/>
          <w:rtl/>
        </w:rPr>
        <w:t>-</w:t>
      </w:r>
      <w:r w:rsidRPr="007B5DF6">
        <w:rPr>
          <w:b w:val="0"/>
          <w:bCs w:val="0"/>
          <w:rtl/>
        </w:rPr>
        <w:tab/>
        <w:t>المباني / المجمعات السكنية</w:t>
      </w:r>
    </w:p>
    <w:p w:rsidR="005A2DDD" w:rsidRPr="007B5DF6" w:rsidRDefault="005A2DDD" w:rsidP="007B5DF6">
      <w:pPr>
        <w:ind w:left="2105" w:hanging="360"/>
        <w:rPr>
          <w:b w:val="0"/>
          <w:bCs w:val="0"/>
        </w:rPr>
      </w:pPr>
      <w:r w:rsidRPr="007B5DF6">
        <w:rPr>
          <w:b w:val="0"/>
          <w:bCs w:val="0"/>
          <w:rtl/>
        </w:rPr>
        <w:t>-</w:t>
      </w:r>
      <w:r w:rsidRPr="007B5DF6">
        <w:rPr>
          <w:b w:val="0"/>
          <w:bCs w:val="0"/>
          <w:rtl/>
        </w:rPr>
        <w:tab/>
        <w:t>العقارات / المجمعات / المناطق الصناعية</w:t>
      </w:r>
    </w:p>
    <w:p w:rsidR="005A2DDD" w:rsidRPr="007B5DF6" w:rsidRDefault="005A2DDD" w:rsidP="007B5DF6">
      <w:pPr>
        <w:ind w:left="2105" w:hanging="360"/>
        <w:rPr>
          <w:b w:val="0"/>
          <w:bCs w:val="0"/>
        </w:rPr>
      </w:pPr>
      <w:r w:rsidRPr="007B5DF6">
        <w:rPr>
          <w:b w:val="0"/>
          <w:bCs w:val="0"/>
          <w:rtl/>
        </w:rPr>
        <w:t>-</w:t>
      </w:r>
      <w:r w:rsidRPr="007B5DF6">
        <w:rPr>
          <w:b w:val="0"/>
          <w:bCs w:val="0"/>
          <w:rtl/>
        </w:rPr>
        <w:tab/>
        <w:t>مستودعات / مناطق التخزين.</w:t>
      </w:r>
    </w:p>
    <w:p w:rsidR="005A2DDD" w:rsidRPr="007B5DF6" w:rsidRDefault="005A2DDD" w:rsidP="007B5DF6">
      <w:pPr>
        <w:ind w:left="2105" w:hanging="360"/>
        <w:rPr>
          <w:b w:val="0"/>
          <w:bCs w:val="0"/>
        </w:rPr>
      </w:pPr>
      <w:r w:rsidRPr="007B5DF6">
        <w:rPr>
          <w:b w:val="0"/>
          <w:bCs w:val="0"/>
          <w:rtl/>
        </w:rPr>
        <w:t>-</w:t>
      </w:r>
      <w:r w:rsidRPr="007B5DF6">
        <w:rPr>
          <w:b w:val="0"/>
          <w:bCs w:val="0"/>
          <w:rtl/>
        </w:rPr>
        <w:tab/>
        <w:t>الفنادق و القرى السياحية.</w:t>
      </w:r>
    </w:p>
    <w:p w:rsidR="005A2DDD" w:rsidRPr="007B5DF6" w:rsidRDefault="005A2DDD" w:rsidP="007B5DF6">
      <w:pPr>
        <w:ind w:left="2105" w:hanging="360"/>
        <w:rPr>
          <w:b w:val="0"/>
          <w:bCs w:val="0"/>
        </w:rPr>
      </w:pPr>
      <w:r w:rsidRPr="007B5DF6">
        <w:rPr>
          <w:b w:val="0"/>
          <w:bCs w:val="0"/>
          <w:rtl/>
        </w:rPr>
        <w:t>-</w:t>
      </w:r>
      <w:r w:rsidRPr="007B5DF6">
        <w:rPr>
          <w:b w:val="0"/>
          <w:bCs w:val="0"/>
          <w:rtl/>
        </w:rPr>
        <w:tab/>
        <w:t>أية منشآت عقارية  ذات طبيعة مشابهة.</w:t>
      </w:r>
    </w:p>
    <w:p w:rsidR="007B5DF6" w:rsidRPr="007B5DF6" w:rsidRDefault="005A2DDD" w:rsidP="00EC227C">
      <w:pPr>
        <w:ind w:left="1745" w:hanging="720"/>
        <w:rPr>
          <w:b w:val="0"/>
          <w:bCs w:val="0"/>
        </w:rPr>
      </w:pPr>
      <w:r w:rsidRPr="007B5DF6">
        <w:rPr>
          <w:rFonts w:hint="cs"/>
          <w:b w:val="0"/>
          <w:bCs w:val="0"/>
          <w:rtl/>
        </w:rPr>
        <w:t>3.4.2</w:t>
      </w:r>
      <w:r w:rsidR="007B5DF6">
        <w:rPr>
          <w:rFonts w:hint="cs"/>
          <w:b w:val="0"/>
          <w:bCs w:val="0"/>
          <w:rtl/>
        </w:rPr>
        <w:t>.</w:t>
      </w:r>
      <w:r w:rsidRPr="007B5DF6">
        <w:rPr>
          <w:rFonts w:hint="cs"/>
          <w:b w:val="0"/>
          <w:bCs w:val="0"/>
          <w:rtl/>
        </w:rPr>
        <w:tab/>
      </w:r>
      <w:r w:rsidRPr="007B5DF6">
        <w:rPr>
          <w:b w:val="0"/>
          <w:bCs w:val="0"/>
          <w:rtl/>
        </w:rPr>
        <w:t>في هذه الفئة بالتحديد يمكن أن لا يأخذ المقترض شكل منشأة محددة الغرض بحيث تكون الشركة متخصصة بمجال الإنشاءات العقارية و/أو التملك العقاري وليس</w:t>
      </w:r>
      <w:r w:rsidR="007B5DF6">
        <w:rPr>
          <w:b w:val="0"/>
          <w:bCs w:val="0"/>
          <w:rtl/>
        </w:rPr>
        <w:t xml:space="preserve"> لديها أي مصدر رئيسي آخر للدخل.</w:t>
      </w:r>
    </w:p>
    <w:p w:rsidR="005A2DDD" w:rsidRPr="007B5DF6" w:rsidRDefault="005A2DDD" w:rsidP="00DA36E0">
      <w:pPr>
        <w:ind w:left="1115" w:hanging="540"/>
        <w:rPr>
          <w:b w:val="0"/>
          <w:bCs w:val="0"/>
          <w:rtl/>
        </w:rPr>
      </w:pPr>
      <w:r w:rsidRPr="007B5DF6">
        <w:rPr>
          <w:rFonts w:hint="cs"/>
          <w:b w:val="0"/>
          <w:bCs w:val="0"/>
          <w:rtl/>
        </w:rPr>
        <w:t>5.2</w:t>
      </w:r>
      <w:r w:rsidRPr="007B5DF6">
        <w:rPr>
          <w:rFonts w:hint="cs"/>
          <w:b w:val="0"/>
          <w:bCs w:val="0"/>
          <w:rtl/>
        </w:rPr>
        <w:tab/>
      </w:r>
      <w:r w:rsidRPr="007B5DF6">
        <w:rPr>
          <w:b w:val="0"/>
          <w:bCs w:val="0"/>
          <w:rtl/>
        </w:rPr>
        <w:t>العقارات التجارية عالية التذبذب (</w:t>
      </w:r>
      <w:r w:rsidRPr="007B5DF6">
        <w:rPr>
          <w:b w:val="0"/>
          <w:bCs w:val="0"/>
        </w:rPr>
        <w:t>High-Volatility Commercial Real Estate</w:t>
      </w:r>
      <w:r w:rsidRPr="007B5DF6">
        <w:rPr>
          <w:b w:val="0"/>
          <w:bCs w:val="0"/>
          <w:rtl/>
        </w:rPr>
        <w:t>):</w:t>
      </w:r>
    </w:p>
    <w:p w:rsidR="005A2DDD" w:rsidRPr="007B5DF6" w:rsidRDefault="005A2DDD" w:rsidP="00EC227C">
      <w:pPr>
        <w:ind w:left="1745" w:hanging="720"/>
        <w:rPr>
          <w:b w:val="0"/>
          <w:bCs w:val="0"/>
          <w:rtl/>
        </w:rPr>
      </w:pPr>
      <w:r w:rsidRPr="007B5DF6">
        <w:rPr>
          <w:rFonts w:hint="cs"/>
          <w:b w:val="0"/>
          <w:bCs w:val="0"/>
          <w:rtl/>
        </w:rPr>
        <w:t>1.5.2</w:t>
      </w:r>
      <w:r w:rsidRPr="007B5DF6">
        <w:rPr>
          <w:rFonts w:hint="cs"/>
          <w:b w:val="0"/>
          <w:bCs w:val="0"/>
          <w:rtl/>
        </w:rPr>
        <w:tab/>
      </w:r>
      <w:r w:rsidRPr="007B5DF6">
        <w:rPr>
          <w:b w:val="0"/>
          <w:bCs w:val="0"/>
          <w:rtl/>
        </w:rPr>
        <w:t>وسيلة الهدف منها تمويل عقارات تجارية مشابهة لتلك المدرجة ضمن العقارات المدرة للدخل إلا أنها معرضة لمعدلات خسائر أعلى من المعتاد مقار</w:t>
      </w:r>
      <w:r w:rsidR="00EC227C">
        <w:rPr>
          <w:b w:val="0"/>
          <w:bCs w:val="0"/>
          <w:rtl/>
        </w:rPr>
        <w:t>نة مع العقارات التجارية الأخرى.</w:t>
      </w:r>
    </w:p>
    <w:p w:rsidR="005A2DDD" w:rsidRPr="007B5DF6" w:rsidRDefault="005A2DDD" w:rsidP="007B5DF6">
      <w:pPr>
        <w:ind w:left="1745" w:hanging="720"/>
        <w:rPr>
          <w:b w:val="0"/>
          <w:bCs w:val="0"/>
        </w:rPr>
      </w:pPr>
      <w:r w:rsidRPr="007B5DF6">
        <w:rPr>
          <w:rFonts w:hint="cs"/>
          <w:b w:val="0"/>
          <w:bCs w:val="0"/>
          <w:rtl/>
        </w:rPr>
        <w:t>2.5.2</w:t>
      </w:r>
      <w:r w:rsidRPr="007B5DF6">
        <w:rPr>
          <w:rFonts w:hint="cs"/>
          <w:b w:val="0"/>
          <w:bCs w:val="0"/>
          <w:rtl/>
        </w:rPr>
        <w:tab/>
      </w:r>
      <w:r w:rsidRPr="007B5DF6">
        <w:rPr>
          <w:b w:val="0"/>
          <w:bCs w:val="0"/>
          <w:rtl/>
        </w:rPr>
        <w:t>تشمل هذه الفئة تمويل أي مرحلة من المراحل الثلاثة لإنشاء العقارات التجارية: تملك الأرض، تطويرها وإنشاء عقارات عليها (</w:t>
      </w:r>
      <w:r w:rsidRPr="007B5DF6">
        <w:rPr>
          <w:b w:val="0"/>
          <w:bCs w:val="0"/>
        </w:rPr>
        <w:t>Land acquisition, development and construction</w:t>
      </w:r>
      <w:r w:rsidRPr="007B5DF6">
        <w:rPr>
          <w:b w:val="0"/>
          <w:bCs w:val="0"/>
          <w:rtl/>
        </w:rPr>
        <w:t>) و في حال انطباق أي مما يلي:</w:t>
      </w:r>
    </w:p>
    <w:p w:rsidR="005A2DDD" w:rsidRPr="007B5DF6" w:rsidRDefault="005A2DDD" w:rsidP="007B5DF6">
      <w:pPr>
        <w:ind w:left="2195" w:hanging="450"/>
        <w:rPr>
          <w:b w:val="0"/>
          <w:bCs w:val="0"/>
        </w:rPr>
      </w:pPr>
      <w:r w:rsidRPr="007B5DF6">
        <w:rPr>
          <w:b w:val="0"/>
          <w:bCs w:val="0"/>
          <w:rtl/>
        </w:rPr>
        <w:t>-</w:t>
      </w:r>
      <w:r w:rsidRPr="007B5DF6">
        <w:rPr>
          <w:b w:val="0"/>
          <w:bCs w:val="0"/>
          <w:rtl/>
        </w:rPr>
        <w:tab/>
        <w:t xml:space="preserve">مصدر السداد عند منح التعرض الائتماني مبني على احتمالات بيع مستقبلي غير مؤكد للعقار و/أو تدفقات نقدية مستقبلية تحمل درجة عالية من عدم التأكد نتيجة عدم وجود عقارات مشابهة في نفس المنطقة الجغرافية بحيث لا </w:t>
      </w:r>
      <w:r w:rsidRPr="007B5DF6">
        <w:rPr>
          <w:b w:val="0"/>
          <w:bCs w:val="0"/>
          <w:rtl/>
        </w:rPr>
        <w:lastRenderedPageBreak/>
        <w:t>يمكن الحكم على درجة الإشغال و/ أو بدل الإيجار و/ أو سعر البيع السوقي.</w:t>
      </w:r>
    </w:p>
    <w:p w:rsidR="005A2DDD" w:rsidRPr="007B5DF6" w:rsidRDefault="005A2DDD" w:rsidP="007B5DF6">
      <w:pPr>
        <w:ind w:left="2195" w:hanging="450"/>
        <w:rPr>
          <w:b w:val="0"/>
          <w:bCs w:val="0"/>
        </w:rPr>
      </w:pPr>
      <w:r w:rsidRPr="007B5DF6">
        <w:rPr>
          <w:b w:val="0"/>
          <w:bCs w:val="0"/>
          <w:rtl/>
        </w:rPr>
        <w:t>-</w:t>
      </w:r>
      <w:r w:rsidRPr="007B5DF6">
        <w:rPr>
          <w:b w:val="0"/>
          <w:bCs w:val="0"/>
          <w:rtl/>
        </w:rPr>
        <w:tab/>
        <w:t>العقارات التجارية الممولة بنسبة تزيد عن 70% من القيمة التقديرية لكلفة الإنشاء بما فيها قيمة الأرض.</w:t>
      </w:r>
    </w:p>
    <w:p w:rsidR="005A2DDD" w:rsidRPr="007B5DF6" w:rsidRDefault="005A2DDD" w:rsidP="007B5DF6">
      <w:pPr>
        <w:ind w:left="2195" w:hanging="450"/>
        <w:rPr>
          <w:b w:val="0"/>
          <w:bCs w:val="0"/>
        </w:rPr>
      </w:pPr>
      <w:r w:rsidRPr="007B5DF6">
        <w:rPr>
          <w:b w:val="0"/>
          <w:bCs w:val="0"/>
          <w:rtl/>
        </w:rPr>
        <w:t>-</w:t>
      </w:r>
      <w:r w:rsidRPr="007B5DF6">
        <w:rPr>
          <w:b w:val="0"/>
          <w:bCs w:val="0"/>
          <w:rtl/>
        </w:rPr>
        <w:tab/>
        <w:t>أية عقارات / فئة من العقارات يدرجها البنك المركزي الأردني ضمن هذه الفئة و بغض النظر عن نسبة التمويل.</w:t>
      </w:r>
    </w:p>
    <w:p w:rsidR="005A2DDD" w:rsidRPr="007B5DF6" w:rsidRDefault="005A2DDD" w:rsidP="007B5DF6">
      <w:pPr>
        <w:ind w:left="2195" w:hanging="450"/>
        <w:rPr>
          <w:b w:val="0"/>
          <w:bCs w:val="0"/>
        </w:rPr>
      </w:pPr>
      <w:r w:rsidRPr="007B5DF6">
        <w:rPr>
          <w:b w:val="0"/>
          <w:bCs w:val="0"/>
          <w:rtl/>
        </w:rPr>
        <w:t>-</w:t>
      </w:r>
      <w:r w:rsidRPr="007B5DF6">
        <w:rPr>
          <w:b w:val="0"/>
          <w:bCs w:val="0"/>
          <w:rtl/>
        </w:rPr>
        <w:tab/>
        <w:t>أية عقارات / فئة من العقارات تدرجها أي سلطة رقابية في الدولة المضيفة (المنشأ فيها العقار)  ضمن هذه الفئة حتى وإن لم تصنف كذلك من قبل المركزي الأردني بشكل صريح.</w:t>
      </w:r>
    </w:p>
    <w:p w:rsidR="005A2DDD" w:rsidRPr="00C33D97" w:rsidRDefault="005A2DDD" w:rsidP="005A2DDD">
      <w:pPr>
        <w:rPr>
          <w:rtl/>
        </w:rPr>
      </w:pPr>
    </w:p>
    <w:p w:rsidR="005A2DDD" w:rsidRPr="00C33D97" w:rsidRDefault="005A2DDD" w:rsidP="005A2DDD">
      <w:pPr>
        <w:rPr>
          <w:rtl/>
        </w:rPr>
      </w:pPr>
    </w:p>
    <w:p w:rsidR="005A2DDD" w:rsidRPr="00C33D97" w:rsidRDefault="005A2DDD" w:rsidP="005A2DDD">
      <w:pPr>
        <w:rPr>
          <w:rtl/>
        </w:rPr>
      </w:pPr>
    </w:p>
    <w:p w:rsidR="005A2DDD" w:rsidRPr="00C33D97" w:rsidRDefault="005A2DDD" w:rsidP="005A2DDD"/>
    <w:p w:rsidR="005A2DDD" w:rsidRPr="00C33D97" w:rsidRDefault="005A2DDD" w:rsidP="005A2DDD"/>
    <w:p w:rsidR="005A2DDD" w:rsidRPr="008B3AED" w:rsidRDefault="005A2DDD" w:rsidP="005A2DDD"/>
    <w:p w:rsidR="005A2DDD" w:rsidRPr="0024790D" w:rsidRDefault="005A2DDD" w:rsidP="005A2DDD">
      <w:pPr>
        <w:rPr>
          <w:rtl/>
          <w:lang w:bidi="ar-JO"/>
        </w:rPr>
      </w:pPr>
    </w:p>
    <w:p w:rsidR="005A2DDD" w:rsidRDefault="005A2DDD" w:rsidP="005A2DDD">
      <w:pPr>
        <w:rPr>
          <w:rtl/>
        </w:rPr>
      </w:pPr>
    </w:p>
    <w:p w:rsidR="005A2DDD" w:rsidRDefault="005A2DDD" w:rsidP="005A2DDD">
      <w:pPr>
        <w:rPr>
          <w:rtl/>
        </w:rPr>
      </w:pPr>
    </w:p>
    <w:p w:rsidR="005A2DDD" w:rsidRDefault="005A2DDD" w:rsidP="005A2DDD"/>
    <w:p w:rsidR="00EC227C" w:rsidRDefault="00EC227C" w:rsidP="005A2DDD"/>
    <w:p w:rsidR="00EC227C" w:rsidRDefault="00EC227C" w:rsidP="005A2DDD"/>
    <w:p w:rsidR="00EC227C" w:rsidRDefault="00EC227C" w:rsidP="005A2DDD">
      <w:pPr>
        <w:rPr>
          <w:rtl/>
        </w:rPr>
      </w:pPr>
    </w:p>
    <w:p w:rsidR="005A2DDD" w:rsidRDefault="005A2DDD" w:rsidP="005A2DDD">
      <w:pPr>
        <w:rPr>
          <w:rtl/>
        </w:rPr>
      </w:pPr>
    </w:p>
    <w:p w:rsidR="00205AAB" w:rsidRDefault="00205AAB" w:rsidP="005A2DDD">
      <w:pPr>
        <w:rPr>
          <w:rtl/>
        </w:rPr>
      </w:pPr>
    </w:p>
    <w:p w:rsidR="00205AAB" w:rsidRDefault="00205AAB" w:rsidP="005A2DDD">
      <w:pPr>
        <w:rPr>
          <w:rtl/>
        </w:rPr>
      </w:pPr>
    </w:p>
    <w:p w:rsidR="00205AAB" w:rsidRDefault="00205AAB" w:rsidP="005A2DDD"/>
    <w:p w:rsidR="005A2DDD" w:rsidRPr="005F3E0D" w:rsidRDefault="005F3E0D" w:rsidP="005F3E0D">
      <w:pPr>
        <w:pStyle w:val="Caption"/>
        <w:jc w:val="center"/>
        <w:rPr>
          <w:b/>
          <w:bCs/>
          <w:color w:val="auto"/>
          <w:sz w:val="28"/>
          <w:szCs w:val="28"/>
          <w:rtl/>
          <w:lang w:bidi="ar-JO"/>
        </w:rPr>
      </w:pPr>
      <w:bookmarkStart w:id="2245" w:name="_Toc465255840"/>
      <w:r w:rsidRPr="005F3E0D">
        <w:rPr>
          <w:b/>
          <w:bCs/>
          <w:color w:val="auto"/>
          <w:sz w:val="28"/>
          <w:szCs w:val="28"/>
          <w:rtl/>
        </w:rPr>
        <w:lastRenderedPageBreak/>
        <w:t xml:space="preserve">ملحق ( </w:t>
      </w:r>
      <w:r w:rsidR="004A0A06">
        <w:rPr>
          <w:b/>
          <w:bCs/>
          <w:color w:val="auto"/>
          <w:sz w:val="28"/>
          <w:szCs w:val="28"/>
          <w:rtl/>
        </w:rPr>
        <w:fldChar w:fldCharType="begin"/>
      </w:r>
      <w:r w:rsidR="004A0A06">
        <w:rPr>
          <w:b/>
          <w:bCs/>
          <w:color w:val="auto"/>
          <w:sz w:val="28"/>
          <w:szCs w:val="28"/>
          <w:rtl/>
        </w:rPr>
        <w:instrText xml:space="preserve"> </w:instrText>
      </w:r>
      <w:r w:rsidR="004A0A06">
        <w:rPr>
          <w:b/>
          <w:bCs/>
          <w:color w:val="auto"/>
          <w:sz w:val="28"/>
          <w:szCs w:val="28"/>
        </w:rPr>
        <w:instrText>SEQ</w:instrText>
      </w:r>
      <w:r w:rsidR="004A0A06">
        <w:rPr>
          <w:b/>
          <w:bCs/>
          <w:color w:val="auto"/>
          <w:sz w:val="28"/>
          <w:szCs w:val="28"/>
          <w:rtl/>
        </w:rPr>
        <w:instrText xml:space="preserve"> ملحق_( \* </w:instrText>
      </w:r>
      <w:r w:rsidR="004A0A06">
        <w:rPr>
          <w:b/>
          <w:bCs/>
          <w:color w:val="auto"/>
          <w:sz w:val="28"/>
          <w:szCs w:val="28"/>
        </w:rPr>
        <w:instrText>ARABIC</w:instrText>
      </w:r>
      <w:r w:rsidR="004A0A06">
        <w:rPr>
          <w:b/>
          <w:bCs/>
          <w:color w:val="auto"/>
          <w:sz w:val="28"/>
          <w:szCs w:val="28"/>
          <w:rtl/>
        </w:rPr>
        <w:instrText xml:space="preserve"> </w:instrText>
      </w:r>
      <w:r w:rsidR="004A0A06">
        <w:rPr>
          <w:b/>
          <w:bCs/>
          <w:color w:val="auto"/>
          <w:sz w:val="28"/>
          <w:szCs w:val="28"/>
          <w:rtl/>
        </w:rPr>
        <w:fldChar w:fldCharType="separate"/>
      </w:r>
      <w:r w:rsidR="00BC120A">
        <w:rPr>
          <w:b/>
          <w:bCs/>
          <w:noProof/>
          <w:color w:val="auto"/>
          <w:sz w:val="28"/>
          <w:szCs w:val="28"/>
          <w:rtl/>
        </w:rPr>
        <w:t>14</w:t>
      </w:r>
      <w:r w:rsidR="004A0A06">
        <w:rPr>
          <w:b/>
          <w:bCs/>
          <w:color w:val="auto"/>
          <w:sz w:val="28"/>
          <w:szCs w:val="28"/>
          <w:rtl/>
        </w:rPr>
        <w:fldChar w:fldCharType="end"/>
      </w:r>
      <w:r w:rsidRPr="005F3E0D">
        <w:rPr>
          <w:rFonts w:hint="cs"/>
          <w:b/>
          <w:bCs/>
          <w:color w:val="auto"/>
          <w:sz w:val="28"/>
          <w:szCs w:val="28"/>
          <w:rtl/>
        </w:rPr>
        <w:t xml:space="preserve"> ): </w:t>
      </w:r>
      <w:r w:rsidR="005A2DDD" w:rsidRPr="005F3E0D">
        <w:rPr>
          <w:b/>
          <w:bCs/>
          <w:color w:val="auto"/>
          <w:sz w:val="28"/>
          <w:szCs w:val="28"/>
          <w:rtl/>
          <w:lang w:bidi="ar-JO"/>
        </w:rPr>
        <w:t xml:space="preserve">خطوط </w:t>
      </w:r>
      <w:r w:rsidR="007B5DF6" w:rsidRPr="005F3E0D">
        <w:rPr>
          <w:rFonts w:hint="cs"/>
          <w:b/>
          <w:bCs/>
          <w:color w:val="auto"/>
          <w:sz w:val="28"/>
          <w:szCs w:val="28"/>
          <w:rtl/>
          <w:lang w:bidi="ar-JO"/>
        </w:rPr>
        <w:t>الأعمال</w:t>
      </w:r>
      <w:r w:rsidR="005A2DDD" w:rsidRPr="005F3E0D">
        <w:rPr>
          <w:b/>
          <w:bCs/>
          <w:color w:val="auto"/>
          <w:sz w:val="28"/>
          <w:szCs w:val="28"/>
          <w:rtl/>
          <w:lang w:bidi="ar-JO"/>
        </w:rPr>
        <w:t xml:space="preserve"> حسب الطريقة المعيارية</w:t>
      </w:r>
      <w:bookmarkEnd w:id="2245"/>
    </w:p>
    <w:tbl>
      <w:tblPr>
        <w:tblStyle w:val="TableGrid"/>
        <w:bidiVisual/>
        <w:tblW w:w="5000" w:type="pct"/>
        <w:jc w:val="center"/>
        <w:tblLook w:val="04A0" w:firstRow="1" w:lastRow="0" w:firstColumn="1" w:lastColumn="0" w:noHBand="0" w:noVBand="1"/>
      </w:tblPr>
      <w:tblGrid>
        <w:gridCol w:w="3653"/>
        <w:gridCol w:w="1352"/>
        <w:gridCol w:w="3616"/>
      </w:tblGrid>
      <w:tr w:rsidR="005A2DDD" w:rsidRPr="00205AAB" w:rsidTr="007B5DF6">
        <w:trPr>
          <w:jc w:val="center"/>
        </w:trPr>
        <w:tc>
          <w:tcPr>
            <w:tcW w:w="2119" w:type="pct"/>
            <w:shd w:val="clear" w:color="auto" w:fill="F2F2F2" w:themeFill="background1" w:themeFillShade="F2"/>
            <w:vAlign w:val="center"/>
          </w:tcPr>
          <w:p w:rsidR="005A2DDD" w:rsidRPr="00205AAB" w:rsidRDefault="005A2DDD" w:rsidP="007B5DF6">
            <w:pPr>
              <w:jc w:val="center"/>
              <w:rPr>
                <w:sz w:val="24"/>
                <w:szCs w:val="24"/>
                <w:rtl/>
                <w:lang w:val="en"/>
              </w:rPr>
            </w:pPr>
            <w:r w:rsidRPr="00205AAB">
              <w:rPr>
                <w:sz w:val="24"/>
                <w:szCs w:val="24"/>
                <w:rtl/>
                <w:lang w:val="en"/>
              </w:rPr>
              <w:t xml:space="preserve">خطوط </w:t>
            </w:r>
            <w:r w:rsidR="007B5DF6" w:rsidRPr="00205AAB">
              <w:rPr>
                <w:rFonts w:hint="cs"/>
                <w:sz w:val="24"/>
                <w:szCs w:val="24"/>
                <w:rtl/>
                <w:lang w:val="en"/>
              </w:rPr>
              <w:t>الأعمال</w:t>
            </w:r>
            <w:r w:rsidRPr="00205AAB">
              <w:rPr>
                <w:sz w:val="24"/>
                <w:szCs w:val="24"/>
                <w:rtl/>
                <w:lang w:val="en"/>
              </w:rPr>
              <w:t xml:space="preserve"> الرئيسية</w:t>
            </w:r>
          </w:p>
          <w:p w:rsidR="005A2DDD" w:rsidRPr="00205AAB" w:rsidRDefault="005A2DDD" w:rsidP="007B5DF6">
            <w:pPr>
              <w:jc w:val="center"/>
              <w:rPr>
                <w:sz w:val="24"/>
                <w:szCs w:val="24"/>
                <w:rtl/>
                <w:lang w:val="en"/>
              </w:rPr>
            </w:pPr>
            <w:r w:rsidRPr="00205AAB">
              <w:rPr>
                <w:sz w:val="24"/>
                <w:szCs w:val="24"/>
                <w:rtl/>
                <w:lang w:val="en"/>
              </w:rPr>
              <w:t>(بنوك، بنوك استثمارية، شركات مالية غير بنكية)</w:t>
            </w:r>
          </w:p>
        </w:tc>
        <w:tc>
          <w:tcPr>
            <w:tcW w:w="784" w:type="pct"/>
            <w:shd w:val="clear" w:color="auto" w:fill="F2F2F2" w:themeFill="background1" w:themeFillShade="F2"/>
            <w:vAlign w:val="center"/>
          </w:tcPr>
          <w:p w:rsidR="005A2DDD" w:rsidRPr="00205AAB" w:rsidRDefault="005A2DDD" w:rsidP="007B5DF6">
            <w:pPr>
              <w:jc w:val="center"/>
              <w:rPr>
                <w:sz w:val="24"/>
                <w:szCs w:val="24"/>
                <w:rtl/>
                <w:lang w:val="en"/>
              </w:rPr>
            </w:pPr>
            <w:r w:rsidRPr="00205AAB">
              <w:rPr>
                <w:sz w:val="24"/>
                <w:szCs w:val="24"/>
                <w:rtl/>
                <w:lang w:val="en"/>
              </w:rPr>
              <w:t>معامل بيتا</w:t>
            </w:r>
          </w:p>
        </w:tc>
        <w:tc>
          <w:tcPr>
            <w:tcW w:w="2098" w:type="pct"/>
            <w:shd w:val="clear" w:color="auto" w:fill="F2F2F2" w:themeFill="background1" w:themeFillShade="F2"/>
            <w:vAlign w:val="center"/>
          </w:tcPr>
          <w:p w:rsidR="005A2DDD" w:rsidRPr="00205AAB" w:rsidRDefault="005A2DDD" w:rsidP="007B5DF6">
            <w:pPr>
              <w:jc w:val="center"/>
              <w:rPr>
                <w:sz w:val="24"/>
                <w:szCs w:val="24"/>
                <w:rtl/>
                <w:lang w:val="en"/>
              </w:rPr>
            </w:pPr>
            <w:r w:rsidRPr="00205AAB">
              <w:rPr>
                <w:sz w:val="24"/>
                <w:szCs w:val="24"/>
                <w:rtl/>
                <w:lang w:val="en"/>
              </w:rPr>
              <w:t>الوصف</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lang w:bidi="ar-JO"/>
              </w:rPr>
            </w:pPr>
            <w:r w:rsidRPr="00205AAB">
              <w:rPr>
                <w:b w:val="0"/>
                <w:bCs w:val="0"/>
                <w:sz w:val="24"/>
                <w:szCs w:val="24"/>
                <w:rtl/>
                <w:lang w:val="en"/>
              </w:rPr>
              <w:t xml:space="preserve">تمويل الشركات </w:t>
            </w:r>
            <w:r w:rsidRPr="00205AAB">
              <w:rPr>
                <w:b w:val="0"/>
                <w:bCs w:val="0"/>
                <w:sz w:val="24"/>
                <w:szCs w:val="24"/>
                <w:rtl/>
                <w:lang w:bidi="ar-JO"/>
              </w:rPr>
              <w:t>(</w:t>
            </w:r>
            <w:r w:rsidRPr="00205AAB">
              <w:rPr>
                <w:b w:val="0"/>
                <w:bCs w:val="0"/>
                <w:sz w:val="24"/>
                <w:szCs w:val="24"/>
                <w:lang w:bidi="ar-JO"/>
              </w:rPr>
              <w:t>Corporate Finance</w:t>
            </w:r>
            <w:r w:rsidRPr="00205AAB">
              <w:rPr>
                <w:b w:val="0"/>
                <w:bCs w:val="0"/>
                <w:sz w:val="24"/>
                <w:szCs w:val="24"/>
                <w:rtl/>
                <w:lang w:bidi="ar-JO"/>
              </w:rPr>
              <w:t>)</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18٪</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عمليات الاستحواذ والاندماج، ادارة الاكتتابات، توريق الديون، قروض التجمع البنكي.</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b w:val="0"/>
                <w:bCs w:val="0"/>
                <w:sz w:val="24"/>
                <w:szCs w:val="24"/>
                <w:rtl/>
                <w:lang w:val="en"/>
              </w:rPr>
              <w:t>التداول والمبيعات</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18٪</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اقراض القطاع الخاص، الخدمات البنكية، الامانات والعقارات، تقديم الاستشارات</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b w:val="0"/>
                <w:bCs w:val="0"/>
                <w:sz w:val="24"/>
                <w:szCs w:val="24"/>
                <w:rtl/>
                <w:lang w:val="en"/>
              </w:rPr>
              <w:t>الخدمات المصرفية للأفراد</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12٪</w:t>
            </w:r>
          </w:p>
        </w:tc>
        <w:tc>
          <w:tcPr>
            <w:tcW w:w="2098" w:type="pct"/>
            <w:vAlign w:val="center"/>
          </w:tcPr>
          <w:p w:rsidR="005A2DDD" w:rsidRPr="00205AAB" w:rsidRDefault="005A2DDD" w:rsidP="007B5DF6">
            <w:pPr>
              <w:jc w:val="center"/>
              <w:rPr>
                <w:rStyle w:val="hps"/>
                <w:b w:val="0"/>
                <w:bCs w:val="0"/>
                <w:color w:val="222222"/>
                <w:sz w:val="24"/>
                <w:szCs w:val="24"/>
                <w:rtl/>
                <w:lang w:bidi="ar"/>
              </w:rPr>
            </w:pPr>
            <w:r w:rsidRPr="00205AAB">
              <w:rPr>
                <w:b w:val="0"/>
                <w:bCs w:val="0"/>
                <w:sz w:val="24"/>
                <w:szCs w:val="24"/>
                <w:rtl/>
                <w:lang w:val="en"/>
              </w:rPr>
              <w:t>قروض وودائع التجزئة، الخدمات البنكية لعملاء التجزئة، خدمات البطاقات.</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b w:val="0"/>
                <w:bCs w:val="0"/>
                <w:sz w:val="24"/>
                <w:szCs w:val="24"/>
                <w:rtl/>
                <w:lang w:val="en"/>
              </w:rPr>
              <w:t>الخدمات المصرفية التجارية</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15٪</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تمويل المشاريع، تمويل العقارات، تمويل الصادرات، الكفالات.</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b w:val="0"/>
                <w:bCs w:val="0"/>
                <w:sz w:val="24"/>
                <w:szCs w:val="24"/>
                <w:rtl/>
                <w:lang w:val="en"/>
              </w:rPr>
              <w:t>الدفع والتسوية</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18٪</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المدفوعات والتحصيل، تحويل الأموال، التخليص والتقاص</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b w:val="0"/>
                <w:bCs w:val="0"/>
                <w:sz w:val="24"/>
                <w:szCs w:val="24"/>
                <w:rtl/>
                <w:lang w:val="en"/>
              </w:rPr>
              <w:t>خدمات الوساطة المالية</w:t>
            </w:r>
            <w:r w:rsidRPr="00205AAB">
              <w:rPr>
                <w:rFonts w:hint="cs"/>
                <w:b w:val="0"/>
                <w:bCs w:val="0"/>
                <w:sz w:val="24"/>
                <w:szCs w:val="24"/>
                <w:rtl/>
                <w:lang w:val="en"/>
              </w:rPr>
              <w:t xml:space="preserve"> (خدمات الوكالة)</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15٪</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الاصدار</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b w:val="0"/>
                <w:bCs w:val="0"/>
                <w:sz w:val="24"/>
                <w:szCs w:val="24"/>
                <w:rtl/>
                <w:lang w:val="en"/>
              </w:rPr>
              <w:t>إدارة الأصول</w:t>
            </w:r>
          </w:p>
        </w:tc>
        <w:tc>
          <w:tcPr>
            <w:tcW w:w="784" w:type="pct"/>
            <w:vAlign w:val="center"/>
          </w:tcPr>
          <w:p w:rsidR="005A2DDD" w:rsidRPr="00205AAB" w:rsidRDefault="005A2DDD" w:rsidP="007B5DF6">
            <w:pPr>
              <w:jc w:val="center"/>
              <w:rPr>
                <w:b w:val="0"/>
                <w:bCs w:val="0"/>
                <w:sz w:val="24"/>
                <w:szCs w:val="24"/>
                <w:rtl/>
                <w:lang w:val="en" w:bidi="ar-JO"/>
              </w:rPr>
            </w:pPr>
            <w:r w:rsidRPr="00205AAB">
              <w:rPr>
                <w:b w:val="0"/>
                <w:bCs w:val="0"/>
                <w:sz w:val="24"/>
                <w:szCs w:val="24"/>
                <w:rtl/>
                <w:lang w:val="en"/>
              </w:rPr>
              <w:t>12٪</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حسب ما ورد في ورقة بازل</w:t>
            </w:r>
          </w:p>
        </w:tc>
      </w:tr>
      <w:tr w:rsidR="005A2DDD" w:rsidRPr="00205AAB" w:rsidTr="007B5DF6">
        <w:trPr>
          <w:trHeight w:val="144"/>
          <w:jc w:val="center"/>
        </w:trPr>
        <w:tc>
          <w:tcPr>
            <w:tcW w:w="2119" w:type="pct"/>
            <w:vAlign w:val="center"/>
          </w:tcPr>
          <w:p w:rsidR="005A2DDD" w:rsidRPr="00205AAB" w:rsidRDefault="005A2DDD" w:rsidP="007B5DF6">
            <w:pPr>
              <w:jc w:val="left"/>
              <w:rPr>
                <w:b w:val="0"/>
                <w:bCs w:val="0"/>
                <w:sz w:val="24"/>
                <w:szCs w:val="24"/>
                <w:rtl/>
                <w:lang w:val="en"/>
              </w:rPr>
            </w:pPr>
            <w:r w:rsidRPr="00205AAB">
              <w:rPr>
                <w:rFonts w:hint="cs"/>
                <w:b w:val="0"/>
                <w:bCs w:val="0"/>
                <w:sz w:val="24"/>
                <w:szCs w:val="24"/>
                <w:rtl/>
                <w:lang w:val="en"/>
              </w:rPr>
              <w:t>خدمات الوساطة للأفراد</w:t>
            </w:r>
          </w:p>
        </w:tc>
        <w:tc>
          <w:tcPr>
            <w:tcW w:w="784"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12%</w:t>
            </w:r>
          </w:p>
        </w:tc>
        <w:tc>
          <w:tcPr>
            <w:tcW w:w="2098" w:type="pct"/>
            <w:vAlign w:val="center"/>
          </w:tcPr>
          <w:p w:rsidR="005A2DDD" w:rsidRPr="00205AAB" w:rsidRDefault="005A2DDD" w:rsidP="007B5DF6">
            <w:pPr>
              <w:jc w:val="center"/>
              <w:rPr>
                <w:b w:val="0"/>
                <w:bCs w:val="0"/>
                <w:sz w:val="24"/>
                <w:szCs w:val="24"/>
                <w:rtl/>
                <w:lang w:val="en"/>
              </w:rPr>
            </w:pPr>
            <w:r w:rsidRPr="00205AAB">
              <w:rPr>
                <w:b w:val="0"/>
                <w:bCs w:val="0"/>
                <w:sz w:val="24"/>
                <w:szCs w:val="24"/>
                <w:rtl/>
                <w:lang w:val="en"/>
              </w:rPr>
              <w:t>حسب ما ورد في ورقة بازل</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A2DDD" w:rsidRPr="00661B1C" w:rsidTr="005A2DDD">
        <w:trPr>
          <w:trHeight w:val="57"/>
          <w:tblCellSpacing w:w="15" w:type="dxa"/>
        </w:trPr>
        <w:tc>
          <w:tcPr>
            <w:tcW w:w="0" w:type="auto"/>
            <w:vAlign w:val="center"/>
            <w:hideMark/>
          </w:tcPr>
          <w:p w:rsidR="005A2DDD" w:rsidRPr="00661B1C" w:rsidRDefault="005A2DDD" w:rsidP="005A2DDD">
            <w:pPr>
              <w:rPr>
                <w:sz w:val="20"/>
                <w:szCs w:val="20"/>
              </w:rPr>
            </w:pPr>
          </w:p>
        </w:tc>
      </w:tr>
    </w:tbl>
    <w:p w:rsidR="005A2DDD" w:rsidRDefault="005A2DDD" w:rsidP="005A2DDD"/>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Pr="005F3E0D" w:rsidRDefault="005A2DDD" w:rsidP="005A2DDD">
      <w:pPr>
        <w:rPr>
          <w:rtl/>
          <w:lang w:bidi="ar-JO"/>
        </w:rPr>
      </w:pPr>
    </w:p>
    <w:tbl>
      <w:tblPr>
        <w:bidiVisual/>
        <w:tblW w:w="5000" w:type="pct"/>
        <w:jc w:val="center"/>
        <w:tblLook w:val="04A0" w:firstRow="1" w:lastRow="0" w:firstColumn="1" w:lastColumn="0" w:noHBand="0" w:noVBand="1"/>
      </w:tblPr>
      <w:tblGrid>
        <w:gridCol w:w="1746"/>
        <w:gridCol w:w="1152"/>
        <w:gridCol w:w="1217"/>
        <w:gridCol w:w="735"/>
        <w:gridCol w:w="788"/>
        <w:gridCol w:w="903"/>
        <w:gridCol w:w="890"/>
        <w:gridCol w:w="1190"/>
      </w:tblGrid>
      <w:tr w:rsidR="005A2DDD" w:rsidRPr="00186138" w:rsidTr="003A476C">
        <w:trPr>
          <w:trHeight w:val="144"/>
          <w:jc w:val="center"/>
        </w:trPr>
        <w:tc>
          <w:tcPr>
            <w:tcW w:w="5000" w:type="pct"/>
            <w:gridSpan w:val="8"/>
            <w:tcBorders>
              <w:top w:val="nil"/>
              <w:left w:val="nil"/>
              <w:bottom w:val="nil"/>
              <w:right w:val="nil"/>
            </w:tcBorders>
            <w:shd w:val="clear" w:color="auto" w:fill="auto"/>
            <w:noWrap/>
            <w:vAlign w:val="bottom"/>
            <w:hideMark/>
          </w:tcPr>
          <w:p w:rsidR="00205AAB" w:rsidRDefault="00205AAB" w:rsidP="005F3E0D">
            <w:pPr>
              <w:jc w:val="center"/>
              <w:rPr>
                <w:rtl/>
              </w:rPr>
            </w:pPr>
          </w:p>
          <w:p w:rsidR="005A2DDD" w:rsidRPr="005F3E0D" w:rsidRDefault="005F3E0D" w:rsidP="008D70E0">
            <w:pPr>
              <w:jc w:val="center"/>
              <w:rPr>
                <w:sz w:val="28"/>
                <w:szCs w:val="28"/>
                <w:rtl/>
                <w:lang w:bidi="ar-JO"/>
              </w:rPr>
            </w:pPr>
            <w:bookmarkStart w:id="2246" w:name="_Toc465255841"/>
            <w:r>
              <w:rPr>
                <w:rtl/>
              </w:rPr>
              <w:lastRenderedPageBreak/>
              <w:t xml:space="preserve">ملحق ( </w:t>
            </w:r>
            <w:r w:rsidR="004451E4">
              <w:rPr>
                <w:rFonts w:hint="cs"/>
                <w:rtl/>
              </w:rPr>
              <w:t>15</w:t>
            </w:r>
            <w:r>
              <w:rPr>
                <w:rFonts w:hint="cs"/>
                <w:rtl/>
                <w:lang w:bidi="ar-JO"/>
              </w:rPr>
              <w:t xml:space="preserve">): </w:t>
            </w:r>
            <w:r w:rsidRPr="007B5DF6">
              <w:rPr>
                <w:sz w:val="28"/>
                <w:szCs w:val="28"/>
                <w:rtl/>
              </w:rPr>
              <w:t>المخاطر الخاصة لأدوات الدين الخاضعة لمخاطر أسعار الفائدة</w:t>
            </w:r>
            <w:bookmarkEnd w:id="2246"/>
          </w:p>
        </w:tc>
      </w:tr>
      <w:tr w:rsidR="005A2DDD" w:rsidRPr="00186138" w:rsidTr="003A476C">
        <w:trPr>
          <w:trHeight w:val="144"/>
          <w:jc w:val="center"/>
        </w:trPr>
        <w:tc>
          <w:tcPr>
            <w:tcW w:w="3794" w:type="pct"/>
            <w:gridSpan w:val="6"/>
            <w:tcBorders>
              <w:top w:val="nil"/>
              <w:left w:val="nil"/>
              <w:bottom w:val="single" w:sz="8" w:space="0" w:color="auto"/>
              <w:right w:val="nil"/>
            </w:tcBorders>
            <w:shd w:val="clear" w:color="auto" w:fill="auto"/>
            <w:noWrap/>
            <w:vAlign w:val="bottom"/>
            <w:hideMark/>
          </w:tcPr>
          <w:p w:rsidR="005A2DDD" w:rsidRPr="007B5DF6" w:rsidRDefault="005A2DDD" w:rsidP="005A2DDD">
            <w:pPr>
              <w:rPr>
                <w:rFonts w:ascii="Arial" w:hAnsi="Arial" w:cs="PT Bold Heading"/>
                <w:sz w:val="22"/>
                <w:szCs w:val="22"/>
              </w:rPr>
            </w:pPr>
            <w:r w:rsidRPr="007B5DF6">
              <w:rPr>
                <w:rFonts w:ascii="Arial" w:hAnsi="Arial" w:cs="PT Bold Heading" w:hint="cs"/>
                <w:sz w:val="22"/>
                <w:szCs w:val="22"/>
              </w:rPr>
              <w:lastRenderedPageBreak/>
              <w:t> </w:t>
            </w:r>
          </w:p>
        </w:tc>
        <w:tc>
          <w:tcPr>
            <w:tcW w:w="1206" w:type="pct"/>
            <w:gridSpan w:val="2"/>
            <w:tcBorders>
              <w:top w:val="nil"/>
              <w:left w:val="nil"/>
              <w:bottom w:val="single" w:sz="8" w:space="0" w:color="auto"/>
              <w:right w:val="nil"/>
            </w:tcBorders>
            <w:shd w:val="clear" w:color="auto" w:fill="auto"/>
            <w:noWrap/>
            <w:vAlign w:val="bottom"/>
            <w:hideMark/>
          </w:tcPr>
          <w:p w:rsidR="005A2DDD" w:rsidRPr="005F3E0D" w:rsidRDefault="005A2DDD" w:rsidP="003A476C">
            <w:pPr>
              <w:ind w:left="153"/>
              <w:rPr>
                <w:sz w:val="20"/>
                <w:szCs w:val="20"/>
              </w:rPr>
            </w:pPr>
            <w:r w:rsidRPr="005F3E0D">
              <w:rPr>
                <w:sz w:val="20"/>
                <w:szCs w:val="20"/>
                <w:rtl/>
              </w:rPr>
              <w:t xml:space="preserve">المبالغ </w:t>
            </w:r>
            <w:r w:rsidRPr="005F3E0D">
              <w:rPr>
                <w:rFonts w:hint="cs"/>
                <w:sz w:val="20"/>
                <w:szCs w:val="20"/>
                <w:rtl/>
              </w:rPr>
              <w:t>بالألف</w:t>
            </w:r>
            <w:r w:rsidRPr="005F3E0D">
              <w:rPr>
                <w:sz w:val="20"/>
                <w:szCs w:val="20"/>
                <w:rtl/>
              </w:rPr>
              <w:t xml:space="preserve"> دينار</w:t>
            </w:r>
          </w:p>
        </w:tc>
      </w:tr>
      <w:tr w:rsidR="003A476C" w:rsidRPr="00186138" w:rsidTr="00205AAB">
        <w:trPr>
          <w:trHeight w:val="144"/>
          <w:jc w:val="center"/>
        </w:trPr>
        <w:tc>
          <w:tcPr>
            <w:tcW w:w="1013" w:type="pct"/>
            <w:tcBorders>
              <w:top w:val="nil"/>
              <w:left w:val="single" w:sz="8" w:space="0" w:color="auto"/>
              <w:bottom w:val="nil"/>
              <w:right w:val="single" w:sz="8" w:space="0" w:color="auto"/>
            </w:tcBorders>
            <w:shd w:val="clear" w:color="000000" w:fill="80808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الأداة</w:t>
            </w:r>
          </w:p>
        </w:tc>
        <w:tc>
          <w:tcPr>
            <w:tcW w:w="668"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التصنيف</w:t>
            </w:r>
          </w:p>
        </w:tc>
        <w:tc>
          <w:tcPr>
            <w:tcW w:w="706"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فترة الاستحقاق</w:t>
            </w:r>
          </w:p>
        </w:tc>
        <w:tc>
          <w:tcPr>
            <w:tcW w:w="426"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المراكز الطويلة</w:t>
            </w:r>
          </w:p>
        </w:tc>
        <w:tc>
          <w:tcPr>
            <w:tcW w:w="457"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المراكز القصيرة</w:t>
            </w:r>
          </w:p>
        </w:tc>
        <w:tc>
          <w:tcPr>
            <w:tcW w:w="524"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المراكز الطويلة + لمراكز القصيرة</w:t>
            </w:r>
          </w:p>
        </w:tc>
        <w:tc>
          <w:tcPr>
            <w:tcW w:w="516"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الوزن الترجيحي</w:t>
            </w:r>
          </w:p>
        </w:tc>
        <w:tc>
          <w:tcPr>
            <w:tcW w:w="690" w:type="pct"/>
            <w:tcBorders>
              <w:top w:val="nil"/>
              <w:left w:val="single" w:sz="8" w:space="0" w:color="auto"/>
              <w:bottom w:val="single" w:sz="8" w:space="0" w:color="auto"/>
              <w:right w:val="single" w:sz="8" w:space="0" w:color="auto"/>
            </w:tcBorders>
            <w:shd w:val="clear" w:color="000000" w:fill="808080"/>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tl/>
              </w:rPr>
              <w:t>رأس المال</w:t>
            </w:r>
          </w:p>
        </w:tc>
      </w:tr>
      <w:tr w:rsidR="003A476C" w:rsidRPr="00186138" w:rsidTr="00205AAB">
        <w:trPr>
          <w:trHeight w:val="144"/>
          <w:jc w:val="center"/>
        </w:trPr>
        <w:tc>
          <w:tcPr>
            <w:tcW w:w="1013"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668" w:type="pct"/>
            <w:tcBorders>
              <w:top w:val="nil"/>
              <w:left w:val="single" w:sz="8" w:space="0" w:color="auto"/>
              <w:bottom w:val="nil"/>
              <w:right w:val="single" w:sz="8" w:space="0" w:color="auto"/>
            </w:tcBorders>
            <w:shd w:val="clear" w:color="000000" w:fill="969696"/>
            <w:noWrap/>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706" w:type="pct"/>
            <w:tcBorders>
              <w:top w:val="nil"/>
              <w:left w:val="single" w:sz="8" w:space="0" w:color="auto"/>
              <w:bottom w:val="nil"/>
              <w:right w:val="single" w:sz="8" w:space="0" w:color="auto"/>
            </w:tcBorders>
            <w:shd w:val="clear" w:color="000000" w:fill="969696"/>
            <w:noWrap/>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426" w:type="pct"/>
            <w:tcBorders>
              <w:top w:val="nil"/>
              <w:left w:val="single" w:sz="8" w:space="0" w:color="auto"/>
              <w:bottom w:val="nil"/>
              <w:right w:val="single" w:sz="8" w:space="0" w:color="auto"/>
            </w:tcBorders>
            <w:shd w:val="clear" w:color="000000" w:fill="969696"/>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457" w:type="pct"/>
            <w:tcBorders>
              <w:top w:val="nil"/>
              <w:left w:val="single" w:sz="8" w:space="0" w:color="auto"/>
              <w:bottom w:val="nil"/>
              <w:right w:val="single" w:sz="8" w:space="0" w:color="auto"/>
            </w:tcBorders>
            <w:shd w:val="clear" w:color="000000" w:fill="969696"/>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524" w:type="pct"/>
            <w:tcBorders>
              <w:top w:val="nil"/>
              <w:left w:val="single" w:sz="8" w:space="0" w:color="auto"/>
              <w:bottom w:val="nil"/>
              <w:right w:val="single" w:sz="8" w:space="0" w:color="auto"/>
            </w:tcBorders>
            <w:shd w:val="clear" w:color="000000" w:fill="969696"/>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(2)+(1)</w:t>
            </w:r>
          </w:p>
        </w:tc>
        <w:tc>
          <w:tcPr>
            <w:tcW w:w="516" w:type="pct"/>
            <w:tcBorders>
              <w:top w:val="nil"/>
              <w:left w:val="single" w:sz="8" w:space="0" w:color="auto"/>
              <w:bottom w:val="nil"/>
              <w:right w:val="single" w:sz="8" w:space="0" w:color="auto"/>
            </w:tcBorders>
            <w:shd w:val="clear" w:color="000000" w:fill="969696"/>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690" w:type="pct"/>
            <w:tcBorders>
              <w:top w:val="nil"/>
              <w:left w:val="single" w:sz="8" w:space="0" w:color="auto"/>
              <w:bottom w:val="nil"/>
              <w:right w:val="single" w:sz="8" w:space="0" w:color="auto"/>
            </w:tcBorders>
            <w:shd w:val="clear" w:color="000000" w:fill="969696"/>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(4)*(3)</w:t>
            </w:r>
          </w:p>
        </w:tc>
      </w:tr>
      <w:tr w:rsidR="003A476C" w:rsidRPr="00186138" w:rsidTr="00205AAB">
        <w:trPr>
          <w:trHeight w:val="144"/>
          <w:jc w:val="center"/>
        </w:trPr>
        <w:tc>
          <w:tcPr>
            <w:tcW w:w="1013" w:type="pct"/>
            <w:tcBorders>
              <w:top w:val="nil"/>
              <w:left w:val="single" w:sz="8" w:space="0" w:color="auto"/>
              <w:bottom w:val="single" w:sz="12" w:space="0" w:color="auto"/>
              <w:right w:val="single" w:sz="8" w:space="0" w:color="auto"/>
            </w:tcBorders>
            <w:shd w:val="clear" w:color="000000" w:fill="C0C0C0"/>
            <w:noWrap/>
            <w:vAlign w:val="bottom"/>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668" w:type="pct"/>
            <w:tcBorders>
              <w:top w:val="single" w:sz="8" w:space="0" w:color="auto"/>
              <w:left w:val="single" w:sz="8" w:space="0" w:color="auto"/>
              <w:bottom w:val="single" w:sz="12" w:space="0" w:color="auto"/>
              <w:right w:val="single" w:sz="8" w:space="0" w:color="auto"/>
            </w:tcBorders>
            <w:shd w:val="clear" w:color="000000" w:fill="C0C0C0"/>
            <w:noWrap/>
            <w:vAlign w:val="bottom"/>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706" w:type="pct"/>
            <w:tcBorders>
              <w:top w:val="single" w:sz="8" w:space="0" w:color="auto"/>
              <w:left w:val="single" w:sz="8" w:space="0" w:color="auto"/>
              <w:bottom w:val="single" w:sz="12" w:space="0" w:color="auto"/>
              <w:right w:val="single" w:sz="8" w:space="0" w:color="auto"/>
            </w:tcBorders>
            <w:shd w:val="clear" w:color="000000" w:fill="C0C0C0"/>
            <w:noWrap/>
            <w:vAlign w:val="bottom"/>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Pr>
              <w:t> </w:t>
            </w:r>
          </w:p>
        </w:tc>
        <w:tc>
          <w:tcPr>
            <w:tcW w:w="426" w:type="pct"/>
            <w:tcBorders>
              <w:top w:val="single" w:sz="8" w:space="0" w:color="auto"/>
              <w:left w:val="single" w:sz="8" w:space="0" w:color="auto"/>
              <w:bottom w:val="single" w:sz="12" w:space="0" w:color="auto"/>
              <w:right w:val="single" w:sz="8" w:space="0" w:color="auto"/>
            </w:tcBorders>
            <w:shd w:val="clear" w:color="000000" w:fill="C0C0C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1</w:t>
            </w:r>
          </w:p>
        </w:tc>
        <w:tc>
          <w:tcPr>
            <w:tcW w:w="457" w:type="pct"/>
            <w:tcBorders>
              <w:top w:val="single" w:sz="8" w:space="0" w:color="auto"/>
              <w:left w:val="single" w:sz="8" w:space="0" w:color="auto"/>
              <w:bottom w:val="single" w:sz="12" w:space="0" w:color="auto"/>
              <w:right w:val="single" w:sz="8" w:space="0" w:color="auto"/>
            </w:tcBorders>
            <w:shd w:val="clear" w:color="000000" w:fill="C0C0C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2</w:t>
            </w:r>
          </w:p>
        </w:tc>
        <w:tc>
          <w:tcPr>
            <w:tcW w:w="524" w:type="pct"/>
            <w:tcBorders>
              <w:top w:val="single" w:sz="8" w:space="0" w:color="auto"/>
              <w:left w:val="single" w:sz="8" w:space="0" w:color="auto"/>
              <w:bottom w:val="single" w:sz="12" w:space="0" w:color="auto"/>
              <w:right w:val="single" w:sz="8" w:space="0" w:color="auto"/>
            </w:tcBorders>
            <w:shd w:val="clear" w:color="000000" w:fill="C0C0C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3</w:t>
            </w:r>
          </w:p>
        </w:tc>
        <w:tc>
          <w:tcPr>
            <w:tcW w:w="516" w:type="pct"/>
            <w:tcBorders>
              <w:top w:val="single" w:sz="8" w:space="0" w:color="auto"/>
              <w:left w:val="single" w:sz="8" w:space="0" w:color="auto"/>
              <w:bottom w:val="single" w:sz="12" w:space="0" w:color="auto"/>
              <w:right w:val="single" w:sz="8" w:space="0" w:color="auto"/>
            </w:tcBorders>
            <w:shd w:val="clear" w:color="000000" w:fill="C0C0C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4</w:t>
            </w:r>
          </w:p>
        </w:tc>
        <w:tc>
          <w:tcPr>
            <w:tcW w:w="690" w:type="pct"/>
            <w:tcBorders>
              <w:top w:val="single" w:sz="8" w:space="0" w:color="auto"/>
              <w:left w:val="single" w:sz="8" w:space="0" w:color="auto"/>
              <w:bottom w:val="single" w:sz="12" w:space="0" w:color="auto"/>
              <w:right w:val="single" w:sz="8" w:space="0" w:color="auto"/>
            </w:tcBorders>
            <w:shd w:val="clear" w:color="000000" w:fill="C0C0C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5</w:t>
            </w:r>
          </w:p>
        </w:tc>
      </w:tr>
      <w:tr w:rsidR="003A476C" w:rsidRPr="003A476C" w:rsidTr="00205AAB">
        <w:trPr>
          <w:trHeight w:val="144"/>
          <w:jc w:val="center"/>
        </w:trPr>
        <w:tc>
          <w:tcPr>
            <w:tcW w:w="1013"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ind w:left="215" w:hanging="215"/>
              <w:jc w:val="lowKashida"/>
              <w:rPr>
                <w:rFonts w:asciiTheme="majorBidi" w:hAnsiTheme="majorBidi" w:cstheme="majorBidi"/>
                <w:sz w:val="22"/>
                <w:szCs w:val="22"/>
              </w:rPr>
            </w:pPr>
            <w:r w:rsidRPr="003A476C">
              <w:rPr>
                <w:rFonts w:asciiTheme="majorBidi" w:hAnsiTheme="majorBidi" w:cstheme="majorBidi"/>
                <w:sz w:val="22"/>
                <w:szCs w:val="22"/>
                <w:rtl/>
              </w:rPr>
              <w:t>أ ) أوراق مالية صادرة عن الحكومة الاردنية  أو بكفالتها بالدينار الاردني</w:t>
            </w:r>
          </w:p>
        </w:tc>
        <w:tc>
          <w:tcPr>
            <w:tcW w:w="1374" w:type="pct"/>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tl/>
              </w:rPr>
              <w:t>بغض النظر عن التصنيف</w:t>
            </w:r>
          </w:p>
        </w:tc>
        <w:tc>
          <w:tcPr>
            <w:tcW w:w="42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69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val="restart"/>
            <w:tcBorders>
              <w:top w:val="nil"/>
              <w:left w:val="single" w:sz="8" w:space="0" w:color="auto"/>
              <w:bottom w:val="single" w:sz="4" w:space="0" w:color="000000"/>
              <w:right w:val="single" w:sz="8" w:space="0" w:color="auto"/>
            </w:tcBorders>
            <w:shd w:val="clear" w:color="000000" w:fill="FFFFFF"/>
            <w:vAlign w:val="center"/>
            <w:hideMark/>
          </w:tcPr>
          <w:p w:rsidR="005A2DDD" w:rsidRPr="003A476C" w:rsidRDefault="005A2DDD" w:rsidP="003A476C">
            <w:pPr>
              <w:ind w:left="305" w:hanging="305"/>
              <w:jc w:val="lowKashida"/>
              <w:rPr>
                <w:rFonts w:asciiTheme="majorBidi" w:hAnsiTheme="majorBidi" w:cstheme="majorBidi"/>
                <w:sz w:val="22"/>
                <w:szCs w:val="22"/>
              </w:rPr>
            </w:pPr>
            <w:r w:rsidRPr="003A476C">
              <w:rPr>
                <w:rFonts w:asciiTheme="majorBidi" w:hAnsiTheme="majorBidi" w:cstheme="majorBidi"/>
                <w:sz w:val="22"/>
                <w:szCs w:val="22"/>
                <w:rtl/>
              </w:rPr>
              <w:t>ب ) أوراق مالية  صادرة عن حكومات ( بما فيها الاوراق المالية الصادرة عن الحكومة الاردنية بالعملة الاجنبية) مصنفة كما يلي :</w:t>
            </w:r>
          </w:p>
        </w:tc>
        <w:tc>
          <w:tcPr>
            <w:tcW w:w="1374" w:type="pct"/>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rsidR="005A2DDD" w:rsidRPr="003A476C" w:rsidRDefault="003A476C"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ب-1</w:t>
            </w:r>
            <w:r w:rsidR="005A2DDD" w:rsidRPr="003A476C">
              <w:rPr>
                <w:rFonts w:asciiTheme="majorBidi" w:hAnsiTheme="majorBidi" w:cstheme="majorBidi"/>
                <w:b w:val="0"/>
                <w:bCs w:val="0"/>
                <w:sz w:val="22"/>
                <w:szCs w:val="22"/>
                <w:rtl/>
              </w:rPr>
              <w:t>)</w:t>
            </w:r>
            <w:r w:rsidRPr="003A476C">
              <w:rPr>
                <w:rFonts w:asciiTheme="majorBidi" w:hAnsiTheme="majorBidi" w:cstheme="majorBidi"/>
                <w:b w:val="0"/>
                <w:bCs w:val="0"/>
                <w:sz w:val="22"/>
                <w:szCs w:val="22"/>
              </w:rPr>
              <w:t xml:space="preserve"> </w:t>
            </w:r>
            <w:r w:rsidR="005A2DDD" w:rsidRPr="003A476C">
              <w:rPr>
                <w:rFonts w:asciiTheme="majorBidi" w:hAnsiTheme="majorBidi" w:cstheme="majorBidi"/>
                <w:b w:val="0"/>
                <w:bCs w:val="0"/>
                <w:sz w:val="22"/>
                <w:szCs w:val="22"/>
                <w:rtl/>
              </w:rPr>
              <w:t xml:space="preserve"> (-</w:t>
            </w:r>
            <w:r w:rsidR="005A2DDD" w:rsidRPr="003A476C">
              <w:rPr>
                <w:rFonts w:asciiTheme="majorBidi" w:hAnsiTheme="majorBidi" w:cstheme="majorBidi"/>
                <w:b w:val="0"/>
                <w:bCs w:val="0"/>
                <w:sz w:val="22"/>
                <w:szCs w:val="22"/>
              </w:rPr>
              <w:t>AA</w:t>
            </w:r>
            <w:r w:rsidR="005A2DDD" w:rsidRPr="003A476C">
              <w:rPr>
                <w:rFonts w:asciiTheme="majorBidi" w:hAnsiTheme="majorBidi" w:cstheme="majorBidi"/>
                <w:b w:val="0"/>
                <w:bCs w:val="0"/>
                <w:sz w:val="22"/>
                <w:szCs w:val="22"/>
                <w:rtl/>
              </w:rPr>
              <w:t>) ـ (</w:t>
            </w:r>
            <w:r w:rsidR="005A2DDD" w:rsidRPr="003A476C">
              <w:rPr>
                <w:rFonts w:asciiTheme="majorBidi" w:hAnsiTheme="majorBidi" w:cstheme="majorBidi"/>
                <w:b w:val="0"/>
                <w:bCs w:val="0"/>
                <w:sz w:val="22"/>
                <w:szCs w:val="22"/>
              </w:rPr>
              <w:t>AAA</w:t>
            </w:r>
            <w:r w:rsidR="005A2DDD" w:rsidRPr="003A476C">
              <w:rPr>
                <w:rFonts w:asciiTheme="majorBidi" w:hAnsiTheme="majorBidi" w:cstheme="majorBidi"/>
                <w:b w:val="0"/>
                <w:bCs w:val="0"/>
                <w:sz w:val="22"/>
                <w:szCs w:val="22"/>
                <w:rtl/>
              </w:rPr>
              <w:t>)</w:t>
            </w:r>
          </w:p>
        </w:tc>
        <w:tc>
          <w:tcPr>
            <w:tcW w:w="42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668" w:type="pct"/>
            <w:vMerge w:val="restart"/>
            <w:tcBorders>
              <w:top w:val="nil"/>
              <w:left w:val="single" w:sz="8" w:space="0" w:color="auto"/>
              <w:bottom w:val="single" w:sz="4" w:space="0" w:color="000000"/>
              <w:right w:val="single" w:sz="8" w:space="0" w:color="auto"/>
            </w:tcBorders>
            <w:shd w:val="clear" w:color="auto" w:fill="auto"/>
            <w:vAlign w:val="center"/>
            <w:hideMark/>
          </w:tcPr>
          <w:p w:rsidR="005A2DDD" w:rsidRPr="003A476C" w:rsidRDefault="003A476C"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ب-2</w:t>
            </w:r>
            <w:r w:rsidR="005A2DDD" w:rsidRPr="003A476C">
              <w:rPr>
                <w:rFonts w:asciiTheme="majorBidi" w:hAnsiTheme="majorBidi" w:cstheme="majorBidi"/>
                <w:b w:val="0"/>
                <w:bCs w:val="0"/>
                <w:sz w:val="22"/>
                <w:szCs w:val="22"/>
                <w:rtl/>
              </w:rPr>
              <w:t>)</w:t>
            </w:r>
            <w:r>
              <w:rPr>
                <w:rFonts w:asciiTheme="majorBidi" w:hAnsiTheme="majorBidi" w:cstheme="majorBidi"/>
                <w:b w:val="0"/>
                <w:bCs w:val="0"/>
                <w:sz w:val="22"/>
                <w:szCs w:val="22"/>
              </w:rPr>
              <w:br/>
            </w:r>
            <w:r w:rsidR="005A2DDD" w:rsidRPr="003A476C">
              <w:rPr>
                <w:rFonts w:asciiTheme="majorBidi" w:hAnsiTheme="majorBidi" w:cstheme="majorBidi"/>
                <w:b w:val="0"/>
                <w:bCs w:val="0"/>
                <w:sz w:val="22"/>
                <w:szCs w:val="22"/>
                <w:rtl/>
              </w:rPr>
              <w:t xml:space="preserve"> </w:t>
            </w:r>
            <w:r>
              <w:rPr>
                <w:rFonts w:asciiTheme="majorBidi" w:hAnsiTheme="majorBidi" w:cstheme="majorBidi"/>
                <w:b w:val="0"/>
                <w:bCs w:val="0"/>
                <w:sz w:val="22"/>
                <w:szCs w:val="22"/>
                <w:rtl/>
              </w:rPr>
              <w:t>(</w:t>
            </w:r>
            <w:r>
              <w:rPr>
                <w:rFonts w:asciiTheme="majorBidi" w:hAnsiTheme="majorBidi" w:cstheme="majorBidi"/>
                <w:b w:val="0"/>
                <w:bCs w:val="0"/>
                <w:sz w:val="22"/>
                <w:szCs w:val="22"/>
              </w:rPr>
              <w:t>-</w:t>
            </w:r>
            <w:r w:rsidR="005A2DDD" w:rsidRPr="003A476C">
              <w:rPr>
                <w:rFonts w:asciiTheme="majorBidi" w:hAnsiTheme="majorBidi" w:cstheme="majorBidi"/>
                <w:b w:val="0"/>
                <w:bCs w:val="0"/>
                <w:sz w:val="22"/>
                <w:szCs w:val="22"/>
              </w:rPr>
              <w:t>BBB</w:t>
            </w:r>
            <w:r w:rsidR="005A2DDD" w:rsidRPr="003A476C">
              <w:rPr>
                <w:rFonts w:asciiTheme="majorBidi" w:hAnsiTheme="majorBidi" w:cstheme="majorBidi"/>
                <w:b w:val="0"/>
                <w:bCs w:val="0"/>
                <w:sz w:val="22"/>
                <w:szCs w:val="22"/>
                <w:rtl/>
              </w:rPr>
              <w:t>) ـ (+</w:t>
            </w:r>
            <w:r w:rsidR="005A2DDD" w:rsidRPr="003A476C">
              <w:rPr>
                <w:rFonts w:asciiTheme="majorBidi" w:hAnsiTheme="majorBidi" w:cstheme="majorBidi"/>
                <w:b w:val="0"/>
                <w:bCs w:val="0"/>
                <w:sz w:val="22"/>
                <w:szCs w:val="22"/>
              </w:rPr>
              <w:t>A</w:t>
            </w:r>
            <w:r w:rsidR="005A2DDD" w:rsidRPr="003A476C">
              <w:rPr>
                <w:rFonts w:asciiTheme="majorBidi" w:hAnsiTheme="majorBidi" w:cstheme="majorBidi"/>
                <w:b w:val="0"/>
                <w:bCs w:val="0"/>
                <w:sz w:val="22"/>
                <w:szCs w:val="22"/>
                <w:rtl/>
              </w:rPr>
              <w:t xml:space="preserve"> ) وتبقى على استحقاقها  :</w:t>
            </w:r>
          </w:p>
        </w:tc>
        <w:tc>
          <w:tcPr>
            <w:tcW w:w="706" w:type="pct"/>
            <w:tcBorders>
              <w:top w:val="nil"/>
              <w:left w:val="single" w:sz="8" w:space="0" w:color="auto"/>
              <w:bottom w:val="single" w:sz="4" w:space="0" w:color="auto"/>
              <w:right w:val="single" w:sz="8" w:space="0" w:color="auto"/>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6 اشهر فاقل</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0.25%</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668"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lowKashida"/>
              <w:rPr>
                <w:rFonts w:asciiTheme="majorBidi" w:hAnsiTheme="majorBidi" w:cstheme="majorBidi"/>
                <w:b w:val="0"/>
                <w:bCs w:val="0"/>
                <w:sz w:val="22"/>
                <w:szCs w:val="22"/>
              </w:rPr>
            </w:pPr>
          </w:p>
        </w:tc>
        <w:tc>
          <w:tcPr>
            <w:tcW w:w="706" w:type="pct"/>
            <w:tcBorders>
              <w:top w:val="nil"/>
              <w:left w:val="single" w:sz="8" w:space="0" w:color="auto"/>
              <w:bottom w:val="single" w:sz="4" w:space="0" w:color="auto"/>
              <w:right w:val="single" w:sz="8" w:space="0" w:color="auto"/>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6 اشهر ــ 24 شهر</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1%</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668"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lowKashida"/>
              <w:rPr>
                <w:rFonts w:asciiTheme="majorBidi" w:hAnsiTheme="majorBidi" w:cstheme="majorBidi"/>
                <w:b w:val="0"/>
                <w:bCs w:val="0"/>
                <w:sz w:val="22"/>
                <w:szCs w:val="22"/>
              </w:rPr>
            </w:pPr>
          </w:p>
        </w:tc>
        <w:tc>
          <w:tcPr>
            <w:tcW w:w="706" w:type="pct"/>
            <w:tcBorders>
              <w:top w:val="nil"/>
              <w:left w:val="single" w:sz="8" w:space="0" w:color="auto"/>
              <w:bottom w:val="single" w:sz="4" w:space="0" w:color="auto"/>
              <w:right w:val="single" w:sz="8" w:space="0" w:color="auto"/>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اكثر من 24 شهر</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1.6%</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137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2DDD" w:rsidRPr="003A476C" w:rsidRDefault="003A476C" w:rsidP="003A476C">
            <w:pPr>
              <w:jc w:val="lowKashida"/>
              <w:rPr>
                <w:rFonts w:asciiTheme="majorBidi" w:hAnsiTheme="majorBidi" w:cstheme="majorBidi"/>
                <w:b w:val="0"/>
                <w:bCs w:val="0"/>
                <w:sz w:val="22"/>
                <w:szCs w:val="22"/>
              </w:rPr>
            </w:pPr>
            <w:r>
              <w:rPr>
                <w:rFonts w:asciiTheme="majorBidi" w:hAnsiTheme="majorBidi" w:cstheme="majorBidi"/>
                <w:b w:val="0"/>
                <w:bCs w:val="0"/>
                <w:sz w:val="22"/>
                <w:szCs w:val="22"/>
                <w:rtl/>
              </w:rPr>
              <w:t>ب-3</w:t>
            </w:r>
            <w:r w:rsidR="005A2DDD" w:rsidRPr="003A476C">
              <w:rPr>
                <w:rFonts w:asciiTheme="majorBidi" w:hAnsiTheme="majorBidi" w:cstheme="majorBidi"/>
                <w:b w:val="0"/>
                <w:bCs w:val="0"/>
                <w:sz w:val="22"/>
                <w:szCs w:val="22"/>
                <w:rtl/>
              </w:rPr>
              <w:t>) (-</w:t>
            </w:r>
            <w:r w:rsidR="005A2DDD" w:rsidRPr="003A476C">
              <w:rPr>
                <w:rFonts w:asciiTheme="majorBidi" w:hAnsiTheme="majorBidi" w:cstheme="majorBidi"/>
                <w:b w:val="0"/>
                <w:bCs w:val="0"/>
                <w:sz w:val="22"/>
                <w:szCs w:val="22"/>
              </w:rPr>
              <w:t>B</w:t>
            </w:r>
            <w:r w:rsidR="005A2DDD" w:rsidRPr="003A476C">
              <w:rPr>
                <w:rFonts w:asciiTheme="majorBidi" w:hAnsiTheme="majorBidi" w:cstheme="majorBidi"/>
                <w:b w:val="0"/>
                <w:bCs w:val="0"/>
                <w:sz w:val="22"/>
                <w:szCs w:val="22"/>
                <w:rtl/>
              </w:rPr>
              <w:t>) ـ (+</w:t>
            </w:r>
            <w:r w:rsidR="005A2DDD" w:rsidRPr="003A476C">
              <w:rPr>
                <w:rFonts w:asciiTheme="majorBidi" w:hAnsiTheme="majorBidi" w:cstheme="majorBidi"/>
                <w:b w:val="0"/>
                <w:bCs w:val="0"/>
                <w:sz w:val="22"/>
                <w:szCs w:val="22"/>
              </w:rPr>
              <w:t>BB</w:t>
            </w:r>
            <w:r w:rsidR="005A2DDD" w:rsidRPr="003A476C">
              <w:rPr>
                <w:rFonts w:asciiTheme="majorBidi" w:hAnsiTheme="majorBidi" w:cstheme="majorBidi"/>
                <w:b w:val="0"/>
                <w:bCs w:val="0"/>
                <w:sz w:val="22"/>
                <w:szCs w:val="22"/>
                <w:rtl/>
              </w:rPr>
              <w:t>)</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8%</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137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2DDD" w:rsidRPr="003A476C" w:rsidRDefault="003A476C" w:rsidP="003A476C">
            <w:pPr>
              <w:jc w:val="lowKashida"/>
              <w:rPr>
                <w:rFonts w:asciiTheme="majorBidi" w:hAnsiTheme="majorBidi" w:cstheme="majorBidi"/>
                <w:b w:val="0"/>
                <w:bCs w:val="0"/>
                <w:sz w:val="22"/>
                <w:szCs w:val="22"/>
              </w:rPr>
            </w:pPr>
            <w:r>
              <w:rPr>
                <w:rFonts w:asciiTheme="majorBidi" w:hAnsiTheme="majorBidi" w:cstheme="majorBidi"/>
                <w:b w:val="0"/>
                <w:bCs w:val="0"/>
                <w:sz w:val="22"/>
                <w:szCs w:val="22"/>
                <w:rtl/>
              </w:rPr>
              <w:t>ب-4</w:t>
            </w:r>
            <w:r w:rsidR="005A2DDD" w:rsidRPr="003A476C">
              <w:rPr>
                <w:rFonts w:asciiTheme="majorBidi" w:hAnsiTheme="majorBidi" w:cstheme="majorBidi"/>
                <w:b w:val="0"/>
                <w:bCs w:val="0"/>
                <w:sz w:val="22"/>
                <w:szCs w:val="22"/>
                <w:rtl/>
              </w:rPr>
              <w:t>)  اقل من (-</w:t>
            </w:r>
            <w:r w:rsidR="005A2DDD" w:rsidRPr="003A476C">
              <w:rPr>
                <w:rFonts w:asciiTheme="majorBidi" w:hAnsiTheme="majorBidi" w:cstheme="majorBidi"/>
                <w:b w:val="0"/>
                <w:bCs w:val="0"/>
                <w:sz w:val="22"/>
                <w:szCs w:val="22"/>
              </w:rPr>
              <w:t>B</w:t>
            </w:r>
            <w:r w:rsidR="005A2DDD" w:rsidRPr="003A476C">
              <w:rPr>
                <w:rFonts w:asciiTheme="majorBidi" w:hAnsiTheme="majorBidi" w:cstheme="majorBidi"/>
                <w:b w:val="0"/>
                <w:bCs w:val="0"/>
                <w:sz w:val="22"/>
                <w:szCs w:val="22"/>
                <w:rtl/>
              </w:rPr>
              <w:t xml:space="preserve"> )</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12%</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single" w:sz="4" w:space="0" w:color="000000"/>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137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2DDD" w:rsidRPr="003A476C" w:rsidRDefault="003A476C" w:rsidP="003A476C">
            <w:pPr>
              <w:jc w:val="lowKashida"/>
              <w:rPr>
                <w:rFonts w:asciiTheme="majorBidi" w:hAnsiTheme="majorBidi" w:cstheme="majorBidi"/>
                <w:b w:val="0"/>
                <w:bCs w:val="0"/>
                <w:sz w:val="22"/>
                <w:szCs w:val="22"/>
              </w:rPr>
            </w:pPr>
            <w:r>
              <w:rPr>
                <w:rFonts w:asciiTheme="majorBidi" w:hAnsiTheme="majorBidi" w:cstheme="majorBidi"/>
                <w:b w:val="0"/>
                <w:bCs w:val="0"/>
                <w:sz w:val="22"/>
                <w:szCs w:val="22"/>
                <w:rtl/>
              </w:rPr>
              <w:t>ب-5) غير مصنفة (</w:t>
            </w:r>
            <w:r w:rsidR="005A2DDD" w:rsidRPr="003A476C">
              <w:rPr>
                <w:rFonts w:asciiTheme="majorBidi" w:hAnsiTheme="majorBidi" w:cstheme="majorBidi"/>
                <w:b w:val="0"/>
                <w:bCs w:val="0"/>
                <w:sz w:val="22"/>
                <w:szCs w:val="22"/>
              </w:rPr>
              <w:t>Unrated</w:t>
            </w:r>
            <w:r w:rsidR="005A2DDD" w:rsidRPr="003A476C">
              <w:rPr>
                <w:rFonts w:asciiTheme="majorBidi" w:hAnsiTheme="majorBidi" w:cstheme="majorBidi"/>
                <w:b w:val="0"/>
                <w:bCs w:val="0"/>
                <w:sz w:val="22"/>
                <w:szCs w:val="22"/>
                <w:rtl/>
              </w:rPr>
              <w:t>)</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8%</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val="restart"/>
            <w:tcBorders>
              <w:top w:val="nil"/>
              <w:left w:val="single" w:sz="8" w:space="0" w:color="auto"/>
              <w:bottom w:val="nil"/>
              <w:right w:val="single" w:sz="8" w:space="0" w:color="auto"/>
            </w:tcBorders>
            <w:shd w:val="clear" w:color="000000" w:fill="FFFFFF"/>
            <w:vAlign w:val="center"/>
            <w:hideMark/>
          </w:tcPr>
          <w:p w:rsidR="005A2DDD" w:rsidRPr="003A476C" w:rsidRDefault="005A2DDD" w:rsidP="003A476C">
            <w:pPr>
              <w:ind w:left="305" w:hanging="305"/>
              <w:jc w:val="lowKashida"/>
              <w:rPr>
                <w:rFonts w:asciiTheme="majorBidi" w:hAnsiTheme="majorBidi" w:cstheme="majorBidi"/>
                <w:sz w:val="22"/>
                <w:szCs w:val="22"/>
              </w:rPr>
            </w:pPr>
            <w:r w:rsidRPr="003A476C">
              <w:rPr>
                <w:rFonts w:asciiTheme="majorBidi" w:hAnsiTheme="majorBidi" w:cstheme="majorBidi"/>
                <w:sz w:val="22"/>
                <w:szCs w:val="22"/>
                <w:rtl/>
              </w:rPr>
              <w:t>ج ) اوراق مالية مؤهلة</w:t>
            </w:r>
          </w:p>
        </w:tc>
        <w:tc>
          <w:tcPr>
            <w:tcW w:w="668" w:type="pct"/>
            <w:vMerge w:val="restart"/>
            <w:tcBorders>
              <w:top w:val="nil"/>
              <w:left w:val="single" w:sz="8" w:space="0" w:color="auto"/>
              <w:bottom w:val="single" w:sz="8" w:space="0" w:color="000000"/>
              <w:right w:val="single" w:sz="8" w:space="0" w:color="auto"/>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تبقى على استحقاقها :</w:t>
            </w:r>
          </w:p>
        </w:tc>
        <w:tc>
          <w:tcPr>
            <w:tcW w:w="706" w:type="pct"/>
            <w:tcBorders>
              <w:top w:val="nil"/>
              <w:left w:val="single" w:sz="8" w:space="0" w:color="auto"/>
              <w:bottom w:val="single" w:sz="4" w:space="0" w:color="auto"/>
              <w:right w:val="single" w:sz="8" w:space="0" w:color="auto"/>
            </w:tcBorders>
            <w:shd w:val="clear" w:color="auto" w:fill="auto"/>
            <w:vAlign w:val="center"/>
            <w:hideMark/>
          </w:tcPr>
          <w:p w:rsidR="005A2DDD" w:rsidRPr="008531A2" w:rsidRDefault="005A2DDD" w:rsidP="003A476C">
            <w:pPr>
              <w:jc w:val="lowKashida"/>
              <w:rPr>
                <w:rFonts w:asciiTheme="majorBidi" w:hAnsiTheme="majorBidi" w:cstheme="majorBidi"/>
                <w:b w:val="0"/>
                <w:bCs w:val="0"/>
                <w:sz w:val="22"/>
                <w:szCs w:val="22"/>
              </w:rPr>
            </w:pPr>
            <w:r w:rsidRPr="008531A2">
              <w:rPr>
                <w:rFonts w:asciiTheme="majorBidi" w:hAnsiTheme="majorBidi" w:cstheme="majorBidi"/>
                <w:b w:val="0"/>
                <w:bCs w:val="0"/>
                <w:sz w:val="22"/>
                <w:szCs w:val="22"/>
                <w:rtl/>
              </w:rPr>
              <w:t>6 اشهر فاقل</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0.25%</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nil"/>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668" w:type="pct"/>
            <w:vMerge/>
            <w:tcBorders>
              <w:top w:val="nil"/>
              <w:left w:val="single" w:sz="8" w:space="0" w:color="auto"/>
              <w:bottom w:val="single" w:sz="8" w:space="0" w:color="000000"/>
              <w:right w:val="single" w:sz="8" w:space="0" w:color="auto"/>
            </w:tcBorders>
            <w:vAlign w:val="center"/>
            <w:hideMark/>
          </w:tcPr>
          <w:p w:rsidR="005A2DDD" w:rsidRPr="003A476C" w:rsidRDefault="005A2DDD" w:rsidP="003A476C">
            <w:pPr>
              <w:jc w:val="lowKashida"/>
              <w:rPr>
                <w:rFonts w:asciiTheme="majorBidi" w:hAnsiTheme="majorBidi" w:cstheme="majorBidi"/>
                <w:b w:val="0"/>
                <w:bCs w:val="0"/>
                <w:sz w:val="22"/>
                <w:szCs w:val="22"/>
              </w:rPr>
            </w:pPr>
          </w:p>
        </w:tc>
        <w:tc>
          <w:tcPr>
            <w:tcW w:w="706" w:type="pct"/>
            <w:tcBorders>
              <w:top w:val="nil"/>
              <w:left w:val="single" w:sz="8" w:space="0" w:color="auto"/>
              <w:bottom w:val="single" w:sz="4" w:space="0" w:color="auto"/>
              <w:right w:val="single" w:sz="8" w:space="0" w:color="auto"/>
            </w:tcBorders>
            <w:shd w:val="clear" w:color="auto" w:fill="auto"/>
            <w:vAlign w:val="center"/>
            <w:hideMark/>
          </w:tcPr>
          <w:p w:rsidR="005A2DDD" w:rsidRPr="008531A2" w:rsidRDefault="005A2DDD" w:rsidP="003A476C">
            <w:pPr>
              <w:jc w:val="lowKashida"/>
              <w:rPr>
                <w:rFonts w:asciiTheme="majorBidi" w:hAnsiTheme="majorBidi" w:cstheme="majorBidi"/>
                <w:b w:val="0"/>
                <w:bCs w:val="0"/>
                <w:sz w:val="22"/>
                <w:szCs w:val="22"/>
              </w:rPr>
            </w:pPr>
            <w:r w:rsidRPr="008531A2">
              <w:rPr>
                <w:rFonts w:asciiTheme="majorBidi" w:hAnsiTheme="majorBidi" w:cstheme="majorBidi"/>
                <w:b w:val="0"/>
                <w:bCs w:val="0"/>
                <w:sz w:val="22"/>
                <w:szCs w:val="22"/>
                <w:rtl/>
              </w:rPr>
              <w:t>6 اشهر ــ 24 شهر</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1%</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vMerge/>
            <w:tcBorders>
              <w:top w:val="nil"/>
              <w:left w:val="single" w:sz="8" w:space="0" w:color="auto"/>
              <w:bottom w:val="nil"/>
              <w:right w:val="single" w:sz="8" w:space="0" w:color="auto"/>
            </w:tcBorders>
            <w:vAlign w:val="center"/>
            <w:hideMark/>
          </w:tcPr>
          <w:p w:rsidR="005A2DDD" w:rsidRPr="003A476C" w:rsidRDefault="005A2DDD" w:rsidP="003A476C">
            <w:pPr>
              <w:jc w:val="center"/>
              <w:rPr>
                <w:rFonts w:asciiTheme="majorBidi" w:hAnsiTheme="majorBidi" w:cstheme="majorBidi"/>
                <w:sz w:val="22"/>
                <w:szCs w:val="22"/>
              </w:rPr>
            </w:pPr>
          </w:p>
        </w:tc>
        <w:tc>
          <w:tcPr>
            <w:tcW w:w="668" w:type="pct"/>
            <w:vMerge/>
            <w:tcBorders>
              <w:top w:val="nil"/>
              <w:left w:val="single" w:sz="8" w:space="0" w:color="auto"/>
              <w:bottom w:val="single" w:sz="8" w:space="0" w:color="000000"/>
              <w:right w:val="single" w:sz="8" w:space="0" w:color="auto"/>
            </w:tcBorders>
            <w:vAlign w:val="center"/>
            <w:hideMark/>
          </w:tcPr>
          <w:p w:rsidR="005A2DDD" w:rsidRPr="003A476C" w:rsidRDefault="005A2DDD" w:rsidP="003A476C">
            <w:pPr>
              <w:jc w:val="lowKashida"/>
              <w:rPr>
                <w:rFonts w:asciiTheme="majorBidi" w:hAnsiTheme="majorBidi" w:cstheme="majorBidi"/>
                <w:b w:val="0"/>
                <w:bCs w:val="0"/>
                <w:sz w:val="22"/>
                <w:szCs w:val="22"/>
              </w:rPr>
            </w:pPr>
          </w:p>
        </w:tc>
        <w:tc>
          <w:tcPr>
            <w:tcW w:w="706" w:type="pct"/>
            <w:tcBorders>
              <w:top w:val="nil"/>
              <w:left w:val="single" w:sz="8" w:space="0" w:color="auto"/>
              <w:bottom w:val="single" w:sz="8" w:space="0" w:color="auto"/>
              <w:right w:val="single" w:sz="8" w:space="0" w:color="auto"/>
            </w:tcBorders>
            <w:shd w:val="clear" w:color="auto" w:fill="auto"/>
            <w:vAlign w:val="center"/>
            <w:hideMark/>
          </w:tcPr>
          <w:p w:rsidR="005A2DDD" w:rsidRPr="008531A2" w:rsidRDefault="005A2DDD" w:rsidP="003A476C">
            <w:pPr>
              <w:jc w:val="lowKashida"/>
              <w:rPr>
                <w:rFonts w:asciiTheme="majorBidi" w:hAnsiTheme="majorBidi" w:cstheme="majorBidi"/>
                <w:b w:val="0"/>
                <w:bCs w:val="0"/>
                <w:sz w:val="22"/>
                <w:szCs w:val="22"/>
              </w:rPr>
            </w:pPr>
            <w:r w:rsidRPr="008531A2">
              <w:rPr>
                <w:rFonts w:asciiTheme="majorBidi" w:hAnsiTheme="majorBidi" w:cstheme="majorBidi"/>
                <w:b w:val="0"/>
                <w:bCs w:val="0"/>
                <w:sz w:val="22"/>
                <w:szCs w:val="22"/>
                <w:rtl/>
              </w:rPr>
              <w:t>اكثر من 24 شهر</w:t>
            </w:r>
          </w:p>
        </w:tc>
        <w:tc>
          <w:tcPr>
            <w:tcW w:w="426" w:type="pct"/>
            <w:tcBorders>
              <w:top w:val="nil"/>
              <w:left w:val="single" w:sz="8" w:space="0" w:color="auto"/>
              <w:bottom w:val="nil"/>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nil"/>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nil"/>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nil"/>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1.6%</w:t>
            </w:r>
          </w:p>
        </w:tc>
        <w:tc>
          <w:tcPr>
            <w:tcW w:w="690" w:type="pct"/>
            <w:tcBorders>
              <w:top w:val="nil"/>
              <w:left w:val="single" w:sz="8" w:space="0" w:color="auto"/>
              <w:bottom w:val="nil"/>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tcBorders>
              <w:top w:val="single" w:sz="4" w:space="0" w:color="auto"/>
              <w:left w:val="single" w:sz="8" w:space="0" w:color="auto"/>
              <w:bottom w:val="nil"/>
              <w:right w:val="single" w:sz="8" w:space="0" w:color="auto"/>
            </w:tcBorders>
            <w:shd w:val="clear" w:color="000000" w:fill="FFFFFF"/>
            <w:vAlign w:val="center"/>
            <w:hideMark/>
          </w:tcPr>
          <w:p w:rsidR="005A2DDD" w:rsidRPr="003A476C" w:rsidRDefault="005A2DDD" w:rsidP="003A476C">
            <w:pPr>
              <w:ind w:left="305" w:hanging="305"/>
              <w:jc w:val="lowKashida"/>
              <w:rPr>
                <w:rFonts w:asciiTheme="majorBidi" w:hAnsiTheme="majorBidi" w:cstheme="majorBidi"/>
                <w:sz w:val="22"/>
                <w:szCs w:val="22"/>
              </w:rPr>
            </w:pPr>
            <w:r w:rsidRPr="003A476C">
              <w:rPr>
                <w:rFonts w:asciiTheme="majorBidi" w:hAnsiTheme="majorBidi" w:cstheme="majorBidi"/>
                <w:sz w:val="22"/>
                <w:szCs w:val="22"/>
                <w:rtl/>
              </w:rPr>
              <w:t>د ) اوراق مالية اخرى مصنفة كما يلي :</w:t>
            </w:r>
          </w:p>
        </w:tc>
        <w:tc>
          <w:tcPr>
            <w:tcW w:w="137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د -3 ) (-</w:t>
            </w:r>
            <w:r w:rsidRPr="003A476C">
              <w:rPr>
                <w:rFonts w:asciiTheme="majorBidi" w:hAnsiTheme="majorBidi" w:cstheme="majorBidi"/>
                <w:b w:val="0"/>
                <w:bCs w:val="0"/>
                <w:sz w:val="22"/>
                <w:szCs w:val="22"/>
              </w:rPr>
              <w:t>BB</w:t>
            </w:r>
            <w:r w:rsidRPr="003A476C">
              <w:rPr>
                <w:rFonts w:asciiTheme="majorBidi" w:hAnsiTheme="majorBidi" w:cstheme="majorBidi"/>
                <w:b w:val="0"/>
                <w:bCs w:val="0"/>
                <w:sz w:val="22"/>
                <w:szCs w:val="22"/>
                <w:rtl/>
              </w:rPr>
              <w:t>) ـ (+</w:t>
            </w:r>
            <w:r w:rsidRPr="003A476C">
              <w:rPr>
                <w:rFonts w:asciiTheme="majorBidi" w:hAnsiTheme="majorBidi" w:cstheme="majorBidi"/>
                <w:b w:val="0"/>
                <w:bCs w:val="0"/>
                <w:sz w:val="22"/>
                <w:szCs w:val="22"/>
              </w:rPr>
              <w:t>BB</w:t>
            </w:r>
            <w:r w:rsidRPr="003A476C">
              <w:rPr>
                <w:rFonts w:asciiTheme="majorBidi" w:hAnsiTheme="majorBidi" w:cstheme="majorBidi"/>
                <w:b w:val="0"/>
                <w:bCs w:val="0"/>
                <w:sz w:val="22"/>
                <w:szCs w:val="22"/>
                <w:rtl/>
              </w:rPr>
              <w:t>)</w:t>
            </w:r>
          </w:p>
        </w:tc>
        <w:tc>
          <w:tcPr>
            <w:tcW w:w="426"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8%</w:t>
            </w:r>
          </w:p>
        </w:tc>
        <w:tc>
          <w:tcPr>
            <w:tcW w:w="690"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tcBorders>
              <w:top w:val="nil"/>
              <w:left w:val="single" w:sz="8" w:space="0" w:color="auto"/>
              <w:bottom w:val="nil"/>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sz w:val="22"/>
                <w:szCs w:val="22"/>
              </w:rPr>
            </w:pPr>
          </w:p>
        </w:tc>
        <w:tc>
          <w:tcPr>
            <w:tcW w:w="137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د -4)  اقل من (-</w:t>
            </w:r>
            <w:r w:rsidRPr="003A476C">
              <w:rPr>
                <w:rFonts w:asciiTheme="majorBidi" w:hAnsiTheme="majorBidi" w:cstheme="majorBidi"/>
                <w:b w:val="0"/>
                <w:bCs w:val="0"/>
                <w:sz w:val="22"/>
                <w:szCs w:val="22"/>
              </w:rPr>
              <w:t>BB</w:t>
            </w:r>
            <w:r w:rsidRPr="003A476C">
              <w:rPr>
                <w:rFonts w:asciiTheme="majorBidi" w:hAnsiTheme="majorBidi" w:cstheme="majorBidi"/>
                <w:b w:val="0"/>
                <w:bCs w:val="0"/>
                <w:sz w:val="22"/>
                <w:szCs w:val="22"/>
                <w:rtl/>
              </w:rPr>
              <w:t xml:space="preserve"> )</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12%</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3A476C" w:rsidRPr="003A476C" w:rsidTr="00205AAB">
        <w:trPr>
          <w:trHeight w:val="144"/>
          <w:jc w:val="center"/>
        </w:trPr>
        <w:tc>
          <w:tcPr>
            <w:tcW w:w="1013" w:type="pct"/>
            <w:tcBorders>
              <w:top w:val="nil"/>
              <w:left w:val="single" w:sz="8" w:space="0" w:color="auto"/>
              <w:bottom w:val="single" w:sz="8"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1374" w:type="pct"/>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A2DDD" w:rsidRPr="003A476C" w:rsidRDefault="005A2DDD" w:rsidP="003A476C">
            <w:pPr>
              <w:jc w:val="lowKashida"/>
              <w:rPr>
                <w:rFonts w:asciiTheme="majorBidi" w:hAnsiTheme="majorBidi" w:cstheme="majorBidi"/>
                <w:b w:val="0"/>
                <w:bCs w:val="0"/>
                <w:sz w:val="22"/>
                <w:szCs w:val="22"/>
              </w:rPr>
            </w:pPr>
            <w:r w:rsidRPr="003A476C">
              <w:rPr>
                <w:rFonts w:asciiTheme="majorBidi" w:hAnsiTheme="majorBidi" w:cstheme="majorBidi"/>
                <w:b w:val="0"/>
                <w:bCs w:val="0"/>
                <w:sz w:val="22"/>
                <w:szCs w:val="22"/>
                <w:rtl/>
              </w:rPr>
              <w:t>د -5 ) غير مصنفة (</w:t>
            </w:r>
            <w:r w:rsidRPr="003A476C">
              <w:rPr>
                <w:rFonts w:asciiTheme="majorBidi" w:hAnsiTheme="majorBidi" w:cstheme="majorBidi"/>
                <w:b w:val="0"/>
                <w:bCs w:val="0"/>
                <w:sz w:val="22"/>
                <w:szCs w:val="22"/>
              </w:rPr>
              <w:t>Unrated</w:t>
            </w:r>
            <w:r w:rsidRPr="003A476C">
              <w:rPr>
                <w:rFonts w:asciiTheme="majorBidi" w:hAnsiTheme="majorBidi" w:cstheme="majorBidi"/>
                <w:b w:val="0"/>
                <w:bCs w:val="0"/>
                <w:sz w:val="22"/>
                <w:szCs w:val="22"/>
                <w:rtl/>
              </w:rPr>
              <w:t>)</w:t>
            </w:r>
          </w:p>
        </w:tc>
        <w:tc>
          <w:tcPr>
            <w:tcW w:w="426"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457"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p>
        </w:tc>
        <w:tc>
          <w:tcPr>
            <w:tcW w:w="524"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c>
          <w:tcPr>
            <w:tcW w:w="516" w:type="pct"/>
            <w:tcBorders>
              <w:top w:val="nil"/>
              <w:left w:val="single" w:sz="8" w:space="0" w:color="auto"/>
              <w:bottom w:val="single" w:sz="4" w:space="0" w:color="auto"/>
              <w:right w:val="single" w:sz="8" w:space="0" w:color="auto"/>
            </w:tcBorders>
            <w:shd w:val="clear" w:color="000000" w:fill="FFFFFF"/>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8%</w:t>
            </w:r>
          </w:p>
        </w:tc>
        <w:tc>
          <w:tcPr>
            <w:tcW w:w="690" w:type="pct"/>
            <w:tcBorders>
              <w:top w:val="nil"/>
              <w:left w:val="single" w:sz="8" w:space="0" w:color="auto"/>
              <w:bottom w:val="single" w:sz="4" w:space="0" w:color="auto"/>
              <w:right w:val="single" w:sz="8" w:space="0" w:color="auto"/>
            </w:tcBorders>
            <w:shd w:val="clear" w:color="auto" w:fill="auto"/>
            <w:noWrap/>
            <w:vAlign w:val="center"/>
            <w:hideMark/>
          </w:tcPr>
          <w:p w:rsidR="005A2DDD" w:rsidRPr="003A476C" w:rsidRDefault="005A2DDD" w:rsidP="003A476C">
            <w:pPr>
              <w:jc w:val="center"/>
              <w:rPr>
                <w:rFonts w:asciiTheme="majorBidi" w:hAnsiTheme="majorBidi" w:cstheme="majorBidi"/>
                <w:b w:val="0"/>
                <w:bCs w:val="0"/>
                <w:sz w:val="22"/>
                <w:szCs w:val="22"/>
              </w:rPr>
            </w:pPr>
            <w:r w:rsidRPr="003A476C">
              <w:rPr>
                <w:rFonts w:asciiTheme="majorBidi" w:hAnsiTheme="majorBidi" w:cstheme="majorBidi"/>
                <w:b w:val="0"/>
                <w:bCs w:val="0"/>
                <w:sz w:val="22"/>
                <w:szCs w:val="22"/>
              </w:rPr>
              <w:t>0</w:t>
            </w:r>
          </w:p>
        </w:tc>
      </w:tr>
      <w:tr w:rsidR="005A2DDD" w:rsidRPr="00186138" w:rsidTr="005F3E0D">
        <w:trPr>
          <w:trHeight w:val="144"/>
          <w:jc w:val="center"/>
        </w:trPr>
        <w:tc>
          <w:tcPr>
            <w:tcW w:w="4310" w:type="pct"/>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5A2DDD" w:rsidRPr="003A476C" w:rsidRDefault="005A2DDD" w:rsidP="003A476C">
            <w:pPr>
              <w:rPr>
                <w:rFonts w:asciiTheme="majorBidi" w:hAnsiTheme="majorBidi" w:cstheme="majorBidi"/>
                <w:sz w:val="22"/>
                <w:szCs w:val="22"/>
              </w:rPr>
            </w:pPr>
            <w:r w:rsidRPr="003A476C">
              <w:rPr>
                <w:rFonts w:asciiTheme="majorBidi" w:hAnsiTheme="majorBidi" w:cstheme="majorBidi"/>
                <w:sz w:val="22"/>
                <w:szCs w:val="22"/>
                <w:rtl/>
              </w:rPr>
              <w:t>إجمالي رأس المال  لمواجهة المخاطر الخاصة لأسعار الفائدة</w:t>
            </w:r>
          </w:p>
        </w:tc>
        <w:tc>
          <w:tcPr>
            <w:tcW w:w="690"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0</w:t>
            </w:r>
          </w:p>
        </w:tc>
      </w:tr>
      <w:tr w:rsidR="005A2DDD" w:rsidRPr="00186138" w:rsidTr="005F3E0D">
        <w:trPr>
          <w:trHeight w:val="144"/>
          <w:jc w:val="center"/>
        </w:trPr>
        <w:tc>
          <w:tcPr>
            <w:tcW w:w="4310" w:type="pct"/>
            <w:gridSpan w:val="7"/>
            <w:tcBorders>
              <w:top w:val="single" w:sz="8" w:space="0" w:color="auto"/>
              <w:left w:val="single" w:sz="8" w:space="0" w:color="auto"/>
              <w:bottom w:val="single" w:sz="8" w:space="0" w:color="auto"/>
              <w:right w:val="single" w:sz="8" w:space="0" w:color="000000"/>
            </w:tcBorders>
            <w:shd w:val="clear" w:color="000000" w:fill="969696"/>
            <w:vAlign w:val="center"/>
            <w:hideMark/>
          </w:tcPr>
          <w:p w:rsidR="005A2DDD" w:rsidRPr="003A476C" w:rsidRDefault="005A2DDD" w:rsidP="00646CA2">
            <w:pPr>
              <w:rPr>
                <w:rFonts w:asciiTheme="majorBidi" w:hAnsiTheme="majorBidi" w:cstheme="majorBidi"/>
                <w:sz w:val="22"/>
                <w:szCs w:val="22"/>
              </w:rPr>
            </w:pPr>
            <w:r w:rsidRPr="003A476C">
              <w:rPr>
                <w:rFonts w:asciiTheme="majorBidi" w:hAnsiTheme="majorBidi" w:cstheme="majorBidi"/>
                <w:sz w:val="22"/>
                <w:szCs w:val="22"/>
                <w:rtl/>
              </w:rPr>
              <w:t xml:space="preserve">مخاطر السوق الخاصة = إجمالي رأس المال لمواجهة المخاطر الخاصة </w:t>
            </w:r>
            <w:r w:rsidR="00646CA2">
              <w:rPr>
                <w:rFonts w:asciiTheme="majorBidi" w:hAnsiTheme="majorBidi" w:cstheme="majorBidi" w:hint="cs"/>
                <w:sz w:val="22"/>
                <w:szCs w:val="22"/>
                <w:rtl/>
              </w:rPr>
              <w:t xml:space="preserve">* </w:t>
            </w:r>
            <w:r w:rsidRPr="003A476C">
              <w:rPr>
                <w:rFonts w:asciiTheme="majorBidi" w:hAnsiTheme="majorBidi" w:cstheme="majorBidi"/>
                <w:sz w:val="22"/>
                <w:szCs w:val="22"/>
                <w:rtl/>
              </w:rPr>
              <w:t>12.5</w:t>
            </w:r>
          </w:p>
        </w:tc>
        <w:tc>
          <w:tcPr>
            <w:tcW w:w="690" w:type="pct"/>
            <w:tcBorders>
              <w:top w:val="nil"/>
              <w:left w:val="single" w:sz="8" w:space="0" w:color="auto"/>
              <w:bottom w:val="single" w:sz="8" w:space="0" w:color="auto"/>
              <w:right w:val="single" w:sz="8" w:space="0" w:color="auto"/>
            </w:tcBorders>
            <w:shd w:val="clear" w:color="000000" w:fill="969696"/>
            <w:noWrap/>
            <w:vAlign w:val="center"/>
            <w:hideMark/>
          </w:tcPr>
          <w:p w:rsidR="005A2DDD" w:rsidRPr="003A476C" w:rsidRDefault="005A2DDD" w:rsidP="003A476C">
            <w:pPr>
              <w:jc w:val="center"/>
              <w:rPr>
                <w:rFonts w:asciiTheme="majorBidi" w:hAnsiTheme="majorBidi" w:cstheme="majorBidi"/>
                <w:sz w:val="22"/>
                <w:szCs w:val="22"/>
              </w:rPr>
            </w:pPr>
            <w:r w:rsidRPr="003A476C">
              <w:rPr>
                <w:rFonts w:asciiTheme="majorBidi" w:hAnsiTheme="majorBidi" w:cstheme="majorBidi"/>
                <w:sz w:val="22"/>
                <w:szCs w:val="22"/>
              </w:rPr>
              <w:t>0</w:t>
            </w:r>
          </w:p>
        </w:tc>
      </w:tr>
    </w:tbl>
    <w:p w:rsidR="007B5DF6" w:rsidRDefault="007B5DF6" w:rsidP="005A2DDD">
      <w:pPr>
        <w:rPr>
          <w:rtl/>
        </w:rPr>
      </w:pPr>
    </w:p>
    <w:p w:rsidR="005F3E0D" w:rsidRDefault="005F3E0D" w:rsidP="008531A2">
      <w:pPr>
        <w:jc w:val="center"/>
        <w:rPr>
          <w:sz w:val="28"/>
          <w:szCs w:val="28"/>
          <w:rtl/>
        </w:rPr>
      </w:pPr>
    </w:p>
    <w:p w:rsidR="005A2DDD" w:rsidRPr="005F3E0D" w:rsidRDefault="005F3E0D" w:rsidP="00423CAB">
      <w:pPr>
        <w:pStyle w:val="Caption"/>
        <w:jc w:val="center"/>
        <w:rPr>
          <w:b/>
          <w:bCs/>
          <w:color w:val="auto"/>
          <w:sz w:val="28"/>
          <w:szCs w:val="28"/>
          <w:rtl/>
        </w:rPr>
      </w:pPr>
      <w:bookmarkStart w:id="2247" w:name="_Toc465255842"/>
      <w:r w:rsidRPr="005F3E0D">
        <w:rPr>
          <w:b/>
          <w:bCs/>
          <w:color w:val="auto"/>
          <w:sz w:val="28"/>
          <w:szCs w:val="28"/>
          <w:rtl/>
        </w:rPr>
        <w:lastRenderedPageBreak/>
        <w:t xml:space="preserve">ملحق ( </w:t>
      </w:r>
      <w:r w:rsidR="00423CAB">
        <w:rPr>
          <w:rFonts w:hint="cs"/>
          <w:b/>
          <w:bCs/>
          <w:color w:val="auto"/>
          <w:sz w:val="28"/>
          <w:szCs w:val="28"/>
          <w:rtl/>
        </w:rPr>
        <w:t>16</w:t>
      </w:r>
      <w:r w:rsidRPr="005F3E0D">
        <w:rPr>
          <w:rFonts w:hint="cs"/>
          <w:b/>
          <w:bCs/>
          <w:color w:val="auto"/>
          <w:sz w:val="28"/>
          <w:szCs w:val="28"/>
          <w:rtl/>
        </w:rPr>
        <w:t xml:space="preserve"> ): </w:t>
      </w:r>
      <w:r w:rsidR="005A2DDD" w:rsidRPr="005F3E0D">
        <w:rPr>
          <w:b/>
          <w:bCs/>
          <w:color w:val="auto"/>
          <w:sz w:val="28"/>
          <w:szCs w:val="28"/>
          <w:rtl/>
        </w:rPr>
        <w:t>المخاطر العامة للأدوات الخاضعة ل</w:t>
      </w:r>
      <w:r w:rsidR="005A2DDD" w:rsidRPr="005F3E0D">
        <w:rPr>
          <w:rFonts w:hint="cs"/>
          <w:b/>
          <w:bCs/>
          <w:color w:val="auto"/>
          <w:sz w:val="28"/>
          <w:szCs w:val="28"/>
          <w:rtl/>
        </w:rPr>
        <w:t xml:space="preserve">مخاطر </w:t>
      </w:r>
      <w:r w:rsidR="005A2DDD" w:rsidRPr="005F3E0D">
        <w:rPr>
          <w:b/>
          <w:bCs/>
          <w:color w:val="auto"/>
          <w:sz w:val="28"/>
          <w:szCs w:val="28"/>
          <w:rtl/>
        </w:rPr>
        <w:t>أسعار الفوائد</w:t>
      </w:r>
      <w:bookmarkEnd w:id="2247"/>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4"/>
        <w:gridCol w:w="2700"/>
        <w:gridCol w:w="2700"/>
      </w:tblGrid>
      <w:tr w:rsidR="005A2DDD" w:rsidRPr="00FB454E" w:rsidTr="00205AAB">
        <w:trPr>
          <w:trHeight w:val="288"/>
        </w:trPr>
        <w:tc>
          <w:tcPr>
            <w:tcW w:w="3734" w:type="dxa"/>
            <w:shd w:val="clear" w:color="auto" w:fill="E0E0E0"/>
            <w:vAlign w:val="center"/>
          </w:tcPr>
          <w:p w:rsidR="005A2DDD" w:rsidRPr="008531A2" w:rsidRDefault="005A2DDD" w:rsidP="008531A2">
            <w:pPr>
              <w:jc w:val="center"/>
              <w:rPr>
                <w:sz w:val="24"/>
                <w:szCs w:val="24"/>
                <w:rtl/>
              </w:rPr>
            </w:pPr>
            <w:r w:rsidRPr="008531A2">
              <w:rPr>
                <w:sz w:val="24"/>
                <w:szCs w:val="24"/>
                <w:rtl/>
              </w:rPr>
              <w:t>الأدوات ذات عائد يساوي 3% أو أكثر</w:t>
            </w:r>
          </w:p>
        </w:tc>
        <w:tc>
          <w:tcPr>
            <w:tcW w:w="2700" w:type="dxa"/>
            <w:shd w:val="clear" w:color="auto" w:fill="E0E0E0"/>
            <w:vAlign w:val="center"/>
          </w:tcPr>
          <w:p w:rsidR="005A2DDD" w:rsidRPr="008531A2" w:rsidRDefault="005A2DDD" w:rsidP="008531A2">
            <w:pPr>
              <w:jc w:val="center"/>
              <w:rPr>
                <w:sz w:val="24"/>
                <w:szCs w:val="24"/>
                <w:rtl/>
              </w:rPr>
            </w:pPr>
            <w:r w:rsidRPr="008531A2">
              <w:rPr>
                <w:sz w:val="24"/>
                <w:szCs w:val="24"/>
                <w:rtl/>
              </w:rPr>
              <w:t>الأدوات ذات العائد الذي يقل عن 3%</w:t>
            </w:r>
          </w:p>
        </w:tc>
        <w:tc>
          <w:tcPr>
            <w:tcW w:w="2700" w:type="dxa"/>
            <w:shd w:val="clear" w:color="auto" w:fill="E0E0E0"/>
            <w:vAlign w:val="center"/>
          </w:tcPr>
          <w:p w:rsidR="005A2DDD" w:rsidRPr="008531A2" w:rsidRDefault="005A2DDD" w:rsidP="008531A2">
            <w:pPr>
              <w:jc w:val="center"/>
              <w:rPr>
                <w:sz w:val="24"/>
                <w:szCs w:val="24"/>
                <w:rtl/>
              </w:rPr>
            </w:pPr>
            <w:r w:rsidRPr="008531A2">
              <w:rPr>
                <w:sz w:val="24"/>
                <w:szCs w:val="24"/>
                <w:rtl/>
              </w:rPr>
              <w:t>الوزن الترجيحي</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شهر أو اقل</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شهر أو اقل</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صفر %</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1 إلى 3 أشهر</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 إلى  3 أشهر</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0.20%</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3 إلى 6 أشهر</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3 إلى 6 أشهر</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0.40%</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6 إلى 12 أشهر</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6 إلى 12 شهر</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0.70%</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1 الى 2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 الى 1.9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1.25%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2 الى 3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1.9 الى 2.8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1.75%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3 الى 4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2.8 الى 3.6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2.25%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4 الى 5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3.6 الى 4.3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2.75%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5 الى 7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4.3 الى 5.7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3.25%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7 الى 10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5.7 الى 7.3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3.75%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10 الى 15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7.3 الى 9.3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4.5%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15 الى 20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9.3 الى10.6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5.25%</w:t>
            </w:r>
          </w:p>
        </w:tc>
      </w:tr>
      <w:tr w:rsidR="005A2DDD" w:rsidRPr="00FB454E" w:rsidTr="00205AAB">
        <w:tc>
          <w:tcPr>
            <w:tcW w:w="3734" w:type="dxa"/>
            <w:vAlign w:val="center"/>
          </w:tcPr>
          <w:p w:rsidR="005A2DDD" w:rsidRPr="008531A2" w:rsidRDefault="005A2DDD" w:rsidP="008531A2">
            <w:pPr>
              <w:jc w:val="center"/>
              <w:rPr>
                <w:b w:val="0"/>
                <w:bCs w:val="0"/>
                <w:sz w:val="24"/>
                <w:szCs w:val="24"/>
                <w:rtl/>
              </w:rPr>
            </w:pPr>
            <w:r w:rsidRPr="008531A2">
              <w:rPr>
                <w:b w:val="0"/>
                <w:bCs w:val="0"/>
                <w:sz w:val="24"/>
                <w:szCs w:val="24"/>
                <w:rtl/>
              </w:rPr>
              <w:t>اكثر من 20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10.6 الى 12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6.0%</w:t>
            </w:r>
          </w:p>
        </w:tc>
      </w:tr>
      <w:tr w:rsidR="005A2DDD" w:rsidRPr="00FB454E" w:rsidTr="00205AAB">
        <w:trPr>
          <w:cantSplit/>
        </w:trPr>
        <w:tc>
          <w:tcPr>
            <w:tcW w:w="3734" w:type="dxa"/>
            <w:vMerge w:val="restart"/>
            <w:vAlign w:val="center"/>
          </w:tcPr>
          <w:p w:rsidR="005A2DDD" w:rsidRPr="008531A2" w:rsidRDefault="005A2DDD" w:rsidP="008531A2">
            <w:pPr>
              <w:jc w:val="center"/>
              <w:rPr>
                <w:b w:val="0"/>
                <w:bCs w:val="0"/>
                <w:sz w:val="24"/>
                <w:szCs w:val="24"/>
                <w:rtl/>
              </w:rPr>
            </w:pP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12 إلى 20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8.0%</w:t>
            </w:r>
          </w:p>
        </w:tc>
      </w:tr>
      <w:tr w:rsidR="005A2DDD" w:rsidRPr="00FB454E" w:rsidTr="00205AAB">
        <w:trPr>
          <w:cantSplit/>
        </w:trPr>
        <w:tc>
          <w:tcPr>
            <w:tcW w:w="3734" w:type="dxa"/>
            <w:vMerge/>
            <w:vAlign w:val="center"/>
          </w:tcPr>
          <w:p w:rsidR="005A2DDD" w:rsidRPr="008531A2" w:rsidRDefault="005A2DDD" w:rsidP="008531A2">
            <w:pPr>
              <w:jc w:val="center"/>
              <w:rPr>
                <w:b w:val="0"/>
                <w:bCs w:val="0"/>
                <w:sz w:val="24"/>
                <w:szCs w:val="24"/>
                <w:rtl/>
              </w:rPr>
            </w:pP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اكثر من 20 سنة</w:t>
            </w:r>
          </w:p>
        </w:tc>
        <w:tc>
          <w:tcPr>
            <w:tcW w:w="2700" w:type="dxa"/>
            <w:vAlign w:val="center"/>
          </w:tcPr>
          <w:p w:rsidR="005A2DDD" w:rsidRPr="008531A2" w:rsidRDefault="005A2DDD" w:rsidP="008531A2">
            <w:pPr>
              <w:jc w:val="center"/>
              <w:rPr>
                <w:b w:val="0"/>
                <w:bCs w:val="0"/>
                <w:sz w:val="24"/>
                <w:szCs w:val="24"/>
                <w:rtl/>
              </w:rPr>
            </w:pPr>
            <w:r w:rsidRPr="008531A2">
              <w:rPr>
                <w:b w:val="0"/>
                <w:bCs w:val="0"/>
                <w:sz w:val="24"/>
                <w:szCs w:val="24"/>
                <w:rtl/>
              </w:rPr>
              <w:t>12.5%</w:t>
            </w:r>
          </w:p>
        </w:tc>
      </w:tr>
    </w:tbl>
    <w:p w:rsidR="005A2DDD" w:rsidRPr="004C56AD" w:rsidRDefault="005A2DDD" w:rsidP="005A2DDD">
      <w:pPr>
        <w:rPr>
          <w:rtl/>
        </w:rPr>
      </w:pPr>
    </w:p>
    <w:p w:rsidR="005A2DDD" w:rsidRPr="00DF4AC7" w:rsidRDefault="005A2DDD" w:rsidP="00DF4AC7">
      <w:pPr>
        <w:pStyle w:val="Caption"/>
        <w:jc w:val="center"/>
        <w:rPr>
          <w:b/>
          <w:bCs/>
          <w:sz w:val="22"/>
          <w:szCs w:val="22"/>
          <w:rtl/>
          <w:lang w:bidi="ar-JO"/>
        </w:rPr>
        <w:sectPr w:rsidR="005A2DDD" w:rsidRPr="00DF4AC7" w:rsidSect="00DC79A4">
          <w:pgSz w:w="11906" w:h="16838"/>
          <w:pgMar w:top="1440" w:right="1800" w:bottom="1440" w:left="1701" w:header="708" w:footer="708" w:gutter="0"/>
          <w:cols w:space="708"/>
          <w:titlePg/>
          <w:bidi/>
          <w:rtlGutter/>
          <w:docGrid w:linePitch="360"/>
        </w:sectPr>
      </w:pPr>
    </w:p>
    <w:tbl>
      <w:tblPr>
        <w:tblpPr w:leftFromText="180" w:rightFromText="180" w:horzAnchor="margin" w:tblpXSpec="center" w:tblpY="-495"/>
        <w:bidiVisual/>
        <w:tblW w:w="15016" w:type="dxa"/>
        <w:tblLook w:val="04A0" w:firstRow="1" w:lastRow="0" w:firstColumn="1" w:lastColumn="0" w:noHBand="0" w:noVBand="1"/>
      </w:tblPr>
      <w:tblGrid>
        <w:gridCol w:w="526"/>
        <w:gridCol w:w="3832"/>
        <w:gridCol w:w="612"/>
        <w:gridCol w:w="766"/>
        <w:gridCol w:w="766"/>
        <w:gridCol w:w="766"/>
        <w:gridCol w:w="766"/>
        <w:gridCol w:w="766"/>
        <w:gridCol w:w="766"/>
        <w:gridCol w:w="766"/>
        <w:gridCol w:w="766"/>
        <w:gridCol w:w="766"/>
        <w:gridCol w:w="766"/>
        <w:gridCol w:w="766"/>
        <w:gridCol w:w="903"/>
        <w:gridCol w:w="729"/>
      </w:tblGrid>
      <w:tr w:rsidR="008531A2" w:rsidRPr="003D3043" w:rsidTr="00DF4AC7">
        <w:trPr>
          <w:trHeight w:hRule="exact" w:val="432"/>
        </w:trPr>
        <w:tc>
          <w:tcPr>
            <w:tcW w:w="14299" w:type="dxa"/>
            <w:gridSpan w:val="15"/>
            <w:tcBorders>
              <w:top w:val="nil"/>
              <w:left w:val="nil"/>
              <w:bottom w:val="nil"/>
              <w:right w:val="nil"/>
            </w:tcBorders>
            <w:shd w:val="clear" w:color="auto" w:fill="auto"/>
            <w:noWrap/>
            <w:vAlign w:val="center"/>
            <w:hideMark/>
          </w:tcPr>
          <w:p w:rsidR="008531A2" w:rsidRPr="00DF4AC7" w:rsidRDefault="00DF4AC7" w:rsidP="00692097">
            <w:pPr>
              <w:jc w:val="center"/>
              <w:rPr>
                <w:rFonts w:asciiTheme="majorBidi" w:hAnsiTheme="majorBidi" w:cstheme="majorBidi"/>
                <w:sz w:val="28"/>
                <w:szCs w:val="28"/>
              </w:rPr>
            </w:pPr>
            <w:bookmarkStart w:id="2248" w:name="_Toc465255843"/>
            <w:r w:rsidRPr="00DF4AC7">
              <w:rPr>
                <w:sz w:val="28"/>
                <w:szCs w:val="28"/>
                <w:rtl/>
              </w:rPr>
              <w:lastRenderedPageBreak/>
              <w:t xml:space="preserve">ملحق ( </w:t>
            </w:r>
            <w:r w:rsidR="00692097">
              <w:rPr>
                <w:rFonts w:hint="cs"/>
                <w:sz w:val="28"/>
                <w:szCs w:val="28"/>
                <w:rtl/>
              </w:rPr>
              <w:t>17</w:t>
            </w:r>
            <w:r w:rsidRPr="00DF4AC7">
              <w:rPr>
                <w:rFonts w:hint="cs"/>
                <w:sz w:val="28"/>
                <w:szCs w:val="28"/>
                <w:rtl/>
              </w:rPr>
              <w:t xml:space="preserve"> ): </w:t>
            </w:r>
            <w:r w:rsidR="00E704A2" w:rsidRPr="00DF4AC7">
              <w:rPr>
                <w:rFonts w:asciiTheme="majorBidi" w:hAnsiTheme="majorBidi" w:cstheme="majorBidi"/>
                <w:sz w:val="28"/>
                <w:szCs w:val="28"/>
                <w:rtl/>
              </w:rPr>
              <w:t>المخاطر العامة لأدوات الدين الخاضعة لمخاطر أسعار الفائد</w:t>
            </w:r>
            <w:r w:rsidRPr="00DF4AC7">
              <w:rPr>
                <w:rFonts w:asciiTheme="majorBidi" w:hAnsiTheme="majorBidi" w:cstheme="majorBidi" w:hint="cs"/>
                <w:sz w:val="28"/>
                <w:szCs w:val="28"/>
                <w:rtl/>
              </w:rPr>
              <w:t>ة</w:t>
            </w:r>
            <w:bookmarkEnd w:id="2248"/>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6502" w:type="dxa"/>
            <w:gridSpan w:val="5"/>
            <w:tcBorders>
              <w:top w:val="nil"/>
              <w:left w:val="nil"/>
              <w:bottom w:val="nil"/>
              <w:right w:val="nil"/>
            </w:tcBorders>
            <w:shd w:val="clear" w:color="auto" w:fill="auto"/>
            <w:noWrap/>
            <w:vAlign w:val="center"/>
            <w:hideMark/>
          </w:tcPr>
          <w:p w:rsidR="008531A2" w:rsidRPr="003D3043" w:rsidRDefault="00DF4AC7" w:rsidP="00434971">
            <w:pPr>
              <w:bidi w:val="0"/>
              <w:jc w:val="right"/>
              <w:rPr>
                <w:rFonts w:asciiTheme="majorBidi" w:hAnsiTheme="majorBidi" w:cstheme="majorBidi"/>
                <w:sz w:val="20"/>
                <w:szCs w:val="20"/>
              </w:rPr>
            </w:pPr>
            <w:r w:rsidRPr="00DF4AC7">
              <w:rPr>
                <w:rFonts w:asciiTheme="majorBidi" w:hAnsiTheme="majorBidi" w:cstheme="majorBidi" w:hint="cs"/>
                <w:sz w:val="24"/>
                <w:szCs w:val="24"/>
                <w:rtl/>
              </w:rPr>
              <w:t>(</w:t>
            </w:r>
            <w:r w:rsidR="00434971">
              <w:rPr>
                <w:rFonts w:asciiTheme="majorBidi" w:hAnsiTheme="majorBidi" w:cstheme="majorBidi" w:hint="cs"/>
                <w:sz w:val="24"/>
                <w:szCs w:val="24"/>
                <w:rtl/>
              </w:rPr>
              <w:t>17</w:t>
            </w:r>
            <w:r w:rsidRPr="00DF4AC7">
              <w:rPr>
                <w:rFonts w:asciiTheme="majorBidi" w:hAnsiTheme="majorBidi" w:cstheme="majorBidi" w:hint="cs"/>
                <w:sz w:val="24"/>
                <w:szCs w:val="24"/>
                <w:rtl/>
              </w:rPr>
              <w:t xml:space="preserve"> </w:t>
            </w:r>
            <w:r w:rsidRPr="00DF4AC7">
              <w:rPr>
                <w:rFonts w:asciiTheme="majorBidi" w:hAnsiTheme="majorBidi" w:cstheme="majorBidi"/>
                <w:sz w:val="24"/>
                <w:szCs w:val="24"/>
                <w:rtl/>
              </w:rPr>
              <w:t>–</w:t>
            </w:r>
            <w:r w:rsidRPr="00DF4AC7">
              <w:rPr>
                <w:rFonts w:asciiTheme="majorBidi" w:hAnsiTheme="majorBidi" w:cstheme="majorBidi" w:hint="cs"/>
                <w:sz w:val="24"/>
                <w:szCs w:val="24"/>
                <w:rtl/>
              </w:rPr>
              <w:t xml:space="preserve"> أ):</w:t>
            </w:r>
            <w:r w:rsidR="008531A2" w:rsidRPr="003D3043">
              <w:rPr>
                <w:rFonts w:asciiTheme="majorBidi" w:hAnsiTheme="majorBidi" w:cstheme="majorBidi"/>
                <w:sz w:val="20"/>
                <w:szCs w:val="20"/>
                <w:rtl/>
              </w:rPr>
              <w:t xml:space="preserve"> المخاطر العامة للأدوات الخاضعة لأسعار الفوائد ذات العائد الذي يزيد عن 3%</w:t>
            </w: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766" w:type="dxa"/>
            <w:tcBorders>
              <w:top w:val="nil"/>
              <w:left w:val="nil"/>
              <w:bottom w:val="nil"/>
              <w:right w:val="nil"/>
            </w:tcBorders>
            <w:shd w:val="clear" w:color="auto" w:fill="auto"/>
            <w:noWrap/>
            <w:vAlign w:val="center"/>
            <w:hideMark/>
          </w:tcPr>
          <w:p w:rsidR="008531A2" w:rsidRPr="003D3043" w:rsidRDefault="008531A2" w:rsidP="008C1354">
            <w:pPr>
              <w:bidi w:val="0"/>
              <w:rPr>
                <w:rFonts w:asciiTheme="majorBidi" w:hAnsiTheme="majorBidi" w:cstheme="majorBidi"/>
                <w:sz w:val="20"/>
                <w:szCs w:val="20"/>
              </w:rPr>
            </w:pPr>
          </w:p>
        </w:tc>
        <w:tc>
          <w:tcPr>
            <w:tcW w:w="1669" w:type="dxa"/>
            <w:gridSpan w:val="2"/>
            <w:tcBorders>
              <w:top w:val="nil"/>
              <w:left w:val="nil"/>
              <w:bottom w:val="nil"/>
            </w:tcBorders>
            <w:shd w:val="clear" w:color="auto" w:fill="auto"/>
            <w:noWrap/>
            <w:vAlign w:val="center"/>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الف دينار</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single" w:sz="8" w:space="0" w:color="auto"/>
              <w:left w:val="single" w:sz="8" w:space="0" w:color="auto"/>
              <w:bottom w:val="single" w:sz="8" w:space="0" w:color="auto"/>
              <w:right w:val="nil"/>
            </w:tcBorders>
            <w:shd w:val="clear" w:color="auto" w:fill="auto"/>
            <w:noWrap/>
            <w:vAlign w:val="bottom"/>
            <w:hideMark/>
          </w:tcPr>
          <w:p w:rsidR="008531A2" w:rsidRPr="003D3043" w:rsidRDefault="008531A2" w:rsidP="008C1354">
            <w:pPr>
              <w:rPr>
                <w:rFonts w:asciiTheme="majorBidi" w:hAnsiTheme="majorBidi" w:cstheme="majorBidi"/>
                <w:sz w:val="20"/>
                <w:szCs w:val="20"/>
              </w:rPr>
            </w:pPr>
            <w:r w:rsidRPr="003D3043">
              <w:rPr>
                <w:rFonts w:asciiTheme="majorBidi" w:hAnsiTheme="majorBidi" w:cstheme="majorBidi"/>
                <w:sz w:val="20"/>
                <w:szCs w:val="20"/>
                <w:rtl/>
              </w:rPr>
              <w:t xml:space="preserve">الرقم </w:t>
            </w:r>
          </w:p>
        </w:tc>
        <w:tc>
          <w:tcPr>
            <w:tcW w:w="383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فترات الاستحقاق</w:t>
            </w:r>
          </w:p>
        </w:tc>
        <w:tc>
          <w:tcPr>
            <w:tcW w:w="291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8531A2" w:rsidRPr="003D3043" w:rsidRDefault="008531A2" w:rsidP="008C1354">
            <w:pPr>
              <w:jc w:val="center"/>
              <w:rPr>
                <w:rFonts w:asciiTheme="majorBidi" w:hAnsiTheme="majorBidi" w:cstheme="majorBidi"/>
                <w:sz w:val="20"/>
                <w:szCs w:val="20"/>
                <w:rtl/>
              </w:rPr>
            </w:pPr>
            <w:r w:rsidRPr="003D3043">
              <w:rPr>
                <w:rFonts w:asciiTheme="majorBidi" w:hAnsiTheme="majorBidi" w:cstheme="majorBidi"/>
                <w:sz w:val="20"/>
                <w:szCs w:val="20"/>
                <w:rtl/>
              </w:rPr>
              <w:t>الفترة الاولى</w:t>
            </w:r>
          </w:p>
        </w:tc>
        <w:tc>
          <w:tcPr>
            <w:tcW w:w="459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الفترة الثانية</w:t>
            </w:r>
          </w:p>
        </w:tc>
        <w:tc>
          <w:tcPr>
            <w:tcW w:w="243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الفترة الثالثة</w:t>
            </w:r>
          </w:p>
        </w:tc>
        <w:tc>
          <w:tcPr>
            <w:tcW w:w="717" w:type="dxa"/>
            <w:tcBorders>
              <w:top w:val="nil"/>
              <w:left w:val="single" w:sz="4" w:space="0" w:color="auto"/>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432"/>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سلم الاستحقاق</w:t>
            </w:r>
          </w:p>
        </w:tc>
        <w:tc>
          <w:tcPr>
            <w:tcW w:w="61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0 -1</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1-3</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3-6</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6-12</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1-3</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2-3</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3-4</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4-5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5-7</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7-10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10-15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15-20</w:t>
            </w:r>
          </w:p>
        </w:tc>
        <w:tc>
          <w:tcPr>
            <w:tcW w:w="903"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اكثر من 20</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nil"/>
              <w:right w:val="single" w:sz="8" w:space="0" w:color="auto"/>
            </w:tcBorders>
            <w:shd w:val="clear" w:color="auto" w:fill="auto"/>
            <w:noWrap/>
            <w:vAlign w:val="bottom"/>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 xml:space="preserve">المراكز </w:t>
            </w:r>
            <w:r w:rsidRPr="003D3043">
              <w:rPr>
                <w:rFonts w:asciiTheme="majorBidi" w:hAnsiTheme="majorBidi" w:cstheme="majorBidi" w:hint="cs"/>
                <w:sz w:val="20"/>
                <w:szCs w:val="20"/>
                <w:rtl/>
              </w:rPr>
              <w:t>المفتوحة</w:t>
            </w:r>
          </w:p>
        </w:tc>
        <w:tc>
          <w:tcPr>
            <w:tcW w:w="2910" w:type="dxa"/>
            <w:gridSpan w:val="4"/>
            <w:tcBorders>
              <w:top w:val="nil"/>
              <w:left w:val="single" w:sz="8" w:space="0" w:color="auto"/>
              <w:bottom w:val="single" w:sz="8" w:space="0" w:color="auto"/>
              <w:right w:val="single" w:sz="8" w:space="0" w:color="auto"/>
            </w:tcBorders>
            <w:shd w:val="clear" w:color="auto" w:fill="auto"/>
            <w:noWrap/>
            <w:vAlign w:val="center"/>
            <w:hideMark/>
          </w:tcPr>
          <w:p w:rsidR="008531A2" w:rsidRPr="003D3043" w:rsidRDefault="008531A2" w:rsidP="008531A2">
            <w:pPr>
              <w:bidi w:val="0"/>
              <w:jc w:val="center"/>
              <w:rPr>
                <w:rFonts w:asciiTheme="majorBidi" w:hAnsiTheme="majorBidi" w:cstheme="majorBidi"/>
                <w:sz w:val="20"/>
                <w:szCs w:val="20"/>
              </w:rPr>
            </w:pPr>
            <w:r w:rsidRPr="003D3043">
              <w:rPr>
                <w:rFonts w:asciiTheme="majorBidi" w:hAnsiTheme="majorBidi" w:cstheme="majorBidi"/>
                <w:sz w:val="20"/>
                <w:szCs w:val="20"/>
                <w:rtl/>
              </w:rPr>
              <w:t>أشــــــــــــــهر</w:t>
            </w:r>
          </w:p>
        </w:tc>
        <w:tc>
          <w:tcPr>
            <w:tcW w:w="2298" w:type="dxa"/>
            <w:gridSpan w:val="3"/>
            <w:tcBorders>
              <w:top w:val="nil"/>
              <w:left w:val="nil"/>
              <w:bottom w:val="single" w:sz="8" w:space="0" w:color="auto"/>
              <w:right w:val="single" w:sz="8" w:space="0" w:color="auto"/>
            </w:tcBorders>
            <w:shd w:val="clear" w:color="auto" w:fill="auto"/>
            <w:noWrap/>
            <w:vAlign w:val="center"/>
            <w:hideMark/>
          </w:tcPr>
          <w:p w:rsidR="008531A2" w:rsidRPr="003D3043" w:rsidRDefault="008531A2" w:rsidP="008531A2">
            <w:pPr>
              <w:bidi w:val="0"/>
              <w:jc w:val="center"/>
              <w:rPr>
                <w:rFonts w:asciiTheme="majorBidi" w:hAnsiTheme="majorBidi" w:cstheme="majorBidi"/>
                <w:sz w:val="20"/>
                <w:szCs w:val="20"/>
              </w:rPr>
            </w:pPr>
            <w:r w:rsidRPr="003D3043">
              <w:rPr>
                <w:rFonts w:asciiTheme="majorBidi" w:hAnsiTheme="majorBidi" w:cstheme="majorBidi"/>
                <w:sz w:val="20"/>
                <w:szCs w:val="20"/>
                <w:rtl/>
              </w:rPr>
              <w:t>سنوات</w:t>
            </w:r>
          </w:p>
        </w:tc>
        <w:tc>
          <w:tcPr>
            <w:tcW w:w="4733" w:type="dxa"/>
            <w:gridSpan w:val="6"/>
            <w:tcBorders>
              <w:top w:val="nil"/>
              <w:left w:val="nil"/>
              <w:bottom w:val="single" w:sz="8" w:space="0" w:color="auto"/>
              <w:right w:val="single" w:sz="8" w:space="0" w:color="auto"/>
            </w:tcBorders>
            <w:shd w:val="clear" w:color="auto" w:fill="auto"/>
            <w:noWrap/>
            <w:vAlign w:val="center"/>
            <w:hideMark/>
          </w:tcPr>
          <w:p w:rsidR="008531A2" w:rsidRPr="003D3043" w:rsidRDefault="008531A2" w:rsidP="008531A2">
            <w:pPr>
              <w:bidi w:val="0"/>
              <w:jc w:val="center"/>
              <w:rPr>
                <w:rFonts w:asciiTheme="majorBidi" w:hAnsiTheme="majorBidi" w:cstheme="majorBidi"/>
                <w:sz w:val="20"/>
                <w:szCs w:val="20"/>
              </w:rPr>
            </w:pPr>
            <w:r w:rsidRPr="003D3043">
              <w:rPr>
                <w:rFonts w:asciiTheme="majorBidi" w:hAnsiTheme="majorBidi" w:cstheme="majorBidi"/>
                <w:sz w:val="20"/>
                <w:szCs w:val="20"/>
                <w:rtl/>
              </w:rPr>
              <w:t>سنوات</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single" w:sz="4" w:space="0" w:color="auto"/>
              <w:left w:val="single" w:sz="8" w:space="0" w:color="auto"/>
              <w:bottom w:val="single" w:sz="4" w:space="0" w:color="auto"/>
              <w:right w:val="nil"/>
            </w:tcBorders>
            <w:shd w:val="clear" w:color="auto" w:fill="auto"/>
            <w:noWrap/>
            <w:vAlign w:val="bottom"/>
            <w:hideMark/>
          </w:tcPr>
          <w:p w:rsidR="008531A2" w:rsidRPr="003D3043" w:rsidRDefault="008531A2" w:rsidP="008531A2">
            <w:pPr>
              <w:bidi w:val="0"/>
              <w:rPr>
                <w:rFonts w:asciiTheme="majorBidi" w:hAnsiTheme="majorBidi" w:cstheme="majorBidi"/>
                <w:b w:val="0"/>
                <w:bCs w:val="0"/>
                <w:sz w:val="20"/>
                <w:szCs w:val="20"/>
              </w:rPr>
            </w:pPr>
            <w:r w:rsidRPr="003D3043">
              <w:rPr>
                <w:rFonts w:asciiTheme="majorBidi" w:hAnsiTheme="majorBidi" w:cstheme="majorBidi"/>
                <w:sz w:val="20"/>
                <w:szCs w:val="20"/>
              </w:rPr>
              <w:t> </w:t>
            </w:r>
          </w:p>
        </w:tc>
        <w:tc>
          <w:tcPr>
            <w:tcW w:w="612"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903" w:type="dxa"/>
            <w:tcBorders>
              <w:top w:val="nil"/>
              <w:left w:val="single" w:sz="4" w:space="0" w:color="auto"/>
              <w:bottom w:val="nil"/>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4" w:space="0" w:color="auto"/>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61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90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4" w:space="0" w:color="auto"/>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903" w:type="dxa"/>
            <w:tcBorders>
              <w:top w:val="nil"/>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4" w:space="0" w:color="auto"/>
              <w:right w:val="nil"/>
            </w:tcBorders>
            <w:shd w:val="clear" w:color="auto" w:fill="auto"/>
            <w:noWrap/>
            <w:vAlign w:val="bottom"/>
            <w:hideMark/>
          </w:tcPr>
          <w:p w:rsidR="008531A2" w:rsidRPr="003D3043" w:rsidRDefault="008531A2" w:rsidP="003D3043">
            <w:pPr>
              <w:bidi w:val="0"/>
              <w:jc w:val="center"/>
              <w:rPr>
                <w:rFonts w:asciiTheme="majorBidi" w:hAnsiTheme="majorBidi" w:cstheme="majorBidi"/>
                <w:sz w:val="20"/>
                <w:szCs w:val="20"/>
              </w:rPr>
            </w:pPr>
            <w:r w:rsidRPr="003D3043">
              <w:rPr>
                <w:rFonts w:asciiTheme="majorBidi" w:hAnsiTheme="majorBidi" w:cstheme="majorBidi"/>
                <w:b w:val="0"/>
                <w:bCs w:val="0"/>
                <w:sz w:val="20"/>
                <w:szCs w:val="20"/>
                <w:rtl/>
              </w:rPr>
              <w:t>المجموع</w:t>
            </w:r>
          </w:p>
        </w:tc>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903" w:type="dxa"/>
            <w:tcBorders>
              <w:top w:val="nil"/>
              <w:left w:val="single" w:sz="4"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4" w:space="0" w:color="auto"/>
              <w:right w:val="single" w:sz="8" w:space="0" w:color="auto"/>
            </w:tcBorders>
            <w:shd w:val="clear" w:color="auto" w:fill="auto"/>
            <w:noWrap/>
            <w:vAlign w:val="bottom"/>
            <w:hideMark/>
          </w:tcPr>
          <w:p w:rsidR="008531A2" w:rsidRPr="003D3043" w:rsidRDefault="008531A2" w:rsidP="003D3043">
            <w:pPr>
              <w:bidi w:val="0"/>
              <w:jc w:val="center"/>
              <w:rPr>
                <w:rFonts w:asciiTheme="majorBidi" w:hAnsiTheme="majorBidi" w:cstheme="majorBidi"/>
                <w:sz w:val="20"/>
                <w:szCs w:val="20"/>
              </w:rPr>
            </w:pPr>
            <w:r w:rsidRPr="003D3043">
              <w:rPr>
                <w:rFonts w:asciiTheme="majorBidi" w:hAnsiTheme="majorBidi" w:cstheme="majorBidi"/>
                <w:b w:val="0"/>
                <w:bCs w:val="0"/>
                <w:sz w:val="20"/>
                <w:szCs w:val="20"/>
                <w:rtl/>
              </w:rPr>
              <w:t>مجموع المراكز الطويلة</w:t>
            </w:r>
          </w:p>
        </w:tc>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903" w:type="dxa"/>
            <w:tcBorders>
              <w:top w:val="nil"/>
              <w:left w:val="single" w:sz="8"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nil"/>
              <w:right w:val="single" w:sz="8" w:space="0" w:color="auto"/>
            </w:tcBorders>
            <w:shd w:val="clear" w:color="auto" w:fill="auto"/>
            <w:noWrap/>
            <w:vAlign w:val="bottom"/>
            <w:hideMark/>
          </w:tcPr>
          <w:p w:rsidR="008531A2" w:rsidRPr="003D3043" w:rsidRDefault="008531A2" w:rsidP="003D3043">
            <w:pPr>
              <w:bidi w:val="0"/>
              <w:jc w:val="center"/>
              <w:rPr>
                <w:rFonts w:asciiTheme="majorBidi" w:hAnsiTheme="majorBidi" w:cstheme="majorBidi"/>
                <w:sz w:val="20"/>
                <w:szCs w:val="20"/>
              </w:rPr>
            </w:pPr>
            <w:r w:rsidRPr="003D3043">
              <w:rPr>
                <w:rFonts w:asciiTheme="majorBidi" w:hAnsiTheme="majorBidi" w:cstheme="majorBidi"/>
                <w:b w:val="0"/>
                <w:bCs w:val="0"/>
                <w:sz w:val="20"/>
                <w:szCs w:val="20"/>
                <w:rtl/>
              </w:rPr>
              <w:t>مجموع المراكز القصيره</w:t>
            </w:r>
          </w:p>
        </w:tc>
        <w:tc>
          <w:tcPr>
            <w:tcW w:w="612"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4"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903" w:type="dxa"/>
            <w:tcBorders>
              <w:top w:val="nil"/>
              <w:left w:val="single" w:sz="8" w:space="0" w:color="auto"/>
              <w:bottom w:val="single" w:sz="4"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jc w:val="center"/>
              <w:rPr>
                <w:rFonts w:asciiTheme="majorBidi" w:hAnsiTheme="majorBidi" w:cstheme="majorBidi"/>
                <w:b w:val="0"/>
                <w:bCs w:val="0"/>
                <w:sz w:val="20"/>
                <w:szCs w:val="20"/>
              </w:rPr>
            </w:pPr>
            <w:r w:rsidRPr="003D3043">
              <w:rPr>
                <w:rFonts w:asciiTheme="majorBidi" w:hAnsiTheme="majorBidi" w:cstheme="majorBidi"/>
                <w:sz w:val="20"/>
                <w:szCs w:val="20"/>
                <w:rtl/>
              </w:rPr>
              <w:t>الأوزان الترجيحية (أ)</w:t>
            </w:r>
          </w:p>
        </w:tc>
        <w:tc>
          <w:tcPr>
            <w:tcW w:w="612"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66" w:type="dxa"/>
            <w:tcBorders>
              <w:top w:val="nil"/>
              <w:left w:val="single" w:sz="8" w:space="0" w:color="auto"/>
              <w:bottom w:val="single" w:sz="8" w:space="0" w:color="auto"/>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903"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b w:val="0"/>
                <w:bCs w:val="0"/>
                <w:sz w:val="20"/>
                <w:szCs w:val="20"/>
              </w:rPr>
              <w:t>0</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646CA2">
            <w:pPr>
              <w:jc w:val="center"/>
              <w:rPr>
                <w:rFonts w:asciiTheme="majorBidi" w:hAnsiTheme="majorBidi" w:cstheme="majorBidi"/>
                <w:b w:val="0"/>
                <w:bCs w:val="0"/>
                <w:sz w:val="20"/>
                <w:szCs w:val="20"/>
              </w:rPr>
            </w:pPr>
            <w:r w:rsidRPr="003D3043">
              <w:rPr>
                <w:rFonts w:asciiTheme="majorBidi" w:hAnsiTheme="majorBidi" w:cstheme="majorBidi"/>
                <w:sz w:val="20"/>
                <w:szCs w:val="20"/>
                <w:rtl/>
              </w:rPr>
              <w:t xml:space="preserve">المراكز الطويلة </w:t>
            </w:r>
            <w:r w:rsidR="00646CA2">
              <w:rPr>
                <w:rFonts w:asciiTheme="majorBidi" w:hAnsiTheme="majorBidi" w:cstheme="majorBidi" w:hint="cs"/>
                <w:sz w:val="20"/>
                <w:szCs w:val="20"/>
                <w:rtl/>
              </w:rPr>
              <w:t xml:space="preserve">* </w:t>
            </w:r>
            <w:r w:rsidRPr="003D3043">
              <w:rPr>
                <w:rFonts w:asciiTheme="majorBidi" w:hAnsiTheme="majorBidi" w:cstheme="majorBidi"/>
                <w:sz w:val="20"/>
                <w:szCs w:val="20"/>
                <w:rtl/>
              </w:rPr>
              <w:t>الأوزان الترجيحية(أ)</w:t>
            </w:r>
          </w:p>
        </w:tc>
        <w:tc>
          <w:tcPr>
            <w:tcW w:w="612"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0.20%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0.40%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0.70%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1.25%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1.75%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2.25%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2.75%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3.25%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3.75%</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4.50%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5.25%</w:t>
            </w:r>
          </w:p>
        </w:tc>
        <w:tc>
          <w:tcPr>
            <w:tcW w:w="903"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6%</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646CA2">
            <w:pPr>
              <w:jc w:val="center"/>
              <w:rPr>
                <w:rFonts w:asciiTheme="majorBidi" w:hAnsiTheme="majorBidi" w:cstheme="majorBidi"/>
                <w:b w:val="0"/>
                <w:bCs w:val="0"/>
                <w:sz w:val="20"/>
                <w:szCs w:val="20"/>
              </w:rPr>
            </w:pPr>
            <w:r w:rsidRPr="003D3043">
              <w:rPr>
                <w:rFonts w:asciiTheme="majorBidi" w:hAnsiTheme="majorBidi" w:cstheme="majorBidi"/>
                <w:sz w:val="20"/>
                <w:szCs w:val="20"/>
                <w:rtl/>
              </w:rPr>
              <w:t>المراكز القصيرة</w:t>
            </w:r>
            <w:r w:rsidR="00646CA2">
              <w:rPr>
                <w:rFonts w:asciiTheme="majorBidi" w:hAnsiTheme="majorBidi" w:cstheme="majorBidi" w:hint="cs"/>
                <w:sz w:val="20"/>
                <w:szCs w:val="20"/>
                <w:rtl/>
              </w:rPr>
              <w:t xml:space="preserve"> * </w:t>
            </w:r>
            <w:r w:rsidRPr="003D3043">
              <w:rPr>
                <w:rFonts w:asciiTheme="majorBidi" w:hAnsiTheme="majorBidi" w:cstheme="majorBidi"/>
                <w:sz w:val="20"/>
                <w:szCs w:val="20"/>
                <w:rtl/>
              </w:rPr>
              <w:t>الأوزان الترجيحية (ب)</w:t>
            </w:r>
          </w:p>
        </w:tc>
        <w:tc>
          <w:tcPr>
            <w:tcW w:w="612" w:type="dxa"/>
            <w:tcBorders>
              <w:top w:val="nil"/>
              <w:left w:val="nil"/>
              <w:bottom w:val="single" w:sz="8" w:space="0" w:color="auto"/>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903"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0</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1</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tl/>
              </w:rPr>
              <w:t>صافي المراكز المفتوحة غير المغطية المرجحة (أ+ب)</w:t>
            </w:r>
          </w:p>
        </w:tc>
        <w:tc>
          <w:tcPr>
            <w:tcW w:w="61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903" w:type="dxa"/>
            <w:tcBorders>
              <w:top w:val="nil"/>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17" w:type="dxa"/>
            <w:tcBorders>
              <w:top w:val="nil"/>
              <w:left w:val="nil"/>
              <w:bottom w:val="nil"/>
              <w:right w:val="nil"/>
            </w:tcBorders>
            <w:shd w:val="clear" w:color="auto" w:fill="auto"/>
            <w:noWrap/>
            <w:vAlign w:val="bottom"/>
            <w:hideMark/>
          </w:tcPr>
          <w:p w:rsidR="008531A2" w:rsidRPr="003D3043" w:rsidRDefault="008531A2" w:rsidP="008C1354">
            <w:pPr>
              <w:bidi w:val="0"/>
              <w:rPr>
                <w:rFonts w:asciiTheme="majorBidi" w:hAnsiTheme="majorBidi" w:cstheme="majorBidi"/>
                <w:sz w:val="20"/>
                <w:szCs w:val="20"/>
              </w:rPr>
            </w:pPr>
          </w:p>
        </w:tc>
      </w:tr>
      <w:tr w:rsidR="008531A2" w:rsidRPr="003D3043" w:rsidTr="00DF4AC7">
        <w:trPr>
          <w:trHeight w:hRule="exact" w:val="288"/>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2</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8C1354">
            <w:pPr>
              <w:jc w:val="center"/>
              <w:rPr>
                <w:rFonts w:asciiTheme="majorBidi" w:hAnsiTheme="majorBidi" w:cstheme="majorBidi"/>
                <w:sz w:val="20"/>
                <w:szCs w:val="20"/>
              </w:rPr>
            </w:pPr>
            <w:r w:rsidRPr="003D3043">
              <w:rPr>
                <w:rFonts w:asciiTheme="majorBidi" w:hAnsiTheme="majorBidi" w:cstheme="majorBidi"/>
                <w:sz w:val="20"/>
                <w:szCs w:val="20"/>
              </w:rPr>
              <w:t> </w:t>
            </w:r>
          </w:p>
        </w:tc>
        <w:tc>
          <w:tcPr>
            <w:tcW w:w="612"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nil"/>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nil"/>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903" w:type="dxa"/>
            <w:tcBorders>
              <w:top w:val="nil"/>
              <w:left w:val="single" w:sz="8" w:space="0" w:color="auto"/>
              <w:bottom w:val="double" w:sz="6"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17" w:type="dxa"/>
            <w:tcBorders>
              <w:top w:val="single" w:sz="8" w:space="0" w:color="auto"/>
              <w:left w:val="single" w:sz="8" w:space="0" w:color="auto"/>
              <w:bottom w:val="single" w:sz="8" w:space="0" w:color="auto"/>
              <w:right w:val="single" w:sz="8" w:space="0" w:color="auto"/>
            </w:tcBorders>
            <w:shd w:val="clear" w:color="000000" w:fill="FFFF99"/>
            <w:noWrap/>
            <w:vAlign w:val="bottom"/>
            <w:hideMark/>
          </w:tcPr>
          <w:p w:rsidR="008531A2" w:rsidRPr="003D3043" w:rsidRDefault="008531A2" w:rsidP="008C1354">
            <w:pPr>
              <w:bidi w:val="0"/>
              <w:rPr>
                <w:rFonts w:asciiTheme="majorBidi" w:hAnsiTheme="majorBidi" w:cstheme="majorBidi"/>
                <w:sz w:val="20"/>
                <w:szCs w:val="20"/>
              </w:rPr>
            </w:pPr>
            <w:r w:rsidRPr="003D3043">
              <w:rPr>
                <w:rFonts w:asciiTheme="majorBidi" w:hAnsiTheme="majorBidi" w:cstheme="majorBidi"/>
                <w:sz w:val="20"/>
                <w:szCs w:val="20"/>
              </w:rPr>
              <w:t>0.000</w:t>
            </w:r>
          </w:p>
        </w:tc>
      </w:tr>
      <w:tr w:rsidR="008531A2" w:rsidRPr="003D3043" w:rsidTr="00DF4AC7">
        <w:trPr>
          <w:trHeight w:hRule="exact" w:val="576"/>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3</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646CA2">
            <w:pPr>
              <w:jc w:val="center"/>
              <w:rPr>
                <w:rFonts w:asciiTheme="majorBidi" w:hAnsiTheme="majorBidi" w:cstheme="majorBidi"/>
                <w:sz w:val="20"/>
                <w:szCs w:val="20"/>
              </w:rPr>
            </w:pPr>
            <w:r w:rsidRPr="003D3043">
              <w:rPr>
                <w:rFonts w:asciiTheme="majorBidi" w:hAnsiTheme="majorBidi" w:cstheme="majorBidi"/>
                <w:sz w:val="20"/>
                <w:szCs w:val="20"/>
                <w:rtl/>
              </w:rPr>
              <w:t>عدم السماح العامودي (المراكز المغطية ضمن أعمدة الاستحقاق</w:t>
            </w:r>
            <w:r w:rsidR="00646CA2">
              <w:rPr>
                <w:rFonts w:asciiTheme="majorBidi" w:hAnsiTheme="majorBidi" w:cstheme="majorBidi" w:hint="cs"/>
                <w:sz w:val="20"/>
                <w:szCs w:val="20"/>
                <w:rtl/>
              </w:rPr>
              <w:t xml:space="preserve"> *</w:t>
            </w:r>
            <w:r w:rsidRPr="003D3043">
              <w:rPr>
                <w:rFonts w:asciiTheme="majorBidi" w:hAnsiTheme="majorBidi" w:cstheme="majorBidi"/>
                <w:sz w:val="20"/>
                <w:szCs w:val="20"/>
                <w:rtl/>
              </w:rPr>
              <w:t>10%)</w:t>
            </w:r>
          </w:p>
        </w:tc>
        <w:tc>
          <w:tcPr>
            <w:tcW w:w="612"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nil"/>
              <w:bottom w:val="nil"/>
              <w:right w:val="nil"/>
            </w:tcBorders>
            <w:shd w:val="clear" w:color="000000" w:fill="FFFF00"/>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nil"/>
              <w:bottom w:val="nil"/>
              <w:right w:val="nil"/>
            </w:tcBorders>
            <w:shd w:val="clear" w:color="000000" w:fill="FFFFFF"/>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FF0000"/>
                <w:sz w:val="20"/>
                <w:szCs w:val="20"/>
              </w:rPr>
              <w:t>0</w:t>
            </w:r>
          </w:p>
        </w:tc>
        <w:tc>
          <w:tcPr>
            <w:tcW w:w="766"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nil"/>
              <w:bottom w:val="nil"/>
              <w:right w:val="nil"/>
            </w:tcBorders>
            <w:shd w:val="clear" w:color="000000" w:fill="FFFF00"/>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nil"/>
              <w:left w:val="single" w:sz="8" w:space="0" w:color="auto"/>
              <w:bottom w:val="nil"/>
              <w:right w:val="single" w:sz="4"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b w:val="0"/>
                <w:bCs w:val="0"/>
                <w:sz w:val="20"/>
                <w:szCs w:val="20"/>
              </w:rPr>
              <w:t>0</w:t>
            </w:r>
          </w:p>
        </w:tc>
        <w:tc>
          <w:tcPr>
            <w:tcW w:w="766" w:type="dxa"/>
            <w:tcBorders>
              <w:top w:val="nil"/>
              <w:left w:val="nil"/>
              <w:bottom w:val="nil"/>
              <w:right w:val="nil"/>
            </w:tcBorders>
            <w:shd w:val="clear" w:color="000000" w:fill="FFFF00"/>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w:t>
            </w:r>
          </w:p>
        </w:tc>
        <w:tc>
          <w:tcPr>
            <w:tcW w:w="766" w:type="dxa"/>
            <w:tcBorders>
              <w:top w:val="double" w:sz="6" w:space="0" w:color="auto"/>
              <w:left w:val="nil"/>
              <w:bottom w:val="nil"/>
              <w:right w:val="nil"/>
            </w:tcBorders>
            <w:shd w:val="clear" w:color="000000" w:fill="FFFFFF"/>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FF0000"/>
                <w:sz w:val="20"/>
                <w:szCs w:val="20"/>
              </w:rPr>
              <w:t>0</w:t>
            </w:r>
          </w:p>
        </w:tc>
        <w:tc>
          <w:tcPr>
            <w:tcW w:w="766" w:type="dxa"/>
            <w:tcBorders>
              <w:top w:val="double" w:sz="6" w:space="0" w:color="auto"/>
              <w:left w:val="nil"/>
              <w:bottom w:val="nil"/>
              <w:right w:val="nil"/>
            </w:tcBorders>
            <w:shd w:val="clear" w:color="000000" w:fill="FFFFFF"/>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FF0000"/>
                <w:sz w:val="20"/>
                <w:szCs w:val="20"/>
              </w:rPr>
              <w:t>0</w:t>
            </w:r>
          </w:p>
        </w:tc>
        <w:tc>
          <w:tcPr>
            <w:tcW w:w="903" w:type="dxa"/>
            <w:tcBorders>
              <w:top w:val="nil"/>
              <w:left w:val="nil"/>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p>
        </w:tc>
        <w:tc>
          <w:tcPr>
            <w:tcW w:w="717" w:type="dxa"/>
            <w:tcBorders>
              <w:top w:val="nil"/>
              <w:left w:val="single" w:sz="8" w:space="0" w:color="auto"/>
              <w:bottom w:val="single" w:sz="8" w:space="0" w:color="auto"/>
              <w:right w:val="single" w:sz="8" w:space="0" w:color="auto"/>
            </w:tcBorders>
            <w:shd w:val="clear" w:color="000000" w:fill="FFFF99"/>
            <w:noWrap/>
            <w:vAlign w:val="bottom"/>
            <w:hideMark/>
          </w:tcPr>
          <w:p w:rsidR="008531A2" w:rsidRPr="003D3043" w:rsidRDefault="008531A2" w:rsidP="008C1354">
            <w:pPr>
              <w:bidi w:val="0"/>
              <w:rPr>
                <w:rFonts w:asciiTheme="majorBidi" w:hAnsiTheme="majorBidi" w:cstheme="majorBidi"/>
                <w:sz w:val="20"/>
                <w:szCs w:val="20"/>
              </w:rPr>
            </w:pPr>
            <w:r w:rsidRPr="003D3043">
              <w:rPr>
                <w:rFonts w:asciiTheme="majorBidi" w:hAnsiTheme="majorBidi" w:cstheme="majorBidi"/>
                <w:sz w:val="20"/>
                <w:szCs w:val="20"/>
              </w:rPr>
              <w:t> </w:t>
            </w:r>
          </w:p>
        </w:tc>
      </w:tr>
      <w:tr w:rsidR="008531A2" w:rsidRPr="003D3043" w:rsidTr="00DF4AC7">
        <w:trPr>
          <w:trHeight w:hRule="exact" w:val="432"/>
        </w:trPr>
        <w:tc>
          <w:tcPr>
            <w:tcW w:w="526" w:type="dxa"/>
            <w:tcBorders>
              <w:top w:val="nil"/>
              <w:left w:val="single" w:sz="8" w:space="0" w:color="auto"/>
              <w:bottom w:val="nil"/>
              <w:right w:val="nil"/>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4</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8531A2" w:rsidRPr="003D3043" w:rsidRDefault="008531A2" w:rsidP="00646CA2">
            <w:pPr>
              <w:jc w:val="center"/>
              <w:rPr>
                <w:rFonts w:asciiTheme="majorBidi" w:hAnsiTheme="majorBidi" w:cstheme="majorBidi"/>
                <w:sz w:val="20"/>
                <w:szCs w:val="20"/>
              </w:rPr>
            </w:pPr>
            <w:r w:rsidRPr="003D3043">
              <w:rPr>
                <w:rFonts w:asciiTheme="majorBidi" w:hAnsiTheme="majorBidi" w:cstheme="majorBidi"/>
                <w:sz w:val="20"/>
                <w:szCs w:val="20"/>
                <w:rtl/>
              </w:rPr>
              <w:t xml:space="preserve">عدم السماح الأفقي :- المركز المغطية ضمن فترات الاستحقاق نفسها </w:t>
            </w:r>
            <w:r w:rsidR="00646CA2">
              <w:rPr>
                <w:rFonts w:asciiTheme="majorBidi" w:hAnsiTheme="majorBidi" w:cstheme="majorBidi" w:hint="cs"/>
                <w:sz w:val="20"/>
                <w:szCs w:val="20"/>
                <w:rtl/>
              </w:rPr>
              <w:t xml:space="preserve">* </w:t>
            </w:r>
            <w:r w:rsidRPr="003D3043">
              <w:rPr>
                <w:rFonts w:asciiTheme="majorBidi" w:hAnsiTheme="majorBidi" w:cstheme="majorBidi"/>
                <w:sz w:val="20"/>
                <w:szCs w:val="20"/>
                <w:rtl/>
              </w:rPr>
              <w:t>(40% , 30% , 30%)</w:t>
            </w:r>
          </w:p>
        </w:tc>
        <w:tc>
          <w:tcPr>
            <w:tcW w:w="612" w:type="dxa"/>
            <w:tcBorders>
              <w:top w:val="single" w:sz="8" w:space="0" w:color="auto"/>
              <w:left w:val="single" w:sz="8" w:space="0" w:color="auto"/>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single" w:sz="8" w:space="0" w:color="auto"/>
              <w:left w:val="nil"/>
              <w:bottom w:val="single" w:sz="8" w:space="0" w:color="auto"/>
              <w:right w:val="dashed"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903" w:type="dxa"/>
            <w:tcBorders>
              <w:top w:val="single" w:sz="8" w:space="0" w:color="auto"/>
              <w:left w:val="nil"/>
              <w:bottom w:val="single" w:sz="8" w:space="0" w:color="auto"/>
              <w:right w:val="single" w:sz="8" w:space="0" w:color="auto"/>
            </w:tcBorders>
            <w:shd w:val="clear" w:color="auto" w:fill="auto"/>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17" w:type="dxa"/>
            <w:tcBorders>
              <w:top w:val="nil"/>
              <w:left w:val="single" w:sz="8" w:space="0" w:color="auto"/>
              <w:bottom w:val="single" w:sz="8" w:space="0" w:color="auto"/>
              <w:right w:val="single" w:sz="8" w:space="0" w:color="auto"/>
            </w:tcBorders>
            <w:shd w:val="clear" w:color="000000" w:fill="FFFF99"/>
            <w:noWrap/>
            <w:vAlign w:val="bottom"/>
            <w:hideMark/>
          </w:tcPr>
          <w:p w:rsidR="008531A2" w:rsidRPr="003D3043" w:rsidRDefault="008531A2" w:rsidP="008C1354">
            <w:pPr>
              <w:bidi w:val="0"/>
              <w:jc w:val="center"/>
              <w:rPr>
                <w:rFonts w:asciiTheme="majorBidi" w:hAnsiTheme="majorBidi" w:cstheme="majorBidi"/>
                <w:sz w:val="20"/>
                <w:szCs w:val="20"/>
              </w:rPr>
            </w:pPr>
            <w:r w:rsidRPr="003D3043">
              <w:rPr>
                <w:rFonts w:asciiTheme="majorBidi" w:hAnsiTheme="majorBidi" w:cstheme="majorBidi"/>
                <w:sz w:val="20"/>
                <w:szCs w:val="20"/>
              </w:rPr>
              <w:t>0.000</w:t>
            </w:r>
          </w:p>
        </w:tc>
      </w:tr>
      <w:tr w:rsidR="003D3043" w:rsidRPr="003D3043" w:rsidTr="00DF4AC7">
        <w:trPr>
          <w:trHeight w:hRule="exact" w:val="432"/>
        </w:trPr>
        <w:tc>
          <w:tcPr>
            <w:tcW w:w="526" w:type="dxa"/>
            <w:tcBorders>
              <w:top w:val="nil"/>
              <w:left w:val="single" w:sz="8" w:space="0" w:color="auto"/>
              <w:bottom w:val="nil"/>
              <w:right w:val="nil"/>
            </w:tcBorders>
            <w:shd w:val="clear" w:color="auto" w:fill="auto"/>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5</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646CA2">
            <w:pPr>
              <w:bidi w:val="0"/>
              <w:jc w:val="center"/>
              <w:rPr>
                <w:rFonts w:asciiTheme="majorBidi" w:hAnsiTheme="majorBidi" w:cstheme="majorBidi"/>
                <w:sz w:val="20"/>
                <w:szCs w:val="20"/>
              </w:rPr>
            </w:pPr>
            <w:r w:rsidRPr="003D3043">
              <w:rPr>
                <w:rFonts w:asciiTheme="majorBidi" w:hAnsiTheme="majorBidi" w:cstheme="majorBidi"/>
                <w:sz w:val="20"/>
                <w:szCs w:val="20"/>
                <w:rtl/>
              </w:rPr>
              <w:t xml:space="preserve">عدم السماح الأفقي :- المراكز المغطية ضمن فترات الاستحقاق المتجاورة </w:t>
            </w:r>
            <w:r w:rsidR="00646CA2">
              <w:rPr>
                <w:rFonts w:asciiTheme="majorBidi" w:hAnsiTheme="majorBidi" w:cstheme="majorBidi" w:hint="cs"/>
                <w:sz w:val="20"/>
                <w:szCs w:val="20"/>
                <w:rtl/>
              </w:rPr>
              <w:t>*</w:t>
            </w:r>
            <w:r w:rsidRPr="003D3043">
              <w:rPr>
                <w:rFonts w:asciiTheme="majorBidi" w:hAnsiTheme="majorBidi" w:cstheme="majorBidi"/>
                <w:sz w:val="20"/>
                <w:szCs w:val="20"/>
                <w:rtl/>
              </w:rPr>
              <w:t>40%</w:t>
            </w:r>
          </w:p>
        </w:tc>
        <w:tc>
          <w:tcPr>
            <w:tcW w:w="612" w:type="dxa"/>
            <w:tcBorders>
              <w:top w:val="nil"/>
              <w:left w:val="nil"/>
              <w:bottom w:val="dashed" w:sz="8" w:space="0" w:color="auto"/>
              <w:right w:val="dashed" w:sz="8" w:space="0" w:color="auto"/>
            </w:tcBorders>
            <w:shd w:val="clear" w:color="000000" w:fill="969696"/>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 </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double" w:sz="6" w:space="0" w:color="auto"/>
              <w:right w:val="double" w:sz="6" w:space="0" w:color="auto"/>
            </w:tcBorders>
            <w:shd w:val="clear" w:color="000000" w:fill="C0C0C0"/>
            <w:noWrap/>
            <w:vAlign w:val="bottom"/>
            <w:hideMark/>
          </w:tcPr>
          <w:p w:rsidR="003D3043" w:rsidRPr="003D3043" w:rsidRDefault="003D3043" w:rsidP="003D3043">
            <w:pPr>
              <w:bidi w:val="0"/>
              <w:jc w:val="right"/>
              <w:rPr>
                <w:rFonts w:asciiTheme="majorBidi" w:hAnsiTheme="majorBidi" w:cstheme="majorBidi"/>
                <w:color w:val="FF0000"/>
                <w:sz w:val="20"/>
                <w:szCs w:val="20"/>
              </w:rPr>
            </w:pPr>
            <w:r w:rsidRPr="003D3043">
              <w:rPr>
                <w:rFonts w:asciiTheme="majorBidi" w:hAnsiTheme="majorBidi" w:cstheme="majorBidi"/>
                <w:sz w:val="20"/>
                <w:szCs w:val="20"/>
              </w:rPr>
              <w:t> </w:t>
            </w:r>
          </w:p>
        </w:tc>
        <w:tc>
          <w:tcPr>
            <w:tcW w:w="766" w:type="dxa"/>
            <w:tcBorders>
              <w:top w:val="nil"/>
              <w:left w:val="double" w:sz="6" w:space="0" w:color="auto"/>
              <w:bottom w:val="double" w:sz="6" w:space="0" w:color="auto"/>
              <w:right w:val="dashed" w:sz="8" w:space="0" w:color="auto"/>
            </w:tcBorders>
            <w:shd w:val="clear" w:color="000000" w:fill="969696"/>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center"/>
              <w:rPr>
                <w:rFonts w:asciiTheme="majorBidi" w:hAnsiTheme="majorBidi" w:cstheme="majorBidi"/>
                <w:b w:val="0"/>
                <w:bCs w:val="0"/>
                <w:sz w:val="20"/>
                <w:szCs w:val="20"/>
              </w:rPr>
            </w:pPr>
            <w:r w:rsidRPr="003D3043">
              <w:rPr>
                <w:rFonts w:asciiTheme="majorBidi" w:hAnsiTheme="majorBidi" w:cstheme="majorBidi"/>
                <w:color w:val="C0C0C0"/>
                <w:sz w:val="20"/>
                <w:szCs w:val="20"/>
              </w:rPr>
              <w:t> </w:t>
            </w:r>
          </w:p>
        </w:tc>
        <w:tc>
          <w:tcPr>
            <w:tcW w:w="766" w:type="dxa"/>
            <w:tcBorders>
              <w:top w:val="nil"/>
              <w:left w:val="nil"/>
              <w:bottom w:val="double" w:sz="6" w:space="0" w:color="auto"/>
              <w:right w:val="double" w:sz="6" w:space="0" w:color="auto"/>
            </w:tcBorders>
            <w:shd w:val="clear" w:color="000000" w:fill="C0C0C0"/>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color w:val="C0C0C0"/>
                <w:sz w:val="20"/>
                <w:szCs w:val="20"/>
              </w:rPr>
              <w:t> </w:t>
            </w:r>
          </w:p>
        </w:tc>
        <w:tc>
          <w:tcPr>
            <w:tcW w:w="766" w:type="dxa"/>
            <w:tcBorders>
              <w:top w:val="nil"/>
              <w:left w:val="nil"/>
              <w:bottom w:val="dashed" w:sz="8" w:space="0" w:color="auto"/>
              <w:right w:val="dashed" w:sz="8" w:space="0" w:color="auto"/>
            </w:tcBorders>
            <w:shd w:val="clear" w:color="000000" w:fill="969696"/>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color w:val="000000"/>
                <w:sz w:val="20"/>
                <w:szCs w:val="20"/>
              </w:rPr>
              <w:t>0</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center"/>
              <w:rPr>
                <w:rFonts w:asciiTheme="majorBidi" w:hAnsiTheme="majorBidi" w:cstheme="majorBidi"/>
                <w:b w:val="0"/>
                <w:bCs w:val="0"/>
                <w:sz w:val="20"/>
                <w:szCs w:val="20"/>
              </w:rPr>
            </w:pPr>
            <w:r w:rsidRPr="003D3043">
              <w:rPr>
                <w:rFonts w:asciiTheme="majorBidi" w:hAnsiTheme="majorBidi" w:cstheme="majorBidi"/>
                <w:sz w:val="20"/>
                <w:szCs w:val="20"/>
              </w:rPr>
              <w:t> </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right"/>
              <w:rPr>
                <w:rFonts w:asciiTheme="majorBidi" w:hAnsiTheme="majorBidi" w:cstheme="majorBidi"/>
                <w:color w:val="FF0000"/>
                <w:sz w:val="20"/>
                <w:szCs w:val="20"/>
              </w:rPr>
            </w:pPr>
            <w:r w:rsidRPr="003D3043">
              <w:rPr>
                <w:rFonts w:asciiTheme="majorBidi" w:hAnsiTheme="majorBidi" w:cstheme="majorBidi"/>
                <w:sz w:val="20"/>
                <w:szCs w:val="20"/>
              </w:rPr>
              <w:t> </w:t>
            </w:r>
          </w:p>
        </w:tc>
        <w:tc>
          <w:tcPr>
            <w:tcW w:w="766" w:type="dxa"/>
            <w:tcBorders>
              <w:top w:val="nil"/>
              <w:left w:val="nil"/>
              <w:bottom w:val="double" w:sz="6" w:space="0" w:color="auto"/>
              <w:right w:val="nil"/>
            </w:tcBorders>
            <w:shd w:val="clear" w:color="000000" w:fill="C0C0C0"/>
            <w:noWrap/>
            <w:vAlign w:val="bottom"/>
            <w:hideMark/>
          </w:tcPr>
          <w:p w:rsidR="003D3043" w:rsidRPr="003D3043" w:rsidRDefault="003D3043" w:rsidP="003D3043">
            <w:pPr>
              <w:bidi w:val="0"/>
              <w:jc w:val="right"/>
              <w:rPr>
                <w:rFonts w:asciiTheme="majorBidi" w:hAnsiTheme="majorBidi" w:cstheme="majorBidi"/>
                <w:color w:val="FF0000"/>
                <w:sz w:val="20"/>
                <w:szCs w:val="20"/>
              </w:rPr>
            </w:pPr>
            <w:r w:rsidRPr="003D3043">
              <w:rPr>
                <w:rFonts w:asciiTheme="majorBidi" w:hAnsiTheme="majorBidi" w:cstheme="majorBidi"/>
                <w:sz w:val="20"/>
                <w:szCs w:val="20"/>
              </w:rPr>
              <w:t> </w:t>
            </w:r>
          </w:p>
        </w:tc>
        <w:tc>
          <w:tcPr>
            <w:tcW w:w="903" w:type="dxa"/>
            <w:tcBorders>
              <w:top w:val="nil"/>
              <w:left w:val="nil"/>
              <w:bottom w:val="double" w:sz="6" w:space="0" w:color="auto"/>
              <w:right w:val="single" w:sz="8" w:space="0" w:color="auto"/>
            </w:tcBorders>
            <w:shd w:val="clear" w:color="000000" w:fill="C0C0C0"/>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 </w:t>
            </w:r>
          </w:p>
        </w:tc>
        <w:tc>
          <w:tcPr>
            <w:tcW w:w="717" w:type="dxa"/>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0.000</w:t>
            </w:r>
          </w:p>
        </w:tc>
      </w:tr>
      <w:tr w:rsidR="003D3043" w:rsidRPr="003D3043" w:rsidTr="00DF4AC7">
        <w:trPr>
          <w:trHeight w:hRule="exact" w:val="576"/>
        </w:trPr>
        <w:tc>
          <w:tcPr>
            <w:tcW w:w="526" w:type="dxa"/>
            <w:tcBorders>
              <w:top w:val="nil"/>
              <w:left w:val="single" w:sz="8" w:space="0" w:color="auto"/>
              <w:bottom w:val="nil"/>
              <w:right w:val="nil"/>
            </w:tcBorders>
            <w:shd w:val="clear" w:color="auto" w:fill="auto"/>
            <w:noWrap/>
            <w:vAlign w:val="bottom"/>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6</w:t>
            </w:r>
          </w:p>
        </w:tc>
        <w:tc>
          <w:tcPr>
            <w:tcW w:w="3832" w:type="dxa"/>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646CA2">
            <w:pPr>
              <w:jc w:val="center"/>
              <w:rPr>
                <w:rFonts w:asciiTheme="majorBidi" w:hAnsiTheme="majorBidi" w:cstheme="majorBidi"/>
                <w:sz w:val="20"/>
                <w:szCs w:val="20"/>
              </w:rPr>
            </w:pPr>
            <w:r w:rsidRPr="003D3043">
              <w:rPr>
                <w:rFonts w:asciiTheme="majorBidi" w:hAnsiTheme="majorBidi" w:cstheme="majorBidi"/>
                <w:sz w:val="20"/>
                <w:szCs w:val="20"/>
                <w:rtl/>
              </w:rPr>
              <w:t xml:space="preserve">عدم السماح الأفقي :- المراكز المغطية ضمن فترات الاستحقاق المتباعدة </w:t>
            </w:r>
            <w:r w:rsidR="00646CA2">
              <w:rPr>
                <w:rFonts w:asciiTheme="majorBidi" w:hAnsiTheme="majorBidi" w:cstheme="majorBidi" w:hint="cs"/>
                <w:sz w:val="20"/>
                <w:szCs w:val="20"/>
                <w:rtl/>
              </w:rPr>
              <w:t>*</w:t>
            </w:r>
            <w:r w:rsidRPr="003D3043">
              <w:rPr>
                <w:rFonts w:asciiTheme="majorBidi" w:hAnsiTheme="majorBidi" w:cstheme="majorBidi"/>
                <w:sz w:val="20"/>
                <w:szCs w:val="20"/>
                <w:rtl/>
              </w:rPr>
              <w:t>100%</w:t>
            </w:r>
          </w:p>
        </w:tc>
        <w:tc>
          <w:tcPr>
            <w:tcW w:w="612" w:type="dxa"/>
            <w:tcBorders>
              <w:top w:val="double" w:sz="6" w:space="0" w:color="auto"/>
              <w:left w:val="single" w:sz="8" w:space="0" w:color="auto"/>
              <w:bottom w:val="single" w:sz="4" w:space="0" w:color="auto"/>
              <w:right w:val="single" w:sz="4" w:space="0" w:color="auto"/>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0</w:t>
            </w:r>
          </w:p>
        </w:tc>
        <w:tc>
          <w:tcPr>
            <w:tcW w:w="766" w:type="dxa"/>
            <w:tcBorders>
              <w:top w:val="nil"/>
              <w:left w:val="single" w:sz="4" w:space="0" w:color="auto"/>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single" w:sz="4" w:space="0" w:color="auto"/>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single" w:sz="4" w:space="0" w:color="auto"/>
              <w:bottom w:val="single" w:sz="4" w:space="0" w:color="auto"/>
              <w:right w:val="single" w:sz="4" w:space="0" w:color="auto"/>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0</w:t>
            </w:r>
          </w:p>
        </w:tc>
        <w:tc>
          <w:tcPr>
            <w:tcW w:w="766" w:type="dxa"/>
            <w:tcBorders>
              <w:top w:val="double" w:sz="6" w:space="0" w:color="auto"/>
              <w:left w:val="single" w:sz="4" w:space="0" w:color="auto"/>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903" w:type="dxa"/>
            <w:tcBorders>
              <w:top w:val="nil"/>
              <w:left w:val="nil"/>
              <w:bottom w:val="single" w:sz="4" w:space="0" w:color="auto"/>
              <w:right w:val="single" w:sz="8" w:space="0" w:color="auto"/>
            </w:tcBorders>
            <w:shd w:val="clear" w:color="000000" w:fill="FF99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17" w:type="dxa"/>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0.000</w:t>
            </w:r>
          </w:p>
        </w:tc>
      </w:tr>
      <w:tr w:rsidR="003D3043" w:rsidRPr="003D3043" w:rsidTr="00DF4AC7">
        <w:trPr>
          <w:trHeight w:hRule="exact" w:val="576"/>
        </w:trPr>
        <w:tc>
          <w:tcPr>
            <w:tcW w:w="526" w:type="dxa"/>
            <w:tcBorders>
              <w:top w:val="nil"/>
              <w:left w:val="single" w:sz="8" w:space="0" w:color="auto"/>
              <w:bottom w:val="nil"/>
              <w:right w:val="nil"/>
            </w:tcBorders>
            <w:shd w:val="clear" w:color="auto" w:fill="auto"/>
            <w:noWrap/>
            <w:vAlign w:val="bottom"/>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7</w:t>
            </w:r>
          </w:p>
        </w:tc>
        <w:tc>
          <w:tcPr>
            <w:tcW w:w="3832" w:type="dxa"/>
            <w:tcBorders>
              <w:top w:val="single" w:sz="8" w:space="0" w:color="auto"/>
              <w:left w:val="single" w:sz="4" w:space="0" w:color="auto"/>
              <w:bottom w:val="single" w:sz="8" w:space="0" w:color="auto"/>
              <w:right w:val="nil"/>
            </w:tcBorders>
            <w:shd w:val="clear" w:color="auto" w:fill="auto"/>
            <w:noWrap/>
            <w:vAlign w:val="bottom"/>
            <w:hideMark/>
          </w:tcPr>
          <w:p w:rsidR="003D3043" w:rsidRPr="003D3043" w:rsidRDefault="003D3043" w:rsidP="003D3043">
            <w:pPr>
              <w:jc w:val="center"/>
              <w:rPr>
                <w:rFonts w:asciiTheme="majorBidi" w:hAnsiTheme="majorBidi" w:cstheme="majorBidi"/>
                <w:sz w:val="20"/>
                <w:szCs w:val="20"/>
              </w:rPr>
            </w:pPr>
            <w:r w:rsidRPr="003D3043">
              <w:rPr>
                <w:rFonts w:asciiTheme="majorBidi" w:hAnsiTheme="majorBidi" w:cstheme="majorBidi"/>
                <w:b w:val="0"/>
                <w:bCs w:val="0"/>
                <w:sz w:val="20"/>
                <w:szCs w:val="20"/>
                <w:rtl/>
              </w:rPr>
              <w:t>رأس المال الواجب تخصيصه لمقابلة المخاطر العامة للأدوات المالية الخاضعة مخاطر أسعار الفوائد يساوي :</w:t>
            </w:r>
          </w:p>
        </w:tc>
        <w:tc>
          <w:tcPr>
            <w:tcW w:w="612" w:type="dxa"/>
            <w:tcBorders>
              <w:top w:val="nil"/>
              <w:left w:val="single" w:sz="8" w:space="0" w:color="auto"/>
              <w:bottom w:val="single" w:sz="8" w:space="0" w:color="auto"/>
              <w:right w:val="nil"/>
            </w:tcBorders>
            <w:shd w:val="clear" w:color="000000" w:fill="00FF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0</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color w:val="C0C0C0"/>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color w:val="C0C0C0"/>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jc w:val="right"/>
              <w:rPr>
                <w:rFonts w:asciiTheme="majorBidi" w:hAnsiTheme="majorBidi" w:cstheme="majorBidi"/>
                <w:color w:val="000000"/>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66" w:type="dxa"/>
            <w:tcBorders>
              <w:top w:val="nil"/>
              <w:left w:val="nil"/>
              <w:bottom w:val="single" w:sz="8" w:space="0" w:color="auto"/>
              <w:right w:val="nil"/>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903" w:type="dxa"/>
            <w:tcBorders>
              <w:top w:val="nil"/>
              <w:left w:val="nil"/>
              <w:bottom w:val="single" w:sz="8" w:space="0" w:color="auto"/>
              <w:right w:val="single" w:sz="8" w:space="0" w:color="auto"/>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 </w:t>
            </w:r>
          </w:p>
        </w:tc>
        <w:tc>
          <w:tcPr>
            <w:tcW w:w="717" w:type="dxa"/>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0.000</w:t>
            </w:r>
          </w:p>
        </w:tc>
      </w:tr>
      <w:tr w:rsidR="003D3043" w:rsidRPr="003D3043" w:rsidTr="00DF4AC7">
        <w:trPr>
          <w:trHeight w:hRule="exact" w:val="432"/>
        </w:trPr>
        <w:tc>
          <w:tcPr>
            <w:tcW w:w="526" w:type="dxa"/>
            <w:tcBorders>
              <w:top w:val="nil"/>
              <w:left w:val="single" w:sz="8" w:space="0" w:color="auto"/>
              <w:bottom w:val="single" w:sz="4" w:space="0" w:color="auto"/>
              <w:right w:val="single" w:sz="4" w:space="0" w:color="auto"/>
            </w:tcBorders>
            <w:shd w:val="clear" w:color="auto" w:fill="auto"/>
            <w:noWrap/>
            <w:vAlign w:val="bottom"/>
          </w:tcPr>
          <w:p w:rsidR="003D3043" w:rsidRPr="003D3043" w:rsidRDefault="003D3043" w:rsidP="003D3043">
            <w:pPr>
              <w:bidi w:val="0"/>
              <w:jc w:val="center"/>
              <w:rPr>
                <w:rFonts w:asciiTheme="majorBidi" w:hAnsiTheme="majorBidi" w:cstheme="majorBidi"/>
                <w:sz w:val="20"/>
                <w:szCs w:val="20"/>
              </w:rPr>
            </w:pPr>
            <w:r w:rsidRPr="003D3043">
              <w:rPr>
                <w:rFonts w:asciiTheme="majorBidi" w:hAnsiTheme="majorBidi" w:cstheme="majorBidi"/>
                <w:sz w:val="20"/>
                <w:szCs w:val="20"/>
              </w:rPr>
              <w:t>8</w:t>
            </w:r>
          </w:p>
        </w:tc>
        <w:tc>
          <w:tcPr>
            <w:tcW w:w="3832" w:type="dxa"/>
            <w:tcBorders>
              <w:top w:val="single" w:sz="8" w:space="0" w:color="auto"/>
              <w:left w:val="single" w:sz="8" w:space="0" w:color="auto"/>
              <w:bottom w:val="single" w:sz="4" w:space="0" w:color="auto"/>
              <w:right w:val="nil"/>
            </w:tcBorders>
            <w:shd w:val="clear" w:color="auto" w:fill="auto"/>
            <w:noWrap/>
            <w:vAlign w:val="bottom"/>
            <w:hideMark/>
          </w:tcPr>
          <w:p w:rsidR="003D3043" w:rsidRPr="003D3043" w:rsidRDefault="003D3043" w:rsidP="00646CA2">
            <w:pPr>
              <w:jc w:val="center"/>
              <w:rPr>
                <w:rFonts w:asciiTheme="majorBidi" w:hAnsiTheme="majorBidi" w:cstheme="majorBidi"/>
                <w:sz w:val="20"/>
                <w:szCs w:val="20"/>
              </w:rPr>
            </w:pPr>
            <w:r w:rsidRPr="003D3043">
              <w:rPr>
                <w:rFonts w:asciiTheme="majorBidi" w:hAnsiTheme="majorBidi" w:cstheme="majorBidi"/>
                <w:b w:val="0"/>
                <w:bCs w:val="0"/>
                <w:sz w:val="20"/>
                <w:szCs w:val="20"/>
                <w:rtl/>
              </w:rPr>
              <w:t xml:space="preserve"> المخاطر العامة لأسعار الفوائد = مجموع رأس المال المطلوب للمخاطر العام</w:t>
            </w:r>
            <w:r w:rsidR="00646CA2">
              <w:rPr>
                <w:rFonts w:asciiTheme="majorBidi" w:hAnsiTheme="majorBidi" w:cstheme="majorBidi" w:hint="cs"/>
                <w:b w:val="0"/>
                <w:bCs w:val="0"/>
                <w:sz w:val="20"/>
                <w:szCs w:val="20"/>
                <w:rtl/>
              </w:rPr>
              <w:t>*</w:t>
            </w:r>
            <w:r w:rsidRPr="003D3043">
              <w:rPr>
                <w:rFonts w:asciiTheme="majorBidi" w:hAnsiTheme="majorBidi" w:cstheme="majorBidi"/>
                <w:b w:val="0"/>
                <w:bCs w:val="0"/>
                <w:sz w:val="20"/>
                <w:szCs w:val="20"/>
                <w:rtl/>
              </w:rPr>
              <w:t xml:space="preserve"> 5ر12</w:t>
            </w:r>
          </w:p>
        </w:tc>
        <w:tc>
          <w:tcPr>
            <w:tcW w:w="612"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jc w:val="right"/>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jc w:val="right"/>
              <w:rPr>
                <w:rFonts w:asciiTheme="majorBidi" w:hAnsiTheme="majorBidi" w:cstheme="majorBidi"/>
                <w:sz w:val="20"/>
                <w:szCs w:val="20"/>
              </w:rPr>
            </w:pPr>
          </w:p>
        </w:tc>
        <w:tc>
          <w:tcPr>
            <w:tcW w:w="766" w:type="dxa"/>
            <w:tcBorders>
              <w:top w:val="nil"/>
              <w:left w:val="nil"/>
              <w:bottom w:val="single" w:sz="4" w:space="0" w:color="auto"/>
              <w:right w:val="nil"/>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single" w:sz="8" w:space="0" w:color="auto"/>
              <w:bottom w:val="single" w:sz="4" w:space="0" w:color="auto"/>
              <w:right w:val="single" w:sz="8" w:space="0" w:color="auto"/>
            </w:tcBorders>
            <w:shd w:val="clear" w:color="000000" w:fill="FFFF99"/>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sz w:val="20"/>
                <w:szCs w:val="20"/>
              </w:rPr>
              <w:t>0.000</w:t>
            </w:r>
          </w:p>
        </w:tc>
        <w:tc>
          <w:tcPr>
            <w:tcW w:w="766" w:type="dxa"/>
            <w:tcBorders>
              <w:bottom w:val="single" w:sz="4" w:space="0" w:color="auto"/>
            </w:tcBorders>
            <w:noWrap/>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rPr>
                <w:rFonts w:asciiTheme="majorBidi" w:hAnsiTheme="majorBidi" w:cstheme="majorBidi"/>
                <w:sz w:val="20"/>
                <w:szCs w:val="20"/>
              </w:rPr>
            </w:pPr>
          </w:p>
        </w:tc>
        <w:tc>
          <w:tcPr>
            <w:tcW w:w="766" w:type="dxa"/>
            <w:tcBorders>
              <w:top w:val="nil"/>
              <w:left w:val="nil"/>
              <w:bottom w:val="single" w:sz="4" w:space="0" w:color="auto"/>
              <w:right w:val="nil"/>
            </w:tcBorders>
            <w:shd w:val="clear" w:color="000000" w:fill="FF9900"/>
            <w:noWrap/>
            <w:vAlign w:val="bottom"/>
            <w:hideMark/>
          </w:tcPr>
          <w:p w:rsidR="003D3043" w:rsidRPr="003D3043" w:rsidRDefault="003D3043" w:rsidP="003D3043">
            <w:pPr>
              <w:bidi w:val="0"/>
              <w:rPr>
                <w:rFonts w:asciiTheme="majorBidi" w:hAnsiTheme="majorBidi" w:cstheme="majorBidi"/>
                <w:sz w:val="20"/>
                <w:szCs w:val="20"/>
              </w:rPr>
            </w:pPr>
          </w:p>
        </w:tc>
        <w:tc>
          <w:tcPr>
            <w:tcW w:w="903" w:type="dxa"/>
            <w:tcBorders>
              <w:top w:val="nil"/>
              <w:left w:val="nil"/>
              <w:bottom w:val="single" w:sz="4" w:space="0" w:color="auto"/>
              <w:right w:val="single" w:sz="8" w:space="0" w:color="auto"/>
            </w:tcBorders>
            <w:shd w:val="clear" w:color="000000" w:fill="FF9900"/>
            <w:noWrap/>
            <w:vAlign w:val="bottom"/>
            <w:hideMark/>
          </w:tcPr>
          <w:p w:rsidR="003D3043" w:rsidRPr="003D3043" w:rsidRDefault="003D3043" w:rsidP="003D3043">
            <w:pPr>
              <w:bidi w:val="0"/>
              <w:rPr>
                <w:rFonts w:asciiTheme="majorBidi" w:hAnsiTheme="majorBidi" w:cstheme="majorBidi"/>
                <w:sz w:val="20"/>
                <w:szCs w:val="20"/>
              </w:rPr>
            </w:pPr>
          </w:p>
        </w:tc>
        <w:tc>
          <w:tcPr>
            <w:tcW w:w="717" w:type="dxa"/>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3D3043">
            <w:pPr>
              <w:bidi w:val="0"/>
              <w:jc w:val="center"/>
              <w:rPr>
                <w:rFonts w:asciiTheme="majorBidi" w:hAnsiTheme="majorBidi" w:cstheme="majorBidi"/>
                <w:sz w:val="20"/>
                <w:szCs w:val="20"/>
              </w:rPr>
            </w:pPr>
          </w:p>
        </w:tc>
      </w:tr>
      <w:tr w:rsidR="003D3043" w:rsidRPr="003D3043" w:rsidTr="00DF4AC7">
        <w:trPr>
          <w:trHeight w:hRule="exact" w:val="288"/>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3043" w:rsidRPr="003D3043" w:rsidRDefault="003D3043" w:rsidP="003D3043">
            <w:pPr>
              <w:bidi w:val="0"/>
              <w:jc w:val="center"/>
              <w:rPr>
                <w:rFonts w:asciiTheme="majorBidi" w:hAnsiTheme="majorBidi" w:cstheme="majorBidi"/>
                <w:sz w:val="20"/>
                <w:szCs w:val="20"/>
              </w:rPr>
            </w:pP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jc w:val="center"/>
              <w:rPr>
                <w:rFonts w:asciiTheme="majorBidi" w:hAnsiTheme="majorBidi" w:cstheme="majorBidi"/>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jc w:val="right"/>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 </w:t>
            </w:r>
          </w:p>
        </w:tc>
        <w:tc>
          <w:tcPr>
            <w:tcW w:w="76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3D3043" w:rsidRPr="003D3043" w:rsidRDefault="003D3043" w:rsidP="003D3043">
            <w:pPr>
              <w:bidi w:val="0"/>
              <w:rPr>
                <w:rFonts w:asciiTheme="majorBidi" w:hAnsiTheme="majorBidi" w:cstheme="majorBidi"/>
                <w:sz w:val="20"/>
                <w:szCs w:val="20"/>
              </w:rPr>
            </w:pPr>
            <w:r w:rsidRPr="003D3043">
              <w:rPr>
                <w:rFonts w:asciiTheme="majorBidi" w:hAnsiTheme="majorBidi" w:cstheme="majorBidi"/>
                <w:b w:val="0"/>
                <w:bCs w:val="0"/>
                <w:sz w:val="20"/>
                <w:szCs w:val="20"/>
              </w:rPr>
              <w:t>0.000</w:t>
            </w:r>
          </w:p>
        </w:tc>
        <w:tc>
          <w:tcPr>
            <w:tcW w:w="766" w:type="dxa"/>
            <w:tcBorders>
              <w:top w:val="single" w:sz="4" w:space="0" w:color="auto"/>
              <w:left w:val="single" w:sz="4" w:space="0" w:color="auto"/>
              <w:bottom w:val="single" w:sz="4" w:space="0" w:color="auto"/>
              <w:right w:val="single" w:sz="4" w:space="0" w:color="auto"/>
            </w:tcBorders>
            <w:noWrap/>
            <w:hideMark/>
          </w:tcPr>
          <w:p w:rsidR="003D3043" w:rsidRPr="003D3043" w:rsidRDefault="003D3043" w:rsidP="003D3043">
            <w:pPr>
              <w:bidi w:val="0"/>
              <w:rPr>
                <w:rFonts w:asciiTheme="majorBidi" w:hAnsiTheme="majorBidi" w:cstheme="majorBidi"/>
                <w:sz w:val="20"/>
                <w:szCs w:val="20"/>
              </w:rPr>
            </w:pPr>
          </w:p>
        </w:tc>
        <w:tc>
          <w:tcPr>
            <w:tcW w:w="903" w:type="dxa"/>
            <w:tcBorders>
              <w:top w:val="single" w:sz="4" w:space="0" w:color="auto"/>
              <w:left w:val="single" w:sz="4" w:space="0" w:color="auto"/>
              <w:bottom w:val="single" w:sz="4" w:space="0" w:color="auto"/>
              <w:right w:val="single" w:sz="4" w:space="0" w:color="auto"/>
            </w:tcBorders>
            <w:shd w:val="clear" w:color="000000" w:fill="00FF00"/>
            <w:noWrap/>
            <w:vAlign w:val="bottom"/>
            <w:hideMark/>
          </w:tcPr>
          <w:p w:rsidR="003D3043" w:rsidRPr="003D3043" w:rsidRDefault="003D3043" w:rsidP="003D3043">
            <w:pPr>
              <w:bidi w:val="0"/>
              <w:rPr>
                <w:rFonts w:asciiTheme="majorBidi" w:hAnsiTheme="majorBidi" w:cstheme="majorBidi"/>
                <w:sz w:val="20"/>
                <w:szCs w:val="20"/>
              </w:rPr>
            </w:pPr>
          </w:p>
        </w:tc>
        <w:tc>
          <w:tcPr>
            <w:tcW w:w="717" w:type="dxa"/>
            <w:tcBorders>
              <w:top w:val="nil"/>
              <w:left w:val="single" w:sz="4" w:space="0" w:color="auto"/>
              <w:bottom w:val="single" w:sz="4" w:space="0" w:color="auto"/>
              <w:right w:val="single" w:sz="8" w:space="0" w:color="auto"/>
            </w:tcBorders>
            <w:shd w:val="clear" w:color="000000" w:fill="FFFF99"/>
            <w:noWrap/>
            <w:vAlign w:val="bottom"/>
            <w:hideMark/>
          </w:tcPr>
          <w:p w:rsidR="003D3043" w:rsidRPr="003D3043" w:rsidRDefault="003D3043" w:rsidP="003D3043">
            <w:pPr>
              <w:bidi w:val="0"/>
              <w:jc w:val="center"/>
              <w:rPr>
                <w:rFonts w:asciiTheme="majorBidi" w:hAnsiTheme="majorBidi" w:cstheme="majorBidi"/>
                <w:sz w:val="20"/>
                <w:szCs w:val="20"/>
              </w:rPr>
            </w:pPr>
          </w:p>
        </w:tc>
      </w:tr>
    </w:tbl>
    <w:p w:rsidR="005A2DDD" w:rsidRDefault="005A2DDD" w:rsidP="005A2DDD">
      <w:pPr>
        <w:rPr>
          <w:rtl/>
          <w:lang w:bidi="ar-JO"/>
        </w:rPr>
        <w:sectPr w:rsidR="005A2DDD" w:rsidSect="005A2DDD">
          <w:pgSz w:w="16838" w:h="11906" w:orient="landscape"/>
          <w:pgMar w:top="1701" w:right="1440" w:bottom="1797" w:left="1440" w:header="709" w:footer="709" w:gutter="0"/>
          <w:cols w:space="708"/>
          <w:titlePg/>
          <w:bidi/>
          <w:rtlGutter/>
          <w:docGrid w:linePitch="360"/>
        </w:sectPr>
      </w:pPr>
    </w:p>
    <w:tbl>
      <w:tblPr>
        <w:tblpPr w:leftFromText="180" w:rightFromText="180" w:horzAnchor="margin" w:tblpY="-600"/>
        <w:bidiVisual/>
        <w:tblW w:w="5026" w:type="pct"/>
        <w:tblLook w:val="04A0" w:firstRow="1" w:lastRow="0" w:firstColumn="1" w:lastColumn="0" w:noHBand="0" w:noVBand="1"/>
      </w:tblPr>
      <w:tblGrid>
        <w:gridCol w:w="524"/>
        <w:gridCol w:w="3008"/>
        <w:gridCol w:w="489"/>
        <w:gridCol w:w="818"/>
        <w:gridCol w:w="678"/>
        <w:gridCol w:w="653"/>
        <w:gridCol w:w="720"/>
        <w:gridCol w:w="731"/>
        <w:gridCol w:w="731"/>
        <w:gridCol w:w="731"/>
        <w:gridCol w:w="731"/>
        <w:gridCol w:w="731"/>
        <w:gridCol w:w="731"/>
        <w:gridCol w:w="821"/>
        <w:gridCol w:w="770"/>
        <w:gridCol w:w="629"/>
        <w:gridCol w:w="939"/>
        <w:gridCol w:w="306"/>
      </w:tblGrid>
      <w:tr w:rsidR="003D3043" w:rsidRPr="003D3043" w:rsidTr="00DF4AC7">
        <w:trPr>
          <w:trHeight w:val="20"/>
        </w:trPr>
        <w:tc>
          <w:tcPr>
            <w:tcW w:w="4896" w:type="pct"/>
            <w:gridSpan w:val="17"/>
            <w:tcBorders>
              <w:top w:val="nil"/>
              <w:left w:val="nil"/>
              <w:bottom w:val="nil"/>
              <w:right w:val="nil"/>
            </w:tcBorders>
            <w:shd w:val="clear" w:color="auto" w:fill="auto"/>
            <w:noWrap/>
            <w:vAlign w:val="bottom"/>
            <w:hideMark/>
          </w:tcPr>
          <w:p w:rsidR="003D3043" w:rsidRPr="008C1354" w:rsidRDefault="003D3043" w:rsidP="008C1354">
            <w:pPr>
              <w:jc w:val="center"/>
              <w:rPr>
                <w:rFonts w:asciiTheme="majorBidi" w:hAnsiTheme="majorBidi" w:cstheme="majorBidi"/>
                <w:sz w:val="24"/>
                <w:szCs w:val="24"/>
              </w:rPr>
            </w:pPr>
          </w:p>
        </w:tc>
        <w:tc>
          <w:tcPr>
            <w:tcW w:w="104" w:type="pct"/>
            <w:tcBorders>
              <w:top w:val="nil"/>
              <w:left w:val="nil"/>
              <w:bottom w:val="nil"/>
              <w:right w:val="nil"/>
            </w:tcBorders>
            <w:shd w:val="clear" w:color="auto" w:fill="auto"/>
            <w:noWrap/>
            <w:vAlign w:val="bottom"/>
            <w:hideMark/>
          </w:tcPr>
          <w:p w:rsidR="003D3043" w:rsidRPr="008C1354" w:rsidRDefault="003D3043" w:rsidP="008C1354">
            <w:pPr>
              <w:bidi w:val="0"/>
              <w:rPr>
                <w:rFonts w:asciiTheme="majorBidi" w:hAnsiTheme="majorBidi" w:cstheme="majorBidi"/>
                <w:sz w:val="24"/>
                <w:szCs w:val="24"/>
              </w:rPr>
            </w:pPr>
          </w:p>
        </w:tc>
      </w:tr>
      <w:tr w:rsidR="008C1354" w:rsidRPr="003D3043" w:rsidTr="00DF4AC7">
        <w:trPr>
          <w:trHeight w:val="20"/>
        </w:trPr>
        <w:tc>
          <w:tcPr>
            <w:tcW w:w="2191" w:type="pct"/>
            <w:gridSpan w:val="6"/>
            <w:tcBorders>
              <w:top w:val="nil"/>
              <w:left w:val="nil"/>
              <w:bottom w:val="nil"/>
              <w:right w:val="nil"/>
            </w:tcBorders>
            <w:shd w:val="clear" w:color="auto" w:fill="auto"/>
            <w:noWrap/>
            <w:vAlign w:val="center"/>
            <w:hideMark/>
          </w:tcPr>
          <w:p w:rsidR="008C1354" w:rsidRPr="008C1354" w:rsidRDefault="008C1354" w:rsidP="00DF4AC7">
            <w:pPr>
              <w:bidi w:val="0"/>
              <w:jc w:val="right"/>
              <w:rPr>
                <w:rFonts w:asciiTheme="majorBidi" w:hAnsiTheme="majorBidi" w:cstheme="majorBidi"/>
                <w:sz w:val="24"/>
                <w:szCs w:val="24"/>
              </w:rPr>
            </w:pPr>
            <w:r w:rsidRPr="008C1354">
              <w:rPr>
                <w:rFonts w:asciiTheme="majorBidi" w:hAnsiTheme="majorBidi" w:cstheme="majorBidi"/>
                <w:sz w:val="24"/>
                <w:szCs w:val="24"/>
                <w:rtl/>
              </w:rPr>
              <w:t xml:space="preserve"> </w:t>
            </w:r>
          </w:p>
        </w:tc>
        <w:tc>
          <w:tcPr>
            <w:tcW w:w="257"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62"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48"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06"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328" w:type="pct"/>
            <w:tcBorders>
              <w:top w:val="nil"/>
              <w:left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10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r>
      <w:tr w:rsidR="008C1354" w:rsidRPr="003D3043" w:rsidTr="00DF4AC7">
        <w:trPr>
          <w:trHeight w:val="20"/>
        </w:trPr>
        <w:tc>
          <w:tcPr>
            <w:tcW w:w="2448" w:type="pct"/>
            <w:gridSpan w:val="7"/>
            <w:tcBorders>
              <w:top w:val="nil"/>
              <w:left w:val="nil"/>
              <w:bottom w:val="nil"/>
              <w:right w:val="nil"/>
            </w:tcBorders>
            <w:shd w:val="clear" w:color="auto" w:fill="auto"/>
            <w:noWrap/>
            <w:vAlign w:val="center"/>
            <w:hideMark/>
          </w:tcPr>
          <w:p w:rsidR="008C1354" w:rsidRPr="008C1354" w:rsidRDefault="00DF4AC7" w:rsidP="00434971">
            <w:pPr>
              <w:jc w:val="right"/>
              <w:rPr>
                <w:rFonts w:asciiTheme="majorBidi" w:hAnsiTheme="majorBidi" w:cstheme="majorBidi"/>
                <w:sz w:val="24"/>
                <w:szCs w:val="24"/>
              </w:rPr>
            </w:pPr>
            <w:r w:rsidRPr="008C1354">
              <w:rPr>
                <w:rFonts w:asciiTheme="majorBidi" w:hAnsiTheme="majorBidi" w:cstheme="majorBidi"/>
                <w:sz w:val="24"/>
                <w:szCs w:val="24"/>
                <w:rtl/>
              </w:rPr>
              <w:t>(</w:t>
            </w:r>
            <w:r w:rsidR="00434971">
              <w:rPr>
                <w:rFonts w:asciiTheme="majorBidi" w:hAnsiTheme="majorBidi" w:cstheme="majorBidi" w:hint="cs"/>
                <w:sz w:val="24"/>
                <w:szCs w:val="24"/>
                <w:rtl/>
              </w:rPr>
              <w:t>17</w:t>
            </w:r>
            <w:r w:rsidRPr="008C1354">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t>ب</w:t>
            </w:r>
            <w:r>
              <w:rPr>
                <w:rFonts w:asciiTheme="majorBidi" w:hAnsiTheme="majorBidi" w:cstheme="majorBidi" w:hint="cs"/>
                <w:sz w:val="24"/>
                <w:szCs w:val="24"/>
                <w:rtl/>
              </w:rPr>
              <w:t>):</w:t>
            </w:r>
            <w:r w:rsidR="008C1354" w:rsidRPr="008C1354">
              <w:rPr>
                <w:rFonts w:asciiTheme="majorBidi" w:hAnsiTheme="majorBidi" w:cstheme="majorBidi"/>
                <w:sz w:val="24"/>
                <w:szCs w:val="24"/>
                <w:rtl/>
              </w:rPr>
              <w:t xml:space="preserve"> المخاطر العامة للأدوات الخاضع</w:t>
            </w:r>
            <w:r w:rsidR="00E704A2">
              <w:rPr>
                <w:rFonts w:asciiTheme="majorBidi" w:hAnsiTheme="majorBidi" w:cstheme="majorBidi"/>
                <w:sz w:val="24"/>
                <w:szCs w:val="24"/>
                <w:rtl/>
              </w:rPr>
              <w:t>ة لأسعار الفوائد ذات العائد ال</w:t>
            </w:r>
            <w:r w:rsidR="00E704A2">
              <w:rPr>
                <w:rFonts w:asciiTheme="majorBidi" w:hAnsiTheme="majorBidi" w:cstheme="majorBidi" w:hint="cs"/>
                <w:sz w:val="24"/>
                <w:szCs w:val="24"/>
                <w:rtl/>
              </w:rPr>
              <w:t>ذي</w:t>
            </w:r>
            <w:r w:rsidR="008C1354" w:rsidRPr="008C1354">
              <w:rPr>
                <w:rFonts w:asciiTheme="majorBidi" w:hAnsiTheme="majorBidi" w:cstheme="majorBidi"/>
                <w:sz w:val="24"/>
                <w:szCs w:val="24"/>
                <w:rtl/>
              </w:rPr>
              <w:t xml:space="preserve"> </w:t>
            </w:r>
            <w:r w:rsidR="00E704A2">
              <w:rPr>
                <w:rFonts w:asciiTheme="majorBidi" w:hAnsiTheme="majorBidi" w:cstheme="majorBidi" w:hint="cs"/>
                <w:sz w:val="24"/>
                <w:szCs w:val="24"/>
                <w:rtl/>
              </w:rPr>
              <w:t>يقل</w:t>
            </w:r>
            <w:r w:rsidR="008C1354" w:rsidRPr="008C1354">
              <w:rPr>
                <w:rFonts w:asciiTheme="majorBidi" w:hAnsiTheme="majorBidi" w:cstheme="majorBidi"/>
                <w:sz w:val="24"/>
                <w:szCs w:val="24"/>
                <w:rtl/>
              </w:rPr>
              <w:t xml:space="preserve"> عن 3%</w:t>
            </w:r>
            <w:r w:rsidRPr="008C1354">
              <w:rPr>
                <w:rFonts w:asciiTheme="majorBidi" w:hAnsiTheme="majorBidi" w:cstheme="majorBidi"/>
                <w:sz w:val="24"/>
                <w:szCs w:val="24"/>
                <w:rtl/>
              </w:rPr>
              <w:t xml:space="preserve"> </w:t>
            </w: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3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62"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48"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206" w:type="pct"/>
            <w:tcBorders>
              <w:top w:val="nil"/>
              <w:left w:val="nil"/>
              <w:bottom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c>
          <w:tcPr>
            <w:tcW w:w="328" w:type="pct"/>
            <w:shd w:val="clear" w:color="auto" w:fill="auto"/>
            <w:noWrap/>
            <w:vAlign w:val="bottom"/>
            <w:hideMark/>
          </w:tcPr>
          <w:p w:rsidR="008C1354" w:rsidRPr="008C1354" w:rsidRDefault="008C1354" w:rsidP="008C1354">
            <w:pPr>
              <w:jc w:val="center"/>
              <w:rPr>
                <w:rFonts w:asciiTheme="majorBidi" w:hAnsiTheme="majorBidi" w:cstheme="majorBidi"/>
                <w:sz w:val="24"/>
                <w:szCs w:val="24"/>
              </w:rPr>
            </w:pPr>
            <w:r w:rsidRPr="008C1354">
              <w:rPr>
                <w:rFonts w:asciiTheme="majorBidi" w:hAnsiTheme="majorBidi" w:cstheme="majorBidi"/>
                <w:sz w:val="24"/>
                <w:szCs w:val="24"/>
                <w:rtl/>
              </w:rPr>
              <w:t>الف دينار</w:t>
            </w:r>
          </w:p>
        </w:tc>
        <w:tc>
          <w:tcPr>
            <w:tcW w:w="104" w:type="pct"/>
            <w:tcBorders>
              <w:top w:val="nil"/>
              <w:left w:val="nil"/>
              <w:bottom w:val="nil"/>
              <w:right w:val="nil"/>
            </w:tcBorders>
            <w:shd w:val="clear" w:color="auto" w:fill="auto"/>
            <w:noWrap/>
            <w:vAlign w:val="bottom"/>
            <w:hideMark/>
          </w:tcPr>
          <w:p w:rsidR="008C1354" w:rsidRPr="008C1354" w:rsidRDefault="008C1354" w:rsidP="008C1354">
            <w:pPr>
              <w:bidi w:val="0"/>
              <w:jc w:val="center"/>
              <w:rPr>
                <w:rFonts w:asciiTheme="majorBidi" w:hAnsiTheme="majorBidi" w:cstheme="majorBidi"/>
                <w:sz w:val="24"/>
                <w:szCs w:val="24"/>
              </w:rPr>
            </w:pPr>
          </w:p>
        </w:tc>
      </w:tr>
      <w:tr w:rsidR="008C1354" w:rsidRPr="003D3043" w:rsidTr="00DF4AC7">
        <w:trPr>
          <w:trHeight w:val="20"/>
        </w:trPr>
        <w:tc>
          <w:tcPr>
            <w:tcW w:w="187" w:type="pct"/>
            <w:tcBorders>
              <w:top w:val="single" w:sz="8" w:space="0" w:color="auto"/>
              <w:left w:val="single" w:sz="8" w:space="0" w:color="auto"/>
              <w:bottom w:val="single" w:sz="8" w:space="0" w:color="auto"/>
              <w:right w:val="nil"/>
            </w:tcBorders>
            <w:shd w:val="clear" w:color="auto" w:fill="auto"/>
            <w:noWrap/>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الرقم</w:t>
            </w:r>
          </w:p>
        </w:tc>
        <w:tc>
          <w:tcPr>
            <w:tcW w:w="107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فترات الاستحقاق</w:t>
            </w:r>
          </w:p>
        </w:tc>
        <w:tc>
          <w:tcPr>
            <w:tcW w:w="932"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الفترة الاولى</w:t>
            </w:r>
          </w:p>
        </w:tc>
        <w:tc>
          <w:tcPr>
            <w:tcW w:w="725"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الفترة الثانية</w:t>
            </w:r>
          </w:p>
        </w:tc>
        <w:tc>
          <w:tcPr>
            <w:tcW w:w="1981"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الفتـــــــــــرة الثالثـــــــــــة</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88"/>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سلم الاستحقاق</w:t>
            </w:r>
          </w:p>
        </w:tc>
        <w:tc>
          <w:tcPr>
            <w:tcW w:w="166"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0 -1</w:t>
            </w:r>
          </w:p>
        </w:tc>
        <w:tc>
          <w:tcPr>
            <w:tcW w:w="292"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1-3</w:t>
            </w:r>
          </w:p>
        </w:tc>
        <w:tc>
          <w:tcPr>
            <w:tcW w:w="242"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3-6</w:t>
            </w:r>
          </w:p>
        </w:tc>
        <w:tc>
          <w:tcPr>
            <w:tcW w:w="232"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6-12</w:t>
            </w:r>
          </w:p>
        </w:tc>
        <w:tc>
          <w:tcPr>
            <w:tcW w:w="257"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1-1.9</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1.9-2.8</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2.8-3.6</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3.6-4.3</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4.3-5.7</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5.7-7.3</w:t>
            </w:r>
          </w:p>
        </w:tc>
        <w:tc>
          <w:tcPr>
            <w:tcW w:w="234"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7.3-9.3</w:t>
            </w:r>
          </w:p>
        </w:tc>
        <w:tc>
          <w:tcPr>
            <w:tcW w:w="262"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9.3-10.6</w:t>
            </w:r>
          </w:p>
        </w:tc>
        <w:tc>
          <w:tcPr>
            <w:tcW w:w="248" w:type="pct"/>
            <w:tcBorders>
              <w:top w:val="nil"/>
              <w:left w:val="nil"/>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10.6-12</w:t>
            </w:r>
          </w:p>
        </w:tc>
        <w:tc>
          <w:tcPr>
            <w:tcW w:w="206" w:type="pct"/>
            <w:tcBorders>
              <w:top w:val="nil"/>
              <w:left w:val="single" w:sz="8" w:space="0" w:color="auto"/>
              <w:bottom w:val="single" w:sz="8" w:space="0" w:color="auto"/>
              <w:right w:val="single" w:sz="8" w:space="0" w:color="auto"/>
            </w:tcBorders>
            <w:shd w:val="clear" w:color="auto" w:fill="auto"/>
            <w:noWrap/>
            <w:vAlign w:val="center"/>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12-20</w:t>
            </w:r>
          </w:p>
        </w:tc>
        <w:tc>
          <w:tcPr>
            <w:tcW w:w="328" w:type="pct"/>
            <w:tcBorders>
              <w:top w:val="nil"/>
              <w:left w:val="nil"/>
              <w:bottom w:val="single" w:sz="8" w:space="0" w:color="auto"/>
              <w:right w:val="single" w:sz="8" w:space="0" w:color="auto"/>
            </w:tcBorders>
            <w:shd w:val="clear" w:color="auto" w:fill="auto"/>
            <w:vAlign w:val="center"/>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اكثر من 20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nil"/>
              <w:right w:val="single" w:sz="8" w:space="0" w:color="auto"/>
            </w:tcBorders>
            <w:shd w:val="clear" w:color="auto" w:fill="auto"/>
            <w:noWrap/>
            <w:vAlign w:val="bottom"/>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المراكز المفتوحه</w:t>
            </w:r>
          </w:p>
        </w:tc>
        <w:tc>
          <w:tcPr>
            <w:tcW w:w="166"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534" w:type="pct"/>
            <w:gridSpan w:val="2"/>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rPr>
                <w:rFonts w:asciiTheme="majorBidi" w:hAnsiTheme="majorBidi" w:cstheme="majorBidi"/>
                <w:sz w:val="16"/>
                <w:szCs w:val="16"/>
              </w:rPr>
            </w:pPr>
            <w:r w:rsidRPr="003D3043">
              <w:rPr>
                <w:rFonts w:asciiTheme="majorBidi" w:hAnsiTheme="majorBidi" w:cstheme="majorBidi"/>
                <w:sz w:val="16"/>
                <w:szCs w:val="16"/>
                <w:rtl/>
              </w:rPr>
              <w:t xml:space="preserve">أشــــــــــــــهر </w:t>
            </w:r>
          </w:p>
        </w:tc>
        <w:tc>
          <w:tcPr>
            <w:tcW w:w="232" w:type="pct"/>
            <w:tcBorders>
              <w:top w:val="nil"/>
              <w:left w:val="nil"/>
              <w:bottom w:val="single" w:sz="8" w:space="0" w:color="auto"/>
              <w:right w:val="single" w:sz="8" w:space="0" w:color="auto"/>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57"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auto" w:fill="auto"/>
            <w:noWrap/>
            <w:vAlign w:val="bottom"/>
            <w:hideMark/>
          </w:tcPr>
          <w:p w:rsidR="003D3043" w:rsidRPr="003D3043" w:rsidRDefault="003D3043" w:rsidP="008C1354">
            <w:pPr>
              <w:rPr>
                <w:rFonts w:asciiTheme="majorBidi" w:hAnsiTheme="majorBidi" w:cstheme="majorBidi"/>
                <w:sz w:val="16"/>
                <w:szCs w:val="16"/>
              </w:rPr>
            </w:pPr>
            <w:r w:rsidRPr="003D3043">
              <w:rPr>
                <w:rFonts w:asciiTheme="majorBidi" w:hAnsiTheme="majorBidi" w:cstheme="majorBidi"/>
                <w:sz w:val="16"/>
                <w:szCs w:val="16"/>
                <w:rtl/>
              </w:rPr>
              <w:t>سنوات</w:t>
            </w:r>
          </w:p>
        </w:tc>
        <w:tc>
          <w:tcPr>
            <w:tcW w:w="234" w:type="pct"/>
            <w:tcBorders>
              <w:top w:val="nil"/>
              <w:left w:val="nil"/>
              <w:bottom w:val="single" w:sz="8" w:space="0" w:color="auto"/>
              <w:right w:val="single" w:sz="8" w:space="0" w:color="auto"/>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496" w:type="pct"/>
            <w:gridSpan w:val="2"/>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rPr>
                <w:rFonts w:asciiTheme="majorBidi" w:hAnsiTheme="majorBidi" w:cstheme="majorBidi"/>
                <w:sz w:val="16"/>
                <w:szCs w:val="16"/>
              </w:rPr>
            </w:pPr>
            <w:r w:rsidRPr="003D3043">
              <w:rPr>
                <w:rFonts w:asciiTheme="majorBidi" w:hAnsiTheme="majorBidi" w:cstheme="majorBidi"/>
                <w:sz w:val="16"/>
                <w:szCs w:val="16"/>
                <w:rtl/>
              </w:rPr>
              <w:t>سنـــــــــــــــــــــوات</w:t>
            </w:r>
          </w:p>
        </w:tc>
        <w:tc>
          <w:tcPr>
            <w:tcW w:w="248"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06"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328" w:type="pct"/>
            <w:tcBorders>
              <w:top w:val="nil"/>
              <w:left w:val="nil"/>
              <w:bottom w:val="single" w:sz="8" w:space="0" w:color="auto"/>
              <w:right w:val="single" w:sz="8" w:space="0" w:color="auto"/>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single" w:sz="4"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4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2"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06" w:type="pct"/>
            <w:tcBorders>
              <w:top w:val="nil"/>
              <w:left w:val="nil"/>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328"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single" w:sz="4"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4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2"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57" w:type="pct"/>
            <w:tcBorders>
              <w:top w:val="nil"/>
              <w:left w:val="nil"/>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206" w:type="pct"/>
            <w:tcBorders>
              <w:top w:val="nil"/>
              <w:left w:val="nil"/>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328"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single" w:sz="4" w:space="0" w:color="auto"/>
              <w:right w:val="single" w:sz="8" w:space="0" w:color="auto"/>
            </w:tcBorders>
            <w:shd w:val="clear" w:color="auto" w:fill="auto"/>
            <w:noWrap/>
            <w:vAlign w:val="bottom"/>
            <w:hideMark/>
          </w:tcPr>
          <w:p w:rsidR="003D3043" w:rsidRPr="003D3043" w:rsidRDefault="003D3043" w:rsidP="008C1354">
            <w:pPr>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tl/>
              </w:rPr>
              <w:t>المجموع</w:t>
            </w:r>
          </w:p>
        </w:tc>
        <w:tc>
          <w:tcPr>
            <w:tcW w:w="166" w:type="pct"/>
            <w:tcBorders>
              <w:top w:val="nil"/>
              <w:left w:val="nil"/>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4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2"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57" w:type="pct"/>
            <w:tcBorders>
              <w:top w:val="nil"/>
              <w:left w:val="nil"/>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62"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48"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06" w:type="pct"/>
            <w:tcBorders>
              <w:top w:val="nil"/>
              <w:left w:val="single" w:sz="4"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328" w:type="pct"/>
            <w:tcBorders>
              <w:top w:val="nil"/>
              <w:left w:val="single" w:sz="4"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single" w:sz="4" w:space="0" w:color="auto"/>
              <w:right w:val="single" w:sz="8" w:space="0" w:color="auto"/>
            </w:tcBorders>
            <w:shd w:val="clear" w:color="auto" w:fill="auto"/>
            <w:noWrap/>
            <w:vAlign w:val="bottom"/>
            <w:hideMark/>
          </w:tcPr>
          <w:p w:rsidR="003D3043" w:rsidRPr="003D3043" w:rsidRDefault="003D3043" w:rsidP="008C1354">
            <w:pPr>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tl/>
              </w:rPr>
              <w:t>مجموع المراكز الطويلة</w:t>
            </w:r>
          </w:p>
        </w:tc>
        <w:tc>
          <w:tcPr>
            <w:tcW w:w="166"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2"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2"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57"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62"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8"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06" w:type="pct"/>
            <w:tcBorders>
              <w:top w:val="nil"/>
              <w:left w:val="single" w:sz="8" w:space="0" w:color="auto"/>
              <w:bottom w:val="single" w:sz="4"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328" w:type="pct"/>
            <w:tcBorders>
              <w:top w:val="nil"/>
              <w:left w:val="single" w:sz="8"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nil"/>
              <w:right w:val="single" w:sz="8" w:space="0" w:color="auto"/>
            </w:tcBorders>
            <w:shd w:val="clear" w:color="auto" w:fill="auto"/>
            <w:noWrap/>
            <w:vAlign w:val="bottom"/>
            <w:hideMark/>
          </w:tcPr>
          <w:p w:rsidR="003D3043" w:rsidRPr="003D3043" w:rsidRDefault="003D3043" w:rsidP="008C1354">
            <w:pPr>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tl/>
              </w:rPr>
              <w:t>مجموع المراكز القصيره</w:t>
            </w:r>
          </w:p>
        </w:tc>
        <w:tc>
          <w:tcPr>
            <w:tcW w:w="166"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92"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42"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2"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57"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62"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48"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06" w:type="pct"/>
            <w:tcBorders>
              <w:top w:val="nil"/>
              <w:left w:val="single" w:sz="8" w:space="0" w:color="auto"/>
              <w:bottom w:val="single" w:sz="8" w:space="0" w:color="auto"/>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328"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w:t>
            </w:r>
          </w:p>
        </w:tc>
        <w:tc>
          <w:tcPr>
            <w:tcW w:w="1071"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الأوزان الترجيحية (أ)</w:t>
            </w:r>
          </w:p>
        </w:tc>
        <w:tc>
          <w:tcPr>
            <w:tcW w:w="166" w:type="pct"/>
            <w:tcBorders>
              <w:top w:val="nil"/>
              <w:left w:val="nil"/>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0.20%</w:t>
            </w:r>
          </w:p>
        </w:tc>
        <w:tc>
          <w:tcPr>
            <w:tcW w:w="24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0.40%</w:t>
            </w:r>
          </w:p>
        </w:tc>
        <w:tc>
          <w:tcPr>
            <w:tcW w:w="23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0.70%</w:t>
            </w:r>
          </w:p>
        </w:tc>
        <w:tc>
          <w:tcPr>
            <w:tcW w:w="257"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1.25%</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1.75%</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2.25%</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2.75%</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3.25%</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3.75%</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4.50%</w:t>
            </w:r>
          </w:p>
        </w:tc>
        <w:tc>
          <w:tcPr>
            <w:tcW w:w="26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5.25%</w:t>
            </w:r>
          </w:p>
        </w:tc>
        <w:tc>
          <w:tcPr>
            <w:tcW w:w="248"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6%</w:t>
            </w:r>
          </w:p>
        </w:tc>
        <w:tc>
          <w:tcPr>
            <w:tcW w:w="206"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8%</w:t>
            </w:r>
          </w:p>
        </w:tc>
        <w:tc>
          <w:tcPr>
            <w:tcW w:w="328" w:type="pct"/>
            <w:tcBorders>
              <w:top w:val="nil"/>
              <w:left w:val="nil"/>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12.50%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2</w:t>
            </w:r>
          </w:p>
        </w:tc>
        <w:tc>
          <w:tcPr>
            <w:tcW w:w="1071" w:type="pct"/>
            <w:tcBorders>
              <w:top w:val="nil"/>
              <w:left w:val="single" w:sz="8" w:space="0" w:color="auto"/>
              <w:bottom w:val="single" w:sz="8" w:space="0" w:color="auto"/>
              <w:right w:val="single" w:sz="8" w:space="0" w:color="auto"/>
            </w:tcBorders>
            <w:shd w:val="clear" w:color="auto" w:fill="auto"/>
            <w:vAlign w:val="bottom"/>
            <w:hideMark/>
          </w:tcPr>
          <w:p w:rsidR="003D3043" w:rsidRPr="003D3043" w:rsidRDefault="003D3043" w:rsidP="00646CA2">
            <w:pPr>
              <w:jc w:val="center"/>
              <w:rPr>
                <w:rFonts w:asciiTheme="majorBidi" w:hAnsiTheme="majorBidi" w:cstheme="majorBidi"/>
                <w:sz w:val="16"/>
                <w:szCs w:val="16"/>
              </w:rPr>
            </w:pPr>
            <w:r w:rsidRPr="003D3043">
              <w:rPr>
                <w:rFonts w:asciiTheme="majorBidi" w:hAnsiTheme="majorBidi" w:cstheme="majorBidi"/>
                <w:sz w:val="16"/>
                <w:szCs w:val="16"/>
                <w:rtl/>
              </w:rPr>
              <w:t xml:space="preserve">المراكز الطويلة </w:t>
            </w:r>
            <w:r w:rsidR="00646CA2">
              <w:rPr>
                <w:rFonts w:asciiTheme="majorBidi" w:hAnsiTheme="majorBidi" w:cstheme="majorBidi" w:hint="cs"/>
                <w:sz w:val="16"/>
                <w:szCs w:val="16"/>
                <w:rtl/>
              </w:rPr>
              <w:t xml:space="preserve">* </w:t>
            </w:r>
            <w:r w:rsidRPr="003D3043">
              <w:rPr>
                <w:rFonts w:asciiTheme="majorBidi" w:hAnsiTheme="majorBidi" w:cstheme="majorBidi"/>
                <w:sz w:val="16"/>
                <w:szCs w:val="16"/>
                <w:rtl/>
              </w:rPr>
              <w:t>الأوزان الترجيحية(أ)</w:t>
            </w:r>
          </w:p>
        </w:tc>
        <w:tc>
          <w:tcPr>
            <w:tcW w:w="166" w:type="pct"/>
            <w:tcBorders>
              <w:top w:val="nil"/>
              <w:left w:val="nil"/>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2"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2"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57"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62" w:type="pct"/>
            <w:tcBorders>
              <w:top w:val="nil"/>
              <w:left w:val="single" w:sz="8" w:space="0" w:color="auto"/>
              <w:bottom w:val="single" w:sz="8" w:space="0" w:color="auto"/>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8"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06"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328"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3</w:t>
            </w:r>
          </w:p>
        </w:tc>
        <w:tc>
          <w:tcPr>
            <w:tcW w:w="1071" w:type="pct"/>
            <w:tcBorders>
              <w:top w:val="nil"/>
              <w:left w:val="single" w:sz="8" w:space="0" w:color="auto"/>
              <w:bottom w:val="single" w:sz="8" w:space="0" w:color="auto"/>
              <w:right w:val="single" w:sz="8" w:space="0" w:color="auto"/>
            </w:tcBorders>
            <w:shd w:val="clear" w:color="auto" w:fill="auto"/>
            <w:vAlign w:val="bottom"/>
            <w:hideMark/>
          </w:tcPr>
          <w:p w:rsidR="003D3043" w:rsidRPr="003D3043" w:rsidRDefault="003D3043" w:rsidP="00646CA2">
            <w:pPr>
              <w:jc w:val="center"/>
              <w:rPr>
                <w:rFonts w:asciiTheme="majorBidi" w:hAnsiTheme="majorBidi" w:cstheme="majorBidi"/>
                <w:sz w:val="16"/>
                <w:szCs w:val="16"/>
              </w:rPr>
            </w:pPr>
            <w:r w:rsidRPr="003D3043">
              <w:rPr>
                <w:rFonts w:asciiTheme="majorBidi" w:hAnsiTheme="majorBidi" w:cstheme="majorBidi"/>
                <w:sz w:val="16"/>
                <w:szCs w:val="16"/>
                <w:rtl/>
              </w:rPr>
              <w:t>المراكز القصيرة</w:t>
            </w:r>
            <w:r w:rsidR="00646CA2">
              <w:rPr>
                <w:rFonts w:asciiTheme="majorBidi" w:hAnsiTheme="majorBidi" w:cstheme="majorBidi" w:hint="cs"/>
                <w:sz w:val="16"/>
                <w:szCs w:val="16"/>
                <w:rtl/>
              </w:rPr>
              <w:t xml:space="preserve"> * </w:t>
            </w:r>
            <w:r w:rsidRPr="003D3043">
              <w:rPr>
                <w:rFonts w:asciiTheme="majorBidi" w:hAnsiTheme="majorBidi" w:cstheme="majorBidi"/>
                <w:sz w:val="16"/>
                <w:szCs w:val="16"/>
                <w:rtl/>
              </w:rPr>
              <w:t>الأوزان الترجيحية (ب)</w:t>
            </w:r>
          </w:p>
        </w:tc>
        <w:tc>
          <w:tcPr>
            <w:tcW w:w="166"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57"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62"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8"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06"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328" w:type="pct"/>
            <w:tcBorders>
              <w:top w:val="nil"/>
              <w:left w:val="single" w:sz="8" w:space="0" w:color="auto"/>
              <w:bottom w:val="single" w:sz="8"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10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4</w:t>
            </w:r>
          </w:p>
        </w:tc>
        <w:tc>
          <w:tcPr>
            <w:tcW w:w="1071" w:type="pct"/>
            <w:tcBorders>
              <w:top w:val="nil"/>
              <w:left w:val="single" w:sz="8" w:space="0" w:color="auto"/>
              <w:bottom w:val="single" w:sz="8" w:space="0" w:color="auto"/>
              <w:right w:val="single" w:sz="8" w:space="0" w:color="auto"/>
            </w:tcBorders>
            <w:shd w:val="clear" w:color="auto" w:fill="auto"/>
            <w:vAlign w:val="bottom"/>
            <w:hideMark/>
          </w:tcPr>
          <w:p w:rsidR="003D3043" w:rsidRPr="003D3043" w:rsidRDefault="003D3043" w:rsidP="008C1354">
            <w:pPr>
              <w:jc w:val="center"/>
              <w:rPr>
                <w:rFonts w:asciiTheme="majorBidi" w:hAnsiTheme="majorBidi" w:cstheme="majorBidi"/>
                <w:sz w:val="16"/>
                <w:szCs w:val="16"/>
              </w:rPr>
            </w:pPr>
            <w:r w:rsidRPr="003D3043">
              <w:rPr>
                <w:rFonts w:asciiTheme="majorBidi" w:hAnsiTheme="majorBidi" w:cstheme="majorBidi"/>
                <w:sz w:val="16"/>
                <w:szCs w:val="16"/>
                <w:rtl/>
              </w:rPr>
              <w:t>صافي المراكز المفتوحة غير المغطية أ+ب</w:t>
            </w:r>
          </w:p>
        </w:tc>
        <w:tc>
          <w:tcPr>
            <w:tcW w:w="166"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2"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2" w:type="pct"/>
            <w:tcBorders>
              <w:top w:val="nil"/>
              <w:left w:val="nil"/>
              <w:bottom w:val="nil"/>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57"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nil"/>
              <w:bottom w:val="nil"/>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62" w:type="pct"/>
            <w:tcBorders>
              <w:top w:val="nil"/>
              <w:left w:val="nil"/>
              <w:bottom w:val="nil"/>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48"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06"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328" w:type="pct"/>
            <w:tcBorders>
              <w:top w:val="nil"/>
              <w:left w:val="single" w:sz="8" w:space="0" w:color="auto"/>
              <w:bottom w:val="double" w:sz="6"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104" w:type="pct"/>
            <w:tcBorders>
              <w:top w:val="single" w:sz="8" w:space="0" w:color="auto"/>
              <w:left w:val="nil"/>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71" w:type="pct"/>
            <w:tcBorders>
              <w:top w:val="nil"/>
              <w:left w:val="single" w:sz="8" w:space="0" w:color="auto"/>
              <w:bottom w:val="single" w:sz="8" w:space="0" w:color="auto"/>
              <w:right w:val="single" w:sz="8" w:space="0" w:color="auto"/>
            </w:tcBorders>
            <w:shd w:val="clear" w:color="auto" w:fill="auto"/>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66" w:type="pct"/>
            <w:tcBorders>
              <w:top w:val="nil"/>
              <w:left w:val="single" w:sz="8" w:space="0" w:color="auto"/>
              <w:bottom w:val="nil"/>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8" w:space="0" w:color="auto"/>
              <w:bottom w:val="nil"/>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42" w:type="pct"/>
            <w:tcBorders>
              <w:top w:val="nil"/>
              <w:left w:val="nil"/>
              <w:bottom w:val="nil"/>
              <w:right w:val="nil"/>
            </w:tcBorders>
            <w:shd w:val="clear" w:color="000000" w:fill="FFFF00"/>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2" w:type="pct"/>
            <w:tcBorders>
              <w:top w:val="double" w:sz="6" w:space="0" w:color="auto"/>
              <w:left w:val="nil"/>
              <w:bottom w:val="nil"/>
              <w:right w:val="nil"/>
            </w:tcBorders>
            <w:shd w:val="clear" w:color="000000" w:fill="FFFFFF"/>
            <w:noWrap/>
            <w:vAlign w:val="bottom"/>
            <w:hideMark/>
          </w:tcPr>
          <w:p w:rsidR="003D3043" w:rsidRPr="003D3043" w:rsidRDefault="003D3043" w:rsidP="008C1354">
            <w:pPr>
              <w:bidi w:val="0"/>
              <w:jc w:val="right"/>
              <w:rPr>
                <w:rFonts w:asciiTheme="majorBidi" w:hAnsiTheme="majorBidi" w:cstheme="majorBidi"/>
                <w:color w:val="FF0000"/>
                <w:sz w:val="16"/>
                <w:szCs w:val="16"/>
              </w:rPr>
            </w:pPr>
            <w:r w:rsidRPr="003D3043">
              <w:rPr>
                <w:rFonts w:asciiTheme="majorBidi" w:hAnsiTheme="majorBidi" w:cstheme="majorBidi"/>
                <w:color w:val="FF0000"/>
                <w:sz w:val="16"/>
                <w:szCs w:val="16"/>
              </w:rPr>
              <w:t>0</w:t>
            </w:r>
          </w:p>
        </w:tc>
        <w:tc>
          <w:tcPr>
            <w:tcW w:w="257" w:type="pct"/>
            <w:tcBorders>
              <w:top w:val="nil"/>
              <w:left w:val="single" w:sz="8" w:space="0" w:color="auto"/>
              <w:bottom w:val="nil"/>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nil"/>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nil"/>
              <w:bottom w:val="nil"/>
              <w:right w:val="nil"/>
            </w:tcBorders>
            <w:shd w:val="clear" w:color="000000" w:fill="FFFF00"/>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nil"/>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8" w:space="0" w:color="auto"/>
              <w:bottom w:val="nil"/>
              <w:right w:val="single" w:sz="4"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c>
          <w:tcPr>
            <w:tcW w:w="234" w:type="pct"/>
            <w:tcBorders>
              <w:top w:val="nil"/>
              <w:left w:val="nil"/>
              <w:bottom w:val="nil"/>
              <w:right w:val="nil"/>
            </w:tcBorders>
            <w:shd w:val="clear" w:color="000000" w:fill="FFFF00"/>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double" w:sz="6" w:space="0" w:color="auto"/>
              <w:left w:val="nil"/>
              <w:bottom w:val="nil"/>
              <w:right w:val="nil"/>
            </w:tcBorders>
            <w:shd w:val="clear" w:color="000000" w:fill="FFFFFF"/>
            <w:noWrap/>
            <w:vAlign w:val="bottom"/>
            <w:hideMark/>
          </w:tcPr>
          <w:p w:rsidR="003D3043" w:rsidRPr="003D3043" w:rsidRDefault="003D3043" w:rsidP="008C1354">
            <w:pPr>
              <w:bidi w:val="0"/>
              <w:jc w:val="right"/>
              <w:rPr>
                <w:rFonts w:asciiTheme="majorBidi" w:hAnsiTheme="majorBidi" w:cstheme="majorBidi"/>
                <w:color w:val="FF0000"/>
                <w:sz w:val="16"/>
                <w:szCs w:val="16"/>
              </w:rPr>
            </w:pPr>
            <w:r w:rsidRPr="003D3043">
              <w:rPr>
                <w:rFonts w:asciiTheme="majorBidi" w:hAnsiTheme="majorBidi" w:cstheme="majorBidi"/>
                <w:color w:val="FF0000"/>
                <w:sz w:val="16"/>
                <w:szCs w:val="16"/>
              </w:rPr>
              <w:t>0</w:t>
            </w:r>
          </w:p>
        </w:tc>
        <w:tc>
          <w:tcPr>
            <w:tcW w:w="262" w:type="pct"/>
            <w:tcBorders>
              <w:top w:val="double" w:sz="6" w:space="0" w:color="auto"/>
              <w:left w:val="nil"/>
              <w:bottom w:val="nil"/>
              <w:right w:val="nil"/>
            </w:tcBorders>
            <w:shd w:val="clear" w:color="000000" w:fill="FFFFFF"/>
            <w:noWrap/>
            <w:vAlign w:val="bottom"/>
            <w:hideMark/>
          </w:tcPr>
          <w:p w:rsidR="003D3043" w:rsidRPr="003D3043" w:rsidRDefault="003D3043" w:rsidP="008C1354">
            <w:pPr>
              <w:bidi w:val="0"/>
              <w:jc w:val="right"/>
              <w:rPr>
                <w:rFonts w:asciiTheme="majorBidi" w:hAnsiTheme="majorBidi" w:cstheme="majorBidi"/>
                <w:color w:val="FF0000"/>
                <w:sz w:val="16"/>
                <w:szCs w:val="16"/>
              </w:rPr>
            </w:pPr>
            <w:r w:rsidRPr="003D3043">
              <w:rPr>
                <w:rFonts w:asciiTheme="majorBidi" w:hAnsiTheme="majorBidi" w:cstheme="majorBidi"/>
                <w:color w:val="FF0000"/>
                <w:sz w:val="16"/>
                <w:szCs w:val="16"/>
              </w:rPr>
              <w:t>0</w:t>
            </w:r>
          </w:p>
        </w:tc>
        <w:tc>
          <w:tcPr>
            <w:tcW w:w="248" w:type="pct"/>
            <w:tcBorders>
              <w:top w:val="nil"/>
              <w:left w:val="nil"/>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p>
        </w:tc>
        <w:tc>
          <w:tcPr>
            <w:tcW w:w="206" w:type="pct"/>
            <w:tcBorders>
              <w:top w:val="nil"/>
              <w:left w:val="nil"/>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p>
        </w:tc>
        <w:tc>
          <w:tcPr>
            <w:tcW w:w="328" w:type="pct"/>
            <w:tcBorders>
              <w:top w:val="nil"/>
              <w:left w:val="nil"/>
              <w:bottom w:val="nil"/>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nil"/>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 </w:t>
            </w: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5</w:t>
            </w:r>
          </w:p>
        </w:tc>
        <w:tc>
          <w:tcPr>
            <w:tcW w:w="1071" w:type="pct"/>
            <w:tcBorders>
              <w:top w:val="nil"/>
              <w:left w:val="single" w:sz="8" w:space="0" w:color="auto"/>
              <w:bottom w:val="single" w:sz="8" w:space="0" w:color="auto"/>
              <w:right w:val="single" w:sz="8" w:space="0" w:color="auto"/>
            </w:tcBorders>
            <w:shd w:val="clear" w:color="auto" w:fill="auto"/>
            <w:vAlign w:val="bottom"/>
            <w:hideMark/>
          </w:tcPr>
          <w:p w:rsidR="003D3043" w:rsidRPr="003D3043" w:rsidRDefault="003D3043" w:rsidP="00646CA2">
            <w:pPr>
              <w:jc w:val="center"/>
              <w:rPr>
                <w:rFonts w:asciiTheme="majorBidi" w:hAnsiTheme="majorBidi" w:cstheme="majorBidi"/>
                <w:sz w:val="16"/>
                <w:szCs w:val="16"/>
              </w:rPr>
            </w:pPr>
            <w:r w:rsidRPr="003D3043">
              <w:rPr>
                <w:rFonts w:asciiTheme="majorBidi" w:hAnsiTheme="majorBidi" w:cstheme="majorBidi"/>
                <w:sz w:val="16"/>
                <w:szCs w:val="16"/>
                <w:rtl/>
              </w:rPr>
              <w:t>عدم السماح العامودي (المراكز المغطية ضمن أعمدة الاستحقاق</w:t>
            </w:r>
            <w:r w:rsidR="00646CA2">
              <w:rPr>
                <w:rFonts w:asciiTheme="majorBidi" w:hAnsiTheme="majorBidi" w:cstheme="majorBidi" w:hint="cs"/>
                <w:sz w:val="16"/>
                <w:szCs w:val="16"/>
                <w:rtl/>
              </w:rPr>
              <w:t>*</w:t>
            </w:r>
            <w:r w:rsidRPr="003D3043">
              <w:rPr>
                <w:rFonts w:asciiTheme="majorBidi" w:hAnsiTheme="majorBidi" w:cstheme="majorBidi"/>
                <w:sz w:val="16"/>
                <w:szCs w:val="16"/>
                <w:rtl/>
              </w:rPr>
              <w:t>10%)</w:t>
            </w:r>
          </w:p>
        </w:tc>
        <w:tc>
          <w:tcPr>
            <w:tcW w:w="166" w:type="pct"/>
            <w:tcBorders>
              <w:top w:val="single" w:sz="4" w:space="0" w:color="auto"/>
              <w:left w:val="single"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92"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42"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2"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57"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4"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4"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4"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4"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4"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34"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62"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48"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206"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328" w:type="pct"/>
            <w:tcBorders>
              <w:top w:val="single" w:sz="4" w:space="0" w:color="auto"/>
              <w:left w:val="dashed" w:sz="8" w:space="0" w:color="auto"/>
              <w:bottom w:val="double" w:sz="6" w:space="0" w:color="auto"/>
              <w:right w:val="dashed" w:sz="8" w:space="0" w:color="auto"/>
            </w:tcBorders>
            <w:shd w:val="clear" w:color="auto" w:fill="auto"/>
            <w:noWrap/>
            <w:vAlign w:val="bottom"/>
            <w:hideMark/>
          </w:tcPr>
          <w:p w:rsidR="003D3043" w:rsidRPr="003D3043" w:rsidRDefault="003D3043" w:rsidP="008C1354">
            <w:pPr>
              <w:bidi w:val="0"/>
              <w:jc w:val="right"/>
              <w:rPr>
                <w:rFonts w:asciiTheme="majorBidi" w:hAnsiTheme="majorBidi" w:cstheme="majorBidi"/>
                <w:color w:val="C0C0C0"/>
                <w:sz w:val="16"/>
                <w:szCs w:val="16"/>
              </w:rPr>
            </w:pPr>
            <w:r w:rsidRPr="003D3043">
              <w:rPr>
                <w:rFonts w:asciiTheme="majorBidi" w:hAnsiTheme="majorBidi" w:cstheme="majorBidi"/>
                <w:color w:val="C0C0C0"/>
                <w:sz w:val="16"/>
                <w:szCs w:val="16"/>
              </w:rPr>
              <w:t>0</w:t>
            </w:r>
          </w:p>
        </w:tc>
        <w:tc>
          <w:tcPr>
            <w:tcW w:w="104" w:type="pct"/>
            <w:tcBorders>
              <w:top w:val="nil"/>
              <w:left w:val="nil"/>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6</w:t>
            </w:r>
          </w:p>
        </w:tc>
        <w:tc>
          <w:tcPr>
            <w:tcW w:w="1071" w:type="pct"/>
            <w:tcBorders>
              <w:top w:val="nil"/>
              <w:left w:val="single" w:sz="8" w:space="0" w:color="auto"/>
              <w:bottom w:val="single" w:sz="8" w:space="0" w:color="auto"/>
              <w:right w:val="single" w:sz="8" w:space="0" w:color="auto"/>
            </w:tcBorders>
            <w:shd w:val="clear" w:color="auto" w:fill="auto"/>
            <w:vAlign w:val="bottom"/>
            <w:hideMark/>
          </w:tcPr>
          <w:p w:rsidR="003D3043" w:rsidRPr="003D3043" w:rsidRDefault="003D3043" w:rsidP="00646CA2">
            <w:pPr>
              <w:jc w:val="center"/>
              <w:rPr>
                <w:rFonts w:asciiTheme="majorBidi" w:hAnsiTheme="majorBidi" w:cstheme="majorBidi"/>
                <w:sz w:val="16"/>
                <w:szCs w:val="16"/>
              </w:rPr>
            </w:pPr>
            <w:r w:rsidRPr="003D3043">
              <w:rPr>
                <w:rFonts w:asciiTheme="majorBidi" w:hAnsiTheme="majorBidi" w:cstheme="majorBidi"/>
                <w:sz w:val="16"/>
                <w:szCs w:val="16"/>
                <w:rtl/>
              </w:rPr>
              <w:t xml:space="preserve">عدم السماح الأفقي :- المركز المغطية ضمن فترات الاستحقاق نفسها </w:t>
            </w:r>
            <w:r w:rsidR="00646CA2">
              <w:rPr>
                <w:rFonts w:asciiTheme="majorBidi" w:hAnsiTheme="majorBidi" w:cstheme="majorBidi" w:hint="cs"/>
                <w:sz w:val="16"/>
                <w:szCs w:val="16"/>
                <w:rtl/>
              </w:rPr>
              <w:t>*</w:t>
            </w:r>
            <w:r w:rsidRPr="003D3043">
              <w:rPr>
                <w:rFonts w:asciiTheme="majorBidi" w:hAnsiTheme="majorBidi" w:cstheme="majorBidi"/>
                <w:sz w:val="16"/>
                <w:szCs w:val="16"/>
                <w:rtl/>
              </w:rPr>
              <w:t>(40% , 30% , 30%)</w:t>
            </w:r>
          </w:p>
        </w:tc>
        <w:tc>
          <w:tcPr>
            <w:tcW w:w="166" w:type="pct"/>
            <w:tcBorders>
              <w:top w:val="nil"/>
              <w:left w:val="single" w:sz="8" w:space="0" w:color="auto"/>
              <w:bottom w:val="double" w:sz="6" w:space="0" w:color="auto"/>
              <w:right w:val="dashed" w:sz="8" w:space="0" w:color="auto"/>
            </w:tcBorders>
            <w:shd w:val="clear" w:color="000000" w:fill="969696"/>
            <w:noWrap/>
            <w:vAlign w:val="bottom"/>
            <w:hideMark/>
          </w:tcPr>
          <w:p w:rsidR="003D3043" w:rsidRPr="003D3043" w:rsidRDefault="003D3043" w:rsidP="008C1354">
            <w:pPr>
              <w:bidi w:val="0"/>
              <w:jc w:val="right"/>
              <w:rPr>
                <w:rFonts w:asciiTheme="majorBidi" w:hAnsiTheme="majorBidi" w:cstheme="majorBidi"/>
                <w:color w:val="000000"/>
                <w:sz w:val="16"/>
                <w:szCs w:val="16"/>
              </w:rPr>
            </w:pPr>
            <w:r w:rsidRPr="003D3043">
              <w:rPr>
                <w:rFonts w:asciiTheme="majorBidi" w:hAnsiTheme="majorBidi" w:cstheme="majorBidi"/>
                <w:color w:val="000000"/>
                <w:sz w:val="16"/>
                <w:szCs w:val="16"/>
              </w:rPr>
              <w:t>0</w:t>
            </w:r>
          </w:p>
        </w:tc>
        <w:tc>
          <w:tcPr>
            <w:tcW w:w="292"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42"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32" w:type="pct"/>
            <w:tcBorders>
              <w:top w:val="nil"/>
              <w:left w:val="nil"/>
              <w:bottom w:val="double" w:sz="6" w:space="0" w:color="auto"/>
              <w:right w:val="double" w:sz="6" w:space="0" w:color="auto"/>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57" w:type="pct"/>
            <w:tcBorders>
              <w:top w:val="nil"/>
              <w:left w:val="double" w:sz="6" w:space="0" w:color="auto"/>
              <w:bottom w:val="double" w:sz="6" w:space="0" w:color="auto"/>
              <w:right w:val="dashed" w:sz="8" w:space="0" w:color="auto"/>
            </w:tcBorders>
            <w:shd w:val="clear" w:color="000000" w:fill="969696"/>
            <w:noWrap/>
            <w:vAlign w:val="bottom"/>
            <w:hideMark/>
          </w:tcPr>
          <w:p w:rsidR="003D3043" w:rsidRPr="003D3043" w:rsidRDefault="003D3043" w:rsidP="008C1354">
            <w:pPr>
              <w:bidi w:val="0"/>
              <w:jc w:val="right"/>
              <w:rPr>
                <w:rFonts w:asciiTheme="majorBidi" w:hAnsiTheme="majorBidi" w:cstheme="majorBidi"/>
                <w:color w:val="000000"/>
                <w:sz w:val="16"/>
                <w:szCs w:val="16"/>
              </w:rPr>
            </w:pPr>
            <w:r w:rsidRPr="003D3043">
              <w:rPr>
                <w:rFonts w:asciiTheme="majorBidi" w:hAnsiTheme="majorBidi" w:cstheme="majorBidi"/>
                <w:color w:val="000000"/>
                <w:sz w:val="16"/>
                <w:szCs w:val="16"/>
              </w:rPr>
              <w:t>0</w:t>
            </w:r>
          </w:p>
        </w:tc>
        <w:tc>
          <w:tcPr>
            <w:tcW w:w="234" w:type="pct"/>
            <w:tcBorders>
              <w:top w:val="nil"/>
              <w:left w:val="dashed" w:sz="8" w:space="0" w:color="auto"/>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34" w:type="pct"/>
            <w:tcBorders>
              <w:top w:val="nil"/>
              <w:left w:val="nil"/>
              <w:bottom w:val="double" w:sz="6" w:space="0" w:color="auto"/>
              <w:right w:val="double" w:sz="6" w:space="0" w:color="auto"/>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34" w:type="pct"/>
            <w:tcBorders>
              <w:top w:val="nil"/>
              <w:left w:val="nil"/>
              <w:bottom w:val="dashed" w:sz="8" w:space="0" w:color="auto"/>
              <w:right w:val="dashed" w:sz="8" w:space="0" w:color="auto"/>
            </w:tcBorders>
            <w:shd w:val="clear" w:color="000000" w:fill="969696"/>
            <w:noWrap/>
            <w:vAlign w:val="bottom"/>
            <w:hideMark/>
          </w:tcPr>
          <w:p w:rsidR="003D3043" w:rsidRPr="003D3043" w:rsidRDefault="003D3043" w:rsidP="008C1354">
            <w:pPr>
              <w:bidi w:val="0"/>
              <w:jc w:val="right"/>
              <w:rPr>
                <w:rFonts w:asciiTheme="majorBidi" w:hAnsiTheme="majorBidi" w:cstheme="majorBidi"/>
                <w:color w:val="000000"/>
                <w:sz w:val="16"/>
                <w:szCs w:val="16"/>
              </w:rPr>
            </w:pPr>
            <w:r w:rsidRPr="003D3043">
              <w:rPr>
                <w:rFonts w:asciiTheme="majorBidi" w:hAnsiTheme="majorBidi" w:cstheme="majorBidi"/>
                <w:color w:val="000000"/>
                <w:sz w:val="16"/>
                <w:szCs w:val="16"/>
              </w:rPr>
              <w:t>0</w:t>
            </w:r>
          </w:p>
        </w:tc>
        <w:tc>
          <w:tcPr>
            <w:tcW w:w="234"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34"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34"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62"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48"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206" w:type="pct"/>
            <w:tcBorders>
              <w:top w:val="nil"/>
              <w:left w:val="nil"/>
              <w:bottom w:val="double" w:sz="6" w:space="0" w:color="auto"/>
              <w:right w:val="nil"/>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328" w:type="pct"/>
            <w:tcBorders>
              <w:top w:val="nil"/>
              <w:left w:val="nil"/>
              <w:bottom w:val="double" w:sz="6" w:space="0" w:color="auto"/>
              <w:right w:val="single" w:sz="8" w:space="0" w:color="auto"/>
            </w:tcBorders>
            <w:shd w:val="clear" w:color="000000" w:fill="969696"/>
            <w:noWrap/>
            <w:vAlign w:val="bottom"/>
            <w:hideMark/>
          </w:tcPr>
          <w:p w:rsidR="003D3043" w:rsidRPr="003D3043" w:rsidRDefault="003D3043" w:rsidP="008C1354">
            <w:pPr>
              <w:bidi w:val="0"/>
              <w:rPr>
                <w:rFonts w:asciiTheme="majorBidi" w:hAnsiTheme="majorBidi" w:cstheme="majorBidi"/>
                <w:color w:val="000000"/>
                <w:sz w:val="16"/>
                <w:szCs w:val="16"/>
              </w:rPr>
            </w:pPr>
            <w:r w:rsidRPr="003D3043">
              <w:rPr>
                <w:rFonts w:asciiTheme="majorBidi" w:hAnsiTheme="majorBidi" w:cstheme="majorBidi"/>
                <w:color w:val="000000"/>
                <w:sz w:val="16"/>
                <w:szCs w:val="16"/>
              </w:rPr>
              <w:t> </w:t>
            </w:r>
          </w:p>
        </w:tc>
        <w:tc>
          <w:tcPr>
            <w:tcW w:w="104" w:type="pct"/>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r>
      <w:tr w:rsidR="00DF4AC7" w:rsidRPr="003D3043" w:rsidTr="00DF4AC7">
        <w:trPr>
          <w:trHeight w:val="20"/>
        </w:trPr>
        <w:tc>
          <w:tcPr>
            <w:tcW w:w="187" w:type="pct"/>
            <w:tcBorders>
              <w:top w:val="nil"/>
              <w:left w:val="single" w:sz="8" w:space="0" w:color="auto"/>
              <w:bottom w:val="nil"/>
              <w:right w:val="nil"/>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7</w:t>
            </w:r>
          </w:p>
        </w:tc>
        <w:tc>
          <w:tcPr>
            <w:tcW w:w="1071" w:type="pct"/>
            <w:tcBorders>
              <w:top w:val="nil"/>
              <w:left w:val="single" w:sz="8" w:space="0" w:color="auto"/>
              <w:bottom w:val="single" w:sz="8" w:space="0" w:color="auto"/>
              <w:right w:val="nil"/>
            </w:tcBorders>
            <w:shd w:val="clear" w:color="auto" w:fill="auto"/>
            <w:vAlign w:val="bottom"/>
            <w:hideMark/>
          </w:tcPr>
          <w:p w:rsidR="003D3043" w:rsidRPr="003D3043" w:rsidRDefault="003D3043" w:rsidP="00646CA2">
            <w:pPr>
              <w:jc w:val="center"/>
              <w:rPr>
                <w:rFonts w:asciiTheme="majorBidi" w:hAnsiTheme="majorBidi" w:cstheme="majorBidi"/>
                <w:sz w:val="16"/>
                <w:szCs w:val="16"/>
              </w:rPr>
            </w:pPr>
            <w:r w:rsidRPr="003D3043">
              <w:rPr>
                <w:rFonts w:asciiTheme="majorBidi" w:hAnsiTheme="majorBidi" w:cstheme="majorBidi"/>
                <w:sz w:val="16"/>
                <w:szCs w:val="16"/>
                <w:rtl/>
              </w:rPr>
              <w:t xml:space="preserve">عدم السماح الأفقي :- المراكز المغطية ضمن فترات الاستحقاق المتجاورة </w:t>
            </w:r>
            <w:r w:rsidR="00646CA2">
              <w:rPr>
                <w:rFonts w:asciiTheme="majorBidi" w:hAnsiTheme="majorBidi" w:cstheme="majorBidi" w:hint="cs"/>
                <w:sz w:val="16"/>
                <w:szCs w:val="16"/>
                <w:rtl/>
              </w:rPr>
              <w:t>*</w:t>
            </w:r>
            <w:r w:rsidRPr="003D3043">
              <w:rPr>
                <w:rFonts w:asciiTheme="majorBidi" w:hAnsiTheme="majorBidi" w:cstheme="majorBidi"/>
                <w:sz w:val="16"/>
                <w:szCs w:val="16"/>
                <w:rtl/>
              </w:rPr>
              <w:t>40%</w:t>
            </w:r>
          </w:p>
        </w:tc>
        <w:tc>
          <w:tcPr>
            <w:tcW w:w="166" w:type="pct"/>
            <w:tcBorders>
              <w:top w:val="nil"/>
              <w:left w:val="single" w:sz="4" w:space="0" w:color="auto"/>
              <w:bottom w:val="nil"/>
              <w:right w:val="single" w:sz="4" w:space="0" w:color="auto"/>
            </w:tcBorders>
            <w:shd w:val="clear" w:color="000000" w:fill="FF9900"/>
            <w:noWrap/>
            <w:vAlign w:val="bottom"/>
            <w:hideMark/>
          </w:tcPr>
          <w:p w:rsidR="003D3043" w:rsidRPr="003D3043" w:rsidRDefault="003D3043" w:rsidP="008C1354">
            <w:pPr>
              <w:bidi w:val="0"/>
              <w:jc w:val="right"/>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single" w:sz="4" w:space="0" w:color="auto"/>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42"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2"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57" w:type="pct"/>
            <w:tcBorders>
              <w:top w:val="nil"/>
              <w:left w:val="nil"/>
              <w:bottom w:val="single" w:sz="4" w:space="0" w:color="auto"/>
              <w:right w:val="single" w:sz="4" w:space="0" w:color="auto"/>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single" w:sz="4" w:space="0" w:color="auto"/>
              <w:bottom w:val="single" w:sz="4" w:space="0" w:color="auto"/>
              <w:right w:val="single" w:sz="4" w:space="0" w:color="auto"/>
            </w:tcBorders>
            <w:shd w:val="clear" w:color="000000" w:fill="FF9900"/>
            <w:noWrap/>
            <w:vAlign w:val="bottom"/>
            <w:hideMark/>
          </w:tcPr>
          <w:p w:rsidR="003D3043" w:rsidRPr="003D3043" w:rsidRDefault="003D3043" w:rsidP="008C1354">
            <w:pPr>
              <w:bidi w:val="0"/>
              <w:jc w:val="right"/>
              <w:rPr>
                <w:rFonts w:asciiTheme="majorBidi" w:hAnsiTheme="majorBidi" w:cstheme="majorBidi"/>
                <w:sz w:val="16"/>
                <w:szCs w:val="16"/>
              </w:rPr>
            </w:pPr>
            <w:r w:rsidRPr="003D3043">
              <w:rPr>
                <w:rFonts w:asciiTheme="majorBidi" w:hAnsiTheme="majorBidi" w:cstheme="majorBidi"/>
                <w:sz w:val="16"/>
                <w:szCs w:val="16"/>
              </w:rPr>
              <w:t>0</w:t>
            </w:r>
          </w:p>
        </w:tc>
        <w:tc>
          <w:tcPr>
            <w:tcW w:w="234" w:type="pct"/>
            <w:tcBorders>
              <w:top w:val="nil"/>
              <w:left w:val="single" w:sz="4" w:space="0" w:color="auto"/>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double" w:sz="6" w:space="0" w:color="auto"/>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62"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48"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06" w:type="pct"/>
            <w:tcBorders>
              <w:top w:val="nil"/>
              <w:left w:val="nil"/>
              <w:bottom w:val="single" w:sz="4" w:space="0" w:color="auto"/>
              <w:right w:val="nil"/>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328" w:type="pct"/>
            <w:tcBorders>
              <w:top w:val="nil"/>
              <w:left w:val="nil"/>
              <w:bottom w:val="single" w:sz="4" w:space="0" w:color="auto"/>
              <w:right w:val="single" w:sz="8" w:space="0" w:color="auto"/>
            </w:tcBorders>
            <w:shd w:val="clear" w:color="000000" w:fill="FF99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r>
      <w:tr w:rsidR="00DF4AC7" w:rsidRPr="003D3043" w:rsidTr="00DF4AC7">
        <w:trPr>
          <w:trHeight w:val="20"/>
        </w:trPr>
        <w:tc>
          <w:tcPr>
            <w:tcW w:w="187" w:type="pct"/>
            <w:tcBorders>
              <w:top w:val="nil"/>
              <w:left w:val="single" w:sz="8" w:space="0" w:color="auto"/>
              <w:bottom w:val="single" w:sz="4" w:space="0" w:color="auto"/>
              <w:right w:val="single" w:sz="8" w:space="0" w:color="auto"/>
            </w:tcBorders>
            <w:shd w:val="clear" w:color="auto" w:fill="auto"/>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8</w:t>
            </w:r>
          </w:p>
        </w:tc>
        <w:tc>
          <w:tcPr>
            <w:tcW w:w="1071" w:type="pct"/>
            <w:tcBorders>
              <w:top w:val="nil"/>
              <w:left w:val="single" w:sz="8" w:space="0" w:color="auto"/>
              <w:bottom w:val="single" w:sz="4" w:space="0" w:color="auto"/>
              <w:right w:val="single" w:sz="8" w:space="0" w:color="auto"/>
            </w:tcBorders>
            <w:shd w:val="clear" w:color="auto" w:fill="auto"/>
            <w:vAlign w:val="bottom"/>
            <w:hideMark/>
          </w:tcPr>
          <w:p w:rsidR="003D3043" w:rsidRPr="003D3043" w:rsidRDefault="003D3043" w:rsidP="00646CA2">
            <w:pPr>
              <w:jc w:val="center"/>
              <w:rPr>
                <w:rFonts w:asciiTheme="majorBidi" w:hAnsiTheme="majorBidi" w:cstheme="majorBidi"/>
                <w:sz w:val="16"/>
                <w:szCs w:val="16"/>
              </w:rPr>
            </w:pPr>
            <w:r w:rsidRPr="003D3043">
              <w:rPr>
                <w:rFonts w:asciiTheme="majorBidi" w:hAnsiTheme="majorBidi" w:cstheme="majorBidi"/>
                <w:sz w:val="16"/>
                <w:szCs w:val="16"/>
                <w:rtl/>
              </w:rPr>
              <w:t xml:space="preserve">عدم السماح الأفقي :- (المراكز المغطية ضمن فترات الاستحقاق المتباعدة </w:t>
            </w:r>
            <w:r w:rsidR="00646CA2">
              <w:rPr>
                <w:rFonts w:asciiTheme="majorBidi" w:hAnsiTheme="majorBidi" w:cstheme="majorBidi" w:hint="cs"/>
                <w:sz w:val="16"/>
                <w:szCs w:val="16"/>
                <w:rtl/>
              </w:rPr>
              <w:t>*</w:t>
            </w:r>
            <w:r w:rsidRPr="003D3043">
              <w:rPr>
                <w:rFonts w:asciiTheme="majorBidi" w:hAnsiTheme="majorBidi" w:cstheme="majorBidi"/>
                <w:sz w:val="16"/>
                <w:szCs w:val="16"/>
                <w:rtl/>
              </w:rPr>
              <w:t xml:space="preserve">100%) </w:t>
            </w:r>
          </w:p>
        </w:tc>
        <w:tc>
          <w:tcPr>
            <w:tcW w:w="166" w:type="pct"/>
            <w:tcBorders>
              <w:top w:val="single" w:sz="4" w:space="0" w:color="auto"/>
              <w:left w:val="single" w:sz="8" w:space="0" w:color="auto"/>
              <w:bottom w:val="single" w:sz="4" w:space="0" w:color="auto"/>
              <w:right w:val="nil"/>
            </w:tcBorders>
            <w:shd w:val="clear" w:color="000000" w:fill="00FF00"/>
            <w:noWrap/>
            <w:vAlign w:val="bottom"/>
            <w:hideMark/>
          </w:tcPr>
          <w:p w:rsidR="003D3043" w:rsidRPr="003D3043" w:rsidRDefault="003D3043" w:rsidP="008C1354">
            <w:pPr>
              <w:bidi w:val="0"/>
              <w:jc w:val="right"/>
              <w:rPr>
                <w:rFonts w:asciiTheme="majorBidi" w:hAnsiTheme="majorBidi" w:cstheme="majorBidi"/>
                <w:sz w:val="16"/>
                <w:szCs w:val="16"/>
              </w:rPr>
            </w:pPr>
            <w:r w:rsidRPr="003D3043">
              <w:rPr>
                <w:rFonts w:asciiTheme="majorBidi" w:hAnsiTheme="majorBidi" w:cstheme="majorBidi"/>
                <w:sz w:val="16"/>
                <w:szCs w:val="16"/>
              </w:rPr>
              <w:t>0</w:t>
            </w:r>
          </w:p>
        </w:tc>
        <w:tc>
          <w:tcPr>
            <w:tcW w:w="292" w:type="pct"/>
            <w:tcBorders>
              <w:top w:val="nil"/>
              <w:left w:val="nil"/>
              <w:bottom w:val="single" w:sz="4"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42" w:type="pct"/>
            <w:tcBorders>
              <w:top w:val="nil"/>
              <w:left w:val="nil"/>
              <w:bottom w:val="single" w:sz="4"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2" w:type="pct"/>
            <w:tcBorders>
              <w:top w:val="nil"/>
              <w:left w:val="nil"/>
              <w:bottom w:val="single" w:sz="4"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57" w:type="pct"/>
            <w:tcBorders>
              <w:top w:val="nil"/>
              <w:left w:val="nil"/>
              <w:bottom w:val="single" w:sz="4"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4"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4"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34"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62"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48"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206" w:type="pct"/>
            <w:tcBorders>
              <w:top w:val="nil"/>
              <w:left w:val="nil"/>
              <w:bottom w:val="single" w:sz="8" w:space="0" w:color="auto"/>
              <w:right w:val="nil"/>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328" w:type="pct"/>
            <w:tcBorders>
              <w:top w:val="nil"/>
              <w:left w:val="nil"/>
              <w:bottom w:val="single" w:sz="8" w:space="0" w:color="auto"/>
              <w:right w:val="single" w:sz="8" w:space="0" w:color="auto"/>
            </w:tcBorders>
            <w:shd w:val="clear" w:color="000000" w:fill="00FF00"/>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r>
      <w:tr w:rsidR="008C1354" w:rsidRPr="003D3043" w:rsidTr="00DF4AC7">
        <w:trPr>
          <w:trHeight w:val="288"/>
        </w:trPr>
        <w:tc>
          <w:tcPr>
            <w:tcW w:w="187" w:type="pct"/>
            <w:tcBorders>
              <w:top w:val="single" w:sz="4" w:space="0" w:color="auto"/>
              <w:left w:val="single" w:sz="4" w:space="0" w:color="auto"/>
              <w:bottom w:val="single" w:sz="4" w:space="0" w:color="auto"/>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494" w:type="pct"/>
            <w:gridSpan w:val="7"/>
            <w:tcBorders>
              <w:top w:val="single" w:sz="4" w:space="0" w:color="auto"/>
              <w:bottom w:val="single" w:sz="4" w:space="0" w:color="auto"/>
            </w:tcBorders>
            <w:shd w:val="clear" w:color="auto" w:fill="auto"/>
            <w:noWrap/>
            <w:vAlign w:val="bottom"/>
            <w:hideMark/>
          </w:tcPr>
          <w:p w:rsidR="003D3043" w:rsidRPr="003D3043" w:rsidRDefault="003D3043" w:rsidP="008C1354">
            <w:pPr>
              <w:rPr>
                <w:rFonts w:asciiTheme="majorBidi" w:hAnsiTheme="majorBidi" w:cstheme="majorBidi"/>
                <w:b w:val="0"/>
                <w:bCs w:val="0"/>
                <w:sz w:val="16"/>
                <w:szCs w:val="16"/>
              </w:rPr>
            </w:pPr>
            <w:r w:rsidRPr="003D3043">
              <w:rPr>
                <w:rFonts w:asciiTheme="majorBidi" w:hAnsiTheme="majorBidi" w:cstheme="majorBidi"/>
                <w:b w:val="0"/>
                <w:bCs w:val="0"/>
                <w:sz w:val="16"/>
                <w:szCs w:val="16"/>
                <w:rtl/>
              </w:rPr>
              <w:t>رأس المال الواجب تخصيصه لمقابلة المخاطر العامة للأدوات المالية الخاضعة مخاطر أسعار الفوائد يساوي :</w:t>
            </w:r>
          </w:p>
        </w:tc>
        <w:tc>
          <w:tcPr>
            <w:tcW w:w="234" w:type="pct"/>
            <w:tcBorders>
              <w:top w:val="single" w:sz="4" w:space="0" w:color="auto"/>
              <w:left w:val="nil"/>
              <w:bottom w:val="single" w:sz="4" w:space="0" w:color="auto"/>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3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3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3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34"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62"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48"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06"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328" w:type="pct"/>
            <w:tcBorders>
              <w:top w:val="nil"/>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104" w:type="pct"/>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sz w:val="16"/>
                <w:szCs w:val="16"/>
              </w:rPr>
            </w:pPr>
            <w:r w:rsidRPr="003D3043">
              <w:rPr>
                <w:rFonts w:asciiTheme="majorBidi" w:hAnsiTheme="majorBidi" w:cstheme="majorBidi"/>
                <w:sz w:val="16"/>
                <w:szCs w:val="16"/>
              </w:rPr>
              <w:t>0</w:t>
            </w:r>
          </w:p>
        </w:tc>
      </w:tr>
      <w:tr w:rsidR="008C1354" w:rsidRPr="003D3043" w:rsidTr="00DF4AC7">
        <w:trPr>
          <w:trHeight w:val="288"/>
        </w:trPr>
        <w:tc>
          <w:tcPr>
            <w:tcW w:w="187" w:type="pct"/>
            <w:tcBorders>
              <w:top w:val="single" w:sz="4" w:space="0" w:color="auto"/>
              <w:left w:val="nil"/>
              <w:bottom w:val="nil"/>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p>
        </w:tc>
        <w:tc>
          <w:tcPr>
            <w:tcW w:w="2004" w:type="pct"/>
            <w:gridSpan w:val="5"/>
            <w:tcBorders>
              <w:top w:val="single" w:sz="4" w:space="0" w:color="auto"/>
              <w:left w:val="single" w:sz="8" w:space="0" w:color="auto"/>
              <w:bottom w:val="single" w:sz="8" w:space="0" w:color="auto"/>
              <w:right w:val="nil"/>
            </w:tcBorders>
            <w:shd w:val="clear" w:color="auto" w:fill="auto"/>
            <w:noWrap/>
            <w:vAlign w:val="bottom"/>
            <w:hideMark/>
          </w:tcPr>
          <w:p w:rsidR="003D3043" w:rsidRPr="003D3043" w:rsidRDefault="003D3043" w:rsidP="00646CA2">
            <w:pPr>
              <w:rPr>
                <w:rFonts w:asciiTheme="majorBidi" w:hAnsiTheme="majorBidi" w:cstheme="majorBidi"/>
                <w:b w:val="0"/>
                <w:bCs w:val="0"/>
                <w:sz w:val="16"/>
                <w:szCs w:val="16"/>
              </w:rPr>
            </w:pPr>
            <w:r w:rsidRPr="003D3043">
              <w:rPr>
                <w:rFonts w:asciiTheme="majorBidi" w:hAnsiTheme="majorBidi" w:cstheme="majorBidi"/>
                <w:b w:val="0"/>
                <w:bCs w:val="0"/>
                <w:sz w:val="16"/>
                <w:szCs w:val="16"/>
                <w:rtl/>
              </w:rPr>
              <w:t xml:space="preserve"> المخاطر العامة لأسعار الفوائد = مجموع رأس المال المطلوب للمخاطر العام </w:t>
            </w:r>
            <w:r w:rsidR="00646CA2">
              <w:rPr>
                <w:rFonts w:asciiTheme="majorBidi" w:hAnsiTheme="majorBidi" w:cstheme="majorBidi" w:hint="cs"/>
                <w:b w:val="0"/>
                <w:bCs w:val="0"/>
                <w:sz w:val="16"/>
                <w:szCs w:val="16"/>
                <w:rtl/>
              </w:rPr>
              <w:t xml:space="preserve">* </w:t>
            </w:r>
            <w:r w:rsidRPr="003D3043">
              <w:rPr>
                <w:rFonts w:asciiTheme="majorBidi" w:hAnsiTheme="majorBidi" w:cstheme="majorBidi"/>
                <w:b w:val="0"/>
                <w:bCs w:val="0"/>
                <w:sz w:val="16"/>
                <w:szCs w:val="16"/>
                <w:rtl/>
              </w:rPr>
              <w:t>5ر12</w:t>
            </w:r>
          </w:p>
        </w:tc>
        <w:tc>
          <w:tcPr>
            <w:tcW w:w="257" w:type="pct"/>
            <w:tcBorders>
              <w:top w:val="single" w:sz="4"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34" w:type="pct"/>
            <w:tcBorders>
              <w:top w:val="single" w:sz="4"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34" w:type="pct"/>
            <w:tcBorders>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34"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34"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34"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34"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62"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48"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b w:val="0"/>
                <w:bCs w:val="0"/>
                <w:sz w:val="16"/>
                <w:szCs w:val="16"/>
              </w:rPr>
            </w:pPr>
            <w:r w:rsidRPr="003D3043">
              <w:rPr>
                <w:rFonts w:asciiTheme="majorBidi" w:hAnsiTheme="majorBidi" w:cstheme="majorBidi"/>
                <w:b w:val="0"/>
                <w:bCs w:val="0"/>
                <w:sz w:val="16"/>
                <w:szCs w:val="16"/>
              </w:rPr>
              <w:t> </w:t>
            </w:r>
          </w:p>
        </w:tc>
        <w:tc>
          <w:tcPr>
            <w:tcW w:w="206" w:type="pct"/>
            <w:tcBorders>
              <w:top w:val="single" w:sz="8" w:space="0" w:color="auto"/>
              <w:left w:val="nil"/>
              <w:bottom w:val="single" w:sz="8" w:space="0" w:color="auto"/>
              <w:right w:val="nil"/>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328" w:type="pct"/>
            <w:tcBorders>
              <w:top w:val="single" w:sz="8" w:space="0" w:color="auto"/>
              <w:left w:val="nil"/>
              <w:bottom w:val="single" w:sz="8" w:space="0" w:color="auto"/>
              <w:right w:val="single" w:sz="8" w:space="0" w:color="auto"/>
            </w:tcBorders>
            <w:shd w:val="clear" w:color="auto" w:fill="auto"/>
            <w:noWrap/>
            <w:vAlign w:val="bottom"/>
            <w:hideMark/>
          </w:tcPr>
          <w:p w:rsidR="003D3043" w:rsidRPr="003D3043" w:rsidRDefault="003D3043" w:rsidP="008C1354">
            <w:pPr>
              <w:bidi w:val="0"/>
              <w:rPr>
                <w:rFonts w:asciiTheme="majorBidi" w:hAnsiTheme="majorBidi" w:cstheme="majorBidi"/>
                <w:sz w:val="16"/>
                <w:szCs w:val="16"/>
              </w:rPr>
            </w:pPr>
            <w:r w:rsidRPr="003D3043">
              <w:rPr>
                <w:rFonts w:asciiTheme="majorBidi" w:hAnsiTheme="majorBidi" w:cstheme="majorBidi"/>
                <w:sz w:val="16"/>
                <w:szCs w:val="16"/>
              </w:rPr>
              <w:t> </w:t>
            </w:r>
          </w:p>
        </w:tc>
        <w:tc>
          <w:tcPr>
            <w:tcW w:w="104" w:type="pct"/>
            <w:tcBorders>
              <w:top w:val="nil"/>
              <w:left w:val="single" w:sz="8" w:space="0" w:color="auto"/>
              <w:bottom w:val="single" w:sz="8" w:space="0" w:color="auto"/>
              <w:right w:val="single" w:sz="8" w:space="0" w:color="auto"/>
            </w:tcBorders>
            <w:shd w:val="clear" w:color="000000" w:fill="FFFF99"/>
            <w:noWrap/>
            <w:vAlign w:val="bottom"/>
            <w:hideMark/>
          </w:tcPr>
          <w:p w:rsidR="003D3043" w:rsidRPr="003D3043" w:rsidRDefault="003D3043" w:rsidP="008C1354">
            <w:pPr>
              <w:bidi w:val="0"/>
              <w:jc w:val="center"/>
              <w:rPr>
                <w:rFonts w:asciiTheme="majorBidi" w:hAnsiTheme="majorBidi" w:cstheme="majorBidi"/>
                <w:b w:val="0"/>
                <w:bCs w:val="0"/>
                <w:sz w:val="16"/>
                <w:szCs w:val="16"/>
              </w:rPr>
            </w:pPr>
            <w:r w:rsidRPr="003D3043">
              <w:rPr>
                <w:rFonts w:asciiTheme="majorBidi" w:hAnsiTheme="majorBidi" w:cstheme="majorBidi"/>
                <w:b w:val="0"/>
                <w:bCs w:val="0"/>
                <w:sz w:val="16"/>
                <w:szCs w:val="16"/>
              </w:rPr>
              <w:t>0</w:t>
            </w:r>
          </w:p>
        </w:tc>
      </w:tr>
    </w:tbl>
    <w:p w:rsidR="005A2DDD" w:rsidRDefault="005A2DDD" w:rsidP="005A2DDD">
      <w:pPr>
        <w:rPr>
          <w:rtl/>
          <w:lang w:bidi="ar-JO"/>
        </w:rPr>
        <w:sectPr w:rsidR="005A2DDD" w:rsidSect="003D3043">
          <w:headerReference w:type="first" r:id="rId12"/>
          <w:footerReference w:type="first" r:id="rId13"/>
          <w:pgSz w:w="16838" w:h="11906" w:orient="landscape"/>
          <w:pgMar w:top="1198" w:right="1440" w:bottom="1797" w:left="1440" w:header="709" w:footer="387" w:gutter="0"/>
          <w:cols w:space="708"/>
          <w:titlePg/>
          <w:bidi/>
          <w:rtlGutter/>
          <w:docGrid w:linePitch="360"/>
        </w:sectPr>
      </w:pPr>
    </w:p>
    <w:p w:rsidR="005A2DDD" w:rsidRDefault="005A2DDD" w:rsidP="005A2DDD">
      <w:pPr>
        <w:rPr>
          <w:rtl/>
          <w:lang w:bidi="ar-JO"/>
        </w:rPr>
      </w:pPr>
    </w:p>
    <w:p w:rsidR="00DF4AC7" w:rsidRPr="00DF4AC7" w:rsidRDefault="00DF4AC7" w:rsidP="00692097">
      <w:pPr>
        <w:jc w:val="center"/>
        <w:rPr>
          <w:sz w:val="28"/>
          <w:szCs w:val="28"/>
        </w:rPr>
      </w:pPr>
      <w:bookmarkStart w:id="2249" w:name="_Toc465255844"/>
      <w:r w:rsidRPr="00DF4AC7">
        <w:rPr>
          <w:sz w:val="28"/>
          <w:szCs w:val="28"/>
          <w:rtl/>
        </w:rPr>
        <w:t xml:space="preserve">ملحق ( </w:t>
      </w:r>
      <w:r w:rsidR="00692097">
        <w:rPr>
          <w:rFonts w:hint="cs"/>
          <w:sz w:val="28"/>
          <w:szCs w:val="28"/>
          <w:rtl/>
        </w:rPr>
        <w:t>18</w:t>
      </w:r>
      <w:r w:rsidRPr="00DF4AC7">
        <w:rPr>
          <w:rFonts w:hint="cs"/>
          <w:sz w:val="28"/>
          <w:szCs w:val="28"/>
          <w:rtl/>
        </w:rPr>
        <w:t xml:space="preserve"> ): </w:t>
      </w:r>
      <w:r w:rsidRPr="00DF4AC7">
        <w:rPr>
          <w:sz w:val="28"/>
          <w:szCs w:val="28"/>
          <w:rtl/>
        </w:rPr>
        <w:t>مخاطر السوق لأدوات الملكيـــة المحتفظ بها للمتاجره</w:t>
      </w:r>
      <w:bookmarkEnd w:id="2249"/>
    </w:p>
    <w:tbl>
      <w:tblPr>
        <w:bidiVisual/>
        <w:tblW w:w="5507" w:type="pct"/>
        <w:tblLayout w:type="fixed"/>
        <w:tblLook w:val="04A0" w:firstRow="1" w:lastRow="0" w:firstColumn="1" w:lastColumn="0" w:noHBand="0" w:noVBand="1"/>
      </w:tblPr>
      <w:tblGrid>
        <w:gridCol w:w="856"/>
        <w:gridCol w:w="1081"/>
        <w:gridCol w:w="761"/>
        <w:gridCol w:w="995"/>
        <w:gridCol w:w="1419"/>
        <w:gridCol w:w="991"/>
        <w:gridCol w:w="1417"/>
        <w:gridCol w:w="1975"/>
      </w:tblGrid>
      <w:tr w:rsidR="008C1354" w:rsidRPr="006E4DD3" w:rsidTr="00646CA2">
        <w:trPr>
          <w:trHeight w:val="240"/>
        </w:trPr>
        <w:tc>
          <w:tcPr>
            <w:tcW w:w="2692" w:type="pct"/>
            <w:gridSpan w:val="5"/>
            <w:tcBorders>
              <w:top w:val="nil"/>
              <w:left w:val="nil"/>
              <w:bottom w:val="nil"/>
              <w:right w:val="nil"/>
            </w:tcBorders>
            <w:shd w:val="clear" w:color="auto" w:fill="auto"/>
            <w:noWrap/>
            <w:vAlign w:val="center"/>
          </w:tcPr>
          <w:p w:rsidR="005A2DDD" w:rsidRPr="008C1354" w:rsidRDefault="005A2DDD" w:rsidP="008C1354">
            <w:pPr>
              <w:jc w:val="center"/>
            </w:pPr>
          </w:p>
        </w:tc>
        <w:tc>
          <w:tcPr>
            <w:tcW w:w="522"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746" w:type="pct"/>
            <w:tcBorders>
              <w:top w:val="nil"/>
              <w:left w:val="nil"/>
              <w:bottom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1040" w:type="pct"/>
            <w:tcBorders>
              <w:bottom w:val="nil"/>
            </w:tcBorders>
            <w:shd w:val="clear" w:color="auto" w:fill="auto"/>
            <w:noWrap/>
            <w:vAlign w:val="bottom"/>
            <w:hideMark/>
          </w:tcPr>
          <w:p w:rsidR="005A2DDD" w:rsidRPr="006E4DD3" w:rsidRDefault="005A2DDD" w:rsidP="008C1354">
            <w:pPr>
              <w:jc w:val="center"/>
              <w:rPr>
                <w:rFonts w:ascii="Arial" w:hAnsi="Arial" w:cs="Arial"/>
                <w:sz w:val="20"/>
                <w:szCs w:val="20"/>
              </w:rPr>
            </w:pPr>
            <w:r w:rsidRPr="006E4DD3">
              <w:rPr>
                <w:rFonts w:ascii="Arial" w:hAnsi="Arial" w:cs="Arial"/>
                <w:sz w:val="20"/>
                <w:szCs w:val="20"/>
                <w:rtl/>
              </w:rPr>
              <w:t>الف دينار</w:t>
            </w:r>
          </w:p>
        </w:tc>
      </w:tr>
      <w:tr w:rsidR="008C1354" w:rsidRPr="006E4DD3" w:rsidTr="00646CA2">
        <w:trPr>
          <w:trHeight w:val="992"/>
        </w:trPr>
        <w:tc>
          <w:tcPr>
            <w:tcW w:w="4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المحفظة</w:t>
            </w:r>
          </w:p>
        </w:tc>
        <w:tc>
          <w:tcPr>
            <w:tcW w:w="5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المراكز المفتــــــوحة</w:t>
            </w:r>
          </w:p>
        </w:tc>
        <w:tc>
          <w:tcPr>
            <w:tcW w:w="4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المركز الإجمالي</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راس المال اللازم للمخاطر الخاصة</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صافي المركز</w:t>
            </w:r>
          </w:p>
        </w:tc>
        <w:tc>
          <w:tcPr>
            <w:tcW w:w="7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راس المال اللازم للمخاطر العامة</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tl/>
              </w:rPr>
              <w:t>رأس المال اللازم للمخاطر الخاصة والعامة (8) (7+5)</w:t>
            </w:r>
          </w:p>
        </w:tc>
      </w:tr>
      <w:tr w:rsidR="008C1354" w:rsidRPr="006E4DD3" w:rsidTr="00646CA2">
        <w:trPr>
          <w:trHeight w:val="885"/>
        </w:trPr>
        <w:tc>
          <w:tcPr>
            <w:tcW w:w="451"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r w:rsidRPr="008C1354">
              <w:rPr>
                <w:rFonts w:asciiTheme="majorBidi" w:hAnsiTheme="majorBidi" w:cstheme="majorBidi"/>
                <w:sz w:val="20"/>
                <w:szCs w:val="20"/>
              </w:rPr>
              <w:t>1</w:t>
            </w:r>
          </w:p>
        </w:tc>
        <w:tc>
          <w:tcPr>
            <w:tcW w:w="569" w:type="pct"/>
            <w:tcBorders>
              <w:top w:val="nil"/>
              <w:left w:val="single" w:sz="4" w:space="0" w:color="auto"/>
              <w:bottom w:val="single" w:sz="4" w:space="0" w:color="auto"/>
              <w:right w:val="single" w:sz="4" w:space="0" w:color="auto"/>
            </w:tcBorders>
            <w:shd w:val="clear" w:color="auto" w:fill="auto"/>
            <w:vAlign w:val="center"/>
            <w:hideMark/>
          </w:tcPr>
          <w:p w:rsidR="005A2DDD" w:rsidRPr="008C1354" w:rsidRDefault="005A2DDD" w:rsidP="00646CA2">
            <w:pPr>
              <w:spacing w:line="276" w:lineRule="auto"/>
              <w:jc w:val="center"/>
              <w:rPr>
                <w:rFonts w:asciiTheme="majorBidi" w:hAnsiTheme="majorBidi" w:cstheme="majorBidi"/>
                <w:sz w:val="20"/>
                <w:szCs w:val="20"/>
              </w:rPr>
            </w:pPr>
            <w:r w:rsidRPr="008C1354">
              <w:rPr>
                <w:rFonts w:asciiTheme="majorBidi" w:hAnsiTheme="majorBidi" w:cstheme="majorBidi"/>
                <w:sz w:val="20"/>
                <w:szCs w:val="20"/>
                <w:rtl/>
              </w:rPr>
              <w:t>طويلة (2)</w:t>
            </w:r>
          </w:p>
        </w:tc>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spacing w:line="276" w:lineRule="auto"/>
              <w:jc w:val="center"/>
              <w:rPr>
                <w:rFonts w:asciiTheme="majorBidi" w:hAnsiTheme="majorBidi" w:cstheme="majorBidi"/>
                <w:sz w:val="20"/>
                <w:szCs w:val="20"/>
              </w:rPr>
            </w:pPr>
            <w:r w:rsidRPr="008C1354">
              <w:rPr>
                <w:rFonts w:asciiTheme="majorBidi" w:hAnsiTheme="majorBidi" w:cstheme="majorBidi"/>
                <w:sz w:val="20"/>
                <w:szCs w:val="20"/>
                <w:rtl/>
              </w:rPr>
              <w:t>قصيرة (3)</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spacing w:line="276" w:lineRule="auto"/>
              <w:jc w:val="center"/>
              <w:rPr>
                <w:rFonts w:asciiTheme="majorBidi" w:hAnsiTheme="majorBidi" w:cstheme="majorBidi"/>
                <w:sz w:val="20"/>
                <w:szCs w:val="20"/>
              </w:rPr>
            </w:pPr>
            <w:r w:rsidRPr="008C1354">
              <w:rPr>
                <w:rFonts w:asciiTheme="majorBidi" w:hAnsiTheme="majorBidi" w:cstheme="majorBidi"/>
                <w:sz w:val="20"/>
                <w:szCs w:val="20"/>
              </w:rPr>
              <w:t>(2+3)(4)</w:t>
            </w:r>
          </w:p>
        </w:tc>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spacing w:line="276" w:lineRule="auto"/>
              <w:jc w:val="center"/>
              <w:rPr>
                <w:rFonts w:asciiTheme="majorBidi" w:hAnsiTheme="majorBidi" w:cstheme="majorBidi"/>
                <w:sz w:val="20"/>
                <w:szCs w:val="20"/>
              </w:rPr>
            </w:pPr>
            <w:r w:rsidRPr="008C1354">
              <w:rPr>
                <w:rFonts w:asciiTheme="majorBidi" w:hAnsiTheme="majorBidi" w:cstheme="majorBidi"/>
                <w:sz w:val="20"/>
                <w:szCs w:val="20"/>
                <w:rtl/>
              </w:rPr>
              <w:t>المركز الاجمالي (5) (4*8%)</w:t>
            </w:r>
          </w:p>
        </w:tc>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spacing w:line="276" w:lineRule="auto"/>
              <w:jc w:val="center"/>
              <w:rPr>
                <w:rFonts w:asciiTheme="majorBidi" w:hAnsiTheme="majorBidi" w:cstheme="majorBidi"/>
                <w:sz w:val="20"/>
                <w:szCs w:val="20"/>
              </w:rPr>
            </w:pPr>
            <w:r w:rsidRPr="008C1354">
              <w:rPr>
                <w:rFonts w:asciiTheme="majorBidi" w:hAnsiTheme="majorBidi" w:cstheme="majorBidi"/>
                <w:sz w:val="20"/>
                <w:szCs w:val="20"/>
              </w:rPr>
              <w:t>(2-3) (6)</w:t>
            </w:r>
          </w:p>
        </w:tc>
        <w:tc>
          <w:tcPr>
            <w:tcW w:w="746"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spacing w:line="276" w:lineRule="auto"/>
              <w:jc w:val="center"/>
              <w:rPr>
                <w:rFonts w:asciiTheme="majorBidi" w:hAnsiTheme="majorBidi" w:cstheme="majorBidi"/>
                <w:sz w:val="20"/>
                <w:szCs w:val="20"/>
              </w:rPr>
            </w:pPr>
            <w:r w:rsidRPr="008C1354">
              <w:rPr>
                <w:rFonts w:asciiTheme="majorBidi" w:hAnsiTheme="majorBidi" w:cstheme="majorBidi"/>
                <w:sz w:val="20"/>
                <w:szCs w:val="20"/>
                <w:rtl/>
              </w:rPr>
              <w:t>صافي المركز (7) ( 6*8%)</w:t>
            </w:r>
          </w:p>
        </w:tc>
        <w:tc>
          <w:tcPr>
            <w:tcW w:w="1040" w:type="pct"/>
            <w:tcBorders>
              <w:top w:val="nil"/>
              <w:left w:val="single" w:sz="4" w:space="0" w:color="auto"/>
              <w:bottom w:val="single" w:sz="4" w:space="0" w:color="auto"/>
              <w:right w:val="single" w:sz="4" w:space="0" w:color="auto"/>
            </w:tcBorders>
            <w:shd w:val="clear" w:color="auto" w:fill="auto"/>
            <w:noWrap/>
            <w:vAlign w:val="center"/>
            <w:hideMark/>
          </w:tcPr>
          <w:p w:rsidR="005A2DDD" w:rsidRPr="008C1354" w:rsidRDefault="005A2DDD" w:rsidP="00646CA2">
            <w:pPr>
              <w:jc w:val="center"/>
              <w:rPr>
                <w:rFonts w:asciiTheme="majorBidi" w:hAnsiTheme="majorBidi" w:cstheme="majorBidi"/>
                <w:sz w:val="20"/>
                <w:szCs w:val="20"/>
              </w:rPr>
            </w:pP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 </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55"/>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tl/>
              </w:rPr>
              <w:t xml:space="preserve">الاجمالي </w:t>
            </w:r>
          </w:p>
        </w:tc>
        <w:tc>
          <w:tcPr>
            <w:tcW w:w="569"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4"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7"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746"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1040" w:type="pct"/>
            <w:tcBorders>
              <w:top w:val="nil"/>
              <w:left w:val="single" w:sz="4" w:space="0" w:color="auto"/>
              <w:bottom w:val="single" w:sz="4" w:space="0" w:color="auto"/>
              <w:right w:val="single" w:sz="4"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r>
      <w:tr w:rsidR="008C1354" w:rsidRPr="006E4DD3" w:rsidTr="00646CA2">
        <w:trPr>
          <w:trHeight w:val="270"/>
        </w:trPr>
        <w:tc>
          <w:tcPr>
            <w:tcW w:w="451"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569"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401"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524"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747"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522"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746"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1040"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r>
      <w:tr w:rsidR="008C1354" w:rsidRPr="006E4DD3" w:rsidTr="00646CA2">
        <w:trPr>
          <w:trHeight w:val="20"/>
        </w:trPr>
        <w:tc>
          <w:tcPr>
            <w:tcW w:w="1421" w:type="pct"/>
            <w:gridSpan w:val="3"/>
            <w:tcBorders>
              <w:top w:val="nil"/>
              <w:left w:val="nil"/>
              <w:bottom w:val="nil"/>
              <w:right w:val="nil"/>
            </w:tcBorders>
            <w:shd w:val="clear" w:color="auto" w:fill="auto"/>
            <w:noWrap/>
            <w:vAlign w:val="bottom"/>
            <w:hideMark/>
          </w:tcPr>
          <w:p w:rsidR="005A2DDD" w:rsidRPr="008C1354" w:rsidRDefault="005A2DDD" w:rsidP="005A2DDD">
            <w:pPr>
              <w:rPr>
                <w:rFonts w:asciiTheme="majorBidi" w:hAnsiTheme="majorBidi" w:cstheme="majorBidi"/>
                <w:sz w:val="20"/>
                <w:szCs w:val="20"/>
              </w:rPr>
            </w:pPr>
            <w:r w:rsidRPr="008C1354">
              <w:rPr>
                <w:rFonts w:asciiTheme="majorBidi" w:hAnsiTheme="majorBidi" w:cstheme="majorBidi"/>
                <w:sz w:val="20"/>
                <w:szCs w:val="20"/>
                <w:rtl/>
              </w:rPr>
              <w:t>مخاطر السوق لادوات الملكية</w:t>
            </w:r>
          </w:p>
        </w:tc>
        <w:tc>
          <w:tcPr>
            <w:tcW w:w="524"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74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A2DDD" w:rsidRPr="006E4DD3" w:rsidRDefault="005A2DDD" w:rsidP="005A2DDD">
            <w:pPr>
              <w:rPr>
                <w:rFonts w:ascii="Arial" w:hAnsi="Arial" w:cs="Arial"/>
                <w:sz w:val="20"/>
                <w:szCs w:val="20"/>
              </w:rPr>
            </w:pPr>
            <w:r w:rsidRPr="006E4DD3">
              <w:rPr>
                <w:rFonts w:ascii="Arial" w:hAnsi="Arial" w:cs="Arial"/>
                <w:sz w:val="20"/>
                <w:szCs w:val="20"/>
              </w:rPr>
              <w:t>0</w:t>
            </w:r>
          </w:p>
        </w:tc>
        <w:tc>
          <w:tcPr>
            <w:tcW w:w="522"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746"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c>
          <w:tcPr>
            <w:tcW w:w="1040" w:type="pct"/>
            <w:tcBorders>
              <w:top w:val="nil"/>
              <w:left w:val="nil"/>
              <w:bottom w:val="nil"/>
              <w:right w:val="nil"/>
            </w:tcBorders>
            <w:shd w:val="clear" w:color="auto" w:fill="auto"/>
            <w:noWrap/>
            <w:vAlign w:val="bottom"/>
            <w:hideMark/>
          </w:tcPr>
          <w:p w:rsidR="005A2DDD" w:rsidRPr="006E4DD3" w:rsidRDefault="005A2DDD" w:rsidP="005A2DDD">
            <w:pPr>
              <w:rPr>
                <w:rFonts w:ascii="Arial" w:hAnsi="Arial" w:cs="Arial"/>
                <w:sz w:val="20"/>
                <w:szCs w:val="20"/>
              </w:rPr>
            </w:pPr>
          </w:p>
        </w:tc>
      </w:tr>
    </w:tbl>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Pr="005A2DDD" w:rsidRDefault="005A2DDD" w:rsidP="005A2DDD">
      <w:pPr>
        <w:rPr>
          <w:rtl/>
          <w:lang w:bidi="ar-JO"/>
        </w:rPr>
      </w:pPr>
    </w:p>
    <w:p w:rsidR="00DF4AC7" w:rsidRPr="00DF4AC7" w:rsidRDefault="00DF4AC7" w:rsidP="00692097">
      <w:pPr>
        <w:pStyle w:val="Caption"/>
        <w:keepNext/>
        <w:jc w:val="center"/>
        <w:rPr>
          <w:b/>
          <w:bCs/>
          <w:color w:val="auto"/>
          <w:sz w:val="28"/>
          <w:szCs w:val="28"/>
        </w:rPr>
      </w:pPr>
      <w:bookmarkStart w:id="2250" w:name="_Toc465255845"/>
      <w:r w:rsidRPr="00DF4AC7">
        <w:rPr>
          <w:b/>
          <w:bCs/>
          <w:color w:val="auto"/>
          <w:sz w:val="28"/>
          <w:szCs w:val="28"/>
          <w:rtl/>
        </w:rPr>
        <w:lastRenderedPageBreak/>
        <w:t xml:space="preserve">ملحق ( </w:t>
      </w:r>
      <w:r w:rsidR="00692097">
        <w:rPr>
          <w:rFonts w:hint="cs"/>
          <w:b/>
          <w:bCs/>
          <w:color w:val="auto"/>
          <w:sz w:val="28"/>
          <w:szCs w:val="28"/>
          <w:rtl/>
        </w:rPr>
        <w:t>19</w:t>
      </w:r>
      <w:r w:rsidRPr="00DF4AC7">
        <w:rPr>
          <w:rFonts w:hint="cs"/>
          <w:b/>
          <w:bCs/>
          <w:color w:val="auto"/>
          <w:sz w:val="28"/>
          <w:szCs w:val="28"/>
          <w:rtl/>
        </w:rPr>
        <w:t xml:space="preserve"> ): </w:t>
      </w:r>
      <w:r w:rsidRPr="00DF4AC7">
        <w:rPr>
          <w:b/>
          <w:bCs/>
          <w:color w:val="auto"/>
          <w:sz w:val="28"/>
          <w:szCs w:val="28"/>
          <w:rtl/>
        </w:rPr>
        <w:t xml:space="preserve">مخاطر السوق </w:t>
      </w:r>
      <w:r w:rsidRPr="00DF4AC7">
        <w:rPr>
          <w:rFonts w:hint="cs"/>
          <w:b/>
          <w:bCs/>
          <w:color w:val="auto"/>
          <w:sz w:val="28"/>
          <w:szCs w:val="28"/>
          <w:rtl/>
        </w:rPr>
        <w:t>لأسعار</w:t>
      </w:r>
      <w:r w:rsidRPr="00DF4AC7">
        <w:rPr>
          <w:b/>
          <w:bCs/>
          <w:color w:val="auto"/>
          <w:sz w:val="28"/>
          <w:szCs w:val="28"/>
          <w:rtl/>
        </w:rPr>
        <w:t xml:space="preserve"> صرف العملات </w:t>
      </w:r>
      <w:r w:rsidRPr="00DF4AC7">
        <w:rPr>
          <w:rFonts w:hint="cs"/>
          <w:b/>
          <w:bCs/>
          <w:color w:val="auto"/>
          <w:sz w:val="28"/>
          <w:szCs w:val="28"/>
          <w:rtl/>
        </w:rPr>
        <w:t>الأجنبية</w:t>
      </w:r>
      <w:r w:rsidRPr="00DF4AC7">
        <w:rPr>
          <w:b/>
          <w:bCs/>
          <w:color w:val="auto"/>
          <w:sz w:val="28"/>
          <w:szCs w:val="28"/>
          <w:rtl/>
        </w:rPr>
        <w:t xml:space="preserve"> والذهب</w:t>
      </w:r>
      <w:bookmarkEnd w:id="2250"/>
    </w:p>
    <w:tbl>
      <w:tblPr>
        <w:bidiVisual/>
        <w:tblW w:w="5000" w:type="pct"/>
        <w:jc w:val="center"/>
        <w:tblLook w:val="04A0" w:firstRow="1" w:lastRow="0" w:firstColumn="1" w:lastColumn="0" w:noHBand="0" w:noVBand="1"/>
      </w:tblPr>
      <w:tblGrid>
        <w:gridCol w:w="6328"/>
        <w:gridCol w:w="1041"/>
        <w:gridCol w:w="1252"/>
      </w:tblGrid>
      <w:tr w:rsidR="00DF4AC7" w:rsidRPr="006E4DD3" w:rsidTr="00DF4AC7">
        <w:trPr>
          <w:trHeight w:val="270"/>
          <w:jc w:val="center"/>
        </w:trPr>
        <w:tc>
          <w:tcPr>
            <w:tcW w:w="3670" w:type="pct"/>
            <w:tcBorders>
              <w:top w:val="nil"/>
              <w:left w:val="nil"/>
              <w:bottom w:val="nil"/>
              <w:right w:val="nil"/>
            </w:tcBorders>
            <w:shd w:val="clear" w:color="auto" w:fill="auto"/>
            <w:noWrap/>
            <w:vAlign w:val="bottom"/>
            <w:hideMark/>
          </w:tcPr>
          <w:p w:rsidR="00DF4AC7" w:rsidRPr="006E4DD3" w:rsidRDefault="00DF4AC7" w:rsidP="005A2DDD">
            <w:pPr>
              <w:rPr>
                <w:rFonts w:ascii="Arial" w:hAnsi="Arial" w:cs="Arial"/>
                <w:sz w:val="20"/>
                <w:szCs w:val="20"/>
              </w:rPr>
            </w:pPr>
          </w:p>
        </w:tc>
        <w:tc>
          <w:tcPr>
            <w:tcW w:w="604" w:type="pct"/>
            <w:tcBorders>
              <w:top w:val="nil"/>
              <w:left w:val="nil"/>
              <w:bottom w:val="nil"/>
            </w:tcBorders>
            <w:shd w:val="clear" w:color="auto" w:fill="auto"/>
            <w:noWrap/>
            <w:vAlign w:val="bottom"/>
            <w:hideMark/>
          </w:tcPr>
          <w:p w:rsidR="00DF4AC7" w:rsidRPr="006E4DD3" w:rsidRDefault="00DF4AC7" w:rsidP="005A2DDD">
            <w:pPr>
              <w:rPr>
                <w:rFonts w:ascii="Arial" w:hAnsi="Arial" w:cs="Arial"/>
                <w:sz w:val="20"/>
                <w:szCs w:val="20"/>
              </w:rPr>
            </w:pPr>
          </w:p>
        </w:tc>
        <w:tc>
          <w:tcPr>
            <w:tcW w:w="726" w:type="pct"/>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tl/>
              </w:rPr>
              <w:t>الف دينار</w:t>
            </w:r>
          </w:p>
        </w:tc>
      </w:tr>
      <w:tr w:rsidR="00DF4AC7" w:rsidRPr="006E4DD3" w:rsidTr="00DF4AC7">
        <w:trPr>
          <w:trHeight w:hRule="exact" w:val="432"/>
          <w:jc w:val="center"/>
        </w:trPr>
        <w:tc>
          <w:tcPr>
            <w:tcW w:w="3670" w:type="pct"/>
            <w:vMerge w:val="restart"/>
            <w:tcBorders>
              <w:top w:val="single" w:sz="8" w:space="0" w:color="auto"/>
              <w:left w:val="single" w:sz="8" w:space="0" w:color="auto"/>
              <w:right w:val="nil"/>
            </w:tcBorders>
            <w:shd w:val="clear" w:color="auto" w:fill="auto"/>
            <w:noWrap/>
            <w:vAlign w:val="center"/>
            <w:hideMark/>
          </w:tcPr>
          <w:p w:rsidR="00DF4AC7" w:rsidRPr="00E205C4" w:rsidRDefault="00DF4AC7" w:rsidP="00E205C4">
            <w:pPr>
              <w:jc w:val="center"/>
              <w:rPr>
                <w:sz w:val="24"/>
                <w:szCs w:val="24"/>
                <w:rtl/>
                <w:lang w:bidi="ar-JO"/>
              </w:rPr>
            </w:pPr>
            <w:r w:rsidRPr="00E205C4">
              <w:rPr>
                <w:sz w:val="24"/>
                <w:szCs w:val="24"/>
                <w:rtl/>
              </w:rPr>
              <w:t>العملة</w:t>
            </w:r>
          </w:p>
        </w:tc>
        <w:tc>
          <w:tcPr>
            <w:tcW w:w="1330" w:type="pct"/>
            <w:gridSpan w:val="2"/>
            <w:tcBorders>
              <w:top w:val="single" w:sz="8" w:space="0" w:color="auto"/>
              <w:left w:val="single" w:sz="8" w:space="0" w:color="auto"/>
              <w:bottom w:val="nil"/>
              <w:right w:val="single" w:sz="8" w:space="0" w:color="000000"/>
            </w:tcBorders>
            <w:shd w:val="clear" w:color="auto" w:fill="auto"/>
            <w:noWrap/>
            <w:vAlign w:val="center"/>
            <w:hideMark/>
          </w:tcPr>
          <w:p w:rsidR="00DF4AC7" w:rsidRPr="00E205C4" w:rsidRDefault="00DF4AC7" w:rsidP="008C1354">
            <w:pPr>
              <w:jc w:val="center"/>
              <w:rPr>
                <w:sz w:val="24"/>
                <w:szCs w:val="24"/>
              </w:rPr>
            </w:pPr>
            <w:r w:rsidRPr="00E205C4">
              <w:rPr>
                <w:sz w:val="24"/>
                <w:szCs w:val="24"/>
                <w:rtl/>
              </w:rPr>
              <w:t>صافي المراكـــــــــــــز</w:t>
            </w:r>
          </w:p>
        </w:tc>
      </w:tr>
      <w:tr w:rsidR="00DF4AC7" w:rsidRPr="006E4DD3" w:rsidTr="00DF4AC7">
        <w:trPr>
          <w:trHeight w:hRule="exact" w:val="432"/>
          <w:jc w:val="center"/>
        </w:trPr>
        <w:tc>
          <w:tcPr>
            <w:tcW w:w="3670" w:type="pct"/>
            <w:vMerge/>
            <w:tcBorders>
              <w:left w:val="single" w:sz="8" w:space="0" w:color="auto"/>
              <w:bottom w:val="single" w:sz="8" w:space="0" w:color="auto"/>
              <w:right w:val="nil"/>
            </w:tcBorders>
            <w:shd w:val="clear" w:color="auto" w:fill="auto"/>
            <w:noWrap/>
            <w:vAlign w:val="bottom"/>
            <w:hideMark/>
          </w:tcPr>
          <w:p w:rsidR="00DF4AC7" w:rsidRPr="00E205C4" w:rsidRDefault="00DF4AC7" w:rsidP="005A2DDD">
            <w:pPr>
              <w:rPr>
                <w:sz w:val="24"/>
                <w:szCs w:val="24"/>
              </w:rPr>
            </w:pPr>
          </w:p>
        </w:tc>
        <w:tc>
          <w:tcPr>
            <w:tcW w:w="604"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F4AC7" w:rsidRPr="00E205C4" w:rsidRDefault="00DF4AC7" w:rsidP="008C1354">
            <w:pPr>
              <w:jc w:val="center"/>
              <w:rPr>
                <w:sz w:val="24"/>
                <w:szCs w:val="24"/>
              </w:rPr>
            </w:pPr>
            <w:r w:rsidRPr="00E205C4">
              <w:rPr>
                <w:sz w:val="24"/>
                <w:szCs w:val="24"/>
                <w:rtl/>
              </w:rPr>
              <w:t>الطويلة</w:t>
            </w:r>
          </w:p>
        </w:tc>
        <w:tc>
          <w:tcPr>
            <w:tcW w:w="726" w:type="pct"/>
            <w:tcBorders>
              <w:top w:val="single" w:sz="4" w:space="0" w:color="auto"/>
              <w:left w:val="nil"/>
              <w:bottom w:val="single" w:sz="8" w:space="0" w:color="auto"/>
              <w:right w:val="single" w:sz="8" w:space="0" w:color="auto"/>
            </w:tcBorders>
            <w:shd w:val="clear" w:color="auto" w:fill="auto"/>
            <w:noWrap/>
            <w:vAlign w:val="center"/>
            <w:hideMark/>
          </w:tcPr>
          <w:p w:rsidR="00DF4AC7" w:rsidRPr="00E205C4" w:rsidRDefault="00DF4AC7" w:rsidP="008C1354">
            <w:pPr>
              <w:jc w:val="center"/>
              <w:rPr>
                <w:sz w:val="24"/>
                <w:szCs w:val="24"/>
              </w:rPr>
            </w:pPr>
            <w:r w:rsidRPr="00E205C4">
              <w:rPr>
                <w:sz w:val="24"/>
                <w:szCs w:val="24"/>
                <w:rtl/>
              </w:rPr>
              <w:t>القصيرة</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الدولار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اليورو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الين الياباني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الفرنك السويسري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كرونا سويدي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دولار كندي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كرون دانمركي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single" w:sz="4"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جنيه استرليني </w:t>
            </w:r>
          </w:p>
        </w:tc>
        <w:tc>
          <w:tcPr>
            <w:tcW w:w="604" w:type="pct"/>
            <w:tcBorders>
              <w:top w:val="nil"/>
              <w:left w:val="single" w:sz="8" w:space="0" w:color="auto"/>
              <w:bottom w:val="single" w:sz="4" w:space="0" w:color="auto"/>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single" w:sz="4" w:space="0" w:color="auto"/>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nil"/>
              <w:left w:val="single" w:sz="8" w:space="0" w:color="auto"/>
              <w:bottom w:val="nil"/>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عملات اخرى </w:t>
            </w:r>
          </w:p>
        </w:tc>
        <w:tc>
          <w:tcPr>
            <w:tcW w:w="604" w:type="pct"/>
            <w:tcBorders>
              <w:top w:val="nil"/>
              <w:left w:val="single" w:sz="8" w:space="0" w:color="auto"/>
              <w:bottom w:val="nil"/>
              <w:right w:val="single" w:sz="4" w:space="0" w:color="auto"/>
            </w:tcBorders>
            <w:shd w:val="clear" w:color="auto" w:fill="auto"/>
            <w:noWrap/>
            <w:vAlign w:val="bottom"/>
            <w:hideMark/>
          </w:tcPr>
          <w:p w:rsidR="00DF4AC7" w:rsidRPr="00E205C4" w:rsidRDefault="00DF4AC7" w:rsidP="005A2DDD">
            <w:pPr>
              <w:rPr>
                <w:sz w:val="22"/>
                <w:szCs w:val="22"/>
              </w:rPr>
            </w:pPr>
            <w:r w:rsidRPr="00E205C4">
              <w:rPr>
                <w:sz w:val="22"/>
                <w:szCs w:val="22"/>
              </w:rPr>
              <w:t> </w:t>
            </w:r>
          </w:p>
        </w:tc>
        <w:tc>
          <w:tcPr>
            <w:tcW w:w="726" w:type="pct"/>
            <w:tcBorders>
              <w:top w:val="nil"/>
              <w:left w:val="nil"/>
              <w:bottom w:val="nil"/>
              <w:right w:val="single" w:sz="8" w:space="0" w:color="auto"/>
            </w:tcBorders>
            <w:shd w:val="clear" w:color="auto" w:fill="auto"/>
            <w:noWrap/>
            <w:vAlign w:val="bottom"/>
            <w:hideMark/>
          </w:tcPr>
          <w:p w:rsidR="00DF4AC7" w:rsidRPr="006E4DD3" w:rsidRDefault="00DF4AC7" w:rsidP="005A2DDD">
            <w:pPr>
              <w:rPr>
                <w:rFonts w:ascii="Arial" w:hAnsi="Arial" w:cs="Arial"/>
                <w:sz w:val="20"/>
                <w:szCs w:val="20"/>
              </w:rPr>
            </w:pPr>
            <w:r w:rsidRPr="006E4DD3">
              <w:rPr>
                <w:rFonts w:ascii="Arial" w:hAnsi="Arial" w:cs="Arial"/>
                <w:sz w:val="20"/>
                <w:szCs w:val="20"/>
              </w:rPr>
              <w:t> </w:t>
            </w:r>
          </w:p>
        </w:tc>
      </w:tr>
      <w:tr w:rsidR="00DF4AC7" w:rsidRPr="006E4DD3" w:rsidTr="00DF4AC7">
        <w:trPr>
          <w:trHeight w:hRule="exact" w:val="432"/>
          <w:jc w:val="center"/>
        </w:trPr>
        <w:tc>
          <w:tcPr>
            <w:tcW w:w="367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 اجمالي صافي المراكز المفتوحة القصيرة والطويلة </w:t>
            </w:r>
          </w:p>
        </w:tc>
        <w:tc>
          <w:tcPr>
            <w:tcW w:w="60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F4AC7" w:rsidRPr="00E205C4" w:rsidRDefault="00DF4AC7" w:rsidP="008C1354">
            <w:pPr>
              <w:jc w:val="center"/>
              <w:rPr>
                <w:sz w:val="22"/>
                <w:szCs w:val="22"/>
              </w:rPr>
            </w:pPr>
            <w:r w:rsidRPr="00E205C4">
              <w:rPr>
                <w:sz w:val="22"/>
                <w:szCs w:val="22"/>
              </w:rPr>
              <w:t>0</w:t>
            </w:r>
          </w:p>
        </w:tc>
        <w:tc>
          <w:tcPr>
            <w:tcW w:w="726" w:type="pct"/>
            <w:tcBorders>
              <w:top w:val="single" w:sz="8" w:space="0" w:color="auto"/>
              <w:left w:val="nil"/>
              <w:bottom w:val="single" w:sz="8" w:space="0" w:color="auto"/>
              <w:right w:val="single" w:sz="8" w:space="0" w:color="auto"/>
            </w:tcBorders>
            <w:shd w:val="clear" w:color="auto" w:fill="auto"/>
            <w:noWrap/>
            <w:vAlign w:val="center"/>
            <w:hideMark/>
          </w:tcPr>
          <w:p w:rsidR="00DF4AC7" w:rsidRPr="006E4DD3" w:rsidRDefault="00DF4AC7" w:rsidP="008C1354">
            <w:pPr>
              <w:jc w:val="center"/>
              <w:rPr>
                <w:rFonts w:ascii="Arial" w:hAnsi="Arial" w:cs="Arial"/>
                <w:sz w:val="20"/>
                <w:szCs w:val="20"/>
              </w:rPr>
            </w:pPr>
            <w:r w:rsidRPr="006E4DD3">
              <w:rPr>
                <w:rFonts w:ascii="Arial" w:hAnsi="Arial" w:cs="Arial"/>
                <w:sz w:val="20"/>
                <w:szCs w:val="20"/>
              </w:rPr>
              <w:t>0</w:t>
            </w:r>
          </w:p>
        </w:tc>
      </w:tr>
      <w:tr w:rsidR="00DF4AC7" w:rsidRPr="006E4DD3" w:rsidTr="00DF4AC7">
        <w:trPr>
          <w:trHeight w:hRule="exact" w:val="432"/>
          <w:jc w:val="center"/>
        </w:trPr>
        <w:tc>
          <w:tcPr>
            <w:tcW w:w="3670" w:type="pct"/>
            <w:tcBorders>
              <w:top w:val="nil"/>
              <w:left w:val="single" w:sz="8" w:space="0" w:color="auto"/>
              <w:bottom w:val="nil"/>
              <w:right w:val="nil"/>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 أ - المراكز المفتوحة الكبرى </w:t>
            </w:r>
          </w:p>
        </w:tc>
        <w:tc>
          <w:tcPr>
            <w:tcW w:w="604" w:type="pct"/>
            <w:tcBorders>
              <w:top w:val="nil"/>
              <w:left w:val="single" w:sz="8" w:space="0" w:color="auto"/>
              <w:bottom w:val="single" w:sz="8" w:space="0" w:color="auto"/>
              <w:right w:val="single" w:sz="8" w:space="0" w:color="auto"/>
            </w:tcBorders>
            <w:shd w:val="clear" w:color="auto" w:fill="auto"/>
            <w:noWrap/>
            <w:vAlign w:val="center"/>
            <w:hideMark/>
          </w:tcPr>
          <w:p w:rsidR="00DF4AC7" w:rsidRPr="00E205C4" w:rsidRDefault="00DF4AC7" w:rsidP="008C1354">
            <w:pPr>
              <w:jc w:val="center"/>
              <w:rPr>
                <w:sz w:val="22"/>
                <w:szCs w:val="22"/>
              </w:rPr>
            </w:pPr>
            <w:r w:rsidRPr="00E205C4">
              <w:rPr>
                <w:sz w:val="22"/>
                <w:szCs w:val="22"/>
              </w:rPr>
              <w:t>0</w:t>
            </w:r>
          </w:p>
        </w:tc>
        <w:tc>
          <w:tcPr>
            <w:tcW w:w="726" w:type="pct"/>
            <w:tcBorders>
              <w:top w:val="nil"/>
              <w:left w:val="nil"/>
              <w:bottom w:val="nil"/>
              <w:right w:val="nil"/>
            </w:tcBorders>
            <w:shd w:val="clear" w:color="auto" w:fill="auto"/>
            <w:noWrap/>
            <w:vAlign w:val="center"/>
            <w:hideMark/>
          </w:tcPr>
          <w:p w:rsidR="00DF4AC7" w:rsidRPr="006E4DD3" w:rsidRDefault="00DF4AC7" w:rsidP="008C1354">
            <w:pPr>
              <w:jc w:val="center"/>
              <w:rPr>
                <w:rFonts w:ascii="Arial" w:hAnsi="Arial" w:cs="Arial"/>
                <w:sz w:val="20"/>
                <w:szCs w:val="20"/>
              </w:rPr>
            </w:pPr>
          </w:p>
        </w:tc>
      </w:tr>
      <w:tr w:rsidR="00DF4AC7" w:rsidRPr="006E4DD3" w:rsidTr="00DF4AC7">
        <w:trPr>
          <w:trHeight w:hRule="exact" w:val="432"/>
          <w:jc w:val="center"/>
        </w:trPr>
        <w:tc>
          <w:tcPr>
            <w:tcW w:w="3670" w:type="pct"/>
            <w:tcBorders>
              <w:top w:val="nil"/>
              <w:left w:val="single" w:sz="8" w:space="0" w:color="auto"/>
              <w:bottom w:val="nil"/>
              <w:right w:val="nil"/>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ب-  صافي مركز الذهب المفتوح سواء قصير او طويل </w:t>
            </w:r>
          </w:p>
        </w:tc>
        <w:tc>
          <w:tcPr>
            <w:tcW w:w="604" w:type="pct"/>
            <w:tcBorders>
              <w:top w:val="nil"/>
              <w:left w:val="single" w:sz="8" w:space="0" w:color="auto"/>
              <w:bottom w:val="single" w:sz="8" w:space="0" w:color="auto"/>
              <w:right w:val="single" w:sz="8" w:space="0" w:color="auto"/>
            </w:tcBorders>
            <w:shd w:val="clear" w:color="auto" w:fill="auto"/>
            <w:noWrap/>
            <w:vAlign w:val="center"/>
            <w:hideMark/>
          </w:tcPr>
          <w:p w:rsidR="00DF4AC7" w:rsidRPr="00E205C4" w:rsidRDefault="00DF4AC7" w:rsidP="008C1354">
            <w:pPr>
              <w:jc w:val="center"/>
              <w:rPr>
                <w:sz w:val="22"/>
                <w:szCs w:val="22"/>
              </w:rPr>
            </w:pPr>
          </w:p>
        </w:tc>
        <w:tc>
          <w:tcPr>
            <w:tcW w:w="726" w:type="pct"/>
            <w:tcBorders>
              <w:top w:val="nil"/>
              <w:left w:val="nil"/>
              <w:bottom w:val="nil"/>
              <w:right w:val="nil"/>
            </w:tcBorders>
            <w:shd w:val="clear" w:color="auto" w:fill="auto"/>
            <w:noWrap/>
            <w:vAlign w:val="center"/>
            <w:hideMark/>
          </w:tcPr>
          <w:p w:rsidR="00DF4AC7" w:rsidRPr="006E4DD3" w:rsidRDefault="00DF4AC7" w:rsidP="008C1354">
            <w:pPr>
              <w:jc w:val="center"/>
              <w:rPr>
                <w:rFonts w:ascii="Arial" w:hAnsi="Arial" w:cs="Arial"/>
                <w:sz w:val="20"/>
                <w:szCs w:val="20"/>
              </w:rPr>
            </w:pPr>
          </w:p>
        </w:tc>
      </w:tr>
      <w:tr w:rsidR="00DF4AC7" w:rsidRPr="006E4DD3" w:rsidTr="00DF4AC7">
        <w:trPr>
          <w:trHeight w:hRule="exact" w:val="432"/>
          <w:jc w:val="center"/>
        </w:trPr>
        <w:tc>
          <w:tcPr>
            <w:tcW w:w="3670" w:type="pct"/>
            <w:tcBorders>
              <w:top w:val="nil"/>
              <w:left w:val="single" w:sz="8" w:space="0" w:color="auto"/>
              <w:bottom w:val="nil"/>
              <w:right w:val="nil"/>
            </w:tcBorders>
            <w:shd w:val="clear" w:color="auto" w:fill="auto"/>
            <w:noWrap/>
            <w:vAlign w:val="bottom"/>
            <w:hideMark/>
          </w:tcPr>
          <w:p w:rsidR="00DF4AC7" w:rsidRPr="00E205C4" w:rsidRDefault="00DF4AC7" w:rsidP="005A2DDD">
            <w:pPr>
              <w:rPr>
                <w:sz w:val="22"/>
                <w:szCs w:val="22"/>
              </w:rPr>
            </w:pPr>
            <w:r w:rsidRPr="00E205C4">
              <w:rPr>
                <w:sz w:val="22"/>
                <w:szCs w:val="22"/>
                <w:rtl/>
              </w:rPr>
              <w:t>صافي المراكز المفتوحة الكبرى بالعملات الاجنبية و الذهب  (ا+ب)</w:t>
            </w:r>
          </w:p>
        </w:tc>
        <w:tc>
          <w:tcPr>
            <w:tcW w:w="604" w:type="pct"/>
            <w:tcBorders>
              <w:top w:val="nil"/>
              <w:left w:val="single" w:sz="8" w:space="0" w:color="auto"/>
              <w:bottom w:val="single" w:sz="8" w:space="0" w:color="auto"/>
              <w:right w:val="single" w:sz="8" w:space="0" w:color="auto"/>
            </w:tcBorders>
            <w:shd w:val="clear" w:color="auto" w:fill="auto"/>
            <w:noWrap/>
            <w:vAlign w:val="center"/>
            <w:hideMark/>
          </w:tcPr>
          <w:p w:rsidR="00DF4AC7" w:rsidRPr="00E205C4" w:rsidRDefault="00DF4AC7" w:rsidP="008C1354">
            <w:pPr>
              <w:jc w:val="center"/>
              <w:rPr>
                <w:sz w:val="22"/>
                <w:szCs w:val="22"/>
              </w:rPr>
            </w:pPr>
            <w:r w:rsidRPr="00E205C4">
              <w:rPr>
                <w:sz w:val="22"/>
                <w:szCs w:val="22"/>
              </w:rPr>
              <w:t>0</w:t>
            </w:r>
          </w:p>
        </w:tc>
        <w:tc>
          <w:tcPr>
            <w:tcW w:w="726" w:type="pct"/>
            <w:tcBorders>
              <w:top w:val="nil"/>
              <w:left w:val="nil"/>
              <w:bottom w:val="nil"/>
              <w:right w:val="nil"/>
            </w:tcBorders>
            <w:shd w:val="clear" w:color="auto" w:fill="auto"/>
            <w:noWrap/>
            <w:vAlign w:val="center"/>
            <w:hideMark/>
          </w:tcPr>
          <w:p w:rsidR="00DF4AC7" w:rsidRPr="006E4DD3" w:rsidRDefault="00DF4AC7" w:rsidP="008C1354">
            <w:pPr>
              <w:jc w:val="center"/>
              <w:rPr>
                <w:rFonts w:ascii="Arial" w:hAnsi="Arial" w:cs="Arial"/>
                <w:sz w:val="20"/>
                <w:szCs w:val="20"/>
              </w:rPr>
            </w:pPr>
          </w:p>
        </w:tc>
      </w:tr>
      <w:tr w:rsidR="00DF4AC7" w:rsidRPr="006E4DD3" w:rsidTr="00DF4AC7">
        <w:trPr>
          <w:trHeight w:hRule="exact" w:val="432"/>
          <w:jc w:val="center"/>
        </w:trPr>
        <w:tc>
          <w:tcPr>
            <w:tcW w:w="3670" w:type="pct"/>
            <w:tcBorders>
              <w:top w:val="nil"/>
              <w:left w:val="single" w:sz="8" w:space="0" w:color="auto"/>
              <w:bottom w:val="nil"/>
              <w:right w:val="nil"/>
            </w:tcBorders>
            <w:shd w:val="clear" w:color="auto" w:fill="auto"/>
            <w:noWrap/>
            <w:vAlign w:val="bottom"/>
            <w:hideMark/>
          </w:tcPr>
          <w:p w:rsidR="00DF4AC7" w:rsidRPr="00E205C4" w:rsidRDefault="00DF4AC7" w:rsidP="005A2DDD">
            <w:pPr>
              <w:rPr>
                <w:sz w:val="22"/>
                <w:szCs w:val="22"/>
              </w:rPr>
            </w:pPr>
            <w:r w:rsidRPr="00E205C4">
              <w:rPr>
                <w:sz w:val="22"/>
                <w:szCs w:val="22"/>
                <w:rtl/>
              </w:rPr>
              <w:t xml:space="preserve">راس المال الواجب لمقابلة مخاطر اسعار الصرف </w:t>
            </w:r>
          </w:p>
        </w:tc>
        <w:tc>
          <w:tcPr>
            <w:tcW w:w="604" w:type="pct"/>
            <w:tcBorders>
              <w:top w:val="nil"/>
              <w:left w:val="single" w:sz="8" w:space="0" w:color="auto"/>
              <w:bottom w:val="nil"/>
              <w:right w:val="single" w:sz="8" w:space="0" w:color="auto"/>
            </w:tcBorders>
            <w:shd w:val="clear" w:color="auto" w:fill="auto"/>
            <w:noWrap/>
            <w:vAlign w:val="center"/>
            <w:hideMark/>
          </w:tcPr>
          <w:p w:rsidR="00DF4AC7" w:rsidRPr="00E205C4" w:rsidRDefault="00DF4AC7" w:rsidP="008C1354">
            <w:pPr>
              <w:jc w:val="center"/>
              <w:rPr>
                <w:sz w:val="22"/>
                <w:szCs w:val="22"/>
              </w:rPr>
            </w:pPr>
            <w:r w:rsidRPr="00E205C4">
              <w:rPr>
                <w:sz w:val="22"/>
                <w:szCs w:val="22"/>
              </w:rPr>
              <w:t>0</w:t>
            </w:r>
          </w:p>
        </w:tc>
        <w:tc>
          <w:tcPr>
            <w:tcW w:w="726" w:type="pct"/>
            <w:tcBorders>
              <w:top w:val="nil"/>
              <w:left w:val="nil"/>
              <w:bottom w:val="nil"/>
              <w:right w:val="nil"/>
            </w:tcBorders>
            <w:shd w:val="clear" w:color="auto" w:fill="auto"/>
            <w:noWrap/>
            <w:vAlign w:val="center"/>
            <w:hideMark/>
          </w:tcPr>
          <w:p w:rsidR="00DF4AC7" w:rsidRPr="006E4DD3" w:rsidRDefault="00DF4AC7" w:rsidP="008C1354">
            <w:pPr>
              <w:jc w:val="center"/>
              <w:rPr>
                <w:rFonts w:ascii="Arial" w:hAnsi="Arial" w:cs="Arial"/>
                <w:sz w:val="20"/>
                <w:szCs w:val="20"/>
              </w:rPr>
            </w:pPr>
          </w:p>
        </w:tc>
      </w:tr>
      <w:tr w:rsidR="00DF4AC7" w:rsidRPr="006E4DD3" w:rsidTr="00DF4AC7">
        <w:trPr>
          <w:trHeight w:hRule="exact" w:val="432"/>
          <w:jc w:val="center"/>
        </w:trPr>
        <w:tc>
          <w:tcPr>
            <w:tcW w:w="3670" w:type="pct"/>
            <w:tcBorders>
              <w:top w:val="single" w:sz="8" w:space="0" w:color="auto"/>
              <w:left w:val="single" w:sz="8" w:space="0" w:color="auto"/>
              <w:bottom w:val="single" w:sz="8" w:space="0" w:color="auto"/>
              <w:right w:val="nil"/>
            </w:tcBorders>
            <w:shd w:val="clear" w:color="000000" w:fill="C0C0C0"/>
            <w:noWrap/>
            <w:vAlign w:val="bottom"/>
            <w:hideMark/>
          </w:tcPr>
          <w:p w:rsidR="00DF4AC7" w:rsidRPr="008C1354" w:rsidRDefault="00295086" w:rsidP="00295086">
            <w:pPr>
              <w:rPr>
                <w:sz w:val="24"/>
                <w:szCs w:val="24"/>
              </w:rPr>
            </w:pPr>
            <w:r>
              <w:rPr>
                <w:sz w:val="24"/>
                <w:szCs w:val="24"/>
                <w:rtl/>
              </w:rPr>
              <w:t>مخاطر السوق ل</w:t>
            </w:r>
            <w:r>
              <w:rPr>
                <w:rFonts w:hint="cs"/>
                <w:sz w:val="24"/>
                <w:szCs w:val="24"/>
                <w:rtl/>
              </w:rPr>
              <w:t>أ</w:t>
            </w:r>
            <w:r w:rsidR="00DF4AC7" w:rsidRPr="008C1354">
              <w:rPr>
                <w:sz w:val="24"/>
                <w:szCs w:val="24"/>
                <w:rtl/>
              </w:rPr>
              <w:t>سعار الصرف = راس المال</w:t>
            </w:r>
            <w:r>
              <w:rPr>
                <w:rFonts w:hint="cs"/>
                <w:sz w:val="24"/>
                <w:szCs w:val="24"/>
                <w:rtl/>
              </w:rPr>
              <w:t>* 12.5</w:t>
            </w:r>
          </w:p>
        </w:tc>
        <w:tc>
          <w:tcPr>
            <w:tcW w:w="604"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4AC7" w:rsidRPr="006E4DD3" w:rsidRDefault="00DF4AC7" w:rsidP="008C1354">
            <w:pPr>
              <w:jc w:val="center"/>
              <w:rPr>
                <w:rFonts w:ascii="Arial" w:hAnsi="Arial" w:cs="Arial"/>
                <w:sz w:val="20"/>
                <w:szCs w:val="20"/>
              </w:rPr>
            </w:pPr>
            <w:r w:rsidRPr="006E4DD3">
              <w:rPr>
                <w:rFonts w:ascii="Arial" w:hAnsi="Arial" w:cs="Arial"/>
                <w:sz w:val="20"/>
                <w:szCs w:val="20"/>
              </w:rPr>
              <w:t>0</w:t>
            </w:r>
          </w:p>
        </w:tc>
        <w:tc>
          <w:tcPr>
            <w:tcW w:w="726" w:type="pct"/>
            <w:tcBorders>
              <w:top w:val="nil"/>
              <w:left w:val="nil"/>
              <w:bottom w:val="nil"/>
              <w:right w:val="nil"/>
            </w:tcBorders>
            <w:shd w:val="clear" w:color="auto" w:fill="auto"/>
            <w:noWrap/>
            <w:vAlign w:val="center"/>
            <w:hideMark/>
          </w:tcPr>
          <w:p w:rsidR="00DF4AC7" w:rsidRPr="006E4DD3" w:rsidRDefault="00DF4AC7" w:rsidP="008C1354">
            <w:pPr>
              <w:jc w:val="center"/>
              <w:rPr>
                <w:rFonts w:ascii="Arial" w:hAnsi="Arial" w:cs="Arial"/>
                <w:sz w:val="20"/>
                <w:szCs w:val="20"/>
              </w:rPr>
            </w:pPr>
          </w:p>
        </w:tc>
      </w:tr>
    </w:tbl>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5A2DDD" w:rsidRDefault="005A2DDD" w:rsidP="005A2DDD">
      <w:pPr>
        <w:rPr>
          <w:rtl/>
          <w:lang w:bidi="ar-JO"/>
        </w:rPr>
      </w:pPr>
    </w:p>
    <w:p w:rsidR="00E205C4" w:rsidRDefault="00E205C4" w:rsidP="005A2DDD">
      <w:pPr>
        <w:rPr>
          <w:rtl/>
          <w:lang w:bidi="ar-JO"/>
        </w:rPr>
      </w:pPr>
    </w:p>
    <w:p w:rsidR="00E205C4" w:rsidRDefault="00E205C4" w:rsidP="005A2DDD">
      <w:pPr>
        <w:rPr>
          <w:rtl/>
          <w:lang w:bidi="ar-JO"/>
        </w:rPr>
      </w:pPr>
    </w:p>
    <w:p w:rsidR="005A2DDD" w:rsidRDefault="005A2DDD" w:rsidP="005A2DDD">
      <w:pPr>
        <w:rPr>
          <w:rtl/>
          <w:lang w:bidi="ar-JO"/>
        </w:rPr>
      </w:pPr>
    </w:p>
    <w:p w:rsidR="00DF4AC7" w:rsidRPr="005A2DDD" w:rsidRDefault="00DF4AC7" w:rsidP="005A2DDD">
      <w:pPr>
        <w:rPr>
          <w:rtl/>
          <w:lang w:bidi="ar-JO"/>
        </w:rPr>
      </w:pPr>
    </w:p>
    <w:p w:rsidR="00DF4AC7" w:rsidRPr="00434971" w:rsidRDefault="00DF4AC7" w:rsidP="00692097">
      <w:pPr>
        <w:pStyle w:val="Caption"/>
        <w:keepNext/>
        <w:jc w:val="center"/>
        <w:rPr>
          <w:b/>
          <w:bCs/>
          <w:color w:val="auto"/>
          <w:sz w:val="28"/>
          <w:szCs w:val="28"/>
        </w:rPr>
      </w:pPr>
      <w:bookmarkStart w:id="2251" w:name="_Toc465255846"/>
      <w:r w:rsidRPr="00434971">
        <w:rPr>
          <w:b/>
          <w:bCs/>
          <w:color w:val="auto"/>
          <w:sz w:val="28"/>
          <w:szCs w:val="28"/>
          <w:rtl/>
        </w:rPr>
        <w:lastRenderedPageBreak/>
        <w:t xml:space="preserve">ملحق ( </w:t>
      </w:r>
      <w:r w:rsidR="00692097">
        <w:rPr>
          <w:rFonts w:hint="cs"/>
          <w:b/>
          <w:bCs/>
          <w:color w:val="auto"/>
          <w:sz w:val="28"/>
          <w:szCs w:val="28"/>
          <w:rtl/>
        </w:rPr>
        <w:t>20</w:t>
      </w:r>
      <w:r w:rsidRPr="00434971">
        <w:rPr>
          <w:rFonts w:hint="cs"/>
          <w:b/>
          <w:bCs/>
          <w:color w:val="auto"/>
          <w:sz w:val="28"/>
          <w:szCs w:val="28"/>
          <w:rtl/>
        </w:rPr>
        <w:t xml:space="preserve"> ): </w:t>
      </w:r>
      <w:r w:rsidRPr="00434971">
        <w:rPr>
          <w:b/>
          <w:bCs/>
          <w:color w:val="auto"/>
          <w:sz w:val="28"/>
          <w:szCs w:val="28"/>
          <w:rtl/>
        </w:rPr>
        <w:t>الطريقة المبسطة لاحتساب مخاطر البضائع</w:t>
      </w:r>
      <w:bookmarkEnd w:id="2251"/>
    </w:p>
    <w:tbl>
      <w:tblPr>
        <w:bidiVisual/>
        <w:tblW w:w="9080" w:type="dxa"/>
        <w:jc w:val="center"/>
        <w:tblLook w:val="04A0" w:firstRow="1" w:lastRow="0" w:firstColumn="1" w:lastColumn="0" w:noHBand="0" w:noVBand="1"/>
      </w:tblPr>
      <w:tblGrid>
        <w:gridCol w:w="1840"/>
        <w:gridCol w:w="1100"/>
        <w:gridCol w:w="1080"/>
        <w:gridCol w:w="1240"/>
        <w:gridCol w:w="1360"/>
        <w:gridCol w:w="2460"/>
      </w:tblGrid>
      <w:tr w:rsidR="005A2DDD" w:rsidRPr="00356759" w:rsidTr="00DF4AC7">
        <w:trPr>
          <w:trHeight w:val="690"/>
          <w:jc w:val="center"/>
        </w:trPr>
        <w:tc>
          <w:tcPr>
            <w:tcW w:w="18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86621F" w:rsidRDefault="005A2DDD" w:rsidP="0086621F">
            <w:pPr>
              <w:jc w:val="center"/>
              <w:rPr>
                <w:sz w:val="24"/>
                <w:szCs w:val="24"/>
              </w:rPr>
            </w:pPr>
            <w:r w:rsidRPr="0086621F">
              <w:rPr>
                <w:sz w:val="24"/>
                <w:szCs w:val="24"/>
                <w:rtl/>
              </w:rPr>
              <w:t>نوع البضاعة</w:t>
            </w:r>
          </w:p>
        </w:tc>
        <w:tc>
          <w:tcPr>
            <w:tcW w:w="110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86621F" w:rsidRDefault="005A2DDD" w:rsidP="0086621F">
            <w:pPr>
              <w:jc w:val="center"/>
              <w:rPr>
                <w:sz w:val="24"/>
                <w:szCs w:val="24"/>
              </w:rPr>
            </w:pPr>
            <w:r w:rsidRPr="0086621F">
              <w:rPr>
                <w:sz w:val="24"/>
                <w:szCs w:val="24"/>
                <w:rtl/>
              </w:rPr>
              <w:t>مركز طويل</w:t>
            </w:r>
          </w:p>
        </w:tc>
        <w:tc>
          <w:tcPr>
            <w:tcW w:w="108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86621F" w:rsidRDefault="005A2DDD" w:rsidP="0086621F">
            <w:pPr>
              <w:jc w:val="center"/>
              <w:rPr>
                <w:sz w:val="24"/>
                <w:szCs w:val="24"/>
              </w:rPr>
            </w:pPr>
            <w:r w:rsidRPr="0086621F">
              <w:rPr>
                <w:sz w:val="24"/>
                <w:szCs w:val="24"/>
                <w:rtl/>
              </w:rPr>
              <w:t>مركز قصير</w:t>
            </w:r>
          </w:p>
        </w:tc>
        <w:tc>
          <w:tcPr>
            <w:tcW w:w="12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86621F" w:rsidRDefault="005A2DDD" w:rsidP="0086621F">
            <w:pPr>
              <w:jc w:val="center"/>
              <w:rPr>
                <w:sz w:val="24"/>
                <w:szCs w:val="24"/>
              </w:rPr>
            </w:pPr>
            <w:r w:rsidRPr="0086621F">
              <w:rPr>
                <w:sz w:val="24"/>
                <w:szCs w:val="24"/>
                <w:rtl/>
              </w:rPr>
              <w:t>صافي المركز</w:t>
            </w:r>
          </w:p>
        </w:tc>
        <w:tc>
          <w:tcPr>
            <w:tcW w:w="13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86621F" w:rsidRDefault="005A2DDD" w:rsidP="0086621F">
            <w:pPr>
              <w:jc w:val="center"/>
              <w:rPr>
                <w:sz w:val="24"/>
                <w:szCs w:val="24"/>
              </w:rPr>
            </w:pPr>
            <w:r w:rsidRPr="0086621F">
              <w:rPr>
                <w:sz w:val="24"/>
                <w:szCs w:val="24"/>
                <w:rtl/>
              </w:rPr>
              <w:t>اجمالي المراكز</w:t>
            </w:r>
          </w:p>
        </w:tc>
        <w:tc>
          <w:tcPr>
            <w:tcW w:w="246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86621F" w:rsidRDefault="005A2DDD" w:rsidP="0086621F">
            <w:pPr>
              <w:jc w:val="center"/>
              <w:rPr>
                <w:sz w:val="24"/>
                <w:szCs w:val="24"/>
              </w:rPr>
            </w:pPr>
            <w:r w:rsidRPr="0086621F">
              <w:rPr>
                <w:sz w:val="24"/>
                <w:szCs w:val="24"/>
                <w:rtl/>
              </w:rPr>
              <w:t>راس المال المطلوب</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000000" w:fill="969696"/>
            <w:noWrap/>
            <w:vAlign w:val="center"/>
            <w:hideMark/>
          </w:tcPr>
          <w:p w:rsidR="005A2DDD" w:rsidRPr="0086621F" w:rsidRDefault="005A2DDD" w:rsidP="00E205C4">
            <w:pPr>
              <w:jc w:val="center"/>
              <w:rPr>
                <w:rFonts w:asciiTheme="majorBidi" w:hAnsiTheme="majorBidi" w:cstheme="majorBidi"/>
                <w:sz w:val="24"/>
                <w:szCs w:val="24"/>
              </w:rPr>
            </w:pPr>
          </w:p>
        </w:tc>
        <w:tc>
          <w:tcPr>
            <w:tcW w:w="1100" w:type="dxa"/>
            <w:tcBorders>
              <w:top w:val="nil"/>
              <w:left w:val="single" w:sz="4" w:space="0" w:color="auto"/>
              <w:bottom w:val="single" w:sz="4" w:space="0" w:color="auto"/>
              <w:right w:val="single" w:sz="4" w:space="0" w:color="auto"/>
            </w:tcBorders>
            <w:shd w:val="clear" w:color="000000" w:fill="969696"/>
            <w:noWrap/>
            <w:vAlign w:val="center"/>
            <w:hideMark/>
          </w:tcPr>
          <w:p w:rsidR="005A2DDD" w:rsidRPr="0086621F" w:rsidRDefault="005A2DDD" w:rsidP="00E205C4">
            <w:pPr>
              <w:jc w:val="center"/>
              <w:rPr>
                <w:rFonts w:asciiTheme="majorBidi" w:hAnsiTheme="majorBidi" w:cstheme="majorBidi"/>
                <w:sz w:val="24"/>
                <w:szCs w:val="24"/>
              </w:rPr>
            </w:pPr>
          </w:p>
        </w:tc>
        <w:tc>
          <w:tcPr>
            <w:tcW w:w="1080" w:type="dxa"/>
            <w:tcBorders>
              <w:top w:val="nil"/>
              <w:left w:val="single" w:sz="4" w:space="0" w:color="auto"/>
              <w:bottom w:val="single" w:sz="4" w:space="0" w:color="auto"/>
              <w:right w:val="single" w:sz="4" w:space="0" w:color="auto"/>
            </w:tcBorders>
            <w:shd w:val="clear" w:color="000000" w:fill="969696"/>
            <w:noWrap/>
            <w:vAlign w:val="center"/>
            <w:hideMark/>
          </w:tcPr>
          <w:p w:rsidR="005A2DDD" w:rsidRPr="0086621F" w:rsidRDefault="005A2DDD" w:rsidP="00E205C4">
            <w:pPr>
              <w:jc w:val="center"/>
              <w:rPr>
                <w:rFonts w:asciiTheme="majorBidi" w:hAnsiTheme="majorBidi" w:cstheme="majorBidi"/>
                <w:sz w:val="24"/>
                <w:szCs w:val="24"/>
              </w:rPr>
            </w:pPr>
          </w:p>
        </w:tc>
        <w:tc>
          <w:tcPr>
            <w:tcW w:w="1240" w:type="dxa"/>
            <w:tcBorders>
              <w:top w:val="nil"/>
              <w:left w:val="single" w:sz="4" w:space="0" w:color="auto"/>
              <w:bottom w:val="single" w:sz="4" w:space="0" w:color="auto"/>
              <w:right w:val="single" w:sz="4" w:space="0" w:color="auto"/>
            </w:tcBorders>
            <w:shd w:val="clear" w:color="000000" w:fill="969696"/>
            <w:noWrap/>
            <w:vAlign w:val="center"/>
            <w:hideMark/>
          </w:tcPr>
          <w:p w:rsidR="005A2DDD" w:rsidRPr="0086621F" w:rsidRDefault="005A2DDD" w:rsidP="00E205C4">
            <w:pPr>
              <w:jc w:val="center"/>
              <w:rPr>
                <w:rFonts w:asciiTheme="majorBidi" w:hAnsiTheme="majorBidi" w:cstheme="majorBidi"/>
                <w:sz w:val="24"/>
                <w:szCs w:val="24"/>
              </w:rPr>
            </w:pPr>
            <w:r w:rsidRPr="0086621F">
              <w:rPr>
                <w:rFonts w:asciiTheme="majorBidi" w:hAnsiTheme="majorBidi" w:cstheme="majorBidi"/>
                <w:sz w:val="24"/>
                <w:szCs w:val="24"/>
              </w:rPr>
              <w:t>(2)-(1)</w:t>
            </w:r>
          </w:p>
        </w:tc>
        <w:tc>
          <w:tcPr>
            <w:tcW w:w="1360" w:type="dxa"/>
            <w:tcBorders>
              <w:top w:val="nil"/>
              <w:left w:val="single" w:sz="4" w:space="0" w:color="auto"/>
              <w:bottom w:val="single" w:sz="4" w:space="0" w:color="auto"/>
              <w:right w:val="single" w:sz="4" w:space="0" w:color="auto"/>
            </w:tcBorders>
            <w:shd w:val="clear" w:color="000000" w:fill="969696"/>
            <w:noWrap/>
            <w:vAlign w:val="center"/>
            <w:hideMark/>
          </w:tcPr>
          <w:p w:rsidR="005A2DDD" w:rsidRPr="0086621F" w:rsidRDefault="005A2DDD" w:rsidP="00E205C4">
            <w:pPr>
              <w:jc w:val="center"/>
              <w:rPr>
                <w:rFonts w:asciiTheme="majorBidi" w:hAnsiTheme="majorBidi" w:cstheme="majorBidi"/>
                <w:sz w:val="24"/>
                <w:szCs w:val="24"/>
              </w:rPr>
            </w:pPr>
            <w:r w:rsidRPr="0086621F">
              <w:rPr>
                <w:rFonts w:asciiTheme="majorBidi" w:hAnsiTheme="majorBidi" w:cstheme="majorBidi"/>
                <w:sz w:val="24"/>
                <w:szCs w:val="24"/>
              </w:rPr>
              <w:t>(2)+(1)</w:t>
            </w:r>
          </w:p>
        </w:tc>
        <w:tc>
          <w:tcPr>
            <w:tcW w:w="2460" w:type="dxa"/>
            <w:tcBorders>
              <w:top w:val="nil"/>
              <w:left w:val="single" w:sz="4" w:space="0" w:color="auto"/>
              <w:bottom w:val="single" w:sz="4" w:space="0" w:color="auto"/>
              <w:right w:val="single" w:sz="12" w:space="0" w:color="auto"/>
            </w:tcBorders>
            <w:shd w:val="clear" w:color="000000" w:fill="969696"/>
            <w:noWrap/>
            <w:vAlign w:val="center"/>
            <w:hideMark/>
          </w:tcPr>
          <w:p w:rsidR="005A2DDD" w:rsidRPr="0086621F" w:rsidRDefault="005A2DDD" w:rsidP="00E205C4">
            <w:pPr>
              <w:jc w:val="center"/>
              <w:rPr>
                <w:rFonts w:asciiTheme="majorBidi" w:hAnsiTheme="majorBidi" w:cstheme="majorBidi"/>
                <w:sz w:val="24"/>
                <w:szCs w:val="24"/>
              </w:rPr>
            </w:pPr>
            <w:r w:rsidRPr="0086621F">
              <w:rPr>
                <w:rFonts w:asciiTheme="majorBidi" w:hAnsiTheme="majorBidi" w:cstheme="majorBidi"/>
                <w:sz w:val="24"/>
                <w:szCs w:val="24"/>
              </w:rPr>
              <w:t>{(4)*3%}+{15%*(3)}</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000000" w:fill="C0C0C0"/>
            <w:noWrap/>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000000" w:fill="C0C0C0"/>
            <w:noWrap/>
            <w:vAlign w:val="center"/>
            <w:hideMark/>
          </w:tcPr>
          <w:p w:rsidR="005A2DDD" w:rsidRPr="0086621F" w:rsidRDefault="005A2DDD" w:rsidP="00E205C4">
            <w:pPr>
              <w:jc w:val="center"/>
              <w:rPr>
                <w:sz w:val="24"/>
                <w:szCs w:val="24"/>
              </w:rPr>
            </w:pPr>
            <w:r w:rsidRPr="0086621F">
              <w:rPr>
                <w:sz w:val="24"/>
                <w:szCs w:val="24"/>
              </w:rPr>
              <w:t>1</w:t>
            </w:r>
          </w:p>
        </w:tc>
        <w:tc>
          <w:tcPr>
            <w:tcW w:w="1080" w:type="dxa"/>
            <w:tcBorders>
              <w:top w:val="nil"/>
              <w:left w:val="single" w:sz="4" w:space="0" w:color="auto"/>
              <w:bottom w:val="single" w:sz="4" w:space="0" w:color="auto"/>
              <w:right w:val="single" w:sz="4" w:space="0" w:color="auto"/>
            </w:tcBorders>
            <w:shd w:val="clear" w:color="000000" w:fill="C0C0C0"/>
            <w:noWrap/>
            <w:vAlign w:val="center"/>
            <w:hideMark/>
          </w:tcPr>
          <w:p w:rsidR="005A2DDD" w:rsidRPr="0086621F" w:rsidRDefault="005A2DDD" w:rsidP="00E205C4">
            <w:pPr>
              <w:jc w:val="center"/>
              <w:rPr>
                <w:sz w:val="24"/>
                <w:szCs w:val="24"/>
              </w:rPr>
            </w:pPr>
            <w:r w:rsidRPr="0086621F">
              <w:rPr>
                <w:sz w:val="24"/>
                <w:szCs w:val="24"/>
              </w:rPr>
              <w:t>2</w:t>
            </w:r>
          </w:p>
        </w:tc>
        <w:tc>
          <w:tcPr>
            <w:tcW w:w="1240" w:type="dxa"/>
            <w:tcBorders>
              <w:top w:val="nil"/>
              <w:left w:val="single" w:sz="4" w:space="0" w:color="auto"/>
              <w:bottom w:val="single" w:sz="4" w:space="0" w:color="auto"/>
              <w:right w:val="single" w:sz="4" w:space="0" w:color="auto"/>
            </w:tcBorders>
            <w:shd w:val="clear" w:color="000000" w:fill="C0C0C0"/>
            <w:noWrap/>
            <w:vAlign w:val="center"/>
            <w:hideMark/>
          </w:tcPr>
          <w:p w:rsidR="005A2DDD" w:rsidRPr="0086621F" w:rsidRDefault="005A2DDD" w:rsidP="00E205C4">
            <w:pPr>
              <w:jc w:val="center"/>
              <w:rPr>
                <w:sz w:val="24"/>
                <w:szCs w:val="24"/>
              </w:rPr>
            </w:pPr>
            <w:r w:rsidRPr="0086621F">
              <w:rPr>
                <w:sz w:val="24"/>
                <w:szCs w:val="24"/>
              </w:rPr>
              <w:t>3</w:t>
            </w:r>
          </w:p>
        </w:tc>
        <w:tc>
          <w:tcPr>
            <w:tcW w:w="1360" w:type="dxa"/>
            <w:tcBorders>
              <w:top w:val="nil"/>
              <w:left w:val="single" w:sz="4" w:space="0" w:color="auto"/>
              <w:bottom w:val="single" w:sz="4" w:space="0" w:color="auto"/>
              <w:right w:val="single" w:sz="4" w:space="0" w:color="auto"/>
            </w:tcBorders>
            <w:shd w:val="clear" w:color="000000" w:fill="C0C0C0"/>
            <w:noWrap/>
            <w:vAlign w:val="center"/>
            <w:hideMark/>
          </w:tcPr>
          <w:p w:rsidR="005A2DDD" w:rsidRPr="0086621F" w:rsidRDefault="005A2DDD" w:rsidP="00E205C4">
            <w:pPr>
              <w:jc w:val="center"/>
              <w:rPr>
                <w:sz w:val="24"/>
                <w:szCs w:val="24"/>
              </w:rPr>
            </w:pPr>
            <w:r w:rsidRPr="0086621F">
              <w:rPr>
                <w:sz w:val="24"/>
                <w:szCs w:val="24"/>
              </w:rPr>
              <w:t>4</w:t>
            </w:r>
          </w:p>
        </w:tc>
        <w:tc>
          <w:tcPr>
            <w:tcW w:w="2460" w:type="dxa"/>
            <w:tcBorders>
              <w:top w:val="nil"/>
              <w:left w:val="single" w:sz="4" w:space="0" w:color="auto"/>
              <w:bottom w:val="single" w:sz="4" w:space="0" w:color="auto"/>
              <w:right w:val="single" w:sz="12" w:space="0" w:color="auto"/>
            </w:tcBorders>
            <w:shd w:val="clear" w:color="000000" w:fill="C0C0C0"/>
            <w:noWrap/>
            <w:vAlign w:val="center"/>
            <w:hideMark/>
          </w:tcPr>
          <w:p w:rsidR="005A2DDD" w:rsidRPr="0086621F" w:rsidRDefault="005A2DDD" w:rsidP="00E205C4">
            <w:pPr>
              <w:jc w:val="center"/>
              <w:rPr>
                <w:sz w:val="24"/>
                <w:szCs w:val="24"/>
              </w:rPr>
            </w:pPr>
            <w:r w:rsidRPr="0086621F">
              <w:rPr>
                <w:sz w:val="24"/>
                <w:szCs w:val="24"/>
              </w:rPr>
              <w:t>5</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495"/>
          <w:jc w:val="center"/>
        </w:trPr>
        <w:tc>
          <w:tcPr>
            <w:tcW w:w="1840" w:type="dxa"/>
            <w:tcBorders>
              <w:top w:val="nil"/>
              <w:left w:val="single" w:sz="12"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510"/>
          <w:jc w:val="center"/>
        </w:trPr>
        <w:tc>
          <w:tcPr>
            <w:tcW w:w="1840" w:type="dxa"/>
            <w:tcBorders>
              <w:top w:val="nil"/>
              <w:left w:val="single" w:sz="12" w:space="0" w:color="auto"/>
              <w:bottom w:val="single" w:sz="12"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100" w:type="dxa"/>
            <w:tcBorders>
              <w:top w:val="nil"/>
              <w:left w:val="single" w:sz="4" w:space="0" w:color="auto"/>
              <w:bottom w:val="single" w:sz="12"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5A2DDD" w:rsidRPr="0086621F" w:rsidRDefault="005A2DDD" w:rsidP="00E205C4">
            <w:pPr>
              <w:jc w:val="center"/>
              <w:rPr>
                <w:sz w:val="24"/>
                <w:szCs w:val="24"/>
              </w:rPr>
            </w:pP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c>
          <w:tcPr>
            <w:tcW w:w="2460" w:type="dxa"/>
            <w:tcBorders>
              <w:top w:val="nil"/>
              <w:left w:val="single" w:sz="4" w:space="0" w:color="auto"/>
              <w:bottom w:val="single" w:sz="4" w:space="0" w:color="auto"/>
              <w:right w:val="single" w:sz="12" w:space="0" w:color="auto"/>
            </w:tcBorders>
            <w:shd w:val="clear" w:color="auto" w:fill="auto"/>
            <w:vAlign w:val="center"/>
            <w:hideMark/>
          </w:tcPr>
          <w:p w:rsidR="005A2DDD" w:rsidRPr="0086621F" w:rsidRDefault="005A2DDD" w:rsidP="00E205C4">
            <w:pPr>
              <w:jc w:val="center"/>
              <w:rPr>
                <w:b w:val="0"/>
                <w:bCs w:val="0"/>
                <w:sz w:val="24"/>
                <w:szCs w:val="24"/>
              </w:rPr>
            </w:pPr>
            <w:r w:rsidRPr="0086621F">
              <w:rPr>
                <w:b w:val="0"/>
                <w:bCs w:val="0"/>
                <w:sz w:val="24"/>
                <w:szCs w:val="24"/>
              </w:rPr>
              <w:t>0</w:t>
            </w:r>
          </w:p>
        </w:tc>
      </w:tr>
      <w:tr w:rsidR="005A2DDD" w:rsidRPr="00356759" w:rsidTr="00E205C4">
        <w:trPr>
          <w:trHeight w:val="510"/>
          <w:jc w:val="center"/>
        </w:trPr>
        <w:tc>
          <w:tcPr>
            <w:tcW w:w="6620" w:type="dxa"/>
            <w:gridSpan w:val="5"/>
            <w:tcBorders>
              <w:top w:val="single" w:sz="12" w:space="0" w:color="auto"/>
              <w:left w:val="single" w:sz="12" w:space="0" w:color="auto"/>
              <w:bottom w:val="single" w:sz="4" w:space="0" w:color="auto"/>
              <w:right w:val="single" w:sz="4" w:space="0" w:color="auto"/>
            </w:tcBorders>
            <w:shd w:val="clear" w:color="000000" w:fill="C0C0C0"/>
            <w:vAlign w:val="center"/>
            <w:hideMark/>
          </w:tcPr>
          <w:p w:rsidR="005A2DDD" w:rsidRPr="0086621F" w:rsidRDefault="005A2DDD" w:rsidP="00E205C4">
            <w:pPr>
              <w:jc w:val="center"/>
              <w:rPr>
                <w:sz w:val="24"/>
                <w:szCs w:val="24"/>
              </w:rPr>
            </w:pPr>
            <w:r w:rsidRPr="0086621F">
              <w:rPr>
                <w:sz w:val="24"/>
                <w:szCs w:val="24"/>
                <w:rtl/>
              </w:rPr>
              <w:t>المجموع</w:t>
            </w:r>
          </w:p>
        </w:tc>
        <w:tc>
          <w:tcPr>
            <w:tcW w:w="2460" w:type="dxa"/>
            <w:tcBorders>
              <w:top w:val="single" w:sz="12" w:space="0" w:color="auto"/>
              <w:left w:val="single" w:sz="4" w:space="0" w:color="auto"/>
              <w:bottom w:val="single" w:sz="4" w:space="0" w:color="auto"/>
              <w:right w:val="single" w:sz="12" w:space="0" w:color="auto"/>
            </w:tcBorders>
            <w:shd w:val="clear" w:color="000000" w:fill="C0C0C0"/>
            <w:vAlign w:val="center"/>
            <w:hideMark/>
          </w:tcPr>
          <w:p w:rsidR="005A2DDD" w:rsidRPr="0086621F" w:rsidRDefault="005A2DDD" w:rsidP="00E205C4">
            <w:pPr>
              <w:jc w:val="center"/>
              <w:rPr>
                <w:sz w:val="24"/>
                <w:szCs w:val="24"/>
              </w:rPr>
            </w:pPr>
            <w:r w:rsidRPr="0086621F">
              <w:rPr>
                <w:sz w:val="24"/>
                <w:szCs w:val="24"/>
              </w:rPr>
              <w:t>0</w:t>
            </w:r>
          </w:p>
        </w:tc>
      </w:tr>
      <w:tr w:rsidR="005A2DDD" w:rsidRPr="00356759" w:rsidTr="00E205C4">
        <w:trPr>
          <w:trHeight w:val="510"/>
          <w:jc w:val="center"/>
        </w:trPr>
        <w:tc>
          <w:tcPr>
            <w:tcW w:w="6620" w:type="dxa"/>
            <w:gridSpan w:val="5"/>
            <w:tcBorders>
              <w:top w:val="single" w:sz="4" w:space="0" w:color="auto"/>
              <w:left w:val="single" w:sz="12" w:space="0" w:color="auto"/>
              <w:bottom w:val="single" w:sz="12" w:space="0" w:color="auto"/>
              <w:right w:val="single" w:sz="4" w:space="0" w:color="auto"/>
            </w:tcBorders>
            <w:shd w:val="clear" w:color="000000" w:fill="C0C0C0"/>
            <w:vAlign w:val="center"/>
            <w:hideMark/>
          </w:tcPr>
          <w:p w:rsidR="005A2DDD" w:rsidRPr="0086621F" w:rsidRDefault="005A2DDD" w:rsidP="00E205C4">
            <w:pPr>
              <w:jc w:val="center"/>
              <w:rPr>
                <w:sz w:val="24"/>
                <w:szCs w:val="24"/>
              </w:rPr>
            </w:pPr>
            <w:r w:rsidRPr="0086621F">
              <w:rPr>
                <w:sz w:val="24"/>
                <w:szCs w:val="24"/>
                <w:rtl/>
              </w:rPr>
              <w:t>اجمالي مخاطر البضائع</w:t>
            </w:r>
            <w:r w:rsidR="00E205C4" w:rsidRPr="0086621F">
              <w:rPr>
                <w:rFonts w:hint="cs"/>
                <w:sz w:val="24"/>
                <w:szCs w:val="24"/>
                <w:rtl/>
              </w:rPr>
              <w:t xml:space="preserve"> </w:t>
            </w:r>
            <w:r w:rsidRPr="0086621F">
              <w:rPr>
                <w:sz w:val="24"/>
                <w:szCs w:val="24"/>
                <w:rtl/>
              </w:rPr>
              <w:t>= المجموع *12.5</w:t>
            </w:r>
          </w:p>
        </w:tc>
        <w:tc>
          <w:tcPr>
            <w:tcW w:w="2460" w:type="dxa"/>
            <w:tcBorders>
              <w:top w:val="nil"/>
              <w:left w:val="single" w:sz="4" w:space="0" w:color="auto"/>
              <w:bottom w:val="single" w:sz="12" w:space="0" w:color="auto"/>
              <w:right w:val="single" w:sz="12" w:space="0" w:color="auto"/>
            </w:tcBorders>
            <w:shd w:val="clear" w:color="000000" w:fill="C0C0C0"/>
            <w:vAlign w:val="center"/>
            <w:hideMark/>
          </w:tcPr>
          <w:p w:rsidR="005A2DDD" w:rsidRPr="0086621F" w:rsidRDefault="005A2DDD" w:rsidP="00E205C4">
            <w:pPr>
              <w:jc w:val="center"/>
              <w:rPr>
                <w:sz w:val="24"/>
                <w:szCs w:val="24"/>
              </w:rPr>
            </w:pPr>
            <w:r w:rsidRPr="0086621F">
              <w:rPr>
                <w:sz w:val="24"/>
                <w:szCs w:val="24"/>
              </w:rPr>
              <w:t>0</w:t>
            </w:r>
          </w:p>
        </w:tc>
      </w:tr>
    </w:tbl>
    <w:p w:rsidR="005A2DDD" w:rsidRDefault="005A2DDD" w:rsidP="005A2DDD">
      <w:pPr>
        <w:rPr>
          <w:rtl/>
          <w:lang w:bidi="ar-JO"/>
        </w:rPr>
      </w:pPr>
    </w:p>
    <w:p w:rsidR="00DF4AC7" w:rsidRDefault="00DF4AC7" w:rsidP="005A2DDD">
      <w:pPr>
        <w:rPr>
          <w:rtl/>
          <w:lang w:bidi="ar-JO"/>
        </w:rPr>
      </w:pPr>
    </w:p>
    <w:p w:rsidR="00DF4AC7" w:rsidRPr="00DF4AC7" w:rsidRDefault="00DF4AC7" w:rsidP="00692097">
      <w:pPr>
        <w:pStyle w:val="Caption"/>
        <w:keepNext/>
        <w:jc w:val="center"/>
        <w:rPr>
          <w:b/>
          <w:bCs/>
          <w:color w:val="auto"/>
          <w:sz w:val="28"/>
          <w:szCs w:val="28"/>
        </w:rPr>
      </w:pPr>
      <w:bookmarkStart w:id="2252" w:name="_Toc465255847"/>
      <w:r w:rsidRPr="00DF4AC7">
        <w:rPr>
          <w:b/>
          <w:bCs/>
          <w:color w:val="auto"/>
          <w:sz w:val="28"/>
          <w:szCs w:val="28"/>
          <w:rtl/>
        </w:rPr>
        <w:lastRenderedPageBreak/>
        <w:t xml:space="preserve">ملحق ( </w:t>
      </w:r>
      <w:r w:rsidR="00692097">
        <w:rPr>
          <w:rFonts w:hint="cs"/>
          <w:b/>
          <w:bCs/>
          <w:color w:val="auto"/>
          <w:sz w:val="28"/>
          <w:szCs w:val="28"/>
          <w:rtl/>
        </w:rPr>
        <w:t>21</w:t>
      </w:r>
      <w:r w:rsidRPr="00DF4AC7">
        <w:rPr>
          <w:rFonts w:hint="cs"/>
          <w:b/>
          <w:bCs/>
          <w:color w:val="auto"/>
          <w:sz w:val="28"/>
          <w:szCs w:val="28"/>
          <w:rtl/>
        </w:rPr>
        <w:t xml:space="preserve"> ): م</w:t>
      </w:r>
      <w:r w:rsidRPr="00DF4AC7">
        <w:rPr>
          <w:b/>
          <w:bCs/>
          <w:color w:val="auto"/>
          <w:sz w:val="28"/>
          <w:szCs w:val="28"/>
          <w:rtl/>
        </w:rPr>
        <w:t>خاطر السوق الناتجة عن عقود المشتقات المحتفظ بها للمتاجرة</w:t>
      </w:r>
      <w:bookmarkEnd w:id="2252"/>
    </w:p>
    <w:tbl>
      <w:tblPr>
        <w:bidiVisual/>
        <w:tblW w:w="5000" w:type="pct"/>
        <w:tblLayout w:type="fixed"/>
        <w:tblLook w:val="04A0" w:firstRow="1" w:lastRow="0" w:firstColumn="1" w:lastColumn="0" w:noHBand="0" w:noVBand="1"/>
      </w:tblPr>
      <w:tblGrid>
        <w:gridCol w:w="1573"/>
        <w:gridCol w:w="867"/>
        <w:gridCol w:w="1167"/>
        <w:gridCol w:w="1088"/>
        <w:gridCol w:w="850"/>
        <w:gridCol w:w="41"/>
        <w:gridCol w:w="947"/>
        <w:gridCol w:w="9"/>
        <w:gridCol w:w="53"/>
        <w:gridCol w:w="383"/>
        <w:gridCol w:w="378"/>
        <w:gridCol w:w="10"/>
        <w:gridCol w:w="421"/>
        <w:gridCol w:w="284"/>
        <w:gridCol w:w="343"/>
        <w:gridCol w:w="10"/>
        <w:gridCol w:w="197"/>
      </w:tblGrid>
      <w:tr w:rsidR="00E205C4" w:rsidRPr="00E205C4" w:rsidTr="00DF4AC7">
        <w:trPr>
          <w:trHeight w:val="255"/>
        </w:trPr>
        <w:tc>
          <w:tcPr>
            <w:tcW w:w="2092" w:type="pct"/>
            <w:gridSpan w:val="3"/>
            <w:tcBorders>
              <w:top w:val="nil"/>
              <w:left w:val="nil"/>
              <w:bottom w:val="nil"/>
              <w:right w:val="nil"/>
            </w:tcBorders>
            <w:shd w:val="clear" w:color="auto" w:fill="auto"/>
            <w:noWrap/>
            <w:vAlign w:val="bottom"/>
            <w:hideMark/>
          </w:tcPr>
          <w:p w:rsidR="00E205C4" w:rsidRPr="00E205C4" w:rsidRDefault="00E205C4" w:rsidP="005A2DDD">
            <w:pPr>
              <w:rPr>
                <w:sz w:val="20"/>
                <w:szCs w:val="20"/>
              </w:rPr>
            </w:pPr>
            <w:r w:rsidRPr="00E205C4">
              <w:rPr>
                <w:sz w:val="20"/>
                <w:szCs w:val="20"/>
                <w:rtl/>
              </w:rPr>
              <w:t xml:space="preserve">أ- الاحتفاظ بمراكز مع حق بيعها وشرائها </w:t>
            </w:r>
          </w:p>
        </w:tc>
        <w:tc>
          <w:tcPr>
            <w:tcW w:w="631" w:type="pct"/>
            <w:tcBorders>
              <w:top w:val="nil"/>
              <w:left w:val="nil"/>
              <w:bottom w:val="nil"/>
              <w:right w:val="nil"/>
            </w:tcBorders>
            <w:shd w:val="clear" w:color="auto" w:fill="auto"/>
            <w:noWrap/>
            <w:vAlign w:val="bottom"/>
            <w:hideMark/>
          </w:tcPr>
          <w:p w:rsidR="00E205C4" w:rsidRPr="00E205C4" w:rsidRDefault="00E205C4" w:rsidP="005A2DDD">
            <w:pPr>
              <w:rPr>
                <w:sz w:val="20"/>
                <w:szCs w:val="20"/>
              </w:rPr>
            </w:pPr>
          </w:p>
        </w:tc>
        <w:tc>
          <w:tcPr>
            <w:tcW w:w="517" w:type="pct"/>
            <w:gridSpan w:val="2"/>
            <w:tcBorders>
              <w:bottom w:val="nil"/>
            </w:tcBorders>
            <w:shd w:val="clear" w:color="auto" w:fill="auto"/>
            <w:noWrap/>
            <w:vAlign w:val="bottom"/>
            <w:hideMark/>
          </w:tcPr>
          <w:p w:rsidR="00E205C4" w:rsidRPr="00E205C4" w:rsidRDefault="00E205C4" w:rsidP="005A2DDD">
            <w:pPr>
              <w:rPr>
                <w:sz w:val="20"/>
                <w:szCs w:val="20"/>
              </w:rPr>
            </w:pPr>
            <w:r w:rsidRPr="00E205C4">
              <w:rPr>
                <w:sz w:val="20"/>
                <w:szCs w:val="20"/>
                <w:rtl/>
              </w:rPr>
              <w:t>الف دينار</w:t>
            </w:r>
          </w:p>
        </w:tc>
        <w:tc>
          <w:tcPr>
            <w:tcW w:w="807" w:type="pct"/>
            <w:gridSpan w:val="4"/>
            <w:tcBorders>
              <w:top w:val="nil"/>
              <w:left w:val="nil"/>
              <w:bottom w:val="nil"/>
              <w:right w:val="nil"/>
            </w:tcBorders>
            <w:shd w:val="clear" w:color="auto" w:fill="auto"/>
            <w:noWrap/>
            <w:vAlign w:val="bottom"/>
            <w:hideMark/>
          </w:tcPr>
          <w:p w:rsidR="00E205C4" w:rsidRPr="00E205C4" w:rsidRDefault="00E205C4" w:rsidP="005A2DDD">
            <w:pPr>
              <w:rPr>
                <w:sz w:val="20"/>
                <w:szCs w:val="20"/>
              </w:rPr>
            </w:pPr>
          </w:p>
        </w:tc>
        <w:tc>
          <w:tcPr>
            <w:tcW w:w="469" w:type="pct"/>
            <w:gridSpan w:val="3"/>
            <w:tcBorders>
              <w:top w:val="nil"/>
              <w:left w:val="nil"/>
              <w:bottom w:val="nil"/>
              <w:right w:val="nil"/>
            </w:tcBorders>
            <w:shd w:val="clear" w:color="auto" w:fill="auto"/>
            <w:noWrap/>
            <w:vAlign w:val="bottom"/>
            <w:hideMark/>
          </w:tcPr>
          <w:p w:rsidR="00E205C4" w:rsidRPr="00E205C4" w:rsidRDefault="00E205C4" w:rsidP="005A2DDD">
            <w:pPr>
              <w:rPr>
                <w:sz w:val="20"/>
                <w:szCs w:val="20"/>
              </w:rPr>
            </w:pPr>
          </w:p>
        </w:tc>
        <w:tc>
          <w:tcPr>
            <w:tcW w:w="484" w:type="pct"/>
            <w:gridSpan w:val="4"/>
            <w:tcBorders>
              <w:top w:val="nil"/>
              <w:left w:val="nil"/>
              <w:bottom w:val="nil"/>
              <w:right w:val="nil"/>
            </w:tcBorders>
            <w:shd w:val="clear" w:color="auto" w:fill="auto"/>
            <w:noWrap/>
            <w:vAlign w:val="bottom"/>
            <w:hideMark/>
          </w:tcPr>
          <w:p w:rsidR="00E205C4" w:rsidRPr="00E205C4" w:rsidRDefault="00E205C4" w:rsidP="005A2DDD">
            <w:pPr>
              <w:rPr>
                <w:sz w:val="20"/>
                <w:szCs w:val="20"/>
              </w:rPr>
            </w:pPr>
          </w:p>
        </w:tc>
      </w:tr>
      <w:tr w:rsidR="00E205C4" w:rsidRPr="00E205C4" w:rsidTr="00DF4AC7">
        <w:trPr>
          <w:trHeight w:val="900"/>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5C4" w:rsidRPr="004B4881" w:rsidRDefault="00E205C4" w:rsidP="00E205C4">
            <w:pPr>
              <w:jc w:val="center"/>
              <w:rPr>
                <w:sz w:val="18"/>
                <w:szCs w:val="18"/>
              </w:rPr>
            </w:pPr>
            <w:r w:rsidRPr="004B4881">
              <w:rPr>
                <w:sz w:val="18"/>
                <w:szCs w:val="18"/>
                <w:rtl/>
              </w:rPr>
              <w:t>المركز</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E205C4">
            <w:pPr>
              <w:jc w:val="center"/>
              <w:rPr>
                <w:sz w:val="18"/>
                <w:szCs w:val="18"/>
              </w:rPr>
            </w:pPr>
            <w:r w:rsidRPr="004B4881">
              <w:rPr>
                <w:sz w:val="18"/>
                <w:szCs w:val="18"/>
                <w:rtl/>
              </w:rPr>
              <w:t>قيمة المركز (1)</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E205C4">
            <w:pPr>
              <w:jc w:val="center"/>
              <w:rPr>
                <w:sz w:val="18"/>
                <w:szCs w:val="18"/>
              </w:rPr>
            </w:pPr>
            <w:r w:rsidRPr="004B4881">
              <w:rPr>
                <w:sz w:val="18"/>
                <w:szCs w:val="18"/>
                <w:rtl/>
              </w:rPr>
              <w:t>قيمة</w:t>
            </w:r>
            <w:r w:rsidRPr="004B4881">
              <w:rPr>
                <w:rFonts w:hint="cs"/>
                <w:sz w:val="18"/>
                <w:szCs w:val="18"/>
                <w:rtl/>
              </w:rPr>
              <w:t xml:space="preserve"> </w:t>
            </w:r>
            <w:r w:rsidRPr="004B4881">
              <w:rPr>
                <w:sz w:val="18"/>
                <w:szCs w:val="18"/>
                <w:rtl/>
              </w:rPr>
              <w:t>المركز مضروبا بـ  16%</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E205C4">
            <w:pPr>
              <w:jc w:val="center"/>
              <w:rPr>
                <w:sz w:val="18"/>
                <w:szCs w:val="18"/>
              </w:rPr>
            </w:pPr>
            <w:r w:rsidRPr="004B4881">
              <w:rPr>
                <w:sz w:val="18"/>
                <w:szCs w:val="18"/>
                <w:rtl/>
              </w:rPr>
              <w:t>الربح الناتج عن المركز (</w:t>
            </w:r>
            <w:r w:rsidRPr="004B4881">
              <w:rPr>
                <w:sz w:val="18"/>
                <w:szCs w:val="18"/>
              </w:rPr>
              <w:t>in</w:t>
            </w:r>
            <w:r w:rsidRPr="004B4881">
              <w:rPr>
                <w:sz w:val="18"/>
                <w:szCs w:val="18"/>
                <w:rtl/>
              </w:rPr>
              <w:t xml:space="preserve"> </w:t>
            </w:r>
            <w:r w:rsidRPr="004B4881">
              <w:rPr>
                <w:sz w:val="18"/>
                <w:szCs w:val="18"/>
              </w:rPr>
              <w:t>the money</w:t>
            </w:r>
            <w:r w:rsidRPr="004B4881">
              <w:rPr>
                <w:sz w:val="18"/>
                <w:szCs w:val="18"/>
                <w:rtl/>
              </w:rPr>
              <w:t>)</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E205C4">
            <w:pPr>
              <w:jc w:val="center"/>
              <w:rPr>
                <w:sz w:val="18"/>
                <w:szCs w:val="18"/>
              </w:rPr>
            </w:pPr>
            <w:r w:rsidRPr="004B4881">
              <w:rPr>
                <w:sz w:val="18"/>
                <w:szCs w:val="18"/>
                <w:rtl/>
              </w:rPr>
              <w:t>رأس المال الواجب تخصيصه</w:t>
            </w:r>
          </w:p>
        </w:tc>
        <w:tc>
          <w:tcPr>
            <w:tcW w:w="807"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69" w:type="pct"/>
            <w:gridSpan w:val="3"/>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84"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r>
      <w:tr w:rsidR="00E205C4" w:rsidRPr="00E205C4" w:rsidTr="00DF4AC7">
        <w:trPr>
          <w:trHeight w:val="525"/>
        </w:trPr>
        <w:tc>
          <w:tcPr>
            <w:tcW w:w="912" w:type="pct"/>
            <w:tcBorders>
              <w:top w:val="nil"/>
              <w:left w:val="single" w:sz="4" w:space="0" w:color="auto"/>
              <w:bottom w:val="single" w:sz="4" w:space="0" w:color="auto"/>
              <w:right w:val="single" w:sz="4" w:space="0" w:color="auto"/>
            </w:tcBorders>
            <w:shd w:val="clear" w:color="auto" w:fill="auto"/>
            <w:vAlign w:val="center"/>
            <w:hideMark/>
          </w:tcPr>
          <w:p w:rsidR="00E205C4" w:rsidRPr="004B4881" w:rsidRDefault="00E205C4" w:rsidP="00E205C4">
            <w:pPr>
              <w:jc w:val="center"/>
              <w:rPr>
                <w:b w:val="0"/>
                <w:bCs w:val="0"/>
                <w:sz w:val="18"/>
                <w:szCs w:val="18"/>
              </w:rPr>
            </w:pPr>
            <w:r w:rsidRPr="004B4881">
              <w:rPr>
                <w:rFonts w:hint="cs"/>
                <w:b w:val="0"/>
                <w:bCs w:val="0"/>
                <w:sz w:val="18"/>
                <w:szCs w:val="18"/>
                <w:rtl/>
              </w:rPr>
              <w:t>9</w:t>
            </w:r>
          </w:p>
        </w:tc>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677"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517" w:type="pct"/>
            <w:gridSpan w:val="2"/>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807"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69" w:type="pct"/>
            <w:gridSpan w:val="3"/>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84"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r>
      <w:tr w:rsidR="00E205C4" w:rsidRPr="00E205C4" w:rsidTr="00DF4AC7">
        <w:trPr>
          <w:trHeight w:val="675"/>
        </w:trPr>
        <w:tc>
          <w:tcPr>
            <w:tcW w:w="912" w:type="pct"/>
            <w:tcBorders>
              <w:top w:val="nil"/>
              <w:left w:val="single" w:sz="4" w:space="0" w:color="auto"/>
              <w:bottom w:val="single" w:sz="4" w:space="0" w:color="auto"/>
              <w:right w:val="single" w:sz="4" w:space="0" w:color="auto"/>
            </w:tcBorders>
            <w:shd w:val="clear" w:color="auto" w:fill="auto"/>
            <w:vAlign w:val="center"/>
            <w:hideMark/>
          </w:tcPr>
          <w:p w:rsidR="00E205C4" w:rsidRPr="004B4881" w:rsidRDefault="00E205C4" w:rsidP="00E205C4">
            <w:pPr>
              <w:jc w:val="center"/>
              <w:rPr>
                <w:b w:val="0"/>
                <w:bCs w:val="0"/>
                <w:sz w:val="18"/>
                <w:szCs w:val="18"/>
              </w:rPr>
            </w:pPr>
            <w:r w:rsidRPr="004B4881">
              <w:rPr>
                <w:b w:val="0"/>
                <w:bCs w:val="0"/>
                <w:sz w:val="18"/>
                <w:szCs w:val="18"/>
                <w:rtl/>
              </w:rPr>
              <w:t>الاحتفاظ  بمراكز قصيرة  مع شراء</w:t>
            </w:r>
            <w:r w:rsidRPr="004B4881">
              <w:rPr>
                <w:rFonts w:hint="cs"/>
                <w:b w:val="0"/>
                <w:bCs w:val="0"/>
                <w:sz w:val="18"/>
                <w:szCs w:val="18"/>
                <w:rtl/>
              </w:rPr>
              <w:t xml:space="preserve"> </w:t>
            </w:r>
            <w:r w:rsidRPr="004B4881">
              <w:rPr>
                <w:b w:val="0"/>
                <w:bCs w:val="0"/>
                <w:sz w:val="18"/>
                <w:szCs w:val="18"/>
                <w:rtl/>
              </w:rPr>
              <w:t>حق شرائها</w:t>
            </w:r>
          </w:p>
        </w:tc>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677"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517" w:type="pct"/>
            <w:gridSpan w:val="2"/>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807"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69" w:type="pct"/>
            <w:gridSpan w:val="3"/>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84"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r>
      <w:tr w:rsidR="00E205C4" w:rsidRPr="00E205C4" w:rsidTr="00DF4AC7">
        <w:trPr>
          <w:trHeight w:val="255"/>
        </w:trPr>
        <w:tc>
          <w:tcPr>
            <w:tcW w:w="912" w:type="pct"/>
            <w:tcBorders>
              <w:top w:val="nil"/>
              <w:left w:val="single" w:sz="4" w:space="0" w:color="auto"/>
              <w:bottom w:val="single" w:sz="4" w:space="0" w:color="auto"/>
              <w:right w:val="single" w:sz="4" w:space="0" w:color="auto"/>
            </w:tcBorders>
            <w:shd w:val="clear" w:color="auto" w:fill="auto"/>
            <w:noWrap/>
            <w:vAlign w:val="center"/>
            <w:hideMark/>
          </w:tcPr>
          <w:p w:rsidR="00E205C4" w:rsidRPr="004B4881" w:rsidRDefault="00E205C4" w:rsidP="00E205C4">
            <w:pPr>
              <w:jc w:val="center"/>
              <w:rPr>
                <w:sz w:val="18"/>
                <w:szCs w:val="18"/>
              </w:rPr>
            </w:pPr>
            <w:r w:rsidRPr="004B4881">
              <w:rPr>
                <w:sz w:val="18"/>
                <w:szCs w:val="18"/>
                <w:rtl/>
              </w:rPr>
              <w:t>مجموع (أ)</w:t>
            </w:r>
          </w:p>
        </w:tc>
        <w:tc>
          <w:tcPr>
            <w:tcW w:w="503"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77"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31" w:type="pct"/>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517" w:type="pct"/>
            <w:gridSpan w:val="2"/>
            <w:tcBorders>
              <w:top w:val="nil"/>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807"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69" w:type="pct"/>
            <w:gridSpan w:val="3"/>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c>
          <w:tcPr>
            <w:tcW w:w="484" w:type="pct"/>
            <w:gridSpan w:val="4"/>
            <w:tcBorders>
              <w:top w:val="nil"/>
              <w:left w:val="nil"/>
              <w:bottom w:val="nil"/>
              <w:right w:val="nil"/>
            </w:tcBorders>
            <w:shd w:val="clear" w:color="auto" w:fill="auto"/>
            <w:noWrap/>
            <w:vAlign w:val="bottom"/>
            <w:hideMark/>
          </w:tcPr>
          <w:p w:rsidR="00E205C4" w:rsidRPr="00E205C4" w:rsidRDefault="00E205C4" w:rsidP="005A2DDD">
            <w:pPr>
              <w:rPr>
                <w:sz w:val="16"/>
                <w:szCs w:val="16"/>
              </w:rPr>
            </w:pPr>
          </w:p>
        </w:tc>
      </w:tr>
      <w:tr w:rsidR="004B4881" w:rsidRPr="00E205C4" w:rsidTr="00DF4AC7">
        <w:trPr>
          <w:trHeight w:val="255"/>
        </w:trPr>
        <w:tc>
          <w:tcPr>
            <w:tcW w:w="912" w:type="pct"/>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503" w:type="pct"/>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677" w:type="pct"/>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631" w:type="pct"/>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517" w:type="pct"/>
            <w:gridSpan w:val="2"/>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585" w:type="pct"/>
            <w:gridSpan w:val="3"/>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447" w:type="pct"/>
            <w:gridSpan w:val="3"/>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409" w:type="pct"/>
            <w:gridSpan w:val="2"/>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c>
          <w:tcPr>
            <w:tcW w:w="319" w:type="pct"/>
            <w:gridSpan w:val="3"/>
            <w:tcBorders>
              <w:top w:val="nil"/>
              <w:left w:val="nil"/>
              <w:bottom w:val="nil"/>
              <w:right w:val="nil"/>
            </w:tcBorders>
            <w:shd w:val="clear" w:color="auto" w:fill="auto"/>
            <w:noWrap/>
            <w:vAlign w:val="bottom"/>
            <w:hideMark/>
          </w:tcPr>
          <w:p w:rsidR="005A2DDD" w:rsidRPr="00E205C4" w:rsidRDefault="005A2DDD" w:rsidP="005A2DDD">
            <w:pPr>
              <w:rPr>
                <w:sz w:val="16"/>
                <w:szCs w:val="16"/>
              </w:rPr>
            </w:pPr>
          </w:p>
        </w:tc>
      </w:tr>
      <w:tr w:rsidR="00E205C4" w:rsidRPr="00E205C4" w:rsidTr="00DF4AC7">
        <w:trPr>
          <w:trHeight w:val="255"/>
        </w:trPr>
        <w:tc>
          <w:tcPr>
            <w:tcW w:w="2092" w:type="pct"/>
            <w:gridSpan w:val="3"/>
            <w:tcBorders>
              <w:top w:val="nil"/>
              <w:left w:val="nil"/>
              <w:bottom w:val="single" w:sz="4" w:space="0" w:color="auto"/>
              <w:right w:val="nil"/>
            </w:tcBorders>
            <w:shd w:val="clear" w:color="auto" w:fill="auto"/>
            <w:noWrap/>
            <w:vAlign w:val="bottom"/>
            <w:hideMark/>
          </w:tcPr>
          <w:p w:rsidR="00E205C4" w:rsidRPr="00E205C4" w:rsidRDefault="00E205C4" w:rsidP="005A2DDD">
            <w:pPr>
              <w:rPr>
                <w:sz w:val="16"/>
                <w:szCs w:val="16"/>
              </w:rPr>
            </w:pPr>
            <w:r w:rsidRPr="00E205C4">
              <w:rPr>
                <w:sz w:val="20"/>
                <w:szCs w:val="20"/>
                <w:rtl/>
              </w:rPr>
              <w:t>ب- الاحتفاظ بعقود مشتقات للمتاجرة</w:t>
            </w:r>
            <w:r w:rsidRPr="00E205C4">
              <w:rPr>
                <w:sz w:val="16"/>
                <w:szCs w:val="16"/>
                <w:rtl/>
              </w:rPr>
              <w:t xml:space="preserve"> .</w:t>
            </w:r>
          </w:p>
        </w:tc>
        <w:tc>
          <w:tcPr>
            <w:tcW w:w="631" w:type="pct"/>
            <w:tcBorders>
              <w:top w:val="nil"/>
              <w:left w:val="nil"/>
              <w:bottom w:val="single" w:sz="4" w:space="0" w:color="auto"/>
              <w:right w:val="nil"/>
            </w:tcBorders>
            <w:shd w:val="clear" w:color="auto" w:fill="auto"/>
            <w:noWrap/>
            <w:vAlign w:val="bottom"/>
            <w:hideMark/>
          </w:tcPr>
          <w:p w:rsidR="00E205C4" w:rsidRPr="00E205C4" w:rsidRDefault="00E205C4" w:rsidP="005A2DDD">
            <w:pPr>
              <w:rPr>
                <w:sz w:val="16"/>
                <w:szCs w:val="16"/>
              </w:rPr>
            </w:pPr>
          </w:p>
        </w:tc>
        <w:tc>
          <w:tcPr>
            <w:tcW w:w="517" w:type="pct"/>
            <w:gridSpan w:val="2"/>
            <w:tcBorders>
              <w:top w:val="nil"/>
              <w:left w:val="nil"/>
              <w:bottom w:val="single" w:sz="4" w:space="0" w:color="auto"/>
              <w:right w:val="nil"/>
            </w:tcBorders>
            <w:shd w:val="clear" w:color="auto" w:fill="auto"/>
            <w:noWrap/>
            <w:vAlign w:val="bottom"/>
            <w:hideMark/>
          </w:tcPr>
          <w:p w:rsidR="00E205C4" w:rsidRPr="00E205C4" w:rsidRDefault="00E205C4" w:rsidP="005A2DDD">
            <w:pPr>
              <w:rPr>
                <w:sz w:val="16"/>
                <w:szCs w:val="16"/>
              </w:rPr>
            </w:pPr>
          </w:p>
        </w:tc>
        <w:tc>
          <w:tcPr>
            <w:tcW w:w="585" w:type="pct"/>
            <w:gridSpan w:val="3"/>
            <w:tcBorders>
              <w:top w:val="nil"/>
              <w:left w:val="nil"/>
              <w:bottom w:val="single" w:sz="4" w:space="0" w:color="auto"/>
              <w:right w:val="nil"/>
            </w:tcBorders>
            <w:shd w:val="clear" w:color="auto" w:fill="auto"/>
            <w:noWrap/>
            <w:vAlign w:val="bottom"/>
            <w:hideMark/>
          </w:tcPr>
          <w:p w:rsidR="00E205C4" w:rsidRPr="00E205C4" w:rsidRDefault="00E205C4" w:rsidP="005A2DDD">
            <w:pPr>
              <w:rPr>
                <w:sz w:val="16"/>
                <w:szCs w:val="16"/>
              </w:rPr>
            </w:pPr>
          </w:p>
        </w:tc>
        <w:tc>
          <w:tcPr>
            <w:tcW w:w="447" w:type="pct"/>
            <w:gridSpan w:val="3"/>
            <w:tcBorders>
              <w:top w:val="nil"/>
              <w:left w:val="nil"/>
              <w:bottom w:val="single" w:sz="4" w:space="0" w:color="auto"/>
              <w:right w:val="nil"/>
            </w:tcBorders>
            <w:shd w:val="clear" w:color="auto" w:fill="auto"/>
            <w:noWrap/>
            <w:vAlign w:val="bottom"/>
            <w:hideMark/>
          </w:tcPr>
          <w:p w:rsidR="00E205C4" w:rsidRPr="00E205C4" w:rsidRDefault="00E205C4" w:rsidP="005A2DDD">
            <w:pPr>
              <w:rPr>
                <w:sz w:val="16"/>
                <w:szCs w:val="16"/>
              </w:rPr>
            </w:pPr>
          </w:p>
        </w:tc>
        <w:tc>
          <w:tcPr>
            <w:tcW w:w="728" w:type="pct"/>
            <w:gridSpan w:val="5"/>
            <w:tcBorders>
              <w:top w:val="nil"/>
              <w:left w:val="nil"/>
            </w:tcBorders>
            <w:shd w:val="clear" w:color="auto" w:fill="auto"/>
            <w:noWrap/>
            <w:vAlign w:val="bottom"/>
            <w:hideMark/>
          </w:tcPr>
          <w:p w:rsidR="00E205C4" w:rsidRPr="00E205C4" w:rsidRDefault="00E205C4" w:rsidP="005A2DDD">
            <w:pPr>
              <w:rPr>
                <w:sz w:val="20"/>
                <w:szCs w:val="20"/>
              </w:rPr>
            </w:pPr>
            <w:r w:rsidRPr="00E205C4">
              <w:rPr>
                <w:sz w:val="20"/>
                <w:szCs w:val="20"/>
                <w:rtl/>
              </w:rPr>
              <w:t>الف دينار</w:t>
            </w:r>
          </w:p>
        </w:tc>
      </w:tr>
      <w:tr w:rsidR="00E205C4" w:rsidRPr="00E205C4" w:rsidTr="00DF4AC7">
        <w:trPr>
          <w:gridAfter w:val="2"/>
          <w:wAfter w:w="120" w:type="pct"/>
          <w:trHeight w:val="1020"/>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5C4" w:rsidRPr="004B4881" w:rsidRDefault="00E205C4" w:rsidP="004B4881">
            <w:pPr>
              <w:jc w:val="lowKashida"/>
              <w:rPr>
                <w:sz w:val="18"/>
                <w:szCs w:val="18"/>
              </w:rPr>
            </w:pPr>
            <w:r w:rsidRPr="004B4881">
              <w:rPr>
                <w:sz w:val="18"/>
                <w:szCs w:val="18"/>
                <w:rtl/>
              </w:rPr>
              <w:t>عقود المشتقات</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4B4881">
            <w:pPr>
              <w:jc w:val="lowKashida"/>
              <w:rPr>
                <w:sz w:val="18"/>
                <w:szCs w:val="18"/>
              </w:rPr>
            </w:pPr>
            <w:r w:rsidRPr="004B4881">
              <w:rPr>
                <w:sz w:val="18"/>
                <w:szCs w:val="18"/>
                <w:rtl/>
              </w:rPr>
              <w:t>عدد الاسهم/ السندات</w:t>
            </w:r>
          </w:p>
        </w:tc>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4B4881">
            <w:pPr>
              <w:jc w:val="lowKashida"/>
              <w:rPr>
                <w:sz w:val="18"/>
                <w:szCs w:val="18"/>
              </w:rPr>
            </w:pPr>
            <w:r w:rsidRPr="004B4881">
              <w:rPr>
                <w:sz w:val="18"/>
                <w:szCs w:val="18"/>
                <w:rtl/>
              </w:rPr>
              <w:t>السعر السوقي للاسهم\السند</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4B4881">
            <w:pPr>
              <w:jc w:val="lowKashida"/>
              <w:rPr>
                <w:sz w:val="18"/>
                <w:szCs w:val="18"/>
              </w:rPr>
            </w:pPr>
            <w:r w:rsidRPr="004B4881">
              <w:rPr>
                <w:sz w:val="18"/>
                <w:szCs w:val="18"/>
                <w:rtl/>
              </w:rPr>
              <w:t>القيمة السوقيه للاصل المبني علية المشتق</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5C4" w:rsidRPr="004B4881" w:rsidRDefault="00E205C4" w:rsidP="004B4881">
            <w:pPr>
              <w:jc w:val="lowKashida"/>
              <w:rPr>
                <w:sz w:val="18"/>
                <w:szCs w:val="18"/>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4B4881">
            <w:pPr>
              <w:jc w:val="lowKashida"/>
              <w:rPr>
                <w:sz w:val="18"/>
                <w:szCs w:val="18"/>
              </w:rPr>
            </w:pPr>
            <w:r w:rsidRPr="004B4881">
              <w:rPr>
                <w:sz w:val="18"/>
                <w:szCs w:val="18"/>
                <w:rtl/>
              </w:rPr>
              <w:t>القيمة السوقية للمشتق (</w:t>
            </w:r>
            <w:r w:rsidR="0086621F">
              <w:rPr>
                <w:sz w:val="18"/>
                <w:szCs w:val="18"/>
              </w:rPr>
              <w:t>Premiu</w:t>
            </w:r>
            <w:r w:rsidRPr="004B4881">
              <w:rPr>
                <w:sz w:val="18"/>
                <w:szCs w:val="18"/>
                <w:rtl/>
              </w:rPr>
              <w:t>)</w:t>
            </w:r>
          </w:p>
        </w:tc>
        <w:tc>
          <w:tcPr>
            <w:tcW w:w="47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4B4881">
            <w:pPr>
              <w:jc w:val="lowKashida"/>
              <w:rPr>
                <w:sz w:val="18"/>
                <w:szCs w:val="18"/>
              </w:rPr>
            </w:pPr>
            <w:r w:rsidRPr="004B4881">
              <w:rPr>
                <w:sz w:val="18"/>
                <w:szCs w:val="18"/>
                <w:rtl/>
              </w:rPr>
              <w:t>القيم السوقية للاصل المبني عليها المشتق مضروبا بـ 8%</w:t>
            </w:r>
          </w:p>
        </w:tc>
        <w:tc>
          <w:tcPr>
            <w:tcW w:w="61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05C4" w:rsidRPr="004B4881" w:rsidRDefault="00E205C4" w:rsidP="004B4881">
            <w:pPr>
              <w:jc w:val="lowKashida"/>
              <w:rPr>
                <w:sz w:val="18"/>
                <w:szCs w:val="18"/>
              </w:rPr>
            </w:pPr>
            <w:r w:rsidRPr="004B4881">
              <w:rPr>
                <w:sz w:val="18"/>
                <w:szCs w:val="18"/>
                <w:rtl/>
              </w:rPr>
              <w:t>رأس المال الواجب تخصيصه ويساوي 8% من القيمة السوقية للاصل المني علية المشتق او القيمة السوقية للمشتق ايهما أقل</w:t>
            </w:r>
          </w:p>
        </w:tc>
      </w:tr>
      <w:tr w:rsidR="00E205C4" w:rsidRPr="00E205C4" w:rsidTr="00DF4AC7">
        <w:trPr>
          <w:gridAfter w:val="1"/>
          <w:wAfter w:w="114" w:type="pct"/>
          <w:trHeight w:val="255"/>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tl/>
              </w:rPr>
              <w:t>شراء حق شراء</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47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1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r>
      <w:tr w:rsidR="00E205C4" w:rsidRPr="00E205C4" w:rsidTr="00DF4AC7">
        <w:trPr>
          <w:gridAfter w:val="1"/>
          <w:wAfter w:w="114" w:type="pct"/>
          <w:trHeight w:val="255"/>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tl/>
              </w:rPr>
              <w:t>شراء حق بيع</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 </w:t>
            </w:r>
          </w:p>
        </w:tc>
        <w:tc>
          <w:tcPr>
            <w:tcW w:w="47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1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r>
      <w:tr w:rsidR="00E205C4" w:rsidRPr="00E205C4" w:rsidTr="00DF4AC7">
        <w:trPr>
          <w:gridAfter w:val="1"/>
          <w:wAfter w:w="114" w:type="pct"/>
          <w:trHeight w:val="255"/>
        </w:trPr>
        <w:tc>
          <w:tcPr>
            <w:tcW w:w="91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tl/>
              </w:rPr>
              <w:t>مجموع (ب)</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5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47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c>
          <w:tcPr>
            <w:tcW w:w="61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16"/>
                <w:szCs w:val="16"/>
              </w:rPr>
            </w:pPr>
            <w:r w:rsidRPr="00E205C4">
              <w:rPr>
                <w:sz w:val="16"/>
                <w:szCs w:val="16"/>
              </w:rPr>
              <w:t>0</w:t>
            </w:r>
          </w:p>
        </w:tc>
      </w:tr>
      <w:tr w:rsidR="00E205C4" w:rsidRPr="00E205C4" w:rsidTr="00DF4AC7">
        <w:trPr>
          <w:gridAfter w:val="1"/>
          <w:wAfter w:w="114" w:type="pct"/>
          <w:trHeight w:val="255"/>
        </w:trPr>
        <w:tc>
          <w:tcPr>
            <w:tcW w:w="3794"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4B4881" w:rsidRDefault="00E205C4" w:rsidP="005A2DDD">
            <w:pPr>
              <w:rPr>
                <w:sz w:val="18"/>
                <w:szCs w:val="18"/>
              </w:rPr>
            </w:pPr>
            <w:r w:rsidRPr="004B4881">
              <w:rPr>
                <w:sz w:val="18"/>
                <w:szCs w:val="18"/>
                <w:rtl/>
              </w:rPr>
              <w:t>إجمالي رأس المال الواجب الاحتفاظ به لمواجهة مخاطر السوق  يساوي أ + ب</w:t>
            </w:r>
          </w:p>
        </w:tc>
        <w:tc>
          <w:tcPr>
            <w:tcW w:w="478"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4B4881" w:rsidRDefault="00E205C4" w:rsidP="005A2DDD">
            <w:pPr>
              <w:rPr>
                <w:sz w:val="18"/>
                <w:szCs w:val="18"/>
              </w:rPr>
            </w:pPr>
          </w:p>
        </w:tc>
        <w:tc>
          <w:tcPr>
            <w:tcW w:w="61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20"/>
                <w:szCs w:val="20"/>
              </w:rPr>
            </w:pPr>
            <w:r w:rsidRPr="00E205C4">
              <w:rPr>
                <w:sz w:val="20"/>
                <w:szCs w:val="20"/>
              </w:rPr>
              <w:t>0</w:t>
            </w:r>
          </w:p>
        </w:tc>
      </w:tr>
      <w:tr w:rsidR="00E205C4" w:rsidRPr="00E205C4" w:rsidTr="00DF4AC7">
        <w:trPr>
          <w:gridAfter w:val="1"/>
          <w:wAfter w:w="114" w:type="pct"/>
          <w:trHeight w:val="255"/>
        </w:trPr>
        <w:tc>
          <w:tcPr>
            <w:tcW w:w="4272"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4B4881" w:rsidRDefault="00E205C4" w:rsidP="005A2DDD">
            <w:pPr>
              <w:rPr>
                <w:sz w:val="18"/>
                <w:szCs w:val="18"/>
              </w:rPr>
            </w:pPr>
            <w:r w:rsidRPr="004B4881">
              <w:rPr>
                <w:sz w:val="18"/>
                <w:szCs w:val="18"/>
                <w:rtl/>
              </w:rPr>
              <w:t>مخاطر السوق للمشتقات تساوي اجمالي رأس المال لمواجهة مخاطر المشتقات مضروبا بـ 12.5</w:t>
            </w:r>
          </w:p>
        </w:tc>
        <w:tc>
          <w:tcPr>
            <w:tcW w:w="61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C4" w:rsidRPr="00E205C4" w:rsidRDefault="00E205C4" w:rsidP="005A2DDD">
            <w:pPr>
              <w:rPr>
                <w:sz w:val="20"/>
                <w:szCs w:val="20"/>
              </w:rPr>
            </w:pPr>
            <w:r w:rsidRPr="00E205C4">
              <w:rPr>
                <w:sz w:val="20"/>
                <w:szCs w:val="20"/>
              </w:rPr>
              <w:t>0</w:t>
            </w:r>
          </w:p>
        </w:tc>
      </w:tr>
      <w:tr w:rsidR="00E205C4" w:rsidRPr="00E205C4" w:rsidTr="00DF4AC7">
        <w:trPr>
          <w:gridAfter w:val="1"/>
          <w:wAfter w:w="114" w:type="pct"/>
          <w:trHeight w:val="255"/>
        </w:trPr>
        <w:tc>
          <w:tcPr>
            <w:tcW w:w="912" w:type="pct"/>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503" w:type="pct"/>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677" w:type="pct"/>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631" w:type="pct"/>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517" w:type="pct"/>
            <w:gridSpan w:val="2"/>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585" w:type="pct"/>
            <w:gridSpan w:val="3"/>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447" w:type="pct"/>
            <w:gridSpan w:val="3"/>
            <w:tcBorders>
              <w:top w:val="single" w:sz="4" w:space="0" w:color="auto"/>
            </w:tcBorders>
            <w:shd w:val="clear" w:color="auto" w:fill="auto"/>
            <w:noWrap/>
            <w:vAlign w:val="bottom"/>
            <w:hideMark/>
          </w:tcPr>
          <w:p w:rsidR="00E205C4" w:rsidRPr="00E205C4" w:rsidRDefault="00E205C4" w:rsidP="005A2DDD">
            <w:pPr>
              <w:rPr>
                <w:sz w:val="20"/>
                <w:szCs w:val="20"/>
              </w:rPr>
            </w:pPr>
          </w:p>
        </w:tc>
        <w:tc>
          <w:tcPr>
            <w:tcW w:w="614" w:type="pct"/>
            <w:gridSpan w:val="4"/>
            <w:tcBorders>
              <w:top w:val="single" w:sz="4" w:space="0" w:color="auto"/>
            </w:tcBorders>
            <w:shd w:val="clear" w:color="auto" w:fill="auto"/>
            <w:noWrap/>
            <w:vAlign w:val="bottom"/>
            <w:hideMark/>
          </w:tcPr>
          <w:p w:rsidR="00E205C4" w:rsidRPr="00E205C4" w:rsidRDefault="00E205C4" w:rsidP="005A2DDD">
            <w:pPr>
              <w:rPr>
                <w:sz w:val="20"/>
                <w:szCs w:val="20"/>
              </w:rPr>
            </w:pPr>
          </w:p>
        </w:tc>
      </w:tr>
      <w:tr w:rsidR="00E205C4" w:rsidRPr="00E205C4" w:rsidTr="00DF4AC7">
        <w:trPr>
          <w:gridAfter w:val="1"/>
          <w:wAfter w:w="114" w:type="pct"/>
          <w:trHeight w:val="255"/>
        </w:trPr>
        <w:tc>
          <w:tcPr>
            <w:tcW w:w="2723" w:type="pct"/>
            <w:gridSpan w:val="4"/>
            <w:shd w:val="clear" w:color="auto" w:fill="auto"/>
            <w:noWrap/>
            <w:vAlign w:val="bottom"/>
            <w:hideMark/>
          </w:tcPr>
          <w:p w:rsidR="00E205C4" w:rsidRPr="004B4881" w:rsidRDefault="00E205C4" w:rsidP="005A2DDD">
            <w:pPr>
              <w:rPr>
                <w:b w:val="0"/>
                <w:bCs w:val="0"/>
                <w:sz w:val="20"/>
                <w:szCs w:val="20"/>
              </w:rPr>
            </w:pPr>
            <w:r w:rsidRPr="004B4881">
              <w:rPr>
                <w:b w:val="0"/>
                <w:bCs w:val="0"/>
                <w:sz w:val="20"/>
                <w:szCs w:val="20"/>
                <w:rtl/>
              </w:rPr>
              <w:t>تكون قيمة المشتق ربحاً (</w:t>
            </w:r>
            <w:r w:rsidRPr="004B4881">
              <w:rPr>
                <w:b w:val="0"/>
                <w:bCs w:val="0"/>
                <w:sz w:val="20"/>
                <w:szCs w:val="20"/>
              </w:rPr>
              <w:t>In the Money</w:t>
            </w:r>
            <w:r w:rsidRPr="004B4881">
              <w:rPr>
                <w:b w:val="0"/>
                <w:bCs w:val="0"/>
                <w:sz w:val="20"/>
                <w:szCs w:val="20"/>
                <w:rtl/>
              </w:rPr>
              <w:t>) في الحالات التالية :</w:t>
            </w:r>
          </w:p>
        </w:tc>
        <w:tc>
          <w:tcPr>
            <w:tcW w:w="517" w:type="pct"/>
            <w:gridSpan w:val="2"/>
            <w:shd w:val="clear" w:color="auto" w:fill="auto"/>
            <w:noWrap/>
            <w:vAlign w:val="bottom"/>
            <w:hideMark/>
          </w:tcPr>
          <w:p w:rsidR="00E205C4" w:rsidRPr="00E205C4" w:rsidRDefault="00E205C4" w:rsidP="005A2DDD">
            <w:pPr>
              <w:rPr>
                <w:sz w:val="20"/>
                <w:szCs w:val="20"/>
              </w:rPr>
            </w:pPr>
          </w:p>
        </w:tc>
        <w:tc>
          <w:tcPr>
            <w:tcW w:w="585" w:type="pct"/>
            <w:gridSpan w:val="3"/>
            <w:shd w:val="clear" w:color="auto" w:fill="auto"/>
            <w:noWrap/>
            <w:vAlign w:val="bottom"/>
            <w:hideMark/>
          </w:tcPr>
          <w:p w:rsidR="00E205C4" w:rsidRPr="00E205C4" w:rsidRDefault="00E205C4" w:rsidP="005A2DDD">
            <w:pPr>
              <w:rPr>
                <w:sz w:val="20"/>
                <w:szCs w:val="20"/>
              </w:rPr>
            </w:pPr>
          </w:p>
        </w:tc>
        <w:tc>
          <w:tcPr>
            <w:tcW w:w="447" w:type="pct"/>
            <w:gridSpan w:val="3"/>
            <w:shd w:val="clear" w:color="auto" w:fill="auto"/>
            <w:noWrap/>
            <w:vAlign w:val="bottom"/>
            <w:hideMark/>
          </w:tcPr>
          <w:p w:rsidR="00E205C4" w:rsidRPr="00E205C4" w:rsidRDefault="00E205C4" w:rsidP="005A2DDD">
            <w:pPr>
              <w:rPr>
                <w:sz w:val="20"/>
                <w:szCs w:val="20"/>
              </w:rPr>
            </w:pPr>
          </w:p>
        </w:tc>
        <w:tc>
          <w:tcPr>
            <w:tcW w:w="614" w:type="pct"/>
            <w:gridSpan w:val="4"/>
            <w:shd w:val="clear" w:color="auto" w:fill="auto"/>
            <w:noWrap/>
            <w:vAlign w:val="bottom"/>
            <w:hideMark/>
          </w:tcPr>
          <w:p w:rsidR="00E205C4" w:rsidRPr="00E205C4" w:rsidRDefault="00E205C4" w:rsidP="005A2DDD">
            <w:pPr>
              <w:rPr>
                <w:sz w:val="20"/>
                <w:szCs w:val="20"/>
              </w:rPr>
            </w:pPr>
          </w:p>
        </w:tc>
      </w:tr>
      <w:tr w:rsidR="00E205C4" w:rsidRPr="00E205C4" w:rsidTr="00DF4AC7">
        <w:trPr>
          <w:gridAfter w:val="1"/>
          <w:wAfter w:w="114" w:type="pct"/>
          <w:trHeight w:val="255"/>
        </w:trPr>
        <w:tc>
          <w:tcPr>
            <w:tcW w:w="3825" w:type="pct"/>
            <w:gridSpan w:val="9"/>
            <w:shd w:val="clear" w:color="auto" w:fill="auto"/>
            <w:noWrap/>
            <w:vAlign w:val="bottom"/>
            <w:hideMark/>
          </w:tcPr>
          <w:p w:rsidR="00E205C4" w:rsidRPr="004B4881" w:rsidRDefault="00E205C4" w:rsidP="005A2DDD">
            <w:pPr>
              <w:rPr>
                <w:b w:val="0"/>
                <w:bCs w:val="0"/>
                <w:sz w:val="20"/>
                <w:szCs w:val="20"/>
              </w:rPr>
            </w:pPr>
            <w:r w:rsidRPr="004B4881">
              <w:rPr>
                <w:b w:val="0"/>
                <w:bCs w:val="0"/>
                <w:sz w:val="20"/>
                <w:szCs w:val="20"/>
                <w:rtl/>
              </w:rPr>
              <w:t>في حالة شراء حق شراء عندما يكون سعر التنفيذ أقل من سعر السوق الفعلي .</w:t>
            </w:r>
          </w:p>
        </w:tc>
        <w:tc>
          <w:tcPr>
            <w:tcW w:w="447" w:type="pct"/>
            <w:gridSpan w:val="3"/>
            <w:shd w:val="clear" w:color="auto" w:fill="auto"/>
            <w:noWrap/>
            <w:vAlign w:val="bottom"/>
            <w:hideMark/>
          </w:tcPr>
          <w:p w:rsidR="00E205C4" w:rsidRPr="00E205C4" w:rsidRDefault="00E205C4" w:rsidP="005A2DDD">
            <w:pPr>
              <w:rPr>
                <w:sz w:val="20"/>
                <w:szCs w:val="20"/>
              </w:rPr>
            </w:pPr>
          </w:p>
        </w:tc>
        <w:tc>
          <w:tcPr>
            <w:tcW w:w="614" w:type="pct"/>
            <w:gridSpan w:val="4"/>
            <w:shd w:val="clear" w:color="auto" w:fill="auto"/>
            <w:noWrap/>
            <w:vAlign w:val="bottom"/>
            <w:hideMark/>
          </w:tcPr>
          <w:p w:rsidR="00E205C4" w:rsidRPr="00E205C4" w:rsidRDefault="00E205C4" w:rsidP="005A2DDD">
            <w:pPr>
              <w:rPr>
                <w:sz w:val="20"/>
                <w:szCs w:val="20"/>
              </w:rPr>
            </w:pPr>
          </w:p>
        </w:tc>
      </w:tr>
      <w:tr w:rsidR="00E205C4" w:rsidRPr="00E205C4" w:rsidTr="00DF4AC7">
        <w:trPr>
          <w:gridAfter w:val="1"/>
          <w:wAfter w:w="114" w:type="pct"/>
          <w:trHeight w:val="255"/>
        </w:trPr>
        <w:tc>
          <w:tcPr>
            <w:tcW w:w="3825" w:type="pct"/>
            <w:gridSpan w:val="9"/>
            <w:shd w:val="clear" w:color="auto" w:fill="auto"/>
            <w:noWrap/>
            <w:vAlign w:val="bottom"/>
            <w:hideMark/>
          </w:tcPr>
          <w:p w:rsidR="00E205C4" w:rsidRPr="004B4881" w:rsidRDefault="00E205C4" w:rsidP="005A2DDD">
            <w:pPr>
              <w:rPr>
                <w:b w:val="0"/>
                <w:bCs w:val="0"/>
                <w:sz w:val="20"/>
                <w:szCs w:val="20"/>
              </w:rPr>
            </w:pPr>
            <w:r w:rsidRPr="004B4881">
              <w:rPr>
                <w:b w:val="0"/>
                <w:bCs w:val="0"/>
                <w:sz w:val="20"/>
                <w:szCs w:val="20"/>
                <w:rtl/>
              </w:rPr>
              <w:t>في حال شراء حق بيع عندما يكون سعر التنفيذ أكبر من سعر السوق الفعلي .</w:t>
            </w:r>
          </w:p>
        </w:tc>
        <w:tc>
          <w:tcPr>
            <w:tcW w:w="447" w:type="pct"/>
            <w:gridSpan w:val="3"/>
            <w:shd w:val="clear" w:color="auto" w:fill="auto"/>
            <w:noWrap/>
            <w:vAlign w:val="bottom"/>
            <w:hideMark/>
          </w:tcPr>
          <w:p w:rsidR="00E205C4" w:rsidRPr="00E205C4" w:rsidRDefault="00E205C4" w:rsidP="005A2DDD">
            <w:pPr>
              <w:rPr>
                <w:sz w:val="20"/>
                <w:szCs w:val="20"/>
              </w:rPr>
            </w:pPr>
          </w:p>
        </w:tc>
        <w:tc>
          <w:tcPr>
            <w:tcW w:w="614" w:type="pct"/>
            <w:gridSpan w:val="4"/>
            <w:shd w:val="clear" w:color="auto" w:fill="auto"/>
            <w:noWrap/>
            <w:vAlign w:val="bottom"/>
            <w:hideMark/>
          </w:tcPr>
          <w:p w:rsidR="00E205C4" w:rsidRPr="00E205C4" w:rsidRDefault="00E205C4" w:rsidP="005A2DDD">
            <w:pPr>
              <w:rPr>
                <w:sz w:val="20"/>
                <w:szCs w:val="20"/>
              </w:rPr>
            </w:pPr>
          </w:p>
        </w:tc>
      </w:tr>
    </w:tbl>
    <w:p w:rsidR="00396497" w:rsidRDefault="00396497" w:rsidP="00396497">
      <w:pPr>
        <w:pStyle w:val="Caption"/>
        <w:keepNext/>
        <w:rPr>
          <w:b/>
          <w:bCs/>
          <w:color w:val="auto"/>
          <w:sz w:val="26"/>
          <w:szCs w:val="26"/>
          <w:rtl/>
          <w:lang w:bidi="ar-JO"/>
        </w:rPr>
      </w:pPr>
    </w:p>
    <w:p w:rsidR="00396497" w:rsidRPr="00396497" w:rsidRDefault="00396497" w:rsidP="00396497">
      <w:pPr>
        <w:rPr>
          <w:lang w:bidi="ar-JO"/>
        </w:rPr>
      </w:pPr>
    </w:p>
    <w:tbl>
      <w:tblPr>
        <w:bidiVisual/>
        <w:tblW w:w="10372" w:type="dxa"/>
        <w:jc w:val="center"/>
        <w:tblLook w:val="04A0" w:firstRow="1" w:lastRow="0" w:firstColumn="1" w:lastColumn="0" w:noHBand="0" w:noVBand="1"/>
      </w:tblPr>
      <w:tblGrid>
        <w:gridCol w:w="2336"/>
        <w:gridCol w:w="1402"/>
        <w:gridCol w:w="1449"/>
        <w:gridCol w:w="1393"/>
        <w:gridCol w:w="1228"/>
        <w:gridCol w:w="1064"/>
        <w:gridCol w:w="1405"/>
        <w:gridCol w:w="98"/>
      </w:tblGrid>
      <w:tr w:rsidR="004A0A06" w:rsidRPr="004B4881" w:rsidTr="00396497">
        <w:trPr>
          <w:trHeight w:val="144"/>
          <w:jc w:val="center"/>
        </w:trPr>
        <w:tc>
          <w:tcPr>
            <w:tcW w:w="10372" w:type="dxa"/>
            <w:gridSpan w:val="8"/>
            <w:tcBorders>
              <w:top w:val="nil"/>
              <w:left w:val="nil"/>
              <w:bottom w:val="nil"/>
            </w:tcBorders>
            <w:shd w:val="clear" w:color="auto" w:fill="auto"/>
            <w:noWrap/>
            <w:vAlign w:val="center"/>
            <w:hideMark/>
          </w:tcPr>
          <w:p w:rsidR="004A0A06" w:rsidRPr="004A0A06" w:rsidRDefault="00396497" w:rsidP="004451E4">
            <w:pPr>
              <w:jc w:val="center"/>
              <w:rPr>
                <w:sz w:val="28"/>
                <w:szCs w:val="28"/>
              </w:rPr>
            </w:pPr>
            <w:bookmarkStart w:id="2253" w:name="_Toc465255848"/>
            <w:r>
              <w:rPr>
                <w:rtl/>
              </w:rPr>
              <w:lastRenderedPageBreak/>
              <w:t xml:space="preserve">ملحق ( </w:t>
            </w:r>
            <w:r w:rsidR="004451E4">
              <w:rPr>
                <w:rFonts w:hint="cs"/>
                <w:rtl/>
              </w:rPr>
              <w:t>22</w:t>
            </w:r>
            <w:r>
              <w:rPr>
                <w:rFonts w:hint="cs"/>
                <w:rtl/>
              </w:rPr>
              <w:t xml:space="preserve"> ): </w:t>
            </w:r>
            <w:r w:rsidR="004A0A06" w:rsidRPr="004A0A06">
              <w:rPr>
                <w:sz w:val="28"/>
                <w:szCs w:val="28"/>
                <w:rtl/>
              </w:rPr>
              <w:t xml:space="preserve">مخاطر الطرف المقابله لاتفاقيات اعادة الشراء ومعكوسها </w:t>
            </w:r>
            <w:r w:rsidR="004A0A06">
              <w:rPr>
                <w:rFonts w:hint="cs"/>
                <w:sz w:val="28"/>
                <w:szCs w:val="28"/>
                <w:rtl/>
              </w:rPr>
              <w:br/>
            </w:r>
            <w:r w:rsidR="004A0A06" w:rsidRPr="004A0A06">
              <w:rPr>
                <w:sz w:val="28"/>
                <w:szCs w:val="28"/>
                <w:rtl/>
              </w:rPr>
              <w:t>واقراض واقتراض الاوراق المالية</w:t>
            </w:r>
            <w:bookmarkEnd w:id="2253"/>
            <w:r>
              <w:rPr>
                <w:rFonts w:hint="cs"/>
                <w:sz w:val="28"/>
                <w:szCs w:val="28"/>
                <w:rtl/>
              </w:rPr>
              <w:t xml:space="preserve"> </w:t>
            </w:r>
          </w:p>
        </w:tc>
      </w:tr>
      <w:tr w:rsidR="005A2DDD" w:rsidRPr="004B4881" w:rsidTr="00396497">
        <w:trPr>
          <w:gridAfter w:val="1"/>
          <w:wAfter w:w="98" w:type="dxa"/>
          <w:trHeight w:val="525"/>
          <w:jc w:val="center"/>
        </w:trPr>
        <w:tc>
          <w:tcPr>
            <w:tcW w:w="10274" w:type="dxa"/>
            <w:gridSpan w:val="7"/>
            <w:tcBorders>
              <w:bottom w:val="single" w:sz="4" w:space="0" w:color="auto"/>
            </w:tcBorders>
            <w:shd w:val="clear" w:color="000000" w:fill="FFFFFF"/>
            <w:noWrap/>
            <w:vAlign w:val="bottom"/>
            <w:hideMark/>
          </w:tcPr>
          <w:p w:rsidR="005A2DDD" w:rsidRPr="004B4881" w:rsidRDefault="005A2DDD" w:rsidP="005A2DDD">
            <w:pPr>
              <w:rPr>
                <w:sz w:val="20"/>
                <w:szCs w:val="20"/>
              </w:rPr>
            </w:pPr>
            <w:r w:rsidRPr="004B4881">
              <w:rPr>
                <w:sz w:val="20"/>
                <w:szCs w:val="20"/>
                <w:rtl/>
              </w:rPr>
              <w:t>أ/1) اتفاقيات اعادة الشراء واقراض الاوراق المالية :</w:t>
            </w:r>
          </w:p>
        </w:tc>
      </w:tr>
      <w:tr w:rsidR="004B4881" w:rsidRPr="004B4881" w:rsidTr="00396497">
        <w:trPr>
          <w:gridAfter w:val="1"/>
          <w:wAfter w:w="98" w:type="dxa"/>
          <w:trHeight w:val="1200"/>
          <w:jc w:val="center"/>
        </w:trPr>
        <w:tc>
          <w:tcPr>
            <w:tcW w:w="2336"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4B4881">
            <w:pPr>
              <w:jc w:val="center"/>
              <w:rPr>
                <w:sz w:val="20"/>
                <w:szCs w:val="20"/>
              </w:rPr>
            </w:pPr>
            <w:r w:rsidRPr="004B4881">
              <w:rPr>
                <w:sz w:val="20"/>
                <w:szCs w:val="20"/>
                <w:rtl/>
              </w:rPr>
              <w:t>تصنيف الطرف المقابل</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الوزن الترجيحي للطرف المقابل</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القيمة السوقية للاوراق المباعة او المقرضة</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المبالغ المقترضة او القيمة السوقية للضمانة الماخوذة</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الفرق الموجب*</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نسبة راس المال المطلوب</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rsidR="005A2DDD" w:rsidRPr="004B4881" w:rsidRDefault="005A2DDD" w:rsidP="00716CC0">
            <w:pPr>
              <w:jc w:val="center"/>
              <w:rPr>
                <w:sz w:val="20"/>
                <w:szCs w:val="20"/>
              </w:rPr>
            </w:pPr>
            <w:r w:rsidRPr="004B4881">
              <w:rPr>
                <w:sz w:val="20"/>
                <w:szCs w:val="20"/>
                <w:rtl/>
              </w:rPr>
              <w:t>راس المال المطلوب</w:t>
            </w:r>
          </w:p>
        </w:tc>
      </w:tr>
      <w:tr w:rsidR="004B4881" w:rsidRPr="004B4881" w:rsidTr="00396497">
        <w:trPr>
          <w:gridAfter w:val="1"/>
          <w:wAfter w:w="98" w:type="dxa"/>
          <w:trHeight w:val="439"/>
          <w:jc w:val="center"/>
        </w:trPr>
        <w:tc>
          <w:tcPr>
            <w:tcW w:w="2336" w:type="dxa"/>
            <w:tcBorders>
              <w:top w:val="single" w:sz="4" w:space="0" w:color="auto"/>
              <w:left w:val="single" w:sz="12"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sz w:val="20"/>
                <w:szCs w:val="20"/>
              </w:rPr>
            </w:pPr>
            <w:r w:rsidRPr="004B4881">
              <w:rPr>
                <w:sz w:val="20"/>
                <w:szCs w:val="20"/>
              </w:rPr>
              <w:t> </w:t>
            </w:r>
          </w:p>
        </w:tc>
        <w:tc>
          <w:tcPr>
            <w:tcW w:w="0" w:type="auto"/>
            <w:tcBorders>
              <w:top w:val="single" w:sz="4" w:space="0" w:color="auto"/>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sz w:val="20"/>
                <w:szCs w:val="20"/>
              </w:rPr>
            </w:pPr>
            <w:r w:rsidRPr="004B4881">
              <w:rPr>
                <w:sz w:val="20"/>
                <w:szCs w:val="20"/>
              </w:rPr>
              <w:t> </w:t>
            </w:r>
          </w:p>
        </w:tc>
        <w:tc>
          <w:tcPr>
            <w:tcW w:w="0" w:type="auto"/>
            <w:tcBorders>
              <w:top w:val="single" w:sz="4" w:space="0" w:color="auto"/>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sz w:val="20"/>
                <w:szCs w:val="20"/>
              </w:rPr>
            </w:pPr>
            <w:r w:rsidRPr="004B4881">
              <w:rPr>
                <w:sz w:val="20"/>
                <w:szCs w:val="20"/>
              </w:rPr>
              <w:t> </w:t>
            </w:r>
          </w:p>
        </w:tc>
        <w:tc>
          <w:tcPr>
            <w:tcW w:w="0" w:type="auto"/>
            <w:tcBorders>
              <w:top w:val="single" w:sz="4" w:space="0" w:color="auto"/>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sz w:val="20"/>
                <w:szCs w:val="20"/>
              </w:rPr>
            </w:pPr>
            <w:r w:rsidRPr="004B4881">
              <w:rPr>
                <w:sz w:val="20"/>
                <w:szCs w:val="20"/>
              </w:rPr>
              <w:t> </w:t>
            </w:r>
          </w:p>
        </w:tc>
        <w:tc>
          <w:tcPr>
            <w:tcW w:w="0" w:type="auto"/>
            <w:tcBorders>
              <w:top w:val="single" w:sz="4" w:space="0" w:color="auto"/>
              <w:left w:val="single" w:sz="8" w:space="0" w:color="auto"/>
              <w:bottom w:val="single" w:sz="8" w:space="0" w:color="auto"/>
              <w:right w:val="single" w:sz="8" w:space="0" w:color="auto"/>
            </w:tcBorders>
            <w:shd w:val="clear" w:color="000000" w:fill="969696"/>
            <w:noWrap/>
            <w:vAlign w:val="center"/>
            <w:hideMark/>
          </w:tcPr>
          <w:p w:rsidR="005A2DDD" w:rsidRPr="004B4881" w:rsidRDefault="005A2DDD" w:rsidP="005A2DDD">
            <w:pPr>
              <w:rPr>
                <w:sz w:val="20"/>
                <w:szCs w:val="20"/>
              </w:rPr>
            </w:pPr>
            <w:r w:rsidRPr="004B4881">
              <w:rPr>
                <w:sz w:val="20"/>
                <w:szCs w:val="20"/>
              </w:rPr>
              <w:t>(3) - (2)</w:t>
            </w:r>
          </w:p>
        </w:tc>
        <w:tc>
          <w:tcPr>
            <w:tcW w:w="0" w:type="auto"/>
            <w:tcBorders>
              <w:top w:val="single" w:sz="4" w:space="0" w:color="auto"/>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sz w:val="20"/>
                <w:szCs w:val="20"/>
              </w:rPr>
            </w:pPr>
            <w:r w:rsidRPr="004B4881">
              <w:rPr>
                <w:sz w:val="20"/>
                <w:szCs w:val="20"/>
              </w:rPr>
              <w:t> </w:t>
            </w:r>
          </w:p>
        </w:tc>
        <w:tc>
          <w:tcPr>
            <w:tcW w:w="0" w:type="auto"/>
            <w:tcBorders>
              <w:top w:val="single" w:sz="4" w:space="0" w:color="auto"/>
              <w:left w:val="single" w:sz="8" w:space="0" w:color="auto"/>
              <w:bottom w:val="single" w:sz="8" w:space="0" w:color="auto"/>
              <w:right w:val="single" w:sz="12" w:space="0" w:color="auto"/>
            </w:tcBorders>
            <w:shd w:val="clear" w:color="000000" w:fill="969696"/>
            <w:noWrap/>
            <w:vAlign w:val="center"/>
            <w:hideMark/>
          </w:tcPr>
          <w:p w:rsidR="005A2DDD" w:rsidRPr="004B4881" w:rsidRDefault="005A2DDD" w:rsidP="005A2DDD">
            <w:pPr>
              <w:rPr>
                <w:sz w:val="20"/>
                <w:szCs w:val="20"/>
              </w:rPr>
            </w:pPr>
            <w:r w:rsidRPr="004B4881">
              <w:rPr>
                <w:sz w:val="20"/>
                <w:szCs w:val="20"/>
              </w:rPr>
              <w:t>(5)*(4)*(1)</w:t>
            </w:r>
          </w:p>
        </w:tc>
      </w:tr>
      <w:tr w:rsidR="004B4881" w:rsidRPr="004B4881" w:rsidTr="00396497">
        <w:trPr>
          <w:gridAfter w:val="1"/>
          <w:wAfter w:w="98" w:type="dxa"/>
          <w:trHeight w:val="439"/>
          <w:jc w:val="center"/>
        </w:trPr>
        <w:tc>
          <w:tcPr>
            <w:tcW w:w="2336" w:type="dxa"/>
            <w:tcBorders>
              <w:top w:val="nil"/>
              <w:left w:val="single" w:sz="12"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 </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1</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2</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3</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4</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5</w:t>
            </w:r>
          </w:p>
        </w:tc>
        <w:tc>
          <w:tcPr>
            <w:tcW w:w="0" w:type="auto"/>
            <w:tcBorders>
              <w:top w:val="nil"/>
              <w:left w:val="single" w:sz="8" w:space="0" w:color="auto"/>
              <w:bottom w:val="single" w:sz="12" w:space="0" w:color="auto"/>
              <w:right w:val="single" w:sz="12"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Pr>
              <w:t>6</w:t>
            </w:r>
          </w:p>
        </w:tc>
      </w:tr>
      <w:tr w:rsidR="004B4881" w:rsidRPr="004B4881" w:rsidTr="00396497">
        <w:trPr>
          <w:gridAfter w:val="1"/>
          <w:wAfter w:w="98" w:type="dxa"/>
          <w:trHeight w:val="439"/>
          <w:jc w:val="center"/>
        </w:trPr>
        <w:tc>
          <w:tcPr>
            <w:tcW w:w="233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sz w:val="20"/>
                <w:szCs w:val="20"/>
              </w:rPr>
            </w:pPr>
            <w:r w:rsidRPr="004B4881">
              <w:rPr>
                <w:sz w:val="20"/>
                <w:szCs w:val="20"/>
                <w:rtl/>
              </w:rPr>
              <w:t xml:space="preserve"> تصنيف (-</w:t>
            </w:r>
            <w:r w:rsidRPr="004B4881">
              <w:rPr>
                <w:sz w:val="20"/>
                <w:szCs w:val="20"/>
              </w:rPr>
              <w:t>AA</w:t>
            </w:r>
            <w:r w:rsidRPr="004B4881">
              <w:rPr>
                <w:sz w:val="20"/>
                <w:szCs w:val="20"/>
                <w:rtl/>
              </w:rPr>
              <w:t xml:space="preserve"> ـ </w:t>
            </w:r>
            <w:r w:rsidRPr="004B4881">
              <w:rPr>
                <w:sz w:val="20"/>
                <w:szCs w:val="20"/>
              </w:rPr>
              <w:t>AAA</w:t>
            </w:r>
            <w:r w:rsidRPr="004B4881">
              <w:rPr>
                <w:sz w:val="20"/>
                <w:szCs w:val="20"/>
                <w:rtl/>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r>
      <w:tr w:rsidR="004B4881" w:rsidRPr="004B4881" w:rsidTr="00396497">
        <w:trPr>
          <w:gridAfter w:val="1"/>
          <w:wAfter w:w="98" w:type="dxa"/>
          <w:trHeight w:val="439"/>
          <w:jc w:val="center"/>
        </w:trPr>
        <w:tc>
          <w:tcPr>
            <w:tcW w:w="2336" w:type="dxa"/>
            <w:tcBorders>
              <w:top w:val="nil"/>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sz w:val="20"/>
                <w:szCs w:val="20"/>
              </w:rPr>
            </w:pPr>
            <w:r w:rsidRPr="004B4881">
              <w:rPr>
                <w:sz w:val="20"/>
                <w:szCs w:val="20"/>
                <w:rtl/>
              </w:rPr>
              <w:t xml:space="preserve"> تصنيف (-</w:t>
            </w:r>
            <w:r w:rsidRPr="004B4881">
              <w:rPr>
                <w:sz w:val="20"/>
                <w:szCs w:val="20"/>
              </w:rPr>
              <w:t>A</w:t>
            </w:r>
            <w:r w:rsidRPr="004B4881">
              <w:rPr>
                <w:sz w:val="20"/>
                <w:szCs w:val="20"/>
                <w:rtl/>
              </w:rPr>
              <w:t xml:space="preserve"> ـ +</w:t>
            </w:r>
            <w:r w:rsidRPr="004B4881">
              <w:rPr>
                <w:sz w:val="20"/>
                <w:szCs w:val="20"/>
              </w:rPr>
              <w:t>A</w:t>
            </w:r>
            <w:r w:rsidRPr="004B4881">
              <w:rPr>
                <w:sz w:val="20"/>
                <w:szCs w:val="20"/>
                <w:rtl/>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9.6</w:t>
            </w:r>
          </w:p>
        </w:tc>
      </w:tr>
      <w:tr w:rsidR="004B4881" w:rsidRPr="004B4881" w:rsidTr="00396497">
        <w:trPr>
          <w:gridAfter w:val="1"/>
          <w:wAfter w:w="98" w:type="dxa"/>
          <w:trHeight w:val="439"/>
          <w:jc w:val="center"/>
        </w:trPr>
        <w:tc>
          <w:tcPr>
            <w:tcW w:w="2336" w:type="dxa"/>
            <w:tcBorders>
              <w:top w:val="nil"/>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sz w:val="20"/>
                <w:szCs w:val="20"/>
              </w:rPr>
            </w:pPr>
            <w:r w:rsidRPr="004B4881">
              <w:rPr>
                <w:sz w:val="20"/>
                <w:szCs w:val="20"/>
                <w:rtl/>
              </w:rPr>
              <w:t xml:space="preserve">  تصنيف (-</w:t>
            </w:r>
            <w:r w:rsidRPr="004B4881">
              <w:rPr>
                <w:sz w:val="20"/>
                <w:szCs w:val="20"/>
              </w:rPr>
              <w:t>BBB</w:t>
            </w:r>
            <w:r w:rsidRPr="004B4881">
              <w:rPr>
                <w:sz w:val="20"/>
                <w:szCs w:val="20"/>
                <w:rtl/>
              </w:rPr>
              <w:t>ـ+</w:t>
            </w:r>
            <w:r w:rsidRPr="004B4881">
              <w:rPr>
                <w:sz w:val="20"/>
                <w:szCs w:val="20"/>
              </w:rPr>
              <w:t>BBB</w:t>
            </w:r>
            <w:r w:rsidRPr="004B4881">
              <w:rPr>
                <w:sz w:val="20"/>
                <w:szCs w:val="20"/>
                <w:rtl/>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r>
      <w:tr w:rsidR="004B4881" w:rsidRPr="004B4881" w:rsidTr="00396497">
        <w:trPr>
          <w:gridAfter w:val="1"/>
          <w:wAfter w:w="98" w:type="dxa"/>
          <w:trHeight w:val="439"/>
          <w:jc w:val="center"/>
        </w:trPr>
        <w:tc>
          <w:tcPr>
            <w:tcW w:w="2336" w:type="dxa"/>
            <w:tcBorders>
              <w:top w:val="nil"/>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sz w:val="20"/>
                <w:szCs w:val="20"/>
              </w:rPr>
            </w:pPr>
            <w:r w:rsidRPr="004B4881">
              <w:rPr>
                <w:sz w:val="20"/>
                <w:szCs w:val="20"/>
                <w:rtl/>
              </w:rPr>
              <w:t xml:space="preserve">اقل من التصنيفات اعلاه او غير مصنفة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sz w:val="20"/>
                <w:szCs w:val="20"/>
              </w:rPr>
            </w:pPr>
            <w:r w:rsidRPr="004B4881">
              <w:rPr>
                <w:sz w:val="20"/>
                <w:szCs w:val="20"/>
              </w:rPr>
              <w:t>0</w:t>
            </w:r>
          </w:p>
        </w:tc>
      </w:tr>
      <w:tr w:rsidR="005A2DDD" w:rsidRPr="004B4881" w:rsidTr="00396497">
        <w:trPr>
          <w:gridAfter w:val="1"/>
          <w:wAfter w:w="98" w:type="dxa"/>
          <w:trHeight w:val="439"/>
          <w:jc w:val="center"/>
        </w:trPr>
        <w:tc>
          <w:tcPr>
            <w:tcW w:w="8869" w:type="dxa"/>
            <w:gridSpan w:val="6"/>
            <w:tcBorders>
              <w:top w:val="single" w:sz="4" w:space="0" w:color="auto"/>
              <w:left w:val="single" w:sz="12" w:space="0" w:color="auto"/>
              <w:bottom w:val="single" w:sz="4" w:space="0" w:color="auto"/>
              <w:right w:val="single" w:sz="4" w:space="0" w:color="000000"/>
            </w:tcBorders>
            <w:shd w:val="clear" w:color="000000" w:fill="969696"/>
            <w:noWrap/>
            <w:vAlign w:val="center"/>
            <w:hideMark/>
          </w:tcPr>
          <w:p w:rsidR="005A2DDD" w:rsidRPr="004B4881" w:rsidRDefault="005A2DDD" w:rsidP="005A2DDD">
            <w:pPr>
              <w:rPr>
                <w:sz w:val="20"/>
                <w:szCs w:val="20"/>
              </w:rPr>
            </w:pPr>
            <w:r w:rsidRPr="004B4881">
              <w:rPr>
                <w:sz w:val="20"/>
                <w:szCs w:val="20"/>
                <w:rtl/>
              </w:rPr>
              <w:t>المجموع</w:t>
            </w:r>
          </w:p>
        </w:tc>
        <w:tc>
          <w:tcPr>
            <w:tcW w:w="0" w:type="auto"/>
            <w:tcBorders>
              <w:top w:val="nil"/>
              <w:left w:val="single" w:sz="4" w:space="0" w:color="auto"/>
              <w:bottom w:val="single" w:sz="4" w:space="0" w:color="auto"/>
              <w:right w:val="single" w:sz="12" w:space="0" w:color="auto"/>
            </w:tcBorders>
            <w:shd w:val="clear" w:color="000000" w:fill="969696"/>
            <w:noWrap/>
            <w:vAlign w:val="center"/>
            <w:hideMark/>
          </w:tcPr>
          <w:p w:rsidR="005A2DDD" w:rsidRPr="004B4881" w:rsidRDefault="005A2DDD" w:rsidP="005A2DDD">
            <w:pPr>
              <w:rPr>
                <w:sz w:val="20"/>
                <w:szCs w:val="20"/>
              </w:rPr>
            </w:pPr>
            <w:r w:rsidRPr="004B4881">
              <w:rPr>
                <w:sz w:val="20"/>
                <w:szCs w:val="20"/>
              </w:rPr>
              <w:t>9.6</w:t>
            </w:r>
          </w:p>
        </w:tc>
      </w:tr>
      <w:tr w:rsidR="005A2DDD" w:rsidRPr="004B4881" w:rsidTr="00396497">
        <w:trPr>
          <w:gridAfter w:val="1"/>
          <w:wAfter w:w="98" w:type="dxa"/>
          <w:trHeight w:val="439"/>
          <w:jc w:val="center"/>
        </w:trPr>
        <w:tc>
          <w:tcPr>
            <w:tcW w:w="8869" w:type="dxa"/>
            <w:gridSpan w:val="6"/>
            <w:tcBorders>
              <w:top w:val="single" w:sz="4" w:space="0" w:color="auto"/>
              <w:left w:val="single" w:sz="12" w:space="0" w:color="auto"/>
              <w:bottom w:val="single" w:sz="12" w:space="0" w:color="auto"/>
              <w:right w:val="single" w:sz="4"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tl/>
              </w:rPr>
              <w:t>مخاطر الطرف المقابل لاتفاقيات اعادة الشراء { المجموع * 12.5 }</w:t>
            </w:r>
          </w:p>
        </w:tc>
        <w:tc>
          <w:tcPr>
            <w:tcW w:w="0" w:type="auto"/>
            <w:tcBorders>
              <w:top w:val="nil"/>
              <w:left w:val="single" w:sz="4" w:space="0" w:color="auto"/>
              <w:bottom w:val="single" w:sz="12" w:space="0" w:color="auto"/>
              <w:right w:val="single" w:sz="12" w:space="0" w:color="auto"/>
            </w:tcBorders>
            <w:shd w:val="clear" w:color="000000" w:fill="C0C0C0"/>
            <w:noWrap/>
            <w:vAlign w:val="center"/>
            <w:hideMark/>
          </w:tcPr>
          <w:p w:rsidR="005A2DDD" w:rsidRPr="004B4881" w:rsidRDefault="005A2DDD" w:rsidP="005A2DDD">
            <w:pPr>
              <w:rPr>
                <w:sz w:val="20"/>
                <w:szCs w:val="20"/>
              </w:rPr>
            </w:pPr>
            <w:r w:rsidRPr="004B4881">
              <w:rPr>
                <w:sz w:val="20"/>
                <w:szCs w:val="20"/>
              </w:rPr>
              <w:t>120</w:t>
            </w:r>
          </w:p>
        </w:tc>
      </w:tr>
      <w:tr w:rsidR="005A2DDD" w:rsidRPr="004B4881" w:rsidTr="00396497">
        <w:trPr>
          <w:gridAfter w:val="1"/>
          <w:wAfter w:w="98" w:type="dxa"/>
          <w:trHeight w:val="525"/>
          <w:jc w:val="center"/>
        </w:trPr>
        <w:tc>
          <w:tcPr>
            <w:tcW w:w="10274" w:type="dxa"/>
            <w:gridSpan w:val="7"/>
            <w:tcBorders>
              <w:top w:val="single" w:sz="12" w:space="0" w:color="auto"/>
              <w:bottom w:val="single" w:sz="12" w:space="0" w:color="auto"/>
            </w:tcBorders>
            <w:shd w:val="clear" w:color="000000" w:fill="FFFFFF"/>
            <w:noWrap/>
            <w:vAlign w:val="bottom"/>
            <w:hideMark/>
          </w:tcPr>
          <w:p w:rsidR="005A2DDD" w:rsidRPr="004B4881" w:rsidRDefault="005A2DDD" w:rsidP="005A2DDD">
            <w:pPr>
              <w:rPr>
                <w:sz w:val="20"/>
                <w:szCs w:val="20"/>
              </w:rPr>
            </w:pPr>
            <w:r w:rsidRPr="004B4881">
              <w:rPr>
                <w:sz w:val="20"/>
                <w:szCs w:val="20"/>
                <w:rtl/>
              </w:rPr>
              <w:t>أ/2) معكوس اعادة الشراء واقتراض الاوراق المالية :</w:t>
            </w:r>
          </w:p>
        </w:tc>
      </w:tr>
      <w:tr w:rsidR="004B4881" w:rsidRPr="004B4881" w:rsidTr="00396497">
        <w:trPr>
          <w:gridAfter w:val="1"/>
          <w:wAfter w:w="98" w:type="dxa"/>
          <w:trHeight w:val="1425"/>
          <w:jc w:val="center"/>
        </w:trPr>
        <w:tc>
          <w:tcPr>
            <w:tcW w:w="2336" w:type="dxa"/>
            <w:tcBorders>
              <w:top w:val="single" w:sz="8" w:space="0" w:color="auto"/>
              <w:left w:val="single" w:sz="12" w:space="0" w:color="auto"/>
              <w:bottom w:val="single" w:sz="8" w:space="0" w:color="auto"/>
              <w:right w:val="single" w:sz="8" w:space="0" w:color="auto"/>
            </w:tcBorders>
            <w:shd w:val="clear" w:color="000000" w:fill="C0C0C0"/>
            <w:vAlign w:val="center"/>
            <w:hideMark/>
          </w:tcPr>
          <w:p w:rsidR="005A2DDD" w:rsidRPr="004B4881" w:rsidRDefault="005A2DDD" w:rsidP="004B4881">
            <w:pPr>
              <w:jc w:val="center"/>
              <w:rPr>
                <w:sz w:val="20"/>
                <w:szCs w:val="20"/>
              </w:rPr>
            </w:pPr>
            <w:r w:rsidRPr="004B4881">
              <w:rPr>
                <w:sz w:val="20"/>
                <w:szCs w:val="20"/>
                <w:rtl/>
              </w:rPr>
              <w:t>تصنيف الطرف المقابل</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الوزن الترجيحي للطرف المقابل</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المبالغ المقرضة او القيمة السوقية للضمانة المعطاه</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القيمة السوقية للاوراق المشتراة او المقترضة</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الفرق الموجب*</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rsidR="005A2DDD" w:rsidRPr="004B4881" w:rsidRDefault="005A2DDD" w:rsidP="004B4881">
            <w:pPr>
              <w:jc w:val="lowKashida"/>
              <w:rPr>
                <w:sz w:val="20"/>
                <w:szCs w:val="20"/>
              </w:rPr>
            </w:pPr>
            <w:r w:rsidRPr="004B4881">
              <w:rPr>
                <w:sz w:val="20"/>
                <w:szCs w:val="20"/>
                <w:rtl/>
              </w:rPr>
              <w:t>نسبة راس المال المطلوب</w:t>
            </w:r>
          </w:p>
        </w:tc>
        <w:tc>
          <w:tcPr>
            <w:tcW w:w="0" w:type="auto"/>
            <w:tcBorders>
              <w:top w:val="single" w:sz="8" w:space="0" w:color="auto"/>
              <w:left w:val="single" w:sz="8" w:space="0" w:color="auto"/>
              <w:bottom w:val="single" w:sz="8" w:space="0" w:color="auto"/>
              <w:right w:val="single" w:sz="12" w:space="0" w:color="auto"/>
            </w:tcBorders>
            <w:shd w:val="clear" w:color="000000" w:fill="C0C0C0"/>
            <w:vAlign w:val="center"/>
            <w:hideMark/>
          </w:tcPr>
          <w:p w:rsidR="005A2DDD" w:rsidRPr="004B4881" w:rsidRDefault="005A2DDD" w:rsidP="004B4881">
            <w:pPr>
              <w:jc w:val="center"/>
              <w:rPr>
                <w:sz w:val="20"/>
                <w:szCs w:val="20"/>
              </w:rPr>
            </w:pPr>
            <w:r w:rsidRPr="004B4881">
              <w:rPr>
                <w:sz w:val="20"/>
                <w:szCs w:val="20"/>
                <w:rtl/>
              </w:rPr>
              <w:t>راس المال المطلوب</w:t>
            </w:r>
          </w:p>
        </w:tc>
      </w:tr>
      <w:tr w:rsidR="004B4881" w:rsidRPr="004B4881" w:rsidTr="00396497">
        <w:trPr>
          <w:gridAfter w:val="1"/>
          <w:wAfter w:w="98" w:type="dxa"/>
          <w:trHeight w:val="439"/>
          <w:jc w:val="center"/>
        </w:trPr>
        <w:tc>
          <w:tcPr>
            <w:tcW w:w="2336" w:type="dxa"/>
            <w:tcBorders>
              <w:top w:val="nil"/>
              <w:left w:val="single" w:sz="12"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8" w:space="0" w:color="auto"/>
              <w:bottom w:val="single" w:sz="8" w:space="0" w:color="auto"/>
              <w:right w:val="single" w:sz="8" w:space="0" w:color="auto"/>
            </w:tcBorders>
            <w:shd w:val="clear" w:color="000000" w:fill="969696"/>
            <w:noWrap/>
            <w:vAlign w:val="center"/>
            <w:hideMark/>
          </w:tcPr>
          <w:p w:rsidR="005A2DDD" w:rsidRPr="004B4881" w:rsidRDefault="005A2DDD" w:rsidP="005A2DDD">
            <w:pPr>
              <w:rPr>
                <w:b w:val="0"/>
                <w:bCs w:val="0"/>
                <w:sz w:val="20"/>
                <w:szCs w:val="20"/>
              </w:rPr>
            </w:pPr>
            <w:r w:rsidRPr="004B4881">
              <w:rPr>
                <w:b w:val="0"/>
                <w:bCs w:val="0"/>
                <w:sz w:val="20"/>
                <w:szCs w:val="20"/>
              </w:rPr>
              <w:t>(3) - (2)</w:t>
            </w:r>
          </w:p>
        </w:tc>
        <w:tc>
          <w:tcPr>
            <w:tcW w:w="0" w:type="auto"/>
            <w:tcBorders>
              <w:top w:val="nil"/>
              <w:left w:val="single" w:sz="8" w:space="0" w:color="auto"/>
              <w:bottom w:val="single" w:sz="8" w:space="0" w:color="auto"/>
              <w:right w:val="single" w:sz="8" w:space="0" w:color="auto"/>
            </w:tcBorders>
            <w:shd w:val="clear" w:color="000000" w:fill="969696"/>
            <w:noWrap/>
            <w:vAlign w:val="bottom"/>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8" w:space="0" w:color="auto"/>
              <w:bottom w:val="single" w:sz="8" w:space="0" w:color="auto"/>
              <w:right w:val="single" w:sz="12" w:space="0" w:color="auto"/>
            </w:tcBorders>
            <w:shd w:val="clear" w:color="000000" w:fill="969696"/>
            <w:noWrap/>
            <w:vAlign w:val="center"/>
            <w:hideMark/>
          </w:tcPr>
          <w:p w:rsidR="005A2DDD" w:rsidRPr="004B4881" w:rsidRDefault="005A2DDD" w:rsidP="005A2DDD">
            <w:pPr>
              <w:rPr>
                <w:b w:val="0"/>
                <w:bCs w:val="0"/>
                <w:sz w:val="20"/>
                <w:szCs w:val="20"/>
              </w:rPr>
            </w:pPr>
            <w:r w:rsidRPr="004B4881">
              <w:rPr>
                <w:b w:val="0"/>
                <w:bCs w:val="0"/>
                <w:sz w:val="20"/>
                <w:szCs w:val="20"/>
              </w:rPr>
              <w:t>(5)*(4)*(1)</w:t>
            </w:r>
          </w:p>
        </w:tc>
      </w:tr>
      <w:tr w:rsidR="004B4881" w:rsidRPr="004B4881" w:rsidTr="00396497">
        <w:trPr>
          <w:gridAfter w:val="1"/>
          <w:wAfter w:w="98" w:type="dxa"/>
          <w:trHeight w:val="439"/>
          <w:jc w:val="center"/>
        </w:trPr>
        <w:tc>
          <w:tcPr>
            <w:tcW w:w="2336" w:type="dxa"/>
            <w:tcBorders>
              <w:top w:val="nil"/>
              <w:left w:val="single" w:sz="12"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1</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2</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3</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4</w:t>
            </w:r>
          </w:p>
        </w:tc>
        <w:tc>
          <w:tcPr>
            <w:tcW w:w="0" w:type="auto"/>
            <w:tcBorders>
              <w:top w:val="nil"/>
              <w:left w:val="single" w:sz="8" w:space="0" w:color="auto"/>
              <w:bottom w:val="single" w:sz="12" w:space="0" w:color="auto"/>
              <w:right w:val="single" w:sz="8"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5</w:t>
            </w:r>
          </w:p>
        </w:tc>
        <w:tc>
          <w:tcPr>
            <w:tcW w:w="0" w:type="auto"/>
            <w:tcBorders>
              <w:top w:val="nil"/>
              <w:left w:val="single" w:sz="8" w:space="0" w:color="auto"/>
              <w:bottom w:val="single" w:sz="12" w:space="0" w:color="auto"/>
              <w:right w:val="single" w:sz="12" w:space="0" w:color="auto"/>
            </w:tcBorders>
            <w:shd w:val="clear" w:color="000000" w:fill="C0C0C0"/>
            <w:noWrap/>
            <w:vAlign w:val="bottom"/>
            <w:hideMark/>
          </w:tcPr>
          <w:p w:rsidR="005A2DDD" w:rsidRPr="004B4881" w:rsidRDefault="005A2DDD" w:rsidP="005A2DDD">
            <w:pPr>
              <w:rPr>
                <w:b w:val="0"/>
                <w:bCs w:val="0"/>
                <w:sz w:val="20"/>
                <w:szCs w:val="20"/>
              </w:rPr>
            </w:pPr>
            <w:r w:rsidRPr="004B4881">
              <w:rPr>
                <w:b w:val="0"/>
                <w:bCs w:val="0"/>
                <w:sz w:val="20"/>
                <w:szCs w:val="20"/>
              </w:rPr>
              <w:t>6</w:t>
            </w:r>
          </w:p>
        </w:tc>
      </w:tr>
      <w:tr w:rsidR="004B4881" w:rsidRPr="004B4881" w:rsidTr="00396497">
        <w:trPr>
          <w:gridAfter w:val="1"/>
          <w:wAfter w:w="98" w:type="dxa"/>
          <w:trHeight w:val="439"/>
          <w:jc w:val="center"/>
        </w:trPr>
        <w:tc>
          <w:tcPr>
            <w:tcW w:w="2336"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b w:val="0"/>
                <w:bCs w:val="0"/>
                <w:sz w:val="20"/>
                <w:szCs w:val="20"/>
              </w:rPr>
            </w:pPr>
            <w:r w:rsidRPr="004B4881">
              <w:rPr>
                <w:b w:val="0"/>
                <w:bCs w:val="0"/>
                <w:sz w:val="20"/>
                <w:szCs w:val="20"/>
                <w:rtl/>
              </w:rPr>
              <w:t xml:space="preserve"> تصنيف (-</w:t>
            </w:r>
            <w:r w:rsidRPr="004B4881">
              <w:rPr>
                <w:b w:val="0"/>
                <w:bCs w:val="0"/>
                <w:sz w:val="20"/>
                <w:szCs w:val="20"/>
              </w:rPr>
              <w:t>AA</w:t>
            </w:r>
            <w:r w:rsidRPr="004B4881">
              <w:rPr>
                <w:b w:val="0"/>
                <w:bCs w:val="0"/>
                <w:sz w:val="20"/>
                <w:szCs w:val="20"/>
                <w:rtl/>
              </w:rPr>
              <w:t xml:space="preserve"> ـ </w:t>
            </w:r>
            <w:r w:rsidRPr="004B4881">
              <w:rPr>
                <w:b w:val="0"/>
                <w:bCs w:val="0"/>
                <w:sz w:val="20"/>
                <w:szCs w:val="20"/>
              </w:rPr>
              <w:t>AAA</w:t>
            </w:r>
            <w:r w:rsidRPr="004B4881">
              <w:rPr>
                <w:b w:val="0"/>
                <w:bCs w:val="0"/>
                <w:sz w:val="20"/>
                <w:szCs w:val="20"/>
                <w:rtl/>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r>
      <w:tr w:rsidR="004B4881" w:rsidRPr="004B4881" w:rsidTr="00396497">
        <w:trPr>
          <w:gridAfter w:val="1"/>
          <w:wAfter w:w="98" w:type="dxa"/>
          <w:trHeight w:val="439"/>
          <w:jc w:val="center"/>
        </w:trPr>
        <w:tc>
          <w:tcPr>
            <w:tcW w:w="2336" w:type="dxa"/>
            <w:tcBorders>
              <w:top w:val="nil"/>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b w:val="0"/>
                <w:bCs w:val="0"/>
                <w:sz w:val="20"/>
                <w:szCs w:val="20"/>
              </w:rPr>
            </w:pPr>
            <w:r w:rsidRPr="004B4881">
              <w:rPr>
                <w:b w:val="0"/>
                <w:bCs w:val="0"/>
                <w:sz w:val="20"/>
                <w:szCs w:val="20"/>
                <w:rtl/>
              </w:rPr>
              <w:t xml:space="preserve"> تصنيف (-</w:t>
            </w:r>
            <w:r w:rsidRPr="004B4881">
              <w:rPr>
                <w:b w:val="0"/>
                <w:bCs w:val="0"/>
                <w:sz w:val="20"/>
                <w:szCs w:val="20"/>
              </w:rPr>
              <w:t>A</w:t>
            </w:r>
            <w:r w:rsidRPr="004B4881">
              <w:rPr>
                <w:b w:val="0"/>
                <w:bCs w:val="0"/>
                <w:sz w:val="20"/>
                <w:szCs w:val="20"/>
                <w:rtl/>
              </w:rPr>
              <w:t xml:space="preserve"> ـ +</w:t>
            </w:r>
            <w:r w:rsidRPr="004B4881">
              <w:rPr>
                <w:b w:val="0"/>
                <w:bCs w:val="0"/>
                <w:sz w:val="20"/>
                <w:szCs w:val="20"/>
              </w:rPr>
              <w:t>A</w:t>
            </w:r>
            <w:r w:rsidRPr="004B4881">
              <w:rPr>
                <w:b w:val="0"/>
                <w:bCs w:val="0"/>
                <w:sz w:val="20"/>
                <w:szCs w:val="20"/>
                <w:rtl/>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r>
      <w:tr w:rsidR="004B4881" w:rsidRPr="004B4881" w:rsidTr="00396497">
        <w:trPr>
          <w:gridAfter w:val="1"/>
          <w:wAfter w:w="98" w:type="dxa"/>
          <w:trHeight w:val="439"/>
          <w:jc w:val="center"/>
        </w:trPr>
        <w:tc>
          <w:tcPr>
            <w:tcW w:w="2336" w:type="dxa"/>
            <w:tcBorders>
              <w:top w:val="nil"/>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b w:val="0"/>
                <w:bCs w:val="0"/>
                <w:sz w:val="20"/>
                <w:szCs w:val="20"/>
              </w:rPr>
            </w:pPr>
            <w:r w:rsidRPr="004B4881">
              <w:rPr>
                <w:b w:val="0"/>
                <w:bCs w:val="0"/>
                <w:sz w:val="20"/>
                <w:szCs w:val="20"/>
                <w:rtl/>
              </w:rPr>
              <w:t xml:space="preserve">  تصنيف (-</w:t>
            </w:r>
            <w:r w:rsidRPr="004B4881">
              <w:rPr>
                <w:b w:val="0"/>
                <w:bCs w:val="0"/>
                <w:sz w:val="20"/>
                <w:szCs w:val="20"/>
              </w:rPr>
              <w:t>BBB</w:t>
            </w:r>
            <w:r w:rsidRPr="004B4881">
              <w:rPr>
                <w:b w:val="0"/>
                <w:bCs w:val="0"/>
                <w:sz w:val="20"/>
                <w:szCs w:val="20"/>
                <w:rtl/>
              </w:rPr>
              <w:t>ـ+</w:t>
            </w:r>
            <w:r w:rsidRPr="004B4881">
              <w:rPr>
                <w:b w:val="0"/>
                <w:bCs w:val="0"/>
                <w:sz w:val="20"/>
                <w:szCs w:val="20"/>
              </w:rPr>
              <w:t>BBB</w:t>
            </w:r>
            <w:r w:rsidRPr="004B4881">
              <w:rPr>
                <w:b w:val="0"/>
                <w:bCs w:val="0"/>
                <w:sz w:val="20"/>
                <w:szCs w:val="20"/>
                <w:rtl/>
              </w:rPr>
              <w: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r>
      <w:tr w:rsidR="004B4881" w:rsidRPr="004B4881" w:rsidTr="00396497">
        <w:trPr>
          <w:gridAfter w:val="1"/>
          <w:wAfter w:w="98" w:type="dxa"/>
          <w:trHeight w:val="439"/>
          <w:jc w:val="center"/>
        </w:trPr>
        <w:tc>
          <w:tcPr>
            <w:tcW w:w="2336" w:type="dxa"/>
            <w:tcBorders>
              <w:top w:val="nil"/>
              <w:left w:val="single" w:sz="12" w:space="0" w:color="auto"/>
              <w:bottom w:val="single" w:sz="4" w:space="0" w:color="auto"/>
              <w:right w:val="single" w:sz="4" w:space="0" w:color="auto"/>
            </w:tcBorders>
            <w:shd w:val="clear" w:color="auto" w:fill="auto"/>
            <w:vAlign w:val="center"/>
            <w:hideMark/>
          </w:tcPr>
          <w:p w:rsidR="005A2DDD" w:rsidRPr="004B4881" w:rsidRDefault="005A2DDD" w:rsidP="005A2DDD">
            <w:pPr>
              <w:rPr>
                <w:b w:val="0"/>
                <w:bCs w:val="0"/>
                <w:sz w:val="20"/>
                <w:szCs w:val="20"/>
              </w:rPr>
            </w:pPr>
            <w:r w:rsidRPr="004B4881">
              <w:rPr>
                <w:b w:val="0"/>
                <w:bCs w:val="0"/>
                <w:sz w:val="20"/>
                <w:szCs w:val="20"/>
                <w:rtl/>
              </w:rPr>
              <w:t xml:space="preserve">اقل من التصنيفات اعلاه او غير مصنفة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8%</w:t>
            </w:r>
          </w:p>
        </w:tc>
        <w:tc>
          <w:tcPr>
            <w:tcW w:w="0" w:type="auto"/>
            <w:tcBorders>
              <w:top w:val="nil"/>
              <w:left w:val="single" w:sz="4" w:space="0" w:color="auto"/>
              <w:bottom w:val="single" w:sz="4" w:space="0" w:color="auto"/>
              <w:right w:val="single" w:sz="12" w:space="0" w:color="auto"/>
            </w:tcBorders>
            <w:shd w:val="clear" w:color="auto" w:fill="auto"/>
            <w:noWrap/>
            <w:vAlign w:val="center"/>
            <w:hideMark/>
          </w:tcPr>
          <w:p w:rsidR="005A2DDD" w:rsidRPr="004B4881" w:rsidRDefault="005A2DDD" w:rsidP="005A2DDD">
            <w:pPr>
              <w:rPr>
                <w:b w:val="0"/>
                <w:bCs w:val="0"/>
                <w:sz w:val="20"/>
                <w:szCs w:val="20"/>
              </w:rPr>
            </w:pPr>
            <w:r w:rsidRPr="004B4881">
              <w:rPr>
                <w:b w:val="0"/>
                <w:bCs w:val="0"/>
                <w:sz w:val="20"/>
                <w:szCs w:val="20"/>
              </w:rPr>
              <w:t>0</w:t>
            </w:r>
          </w:p>
        </w:tc>
      </w:tr>
      <w:tr w:rsidR="005A2DDD" w:rsidRPr="004B4881" w:rsidTr="00396497">
        <w:trPr>
          <w:gridAfter w:val="1"/>
          <w:wAfter w:w="98" w:type="dxa"/>
          <w:trHeight w:val="439"/>
          <w:jc w:val="center"/>
        </w:trPr>
        <w:tc>
          <w:tcPr>
            <w:tcW w:w="8869" w:type="dxa"/>
            <w:gridSpan w:val="6"/>
            <w:tcBorders>
              <w:top w:val="single" w:sz="4" w:space="0" w:color="auto"/>
              <w:left w:val="single" w:sz="12" w:space="0" w:color="auto"/>
              <w:bottom w:val="single" w:sz="4" w:space="0" w:color="auto"/>
              <w:right w:val="single" w:sz="4" w:space="0" w:color="000000"/>
            </w:tcBorders>
            <w:shd w:val="clear" w:color="000000" w:fill="969696"/>
            <w:noWrap/>
            <w:vAlign w:val="center"/>
            <w:hideMark/>
          </w:tcPr>
          <w:p w:rsidR="005A2DDD" w:rsidRPr="004B4881" w:rsidRDefault="005A2DDD" w:rsidP="005A2DDD">
            <w:pPr>
              <w:rPr>
                <w:sz w:val="20"/>
                <w:szCs w:val="20"/>
              </w:rPr>
            </w:pPr>
            <w:r w:rsidRPr="004B4881">
              <w:rPr>
                <w:sz w:val="20"/>
                <w:szCs w:val="20"/>
                <w:rtl/>
              </w:rPr>
              <w:t>المجموع</w:t>
            </w:r>
          </w:p>
        </w:tc>
        <w:tc>
          <w:tcPr>
            <w:tcW w:w="0" w:type="auto"/>
            <w:tcBorders>
              <w:top w:val="nil"/>
              <w:left w:val="single" w:sz="4" w:space="0" w:color="auto"/>
              <w:bottom w:val="single" w:sz="4" w:space="0" w:color="auto"/>
              <w:right w:val="single" w:sz="12" w:space="0" w:color="auto"/>
            </w:tcBorders>
            <w:shd w:val="clear" w:color="000000" w:fill="969696"/>
            <w:noWrap/>
            <w:vAlign w:val="center"/>
            <w:hideMark/>
          </w:tcPr>
          <w:p w:rsidR="005A2DDD" w:rsidRPr="004B4881" w:rsidRDefault="005A2DDD" w:rsidP="005A2DDD">
            <w:pPr>
              <w:rPr>
                <w:sz w:val="20"/>
                <w:szCs w:val="20"/>
              </w:rPr>
            </w:pPr>
            <w:r w:rsidRPr="004B4881">
              <w:rPr>
                <w:sz w:val="20"/>
                <w:szCs w:val="20"/>
              </w:rPr>
              <w:t>0</w:t>
            </w:r>
          </w:p>
        </w:tc>
      </w:tr>
      <w:tr w:rsidR="005A2DDD" w:rsidRPr="004B4881" w:rsidTr="00396497">
        <w:trPr>
          <w:gridAfter w:val="1"/>
          <w:wAfter w:w="98" w:type="dxa"/>
          <w:trHeight w:val="439"/>
          <w:jc w:val="center"/>
        </w:trPr>
        <w:tc>
          <w:tcPr>
            <w:tcW w:w="8869" w:type="dxa"/>
            <w:gridSpan w:val="6"/>
            <w:tcBorders>
              <w:top w:val="single" w:sz="4" w:space="0" w:color="auto"/>
              <w:left w:val="single" w:sz="12" w:space="0" w:color="auto"/>
              <w:bottom w:val="single" w:sz="12" w:space="0" w:color="auto"/>
              <w:right w:val="single" w:sz="4" w:space="0" w:color="auto"/>
            </w:tcBorders>
            <w:shd w:val="clear" w:color="000000" w:fill="C0C0C0"/>
            <w:noWrap/>
            <w:vAlign w:val="bottom"/>
            <w:hideMark/>
          </w:tcPr>
          <w:p w:rsidR="005A2DDD" w:rsidRPr="004B4881" w:rsidRDefault="005A2DDD" w:rsidP="005A2DDD">
            <w:pPr>
              <w:rPr>
                <w:sz w:val="20"/>
                <w:szCs w:val="20"/>
              </w:rPr>
            </w:pPr>
            <w:r w:rsidRPr="004B4881">
              <w:rPr>
                <w:sz w:val="20"/>
                <w:szCs w:val="20"/>
                <w:rtl/>
              </w:rPr>
              <w:t>مخاطر الطرف المقابل لاتفاقيات معكوس اعادة الشراء { المجموع * 12.5 }</w:t>
            </w:r>
          </w:p>
        </w:tc>
        <w:tc>
          <w:tcPr>
            <w:tcW w:w="0" w:type="auto"/>
            <w:tcBorders>
              <w:top w:val="nil"/>
              <w:left w:val="single" w:sz="4" w:space="0" w:color="auto"/>
              <w:bottom w:val="single" w:sz="12" w:space="0" w:color="auto"/>
              <w:right w:val="single" w:sz="12" w:space="0" w:color="auto"/>
            </w:tcBorders>
            <w:shd w:val="clear" w:color="000000" w:fill="C0C0C0"/>
            <w:noWrap/>
            <w:vAlign w:val="center"/>
            <w:hideMark/>
          </w:tcPr>
          <w:p w:rsidR="005A2DDD" w:rsidRPr="004B4881" w:rsidRDefault="005A2DDD" w:rsidP="005A2DDD">
            <w:pPr>
              <w:rPr>
                <w:sz w:val="20"/>
                <w:szCs w:val="20"/>
              </w:rPr>
            </w:pPr>
            <w:r w:rsidRPr="004B4881">
              <w:rPr>
                <w:sz w:val="20"/>
                <w:szCs w:val="20"/>
              </w:rPr>
              <w:t>0</w:t>
            </w:r>
          </w:p>
        </w:tc>
      </w:tr>
      <w:tr w:rsidR="005A2DDD" w:rsidRPr="004B4881" w:rsidTr="00396497">
        <w:trPr>
          <w:gridAfter w:val="1"/>
          <w:wAfter w:w="98" w:type="dxa"/>
          <w:trHeight w:val="510"/>
          <w:jc w:val="center"/>
        </w:trPr>
        <w:tc>
          <w:tcPr>
            <w:tcW w:w="5185" w:type="dxa"/>
            <w:gridSpan w:val="3"/>
            <w:tcBorders>
              <w:top w:val="single" w:sz="12" w:space="0" w:color="auto"/>
              <w:left w:val="nil"/>
              <w:bottom w:val="nil"/>
              <w:right w:val="nil"/>
            </w:tcBorders>
            <w:shd w:val="clear" w:color="auto" w:fill="auto"/>
            <w:noWrap/>
            <w:vAlign w:val="bottom"/>
            <w:hideMark/>
          </w:tcPr>
          <w:p w:rsidR="005A2DDD" w:rsidRPr="004B4881" w:rsidRDefault="005A2DDD" w:rsidP="005A2DDD">
            <w:pPr>
              <w:rPr>
                <w:sz w:val="20"/>
                <w:szCs w:val="20"/>
                <w:rtl/>
              </w:rPr>
            </w:pPr>
            <w:r w:rsidRPr="004B4881">
              <w:rPr>
                <w:sz w:val="20"/>
                <w:szCs w:val="20"/>
                <w:rtl/>
              </w:rPr>
              <w:t>*  في حال كون الفرق سالب لا يوجد متطلبات رأسمال</w:t>
            </w:r>
          </w:p>
        </w:tc>
        <w:tc>
          <w:tcPr>
            <w:tcW w:w="0" w:type="auto"/>
            <w:tcBorders>
              <w:top w:val="nil"/>
              <w:left w:val="nil"/>
              <w:bottom w:val="nil"/>
              <w:right w:val="nil"/>
            </w:tcBorders>
            <w:shd w:val="clear" w:color="auto" w:fill="auto"/>
            <w:noWrap/>
            <w:vAlign w:val="bottom"/>
            <w:hideMark/>
          </w:tcPr>
          <w:p w:rsidR="005A2DDD" w:rsidRPr="004B4881" w:rsidRDefault="005A2DDD" w:rsidP="005A2DDD">
            <w:pPr>
              <w:rPr>
                <w:sz w:val="20"/>
                <w:szCs w:val="20"/>
              </w:rPr>
            </w:pPr>
          </w:p>
        </w:tc>
        <w:tc>
          <w:tcPr>
            <w:tcW w:w="0" w:type="auto"/>
            <w:tcBorders>
              <w:top w:val="nil"/>
              <w:left w:val="nil"/>
              <w:bottom w:val="nil"/>
              <w:right w:val="nil"/>
            </w:tcBorders>
            <w:shd w:val="clear" w:color="auto" w:fill="auto"/>
            <w:noWrap/>
            <w:vAlign w:val="bottom"/>
            <w:hideMark/>
          </w:tcPr>
          <w:p w:rsidR="005A2DDD" w:rsidRPr="004B4881" w:rsidRDefault="005A2DDD" w:rsidP="005A2DDD">
            <w:pPr>
              <w:rPr>
                <w:sz w:val="20"/>
                <w:szCs w:val="20"/>
              </w:rPr>
            </w:pPr>
          </w:p>
        </w:tc>
        <w:tc>
          <w:tcPr>
            <w:tcW w:w="0" w:type="auto"/>
            <w:tcBorders>
              <w:top w:val="nil"/>
              <w:left w:val="nil"/>
              <w:bottom w:val="nil"/>
              <w:right w:val="nil"/>
            </w:tcBorders>
            <w:shd w:val="clear" w:color="auto" w:fill="auto"/>
            <w:noWrap/>
            <w:vAlign w:val="bottom"/>
            <w:hideMark/>
          </w:tcPr>
          <w:p w:rsidR="005A2DDD" w:rsidRPr="004B4881" w:rsidRDefault="005A2DDD" w:rsidP="005A2DDD">
            <w:pPr>
              <w:rPr>
                <w:sz w:val="20"/>
                <w:szCs w:val="20"/>
              </w:rPr>
            </w:pPr>
          </w:p>
        </w:tc>
        <w:tc>
          <w:tcPr>
            <w:tcW w:w="0" w:type="auto"/>
            <w:tcBorders>
              <w:top w:val="nil"/>
              <w:left w:val="nil"/>
              <w:bottom w:val="nil"/>
              <w:right w:val="nil"/>
            </w:tcBorders>
            <w:shd w:val="clear" w:color="auto" w:fill="auto"/>
            <w:noWrap/>
            <w:vAlign w:val="bottom"/>
            <w:hideMark/>
          </w:tcPr>
          <w:p w:rsidR="005A2DDD" w:rsidRPr="004B4881" w:rsidRDefault="005A2DDD" w:rsidP="005A2DDD">
            <w:pPr>
              <w:rPr>
                <w:sz w:val="20"/>
                <w:szCs w:val="20"/>
              </w:rPr>
            </w:pPr>
          </w:p>
        </w:tc>
      </w:tr>
    </w:tbl>
    <w:p w:rsidR="004A0A06" w:rsidRPr="00396497" w:rsidRDefault="00396497" w:rsidP="00692097">
      <w:pPr>
        <w:pStyle w:val="Caption"/>
        <w:jc w:val="center"/>
        <w:rPr>
          <w:b/>
          <w:bCs/>
          <w:color w:val="auto"/>
          <w:sz w:val="28"/>
          <w:szCs w:val="28"/>
        </w:rPr>
      </w:pPr>
      <w:bookmarkStart w:id="2254" w:name="_Toc465255849"/>
      <w:r w:rsidRPr="00396497">
        <w:rPr>
          <w:b/>
          <w:bCs/>
          <w:color w:val="auto"/>
          <w:sz w:val="28"/>
          <w:szCs w:val="28"/>
          <w:rtl/>
        </w:rPr>
        <w:lastRenderedPageBreak/>
        <w:t xml:space="preserve">ملحق ( </w:t>
      </w:r>
      <w:r w:rsidR="00692097">
        <w:rPr>
          <w:rFonts w:hint="cs"/>
          <w:b/>
          <w:bCs/>
          <w:color w:val="auto"/>
          <w:sz w:val="28"/>
          <w:szCs w:val="28"/>
          <w:rtl/>
        </w:rPr>
        <w:t>23</w:t>
      </w:r>
      <w:r w:rsidRPr="00396497">
        <w:rPr>
          <w:rFonts w:hint="cs"/>
          <w:b/>
          <w:bCs/>
          <w:color w:val="auto"/>
          <w:sz w:val="28"/>
          <w:szCs w:val="28"/>
          <w:rtl/>
        </w:rPr>
        <w:t xml:space="preserve"> ): </w:t>
      </w:r>
      <w:r w:rsidR="004A0A06" w:rsidRPr="00396497">
        <w:rPr>
          <w:b/>
          <w:bCs/>
          <w:color w:val="auto"/>
          <w:sz w:val="28"/>
          <w:szCs w:val="28"/>
          <w:rtl/>
        </w:rPr>
        <w:t xml:space="preserve">مخاطر الطرف المقابل للاسهم المستلمة / </w:t>
      </w:r>
      <w:r w:rsidR="004A0A06" w:rsidRPr="00396497">
        <w:rPr>
          <w:rFonts w:hint="cs"/>
          <w:b/>
          <w:bCs/>
          <w:color w:val="auto"/>
          <w:sz w:val="28"/>
          <w:szCs w:val="28"/>
          <w:rtl/>
        </w:rPr>
        <w:t>والأسهم</w:t>
      </w:r>
      <w:r w:rsidR="004A0A06" w:rsidRPr="00396497">
        <w:rPr>
          <w:b/>
          <w:bCs/>
          <w:color w:val="auto"/>
          <w:sz w:val="28"/>
          <w:szCs w:val="28"/>
          <w:rtl/>
        </w:rPr>
        <w:t xml:space="preserve"> المسلمة وغير مقبوض قيمتها</w:t>
      </w:r>
      <w:bookmarkEnd w:id="2254"/>
    </w:p>
    <w:tbl>
      <w:tblPr>
        <w:bidiVisual/>
        <w:tblW w:w="8980" w:type="dxa"/>
        <w:jc w:val="center"/>
        <w:tblLook w:val="04A0" w:firstRow="1" w:lastRow="0" w:firstColumn="1" w:lastColumn="0" w:noHBand="0" w:noVBand="1"/>
      </w:tblPr>
      <w:tblGrid>
        <w:gridCol w:w="2420"/>
        <w:gridCol w:w="1400"/>
        <w:gridCol w:w="1940"/>
        <w:gridCol w:w="1520"/>
        <w:gridCol w:w="1700"/>
      </w:tblGrid>
      <w:tr w:rsidR="004B4881" w:rsidRPr="00716CC0" w:rsidTr="006A7565">
        <w:trPr>
          <w:trHeight w:val="700"/>
          <w:jc w:val="center"/>
        </w:trPr>
        <w:tc>
          <w:tcPr>
            <w:tcW w:w="2420" w:type="dxa"/>
            <w:vMerge w:val="restart"/>
            <w:tcBorders>
              <w:top w:val="single" w:sz="8" w:space="0" w:color="auto"/>
              <w:left w:val="single" w:sz="8" w:space="0" w:color="auto"/>
              <w:right w:val="single" w:sz="8" w:space="0" w:color="auto"/>
            </w:tcBorders>
            <w:shd w:val="clear" w:color="000000" w:fill="969696"/>
            <w:vAlign w:val="center"/>
            <w:hideMark/>
          </w:tcPr>
          <w:p w:rsidR="004B4881" w:rsidRPr="004B4881" w:rsidRDefault="004B4881" w:rsidP="00716CC0">
            <w:pPr>
              <w:jc w:val="center"/>
              <w:rPr>
                <w:sz w:val="24"/>
                <w:szCs w:val="24"/>
              </w:rPr>
            </w:pPr>
            <w:r w:rsidRPr="004B4881">
              <w:rPr>
                <w:sz w:val="24"/>
                <w:szCs w:val="24"/>
                <w:rtl/>
              </w:rPr>
              <w:t>جدول 7/ب</w:t>
            </w:r>
          </w:p>
        </w:tc>
        <w:tc>
          <w:tcPr>
            <w:tcW w:w="1400"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rsidR="004B4881" w:rsidRPr="004B4881" w:rsidRDefault="004B4881" w:rsidP="00716CC0">
            <w:pPr>
              <w:jc w:val="center"/>
              <w:rPr>
                <w:sz w:val="24"/>
                <w:szCs w:val="24"/>
              </w:rPr>
            </w:pPr>
            <w:r w:rsidRPr="004B4881">
              <w:rPr>
                <w:sz w:val="24"/>
                <w:szCs w:val="24"/>
                <w:rtl/>
              </w:rPr>
              <w:t>الوزن الترجيحي للطرف المقابل</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rsidR="004B4881" w:rsidRPr="004B4881" w:rsidRDefault="004B4881" w:rsidP="00716CC0">
            <w:pPr>
              <w:jc w:val="center"/>
              <w:rPr>
                <w:sz w:val="24"/>
                <w:szCs w:val="24"/>
              </w:rPr>
            </w:pPr>
            <w:r w:rsidRPr="004B4881">
              <w:rPr>
                <w:sz w:val="24"/>
                <w:szCs w:val="24"/>
                <w:rtl/>
              </w:rPr>
              <w:t xml:space="preserve">قيمة </w:t>
            </w:r>
            <w:r w:rsidRPr="004B4881">
              <w:rPr>
                <w:rFonts w:hint="cs"/>
                <w:sz w:val="24"/>
                <w:szCs w:val="24"/>
                <w:rtl/>
              </w:rPr>
              <w:t>الأسهم</w:t>
            </w:r>
            <w:r w:rsidRPr="004B4881">
              <w:rPr>
                <w:sz w:val="24"/>
                <w:szCs w:val="24"/>
                <w:rtl/>
              </w:rPr>
              <w:t xml:space="preserve"> المسلمة </w:t>
            </w:r>
            <w:r w:rsidRPr="004B4881">
              <w:rPr>
                <w:rFonts w:hint="cs"/>
                <w:sz w:val="24"/>
                <w:szCs w:val="24"/>
                <w:rtl/>
              </w:rPr>
              <w:t>أو</w:t>
            </w:r>
            <w:r w:rsidRPr="004B4881">
              <w:rPr>
                <w:sz w:val="24"/>
                <w:szCs w:val="24"/>
                <w:rtl/>
              </w:rPr>
              <w:t xml:space="preserve"> المستلمة</w:t>
            </w:r>
          </w:p>
        </w:tc>
        <w:tc>
          <w:tcPr>
            <w:tcW w:w="1520" w:type="dxa"/>
            <w:tcBorders>
              <w:top w:val="single" w:sz="8" w:space="0" w:color="auto"/>
              <w:left w:val="single" w:sz="8" w:space="0" w:color="auto"/>
              <w:bottom w:val="nil"/>
              <w:right w:val="single" w:sz="8" w:space="0" w:color="auto"/>
            </w:tcBorders>
            <w:shd w:val="clear" w:color="000000" w:fill="969696"/>
            <w:vAlign w:val="center"/>
            <w:hideMark/>
          </w:tcPr>
          <w:p w:rsidR="004B4881" w:rsidRPr="004B4881" w:rsidRDefault="004B4881" w:rsidP="00716CC0">
            <w:pPr>
              <w:jc w:val="center"/>
              <w:rPr>
                <w:sz w:val="24"/>
                <w:szCs w:val="24"/>
              </w:rPr>
            </w:pPr>
            <w:r w:rsidRPr="004B4881">
              <w:rPr>
                <w:sz w:val="24"/>
                <w:szCs w:val="24"/>
                <w:rtl/>
              </w:rPr>
              <w:t>نسبة راس المال المطلوب</w:t>
            </w:r>
          </w:p>
        </w:tc>
        <w:tc>
          <w:tcPr>
            <w:tcW w:w="1700" w:type="dxa"/>
            <w:tcBorders>
              <w:top w:val="single" w:sz="8" w:space="0" w:color="auto"/>
              <w:left w:val="single" w:sz="8" w:space="0" w:color="auto"/>
              <w:bottom w:val="nil"/>
              <w:right w:val="single" w:sz="8" w:space="0" w:color="auto"/>
            </w:tcBorders>
            <w:shd w:val="clear" w:color="000000" w:fill="969696"/>
            <w:vAlign w:val="center"/>
            <w:hideMark/>
          </w:tcPr>
          <w:p w:rsidR="004B4881" w:rsidRPr="004B4881" w:rsidRDefault="004B4881" w:rsidP="00716CC0">
            <w:pPr>
              <w:jc w:val="center"/>
              <w:rPr>
                <w:sz w:val="24"/>
                <w:szCs w:val="24"/>
              </w:rPr>
            </w:pPr>
            <w:r w:rsidRPr="004B4881">
              <w:rPr>
                <w:sz w:val="24"/>
                <w:szCs w:val="24"/>
                <w:rtl/>
              </w:rPr>
              <w:t>راس المال المطلوب</w:t>
            </w:r>
          </w:p>
        </w:tc>
      </w:tr>
      <w:tr w:rsidR="004B4881" w:rsidRPr="00716CC0" w:rsidTr="006A7565">
        <w:trPr>
          <w:trHeight w:val="144"/>
          <w:jc w:val="center"/>
        </w:trPr>
        <w:tc>
          <w:tcPr>
            <w:tcW w:w="2420" w:type="dxa"/>
            <w:vMerge/>
            <w:tcBorders>
              <w:left w:val="single" w:sz="8" w:space="0" w:color="auto"/>
              <w:bottom w:val="single" w:sz="8" w:space="0" w:color="auto"/>
              <w:right w:val="single" w:sz="8" w:space="0" w:color="auto"/>
            </w:tcBorders>
            <w:shd w:val="clear" w:color="000000" w:fill="969696"/>
            <w:noWrap/>
            <w:vAlign w:val="center"/>
            <w:hideMark/>
          </w:tcPr>
          <w:p w:rsidR="004B4881" w:rsidRPr="004B4881" w:rsidRDefault="004B4881" w:rsidP="00716CC0">
            <w:pPr>
              <w:jc w:val="center"/>
              <w:rPr>
                <w:sz w:val="24"/>
                <w:szCs w:val="24"/>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rsidR="004B4881" w:rsidRPr="004B4881" w:rsidRDefault="004B4881" w:rsidP="00716CC0">
            <w:pPr>
              <w:jc w:val="center"/>
              <w:rPr>
                <w:sz w:val="24"/>
                <w:szCs w:val="24"/>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4B4881" w:rsidRPr="004B4881" w:rsidRDefault="004B4881" w:rsidP="00716CC0">
            <w:pPr>
              <w:jc w:val="center"/>
              <w:rPr>
                <w:sz w:val="24"/>
                <w:szCs w:val="24"/>
              </w:rPr>
            </w:pPr>
          </w:p>
        </w:tc>
        <w:tc>
          <w:tcPr>
            <w:tcW w:w="1520" w:type="dxa"/>
            <w:tcBorders>
              <w:top w:val="nil"/>
              <w:left w:val="single" w:sz="8" w:space="0" w:color="auto"/>
              <w:bottom w:val="single" w:sz="8" w:space="0" w:color="auto"/>
              <w:right w:val="single" w:sz="8" w:space="0" w:color="auto"/>
            </w:tcBorders>
            <w:shd w:val="clear" w:color="000000" w:fill="969696"/>
            <w:noWrap/>
            <w:vAlign w:val="center"/>
            <w:hideMark/>
          </w:tcPr>
          <w:p w:rsidR="004B4881" w:rsidRPr="004B4881" w:rsidRDefault="004B4881" w:rsidP="00716CC0">
            <w:pPr>
              <w:jc w:val="center"/>
              <w:rPr>
                <w:sz w:val="24"/>
                <w:szCs w:val="24"/>
              </w:rPr>
            </w:pPr>
          </w:p>
        </w:tc>
        <w:tc>
          <w:tcPr>
            <w:tcW w:w="1700" w:type="dxa"/>
            <w:tcBorders>
              <w:top w:val="nil"/>
              <w:left w:val="single" w:sz="8" w:space="0" w:color="auto"/>
              <w:bottom w:val="single" w:sz="8" w:space="0" w:color="auto"/>
              <w:right w:val="single" w:sz="8" w:space="0" w:color="auto"/>
            </w:tcBorders>
            <w:shd w:val="clear" w:color="000000" w:fill="969696"/>
            <w:vAlign w:val="center"/>
            <w:hideMark/>
          </w:tcPr>
          <w:p w:rsidR="004B4881" w:rsidRPr="004B4881" w:rsidRDefault="004B4881" w:rsidP="00716CC0">
            <w:pPr>
              <w:jc w:val="center"/>
              <w:rPr>
                <w:sz w:val="24"/>
                <w:szCs w:val="24"/>
              </w:rPr>
            </w:pPr>
            <w:r w:rsidRPr="004B4881">
              <w:rPr>
                <w:sz w:val="24"/>
                <w:szCs w:val="24"/>
              </w:rPr>
              <w:t>{(3)*(2)*(1)}</w:t>
            </w:r>
          </w:p>
        </w:tc>
      </w:tr>
      <w:tr w:rsidR="005A2DDD" w:rsidRPr="00716CC0" w:rsidTr="00716CC0">
        <w:trPr>
          <w:trHeight w:val="375"/>
          <w:jc w:val="center"/>
        </w:trPr>
        <w:tc>
          <w:tcPr>
            <w:tcW w:w="2420" w:type="dxa"/>
            <w:tcBorders>
              <w:top w:val="nil"/>
              <w:left w:val="single" w:sz="8" w:space="0" w:color="auto"/>
              <w:bottom w:val="nil"/>
              <w:right w:val="single" w:sz="8" w:space="0" w:color="auto"/>
            </w:tcBorders>
            <w:shd w:val="clear" w:color="000000" w:fill="C0C0C0"/>
            <w:vAlign w:val="center"/>
            <w:hideMark/>
          </w:tcPr>
          <w:p w:rsidR="005A2DDD" w:rsidRPr="00716CC0" w:rsidRDefault="005A2DDD" w:rsidP="005A2DDD">
            <w:pPr>
              <w:rPr>
                <w:sz w:val="20"/>
                <w:szCs w:val="20"/>
              </w:rPr>
            </w:pPr>
            <w:r w:rsidRPr="00716CC0">
              <w:rPr>
                <w:sz w:val="20"/>
                <w:szCs w:val="20"/>
              </w:rPr>
              <w:t> </w:t>
            </w:r>
          </w:p>
        </w:tc>
        <w:tc>
          <w:tcPr>
            <w:tcW w:w="1400" w:type="dxa"/>
            <w:tcBorders>
              <w:top w:val="nil"/>
              <w:left w:val="single" w:sz="8" w:space="0" w:color="auto"/>
              <w:bottom w:val="nil"/>
              <w:right w:val="single" w:sz="8" w:space="0" w:color="auto"/>
            </w:tcBorders>
            <w:shd w:val="clear" w:color="000000" w:fill="C0C0C0"/>
            <w:vAlign w:val="center"/>
            <w:hideMark/>
          </w:tcPr>
          <w:p w:rsidR="005A2DDD" w:rsidRPr="00716CC0" w:rsidRDefault="005A2DDD" w:rsidP="00716CC0">
            <w:pPr>
              <w:jc w:val="center"/>
              <w:rPr>
                <w:sz w:val="20"/>
                <w:szCs w:val="20"/>
              </w:rPr>
            </w:pPr>
            <w:r w:rsidRPr="00716CC0">
              <w:rPr>
                <w:sz w:val="20"/>
                <w:szCs w:val="20"/>
              </w:rPr>
              <w:t>1</w:t>
            </w:r>
          </w:p>
        </w:tc>
        <w:tc>
          <w:tcPr>
            <w:tcW w:w="1940" w:type="dxa"/>
            <w:tcBorders>
              <w:top w:val="nil"/>
              <w:left w:val="single" w:sz="8" w:space="0" w:color="auto"/>
              <w:bottom w:val="nil"/>
              <w:right w:val="single" w:sz="8" w:space="0" w:color="auto"/>
            </w:tcBorders>
            <w:shd w:val="clear" w:color="000000" w:fill="C0C0C0"/>
            <w:vAlign w:val="center"/>
            <w:hideMark/>
          </w:tcPr>
          <w:p w:rsidR="005A2DDD" w:rsidRPr="00716CC0" w:rsidRDefault="005A2DDD" w:rsidP="00716CC0">
            <w:pPr>
              <w:jc w:val="center"/>
              <w:rPr>
                <w:sz w:val="20"/>
                <w:szCs w:val="20"/>
              </w:rPr>
            </w:pPr>
            <w:r w:rsidRPr="00716CC0">
              <w:rPr>
                <w:sz w:val="20"/>
                <w:szCs w:val="20"/>
              </w:rPr>
              <w:t>2</w:t>
            </w:r>
          </w:p>
        </w:tc>
        <w:tc>
          <w:tcPr>
            <w:tcW w:w="1520" w:type="dxa"/>
            <w:tcBorders>
              <w:top w:val="nil"/>
              <w:left w:val="single" w:sz="8" w:space="0" w:color="auto"/>
              <w:bottom w:val="nil"/>
              <w:right w:val="single" w:sz="8" w:space="0" w:color="auto"/>
            </w:tcBorders>
            <w:shd w:val="clear" w:color="000000" w:fill="C0C0C0"/>
            <w:vAlign w:val="center"/>
            <w:hideMark/>
          </w:tcPr>
          <w:p w:rsidR="005A2DDD" w:rsidRPr="00716CC0" w:rsidRDefault="005A2DDD" w:rsidP="00716CC0">
            <w:pPr>
              <w:jc w:val="center"/>
              <w:rPr>
                <w:sz w:val="20"/>
                <w:szCs w:val="20"/>
              </w:rPr>
            </w:pPr>
            <w:r w:rsidRPr="00716CC0">
              <w:rPr>
                <w:sz w:val="20"/>
                <w:szCs w:val="20"/>
              </w:rPr>
              <w:t>3</w:t>
            </w:r>
          </w:p>
        </w:tc>
        <w:tc>
          <w:tcPr>
            <w:tcW w:w="1700" w:type="dxa"/>
            <w:tcBorders>
              <w:top w:val="nil"/>
              <w:left w:val="single" w:sz="8" w:space="0" w:color="auto"/>
              <w:bottom w:val="nil"/>
              <w:right w:val="single" w:sz="8" w:space="0" w:color="auto"/>
            </w:tcBorders>
            <w:shd w:val="clear" w:color="000000" w:fill="C0C0C0"/>
            <w:vAlign w:val="center"/>
            <w:hideMark/>
          </w:tcPr>
          <w:p w:rsidR="005A2DDD" w:rsidRPr="00716CC0" w:rsidRDefault="005A2DDD" w:rsidP="00716CC0">
            <w:pPr>
              <w:jc w:val="center"/>
              <w:rPr>
                <w:sz w:val="20"/>
                <w:szCs w:val="20"/>
              </w:rPr>
            </w:pPr>
            <w:r w:rsidRPr="00716CC0">
              <w:rPr>
                <w:sz w:val="20"/>
                <w:szCs w:val="20"/>
              </w:rPr>
              <w:t>4</w:t>
            </w:r>
          </w:p>
        </w:tc>
      </w:tr>
      <w:tr w:rsidR="005A2DDD" w:rsidRPr="00716CC0" w:rsidTr="00716CC0">
        <w:trPr>
          <w:trHeight w:val="495"/>
          <w:jc w:val="center"/>
        </w:trPr>
        <w:tc>
          <w:tcPr>
            <w:tcW w:w="242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5A2DDD" w:rsidRPr="00716CC0" w:rsidRDefault="005A2DDD" w:rsidP="005A2DDD">
            <w:pPr>
              <w:rPr>
                <w:sz w:val="20"/>
                <w:szCs w:val="20"/>
              </w:rPr>
            </w:pPr>
            <w:r w:rsidRPr="00716CC0">
              <w:rPr>
                <w:sz w:val="20"/>
                <w:szCs w:val="20"/>
                <w:rtl/>
              </w:rPr>
              <w:t xml:space="preserve"> تصنيف ( </w:t>
            </w:r>
            <w:r w:rsidRPr="00716CC0">
              <w:rPr>
                <w:sz w:val="20"/>
                <w:szCs w:val="20"/>
              </w:rPr>
              <w:t>AAA_AA</w:t>
            </w:r>
            <w:r w:rsidRPr="00716CC0">
              <w:rPr>
                <w:sz w:val="20"/>
                <w:szCs w:val="20"/>
                <w:rtl/>
              </w:rPr>
              <w:t>)</w:t>
            </w:r>
          </w:p>
        </w:tc>
        <w:tc>
          <w:tcPr>
            <w:tcW w:w="14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0%</w:t>
            </w:r>
          </w:p>
        </w:tc>
        <w:tc>
          <w:tcPr>
            <w:tcW w:w="194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p>
        </w:tc>
        <w:tc>
          <w:tcPr>
            <w:tcW w:w="15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8%</w:t>
            </w:r>
          </w:p>
        </w:tc>
        <w:tc>
          <w:tcPr>
            <w:tcW w:w="170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0</w:t>
            </w:r>
          </w:p>
        </w:tc>
      </w:tr>
      <w:tr w:rsidR="005A2DDD" w:rsidRPr="00716CC0" w:rsidTr="00716CC0">
        <w:trPr>
          <w:trHeight w:val="495"/>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5A2DDD" w:rsidRPr="00716CC0" w:rsidRDefault="005A2DDD" w:rsidP="005A2DDD">
            <w:pPr>
              <w:rPr>
                <w:sz w:val="20"/>
                <w:szCs w:val="20"/>
              </w:rPr>
            </w:pPr>
            <w:r w:rsidRPr="00716CC0">
              <w:rPr>
                <w:sz w:val="20"/>
                <w:szCs w:val="20"/>
                <w:rtl/>
              </w:rPr>
              <w:t xml:space="preserve"> تصنيف (-</w:t>
            </w:r>
            <w:r w:rsidRPr="00716CC0">
              <w:rPr>
                <w:sz w:val="20"/>
                <w:szCs w:val="20"/>
              </w:rPr>
              <w:t>A</w:t>
            </w:r>
            <w:r w:rsidRPr="00716CC0">
              <w:rPr>
                <w:sz w:val="20"/>
                <w:szCs w:val="20"/>
                <w:rtl/>
              </w:rPr>
              <w:t xml:space="preserve"> ـ +</w:t>
            </w:r>
            <w:r w:rsidRPr="00716CC0">
              <w:rPr>
                <w:sz w:val="20"/>
                <w:szCs w:val="20"/>
              </w:rPr>
              <w:t>A</w:t>
            </w:r>
            <w:r w:rsidRPr="00716CC0">
              <w:rPr>
                <w:sz w:val="20"/>
                <w:szCs w:val="20"/>
                <w:rtl/>
              </w:rPr>
              <w:t xml:space="preserve"> ) </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20%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0</w:t>
            </w:r>
          </w:p>
        </w:tc>
      </w:tr>
      <w:tr w:rsidR="005A2DDD" w:rsidRPr="00716CC0" w:rsidTr="00716CC0">
        <w:trPr>
          <w:trHeight w:val="495"/>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5A2DDD" w:rsidRPr="00716CC0" w:rsidRDefault="005A2DDD" w:rsidP="005A2DDD">
            <w:pPr>
              <w:rPr>
                <w:sz w:val="20"/>
                <w:szCs w:val="20"/>
              </w:rPr>
            </w:pPr>
            <w:r w:rsidRPr="00716CC0">
              <w:rPr>
                <w:sz w:val="20"/>
                <w:szCs w:val="20"/>
                <w:rtl/>
              </w:rPr>
              <w:t>تصنيف (-</w:t>
            </w:r>
            <w:r w:rsidRPr="00716CC0">
              <w:rPr>
                <w:sz w:val="20"/>
                <w:szCs w:val="20"/>
              </w:rPr>
              <w:t>BBB</w:t>
            </w:r>
            <w:r w:rsidRPr="00716CC0">
              <w:rPr>
                <w:sz w:val="20"/>
                <w:szCs w:val="20"/>
                <w:rtl/>
              </w:rPr>
              <w:t>ـ+</w:t>
            </w:r>
            <w:r w:rsidRPr="00716CC0">
              <w:rPr>
                <w:sz w:val="20"/>
                <w:szCs w:val="20"/>
              </w:rPr>
              <w:t>BBB</w:t>
            </w:r>
            <w:r w:rsidRPr="00716CC0">
              <w:rPr>
                <w:sz w:val="20"/>
                <w:szCs w:val="20"/>
                <w:rtl/>
              </w:rPr>
              <w:t>)</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50%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0</w:t>
            </w:r>
          </w:p>
        </w:tc>
      </w:tr>
      <w:tr w:rsidR="005A2DDD" w:rsidRPr="00716CC0" w:rsidTr="00716CC0">
        <w:trPr>
          <w:trHeight w:val="990"/>
          <w:jc w:val="center"/>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5A2DDD" w:rsidRPr="00716CC0" w:rsidRDefault="005A2DDD" w:rsidP="005A2DDD">
            <w:pPr>
              <w:rPr>
                <w:sz w:val="20"/>
                <w:szCs w:val="20"/>
              </w:rPr>
            </w:pPr>
            <w:r w:rsidRPr="00716CC0">
              <w:rPr>
                <w:sz w:val="20"/>
                <w:szCs w:val="20"/>
                <w:rtl/>
              </w:rPr>
              <w:t xml:space="preserve">اقل من التصنيفات اعلاه او غير مصنفة </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100%</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p>
        </w:tc>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8%</w:t>
            </w:r>
          </w:p>
        </w:tc>
        <w:tc>
          <w:tcPr>
            <w:tcW w:w="1700" w:type="dxa"/>
            <w:tcBorders>
              <w:top w:val="nil"/>
              <w:left w:val="single" w:sz="4" w:space="0" w:color="auto"/>
              <w:bottom w:val="single" w:sz="4" w:space="0" w:color="auto"/>
              <w:right w:val="single" w:sz="4" w:space="0" w:color="auto"/>
            </w:tcBorders>
            <w:shd w:val="clear" w:color="auto" w:fill="auto"/>
            <w:noWrap/>
            <w:vAlign w:val="center"/>
            <w:hideMark/>
          </w:tcPr>
          <w:p w:rsidR="005A2DDD" w:rsidRPr="00716CC0" w:rsidRDefault="005A2DDD" w:rsidP="00716CC0">
            <w:pPr>
              <w:jc w:val="center"/>
              <w:rPr>
                <w:sz w:val="20"/>
                <w:szCs w:val="20"/>
              </w:rPr>
            </w:pPr>
            <w:r w:rsidRPr="00716CC0">
              <w:rPr>
                <w:sz w:val="20"/>
                <w:szCs w:val="20"/>
              </w:rPr>
              <w:t>0</w:t>
            </w:r>
          </w:p>
        </w:tc>
      </w:tr>
      <w:tr w:rsidR="005A2DDD" w:rsidRPr="00716CC0" w:rsidTr="00716CC0">
        <w:trPr>
          <w:trHeight w:val="495"/>
          <w:jc w:val="center"/>
        </w:trPr>
        <w:tc>
          <w:tcPr>
            <w:tcW w:w="7280" w:type="dxa"/>
            <w:gridSpan w:val="4"/>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5A2DDD" w:rsidRPr="00716CC0" w:rsidRDefault="005A2DDD" w:rsidP="005A2DDD">
            <w:pPr>
              <w:rPr>
                <w:sz w:val="20"/>
                <w:szCs w:val="20"/>
              </w:rPr>
            </w:pPr>
            <w:r w:rsidRPr="00716CC0">
              <w:rPr>
                <w:sz w:val="20"/>
                <w:szCs w:val="20"/>
                <w:rtl/>
              </w:rPr>
              <w:t>المجموع</w:t>
            </w:r>
          </w:p>
        </w:tc>
        <w:tc>
          <w:tcPr>
            <w:tcW w:w="1700" w:type="dxa"/>
            <w:tcBorders>
              <w:top w:val="nil"/>
              <w:left w:val="single" w:sz="4" w:space="0" w:color="auto"/>
              <w:bottom w:val="single" w:sz="4" w:space="0" w:color="auto"/>
              <w:right w:val="single" w:sz="4" w:space="0" w:color="auto"/>
            </w:tcBorders>
            <w:shd w:val="clear" w:color="000000" w:fill="C0C0C0"/>
            <w:noWrap/>
            <w:vAlign w:val="center"/>
            <w:hideMark/>
          </w:tcPr>
          <w:p w:rsidR="005A2DDD" w:rsidRPr="00716CC0" w:rsidRDefault="005A2DDD" w:rsidP="00716CC0">
            <w:pPr>
              <w:jc w:val="center"/>
              <w:rPr>
                <w:sz w:val="20"/>
                <w:szCs w:val="20"/>
              </w:rPr>
            </w:pPr>
            <w:r w:rsidRPr="00716CC0">
              <w:rPr>
                <w:sz w:val="20"/>
                <w:szCs w:val="20"/>
              </w:rPr>
              <w:t>0</w:t>
            </w:r>
          </w:p>
        </w:tc>
      </w:tr>
      <w:tr w:rsidR="005A2DDD" w:rsidRPr="00716CC0" w:rsidTr="00716CC0">
        <w:trPr>
          <w:trHeight w:val="495"/>
          <w:jc w:val="center"/>
        </w:trPr>
        <w:tc>
          <w:tcPr>
            <w:tcW w:w="7280" w:type="dxa"/>
            <w:gridSpan w:val="4"/>
            <w:tcBorders>
              <w:top w:val="single" w:sz="4" w:space="0" w:color="auto"/>
              <w:left w:val="single" w:sz="4" w:space="0" w:color="auto"/>
              <w:bottom w:val="single" w:sz="4" w:space="0" w:color="auto"/>
              <w:right w:val="single" w:sz="4" w:space="0" w:color="auto"/>
            </w:tcBorders>
            <w:shd w:val="clear" w:color="000000" w:fill="969696"/>
            <w:noWrap/>
            <w:vAlign w:val="bottom"/>
            <w:hideMark/>
          </w:tcPr>
          <w:p w:rsidR="005A2DDD" w:rsidRPr="00716CC0" w:rsidRDefault="005A2DDD" w:rsidP="005A2DDD">
            <w:pPr>
              <w:rPr>
                <w:sz w:val="20"/>
                <w:szCs w:val="20"/>
              </w:rPr>
            </w:pPr>
            <w:r w:rsidRPr="00716CC0">
              <w:rPr>
                <w:sz w:val="20"/>
                <w:szCs w:val="20"/>
                <w:rtl/>
              </w:rPr>
              <w:t>مخاطر الطرف المقابل للاسهم المستلمة او المسلمة = { المجموع * 12.5 }</w:t>
            </w:r>
          </w:p>
        </w:tc>
        <w:tc>
          <w:tcPr>
            <w:tcW w:w="1700" w:type="dxa"/>
            <w:tcBorders>
              <w:top w:val="nil"/>
              <w:left w:val="single" w:sz="4" w:space="0" w:color="auto"/>
              <w:bottom w:val="single" w:sz="4" w:space="0" w:color="auto"/>
              <w:right w:val="single" w:sz="4" w:space="0" w:color="auto"/>
            </w:tcBorders>
            <w:shd w:val="clear" w:color="000000" w:fill="969696"/>
            <w:noWrap/>
            <w:vAlign w:val="center"/>
            <w:hideMark/>
          </w:tcPr>
          <w:p w:rsidR="005A2DDD" w:rsidRPr="00716CC0" w:rsidRDefault="005A2DDD" w:rsidP="00716CC0">
            <w:pPr>
              <w:jc w:val="center"/>
              <w:rPr>
                <w:sz w:val="20"/>
                <w:szCs w:val="20"/>
              </w:rPr>
            </w:pPr>
            <w:r w:rsidRPr="00716CC0">
              <w:rPr>
                <w:sz w:val="20"/>
                <w:szCs w:val="20"/>
              </w:rPr>
              <w:t>0</w:t>
            </w:r>
          </w:p>
        </w:tc>
      </w:tr>
    </w:tbl>
    <w:p w:rsidR="005A2DDD" w:rsidRDefault="005A2DDD" w:rsidP="005A2DDD">
      <w:pPr>
        <w:rPr>
          <w:rtl/>
          <w:lang w:bidi="ar-JO"/>
        </w:rPr>
      </w:pPr>
    </w:p>
    <w:p w:rsidR="005A2DDD" w:rsidRDefault="005A2DDD" w:rsidP="005A2DDD">
      <w:pPr>
        <w:rPr>
          <w:lang w:bidi="ar-JO"/>
        </w:rPr>
      </w:pPr>
    </w:p>
    <w:p w:rsidR="00716CC0" w:rsidRDefault="00716CC0" w:rsidP="005A2DDD">
      <w:pPr>
        <w:rPr>
          <w:rtl/>
          <w:lang w:bidi="ar-JO"/>
        </w:rPr>
      </w:pPr>
    </w:p>
    <w:p w:rsidR="005A2DDD" w:rsidRDefault="005A2DDD" w:rsidP="005A2DDD">
      <w:pPr>
        <w:rPr>
          <w:rtl/>
          <w:lang w:bidi="ar-JO"/>
        </w:rPr>
      </w:pPr>
    </w:p>
    <w:p w:rsidR="004B4881" w:rsidRDefault="004B4881" w:rsidP="005A2DDD">
      <w:pPr>
        <w:rPr>
          <w:rtl/>
          <w:lang w:bidi="ar-JO"/>
        </w:rPr>
      </w:pPr>
    </w:p>
    <w:p w:rsidR="004B4881" w:rsidRDefault="004B4881" w:rsidP="005A2DDD">
      <w:pPr>
        <w:rPr>
          <w:rtl/>
          <w:lang w:bidi="ar-JO"/>
        </w:rPr>
      </w:pPr>
    </w:p>
    <w:p w:rsidR="004B4881" w:rsidRDefault="004B4881" w:rsidP="005A2DDD">
      <w:pPr>
        <w:rPr>
          <w:rtl/>
          <w:lang w:bidi="ar-JO"/>
        </w:rPr>
      </w:pPr>
    </w:p>
    <w:p w:rsidR="004B4881" w:rsidRDefault="004B4881" w:rsidP="005A2DDD">
      <w:pPr>
        <w:rPr>
          <w:rtl/>
          <w:lang w:bidi="ar-JO"/>
        </w:rPr>
      </w:pPr>
    </w:p>
    <w:p w:rsidR="004B4881" w:rsidRDefault="004B4881" w:rsidP="005A2DDD">
      <w:pPr>
        <w:rPr>
          <w:rtl/>
          <w:lang w:bidi="ar-JO"/>
        </w:rPr>
      </w:pPr>
    </w:p>
    <w:p w:rsidR="004B4881" w:rsidRDefault="004B4881" w:rsidP="005A2DDD">
      <w:pPr>
        <w:rPr>
          <w:rtl/>
          <w:lang w:bidi="ar-JO"/>
        </w:rPr>
      </w:pPr>
    </w:p>
    <w:p w:rsidR="004B4881" w:rsidRDefault="004B4881" w:rsidP="005A2DDD">
      <w:pPr>
        <w:rPr>
          <w:rtl/>
          <w:lang w:bidi="ar-JO"/>
        </w:rPr>
      </w:pPr>
    </w:p>
    <w:p w:rsidR="004B4881" w:rsidRDefault="004B4881" w:rsidP="005A2DDD">
      <w:pPr>
        <w:rPr>
          <w:rtl/>
          <w:lang w:bidi="ar-JO"/>
        </w:rPr>
      </w:pPr>
    </w:p>
    <w:p w:rsidR="004A0A06" w:rsidRDefault="004A0A06" w:rsidP="004A0A06">
      <w:pPr>
        <w:pStyle w:val="Caption"/>
        <w:rPr>
          <w:rtl/>
        </w:rPr>
      </w:pPr>
    </w:p>
    <w:tbl>
      <w:tblPr>
        <w:bidiVisual/>
        <w:tblW w:w="9926" w:type="dxa"/>
        <w:jc w:val="center"/>
        <w:tblLayout w:type="fixed"/>
        <w:tblLook w:val="04A0" w:firstRow="1" w:lastRow="0" w:firstColumn="1" w:lastColumn="0" w:noHBand="0" w:noVBand="1"/>
      </w:tblPr>
      <w:tblGrid>
        <w:gridCol w:w="794"/>
        <w:gridCol w:w="4686"/>
        <w:gridCol w:w="1488"/>
        <w:gridCol w:w="1296"/>
        <w:gridCol w:w="1662"/>
      </w:tblGrid>
      <w:tr w:rsidR="00172A14" w:rsidRPr="00172A14" w:rsidTr="00FC3847">
        <w:trPr>
          <w:trHeight w:val="510"/>
          <w:jc w:val="center"/>
        </w:trPr>
        <w:tc>
          <w:tcPr>
            <w:tcW w:w="9926" w:type="dxa"/>
            <w:gridSpan w:val="5"/>
            <w:tcBorders>
              <w:top w:val="nil"/>
              <w:left w:val="nil"/>
              <w:bottom w:val="single" w:sz="8" w:space="0" w:color="auto"/>
              <w:right w:val="nil"/>
            </w:tcBorders>
            <w:shd w:val="clear" w:color="auto" w:fill="auto"/>
            <w:noWrap/>
            <w:vAlign w:val="center"/>
            <w:hideMark/>
          </w:tcPr>
          <w:p w:rsidR="00172A14" w:rsidRPr="00172A14" w:rsidRDefault="00172A14" w:rsidP="00692097">
            <w:pPr>
              <w:pStyle w:val="Caption"/>
              <w:spacing w:after="0"/>
              <w:jc w:val="center"/>
              <w:rPr>
                <w:b/>
                <w:bCs/>
                <w:color w:val="auto"/>
                <w:sz w:val="28"/>
                <w:szCs w:val="28"/>
              </w:rPr>
            </w:pPr>
            <w:bookmarkStart w:id="2255" w:name="_Toc465255850"/>
            <w:r w:rsidRPr="004A0A06">
              <w:rPr>
                <w:b/>
                <w:bCs/>
                <w:color w:val="auto"/>
                <w:sz w:val="28"/>
                <w:szCs w:val="28"/>
                <w:rtl/>
              </w:rPr>
              <w:lastRenderedPageBreak/>
              <w:t xml:space="preserve">ملحق ( </w:t>
            </w:r>
            <w:r w:rsidR="00692097">
              <w:rPr>
                <w:rFonts w:hint="cs"/>
                <w:b/>
                <w:bCs/>
                <w:color w:val="auto"/>
                <w:sz w:val="28"/>
                <w:szCs w:val="28"/>
                <w:rtl/>
              </w:rPr>
              <w:t>24</w:t>
            </w:r>
            <w:r w:rsidRPr="004A0A06">
              <w:rPr>
                <w:rFonts w:hint="cs"/>
                <w:b/>
                <w:bCs/>
                <w:color w:val="auto"/>
                <w:sz w:val="28"/>
                <w:szCs w:val="28"/>
                <w:rtl/>
              </w:rPr>
              <w:t xml:space="preserve"> ): </w:t>
            </w:r>
            <w:r w:rsidRPr="004A0A06">
              <w:rPr>
                <w:b/>
                <w:bCs/>
                <w:color w:val="auto"/>
                <w:sz w:val="28"/>
                <w:szCs w:val="28"/>
                <w:rtl/>
              </w:rPr>
              <w:t>نسبة الرافعة المالية (</w:t>
            </w:r>
            <w:r w:rsidRPr="004A0A06">
              <w:rPr>
                <w:b/>
                <w:bCs/>
                <w:color w:val="auto"/>
                <w:sz w:val="28"/>
                <w:szCs w:val="28"/>
              </w:rPr>
              <w:t>Leverage Ratio</w:t>
            </w:r>
            <w:r w:rsidRPr="004A0A06">
              <w:rPr>
                <w:b/>
                <w:bCs/>
                <w:color w:val="auto"/>
                <w:sz w:val="28"/>
                <w:szCs w:val="28"/>
                <w:rtl/>
              </w:rPr>
              <w:t>)</w:t>
            </w:r>
            <w:bookmarkEnd w:id="2255"/>
          </w:p>
        </w:tc>
      </w:tr>
      <w:tr w:rsidR="00172A14" w:rsidRPr="00172A14" w:rsidTr="00FC3847">
        <w:trPr>
          <w:trHeight w:val="611"/>
          <w:jc w:val="center"/>
        </w:trPr>
        <w:tc>
          <w:tcPr>
            <w:tcW w:w="794" w:type="dxa"/>
            <w:tcBorders>
              <w:top w:val="nil"/>
              <w:left w:val="single" w:sz="8" w:space="0" w:color="auto"/>
              <w:bottom w:val="single" w:sz="8" w:space="0" w:color="auto"/>
              <w:right w:val="single" w:sz="4" w:space="0" w:color="auto"/>
            </w:tcBorders>
            <w:shd w:val="clear" w:color="000000" w:fill="D9D9D9"/>
            <w:noWrap/>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2"/>
                <w:szCs w:val="22"/>
              </w:rPr>
            </w:pPr>
            <w:r w:rsidRPr="00172A14">
              <w:rPr>
                <w:rFonts w:eastAsia="Times New Roman"/>
                <w:color w:val="000000"/>
                <w:sz w:val="22"/>
                <w:szCs w:val="22"/>
                <w:rtl/>
              </w:rPr>
              <w:t>التسلسل</w:t>
            </w:r>
          </w:p>
        </w:tc>
        <w:tc>
          <w:tcPr>
            <w:tcW w:w="4686" w:type="dxa"/>
            <w:tcBorders>
              <w:top w:val="nil"/>
              <w:left w:val="nil"/>
              <w:bottom w:val="single" w:sz="8" w:space="0" w:color="auto"/>
              <w:right w:val="single" w:sz="4" w:space="0" w:color="auto"/>
            </w:tcBorders>
            <w:shd w:val="clear" w:color="000000" w:fill="D9D9D9"/>
            <w:noWrap/>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2"/>
                <w:szCs w:val="22"/>
              </w:rPr>
            </w:pPr>
            <w:r w:rsidRPr="00172A14">
              <w:rPr>
                <w:rFonts w:eastAsia="Times New Roman"/>
                <w:color w:val="000000"/>
                <w:sz w:val="22"/>
                <w:szCs w:val="22"/>
                <w:rtl/>
              </w:rPr>
              <w:t xml:space="preserve">بنود التعرضات </w:t>
            </w:r>
          </w:p>
        </w:tc>
        <w:tc>
          <w:tcPr>
            <w:tcW w:w="1488" w:type="dxa"/>
            <w:tcBorders>
              <w:top w:val="nil"/>
              <w:left w:val="single" w:sz="4" w:space="0" w:color="auto"/>
              <w:bottom w:val="single" w:sz="8" w:space="0" w:color="auto"/>
              <w:right w:val="single" w:sz="4" w:space="0" w:color="auto"/>
            </w:tcBorders>
            <w:shd w:val="clear" w:color="000000" w:fill="D9D9D9"/>
            <w:noWrap/>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2"/>
                <w:szCs w:val="22"/>
              </w:rPr>
            </w:pPr>
            <w:r w:rsidRPr="00172A14">
              <w:rPr>
                <w:rFonts w:eastAsia="Times New Roman"/>
                <w:color w:val="000000"/>
                <w:sz w:val="22"/>
                <w:szCs w:val="22"/>
                <w:rtl/>
              </w:rPr>
              <w:t>المبلغ</w:t>
            </w:r>
          </w:p>
        </w:tc>
        <w:tc>
          <w:tcPr>
            <w:tcW w:w="1296" w:type="dxa"/>
            <w:tcBorders>
              <w:top w:val="nil"/>
              <w:left w:val="single" w:sz="4" w:space="0" w:color="auto"/>
              <w:bottom w:val="single" w:sz="8" w:space="0" w:color="auto"/>
              <w:right w:val="single" w:sz="4" w:space="0" w:color="auto"/>
            </w:tcBorders>
            <w:shd w:val="clear" w:color="000000" w:fill="D9D9D9"/>
            <w:noWrap/>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2"/>
                <w:szCs w:val="22"/>
              </w:rPr>
            </w:pPr>
            <w:r w:rsidRPr="00172A14">
              <w:rPr>
                <w:rFonts w:eastAsia="Times New Roman"/>
                <w:color w:val="000000"/>
                <w:sz w:val="22"/>
                <w:szCs w:val="22"/>
                <w:rtl/>
              </w:rPr>
              <w:t>معامل التحويل</w:t>
            </w:r>
          </w:p>
        </w:tc>
        <w:tc>
          <w:tcPr>
            <w:tcW w:w="1662" w:type="dxa"/>
            <w:tcBorders>
              <w:top w:val="nil"/>
              <w:left w:val="single" w:sz="4" w:space="0" w:color="auto"/>
              <w:bottom w:val="single" w:sz="8" w:space="0" w:color="auto"/>
              <w:right w:val="single" w:sz="8" w:space="0" w:color="auto"/>
            </w:tcBorders>
            <w:shd w:val="clear" w:color="000000" w:fill="D9D9D9"/>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2"/>
                <w:szCs w:val="22"/>
              </w:rPr>
            </w:pPr>
            <w:r w:rsidRPr="00172A14">
              <w:rPr>
                <w:rFonts w:eastAsia="Times New Roman"/>
                <w:color w:val="000000"/>
                <w:sz w:val="22"/>
                <w:szCs w:val="22"/>
                <w:rtl/>
              </w:rPr>
              <w:t>المبلغ بعد معامل التحويل</w:t>
            </w:r>
          </w:p>
        </w:tc>
      </w:tr>
      <w:tr w:rsidR="00172A14" w:rsidRPr="00172A14" w:rsidTr="00FC3847">
        <w:trPr>
          <w:cantSplit/>
          <w:trHeight w:val="282"/>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Pr>
            </w:pPr>
            <w:r w:rsidRPr="00172A14">
              <w:rPr>
                <w:rFonts w:eastAsia="Times New Roman" w:hint="cs"/>
                <w:color w:val="000000"/>
                <w:sz w:val="24"/>
                <w:szCs w:val="24"/>
                <w:rtl/>
              </w:rPr>
              <w:t>1</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tl/>
              </w:rPr>
              <w:t xml:space="preserve">البسط </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283"/>
          <w:jc w:val="center"/>
        </w:trPr>
        <w:tc>
          <w:tcPr>
            <w:tcW w:w="794" w:type="dxa"/>
            <w:tcBorders>
              <w:top w:val="nil"/>
              <w:left w:val="single" w:sz="8" w:space="0" w:color="auto"/>
              <w:bottom w:val="single" w:sz="8"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1.1</w:t>
            </w:r>
          </w:p>
        </w:tc>
        <w:tc>
          <w:tcPr>
            <w:tcW w:w="4686" w:type="dxa"/>
            <w:tcBorders>
              <w:top w:val="nil"/>
              <w:left w:val="nil"/>
              <w:bottom w:val="single" w:sz="8"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الشريحة الأولى من رأس المال</w:t>
            </w:r>
            <w:r w:rsidR="00FC3847">
              <w:rPr>
                <w:rFonts w:eastAsia="Times New Roman" w:hint="cs"/>
                <w:color w:val="000000"/>
                <w:sz w:val="20"/>
                <w:szCs w:val="20"/>
                <w:rtl/>
              </w:rPr>
              <w:t xml:space="preserve"> (</w:t>
            </w:r>
            <w:r w:rsidR="00FC3847">
              <w:rPr>
                <w:rFonts w:eastAsia="Times New Roman"/>
                <w:color w:val="000000"/>
                <w:sz w:val="20"/>
                <w:szCs w:val="20"/>
              </w:rPr>
              <w:t>T1</w:t>
            </w:r>
            <w:r w:rsidR="00FC3847">
              <w:rPr>
                <w:rFonts w:eastAsia="Times New Roman" w:hint="cs"/>
                <w:color w:val="000000"/>
                <w:sz w:val="20"/>
                <w:szCs w:val="20"/>
                <w:rtl/>
              </w:rPr>
              <w:t>)</w:t>
            </w:r>
            <w:r w:rsidRPr="00172A14">
              <w:rPr>
                <w:rFonts w:eastAsia="Times New Roman"/>
                <w:color w:val="000000"/>
                <w:sz w:val="20"/>
                <w:szCs w:val="20"/>
                <w:rtl/>
              </w:rPr>
              <w:t xml:space="preserve"> بعد الاستقطاعات </w:t>
            </w:r>
            <w:r w:rsidRPr="00172A14">
              <w:rPr>
                <w:rFonts w:eastAsia="Times New Roman"/>
                <w:color w:val="000000"/>
                <w:sz w:val="20"/>
                <w:szCs w:val="20"/>
                <w:vertAlign w:val="superscript"/>
                <w:rtl/>
              </w:rPr>
              <w:t>1</w:t>
            </w:r>
          </w:p>
        </w:tc>
        <w:tc>
          <w:tcPr>
            <w:tcW w:w="1488" w:type="dxa"/>
            <w:tcBorders>
              <w:top w:val="nil"/>
              <w:left w:val="single" w:sz="4" w:space="0" w:color="auto"/>
              <w:bottom w:val="single" w:sz="8"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8"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8"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293"/>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tl/>
              </w:rPr>
              <w:t xml:space="preserve">المقام </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1.2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نقد وأرصدة لدى بنوك مركزية</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2.2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أرصدة لدى بنوك ومؤسسات مصرفية</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3.2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محفظة الأوراق المالية </w:t>
            </w:r>
            <w:r w:rsidRPr="00172A14">
              <w:rPr>
                <w:rFonts w:eastAsia="Times New Roman"/>
                <w:color w:val="000000"/>
                <w:sz w:val="20"/>
                <w:szCs w:val="20"/>
                <w:vertAlign w:val="superscript"/>
                <w:rtl/>
              </w:rPr>
              <w:t>2</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4.2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التسهيلات الائتمانية </w:t>
            </w:r>
            <w:r w:rsidRPr="00172A14">
              <w:rPr>
                <w:rFonts w:eastAsia="Times New Roman"/>
                <w:color w:val="000000"/>
                <w:sz w:val="20"/>
                <w:szCs w:val="20"/>
                <w:vertAlign w:val="superscript"/>
                <w:rtl/>
              </w:rPr>
              <w:t>3</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cantSplit/>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5.2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صافي القيمة العادلة للمشتقات </w:t>
            </w:r>
            <w:r w:rsidRPr="00172A14">
              <w:rPr>
                <w:rFonts w:eastAsia="Times New Roman"/>
                <w:color w:val="000000"/>
                <w:sz w:val="20"/>
                <w:szCs w:val="20"/>
                <w:vertAlign w:val="superscript"/>
                <w:rtl/>
              </w:rPr>
              <w:t>4</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r>
      <w:tr w:rsidR="00172A14" w:rsidRPr="00172A14" w:rsidTr="00FC3847">
        <w:trPr>
          <w:cantSplit/>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1.5.2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للتحوط</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2.5.2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للمتاجرة</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6.2</w:t>
            </w:r>
          </w:p>
        </w:tc>
        <w:tc>
          <w:tcPr>
            <w:tcW w:w="4686" w:type="dxa"/>
            <w:tcBorders>
              <w:top w:val="nil"/>
              <w:left w:val="nil"/>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صافي الموجودات الثابتة</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8" w:space="0" w:color="auto"/>
              <w:right w:val="single" w:sz="4" w:space="0" w:color="auto"/>
            </w:tcBorders>
            <w:shd w:val="clear" w:color="auto" w:fill="auto"/>
            <w:noWrap/>
            <w:vAlign w:val="center"/>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7.2</w:t>
            </w:r>
          </w:p>
        </w:tc>
        <w:tc>
          <w:tcPr>
            <w:tcW w:w="4686" w:type="dxa"/>
            <w:tcBorders>
              <w:top w:val="nil"/>
              <w:left w:val="nil"/>
              <w:bottom w:val="single" w:sz="8"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الموجودات الأخرى </w:t>
            </w:r>
          </w:p>
        </w:tc>
        <w:tc>
          <w:tcPr>
            <w:tcW w:w="1488" w:type="dxa"/>
            <w:tcBorders>
              <w:top w:val="nil"/>
              <w:left w:val="single" w:sz="4" w:space="0" w:color="auto"/>
              <w:bottom w:val="single" w:sz="8"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8"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8"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nil"/>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Pr>
            </w:pPr>
          </w:p>
        </w:tc>
        <w:tc>
          <w:tcPr>
            <w:tcW w:w="4686" w:type="dxa"/>
            <w:tcBorders>
              <w:top w:val="nil"/>
              <w:left w:val="nil"/>
              <w:bottom w:val="nil"/>
              <w:right w:val="single" w:sz="4" w:space="0" w:color="auto"/>
            </w:tcBorders>
            <w:shd w:val="clear" w:color="000000" w:fill="F2F2F2"/>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مجموع الموجودات داخل الميزانية </w:t>
            </w:r>
            <w:r w:rsidRPr="00172A14">
              <w:rPr>
                <w:rFonts w:eastAsia="Times New Roman"/>
                <w:color w:val="000000"/>
                <w:sz w:val="20"/>
                <w:szCs w:val="20"/>
                <w:vertAlign w:val="superscript"/>
                <w:rtl/>
              </w:rPr>
              <w:t>5</w:t>
            </w:r>
          </w:p>
        </w:tc>
        <w:tc>
          <w:tcPr>
            <w:tcW w:w="1488" w:type="dxa"/>
            <w:tcBorders>
              <w:top w:val="nil"/>
              <w:left w:val="single" w:sz="4" w:space="0" w:color="auto"/>
              <w:bottom w:val="nil"/>
              <w:right w:val="single" w:sz="4" w:space="0" w:color="auto"/>
            </w:tcBorders>
            <w:shd w:val="clear" w:color="000000" w:fill="F2F2F2"/>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nil"/>
              <w:right w:val="single" w:sz="4" w:space="0" w:color="auto"/>
            </w:tcBorders>
            <w:shd w:val="clear" w:color="000000" w:fill="F2F2F2"/>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662" w:type="dxa"/>
            <w:tcBorders>
              <w:top w:val="nil"/>
              <w:left w:val="single" w:sz="4" w:space="0" w:color="auto"/>
              <w:bottom w:val="nil"/>
              <w:right w:val="single" w:sz="8" w:space="0" w:color="auto"/>
            </w:tcBorders>
            <w:shd w:val="clear" w:color="000000" w:fill="F2F2F2"/>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15"/>
          <w:jc w:val="center"/>
        </w:trPr>
        <w:tc>
          <w:tcPr>
            <w:tcW w:w="7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8.2</w:t>
            </w:r>
          </w:p>
        </w:tc>
        <w:tc>
          <w:tcPr>
            <w:tcW w:w="468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التزامات غير قابلة </w:t>
            </w:r>
            <w:r w:rsidRPr="00172A14">
              <w:rPr>
                <w:rFonts w:eastAsia="Times New Roman" w:hint="cs"/>
                <w:color w:val="000000"/>
                <w:sz w:val="20"/>
                <w:szCs w:val="20"/>
                <w:rtl/>
              </w:rPr>
              <w:t>للإلغاء</w:t>
            </w:r>
            <w:r w:rsidRPr="00172A14">
              <w:rPr>
                <w:rFonts w:eastAsia="Times New Roman"/>
                <w:color w:val="000000"/>
                <w:sz w:val="20"/>
                <w:szCs w:val="20"/>
                <w:rtl/>
              </w:rPr>
              <w:t xml:space="preserve"> </w:t>
            </w:r>
          </w:p>
        </w:tc>
        <w:tc>
          <w:tcPr>
            <w:tcW w:w="148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662"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31"/>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1.8.2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كفالات</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2.8.2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اعتمادات</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3.8.2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اعتمادات بالاطلاع</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4.8.2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قبولات</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5.8.2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السقوف غير المستغلة من التسهيلات </w:t>
            </w:r>
            <w:r w:rsidRPr="00172A14">
              <w:rPr>
                <w:rFonts w:eastAsia="Times New Roman"/>
                <w:b w:val="0"/>
                <w:bCs w:val="0"/>
                <w:color w:val="000000"/>
                <w:sz w:val="20"/>
                <w:szCs w:val="20"/>
                <w:vertAlign w:val="superscript"/>
                <w:rtl/>
              </w:rPr>
              <w:t>6</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6.8.2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تعهدات الاصدارات (</w:t>
            </w:r>
            <w:r w:rsidRPr="00172A14">
              <w:rPr>
                <w:rFonts w:eastAsia="Times New Roman"/>
                <w:b w:val="0"/>
                <w:bCs w:val="0"/>
                <w:color w:val="000000"/>
                <w:sz w:val="20"/>
                <w:szCs w:val="20"/>
              </w:rPr>
              <w:t>Underwriting</w:t>
            </w:r>
            <w:r w:rsidRPr="00172A14">
              <w:rPr>
                <w:rFonts w:eastAsia="Times New Roman"/>
                <w:b w:val="0"/>
                <w:bCs w:val="0"/>
                <w:color w:val="000000"/>
                <w:sz w:val="20"/>
                <w:szCs w:val="20"/>
                <w:rtl/>
              </w:rPr>
              <w:t>)</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7.8.2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تسهيلات السيولة</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8.8.2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أي التزامات أخرى</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color w:val="000000"/>
                <w:sz w:val="24"/>
                <w:szCs w:val="24"/>
                <w:rtl/>
              </w:rPr>
            </w:pPr>
            <w:r w:rsidRPr="00172A14">
              <w:rPr>
                <w:rFonts w:eastAsia="Times New Roman" w:hint="cs"/>
                <w:color w:val="000000"/>
                <w:sz w:val="24"/>
                <w:szCs w:val="24"/>
                <w:rtl/>
              </w:rPr>
              <w:t>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 xml:space="preserve">التزامات قابلة </w:t>
            </w:r>
            <w:r w:rsidRPr="00172A14">
              <w:rPr>
                <w:rFonts w:eastAsia="Times New Roman" w:hint="cs"/>
                <w:color w:val="000000"/>
                <w:sz w:val="20"/>
                <w:szCs w:val="20"/>
                <w:rtl/>
              </w:rPr>
              <w:t>للإلغاء</w:t>
            </w:r>
            <w:r w:rsidRPr="00172A14">
              <w:rPr>
                <w:rFonts w:eastAsia="Times New Roman"/>
                <w:color w:val="000000"/>
                <w:sz w:val="20"/>
                <w:szCs w:val="20"/>
                <w:rtl/>
              </w:rPr>
              <w:t xml:space="preserve"> </w:t>
            </w:r>
            <w:r w:rsidRPr="00172A14">
              <w:rPr>
                <w:rFonts w:eastAsia="Times New Roman"/>
                <w:color w:val="000000"/>
                <w:sz w:val="20"/>
                <w:szCs w:val="20"/>
                <w:vertAlign w:val="superscript"/>
                <w:rtl/>
              </w:rPr>
              <w:t>7</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1.9.2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كفالات</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2.9.2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اعتمادات</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3.9.2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اعتمادات بالاطلاع</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4.9.2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التسهيلات غير المستغلة (السقوف الائتمانية غير الملزمة) </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5.9.2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تسهيلات السيولة (خطوط ائتمان)</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60"/>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tl/>
              </w:rPr>
            </w:pPr>
            <w:r>
              <w:rPr>
                <w:rFonts w:eastAsia="Times New Roman" w:hint="cs"/>
                <w:b w:val="0"/>
                <w:bCs w:val="0"/>
                <w:color w:val="000000"/>
                <w:sz w:val="24"/>
                <w:szCs w:val="24"/>
                <w:rtl/>
              </w:rPr>
              <w:t>6.9.2</w:t>
            </w:r>
          </w:p>
        </w:tc>
        <w:tc>
          <w:tcPr>
            <w:tcW w:w="468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spacing w:before="100" w:beforeAutospacing="1" w:after="100" w:afterAutospacing="1"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 xml:space="preserve">     أخرى</w:t>
            </w:r>
          </w:p>
        </w:tc>
        <w:tc>
          <w:tcPr>
            <w:tcW w:w="1488"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 </w:t>
            </w:r>
          </w:p>
        </w:tc>
        <w:tc>
          <w:tcPr>
            <w:tcW w:w="1296" w:type="dxa"/>
            <w:tcBorders>
              <w:top w:val="nil"/>
              <w:left w:val="single" w:sz="4" w:space="0" w:color="auto"/>
              <w:bottom w:val="single" w:sz="4" w:space="0" w:color="auto"/>
              <w:right w:val="single" w:sz="4"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10%</w:t>
            </w:r>
          </w:p>
        </w:tc>
        <w:tc>
          <w:tcPr>
            <w:tcW w:w="1662" w:type="dxa"/>
            <w:tcBorders>
              <w:top w:val="nil"/>
              <w:left w:val="single" w:sz="4" w:space="0" w:color="auto"/>
              <w:bottom w:val="single" w:sz="4" w:space="0" w:color="auto"/>
              <w:right w:val="single" w:sz="8" w:space="0" w:color="auto"/>
            </w:tcBorders>
            <w:shd w:val="clear" w:color="auto" w:fill="auto"/>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0"/>
                <w:szCs w:val="20"/>
              </w:rPr>
            </w:pPr>
            <w:r w:rsidRPr="00172A14">
              <w:rPr>
                <w:rFonts w:eastAsia="Times New Roman"/>
                <w:b w:val="0"/>
                <w:bCs w:val="0"/>
                <w:color w:val="000000"/>
                <w:sz w:val="20"/>
                <w:szCs w:val="20"/>
              </w:rPr>
              <w:t>0</w:t>
            </w:r>
          </w:p>
        </w:tc>
      </w:tr>
      <w:tr w:rsidR="00172A14" w:rsidRPr="00172A14" w:rsidTr="00FC3847">
        <w:trPr>
          <w:trHeight w:val="319"/>
          <w:jc w:val="center"/>
        </w:trPr>
        <w:tc>
          <w:tcPr>
            <w:tcW w:w="794" w:type="dxa"/>
            <w:tcBorders>
              <w:top w:val="nil"/>
              <w:left w:val="single" w:sz="8" w:space="0" w:color="auto"/>
              <w:bottom w:val="single" w:sz="4" w:space="0" w:color="auto"/>
              <w:right w:val="single" w:sz="4" w:space="0" w:color="auto"/>
            </w:tcBorders>
            <w:shd w:val="clear" w:color="auto" w:fill="auto"/>
            <w:noWrap/>
            <w:vAlign w:val="center"/>
            <w:hideMark/>
          </w:tcPr>
          <w:p w:rsidR="00172A14" w:rsidRPr="00172A14" w:rsidRDefault="00172A14" w:rsidP="002A35AA">
            <w:pPr>
              <w:bidi w:val="0"/>
              <w:spacing w:before="100" w:beforeAutospacing="1" w:after="100" w:afterAutospacing="1" w:line="240" w:lineRule="exact"/>
              <w:jc w:val="center"/>
              <w:rPr>
                <w:rFonts w:eastAsia="Times New Roman"/>
                <w:b w:val="0"/>
                <w:bCs w:val="0"/>
                <w:color w:val="000000"/>
                <w:sz w:val="24"/>
                <w:szCs w:val="24"/>
              </w:rPr>
            </w:pPr>
          </w:p>
        </w:tc>
        <w:tc>
          <w:tcPr>
            <w:tcW w:w="4686" w:type="dxa"/>
            <w:tcBorders>
              <w:top w:val="nil"/>
              <w:left w:val="single" w:sz="4" w:space="0" w:color="auto"/>
              <w:bottom w:val="single" w:sz="4" w:space="0" w:color="auto"/>
              <w:right w:val="single" w:sz="4" w:space="0" w:color="auto"/>
            </w:tcBorders>
            <w:shd w:val="clear" w:color="000000" w:fill="F2F2F2"/>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مجموع البنود خارج الميزانية (</w:t>
            </w:r>
            <w:r>
              <w:rPr>
                <w:rFonts w:eastAsia="Times New Roman" w:hint="cs"/>
                <w:color w:val="000000"/>
                <w:sz w:val="20"/>
                <w:szCs w:val="20"/>
                <w:rtl/>
              </w:rPr>
              <w:t>8.2</w:t>
            </w:r>
            <w:r w:rsidRPr="00172A14">
              <w:rPr>
                <w:rFonts w:eastAsia="Times New Roman"/>
                <w:color w:val="000000"/>
                <w:sz w:val="20"/>
                <w:szCs w:val="20"/>
                <w:rtl/>
              </w:rPr>
              <w:t>+</w:t>
            </w:r>
            <w:r>
              <w:rPr>
                <w:rFonts w:eastAsia="Times New Roman" w:hint="cs"/>
                <w:color w:val="000000"/>
                <w:sz w:val="20"/>
                <w:szCs w:val="20"/>
                <w:rtl/>
              </w:rPr>
              <w:t>9.2</w:t>
            </w:r>
            <w:r w:rsidRPr="00172A14">
              <w:rPr>
                <w:rFonts w:eastAsia="Times New Roman"/>
                <w:color w:val="000000"/>
                <w:sz w:val="20"/>
                <w:szCs w:val="20"/>
                <w:rtl/>
              </w:rPr>
              <w:t xml:space="preserve">) </w:t>
            </w:r>
            <w:r w:rsidRPr="00172A14">
              <w:rPr>
                <w:rFonts w:eastAsia="Times New Roman"/>
                <w:color w:val="000000"/>
                <w:sz w:val="20"/>
                <w:szCs w:val="20"/>
                <w:vertAlign w:val="superscript"/>
                <w:rtl/>
              </w:rPr>
              <w:t>8</w:t>
            </w:r>
          </w:p>
        </w:tc>
        <w:tc>
          <w:tcPr>
            <w:tcW w:w="1488" w:type="dxa"/>
            <w:tcBorders>
              <w:top w:val="nil"/>
              <w:left w:val="single" w:sz="4" w:space="0" w:color="auto"/>
              <w:bottom w:val="single" w:sz="4" w:space="0" w:color="auto"/>
              <w:right w:val="single" w:sz="4" w:space="0" w:color="auto"/>
            </w:tcBorders>
            <w:shd w:val="clear" w:color="000000" w:fill="F2F2F2"/>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Pr>
              <w:t> </w:t>
            </w:r>
          </w:p>
        </w:tc>
        <w:tc>
          <w:tcPr>
            <w:tcW w:w="1296" w:type="dxa"/>
            <w:tcBorders>
              <w:top w:val="nil"/>
              <w:left w:val="single" w:sz="4" w:space="0" w:color="auto"/>
              <w:bottom w:val="single" w:sz="4" w:space="0" w:color="auto"/>
              <w:right w:val="single" w:sz="4" w:space="0" w:color="auto"/>
            </w:tcBorders>
            <w:shd w:val="clear" w:color="000000" w:fill="F2F2F2"/>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Pr>
              <w:t> </w:t>
            </w:r>
          </w:p>
        </w:tc>
        <w:tc>
          <w:tcPr>
            <w:tcW w:w="1662" w:type="dxa"/>
            <w:tcBorders>
              <w:top w:val="nil"/>
              <w:left w:val="single" w:sz="4" w:space="0" w:color="auto"/>
              <w:bottom w:val="single" w:sz="4" w:space="0" w:color="auto"/>
              <w:right w:val="single" w:sz="8" w:space="0" w:color="auto"/>
            </w:tcBorders>
            <w:shd w:val="clear" w:color="000000" w:fill="F2F2F2"/>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Pr>
              <w:t>0</w:t>
            </w:r>
          </w:p>
        </w:tc>
      </w:tr>
      <w:tr w:rsidR="00172A14" w:rsidRPr="00172A14" w:rsidTr="00FC3847">
        <w:trPr>
          <w:trHeight w:val="264"/>
          <w:jc w:val="center"/>
        </w:trPr>
        <w:tc>
          <w:tcPr>
            <w:tcW w:w="79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b w:val="0"/>
                <w:bCs w:val="0"/>
                <w:color w:val="000000"/>
                <w:sz w:val="24"/>
                <w:szCs w:val="24"/>
              </w:rPr>
            </w:pPr>
            <w:r w:rsidRPr="00172A14">
              <w:rPr>
                <w:rFonts w:eastAsia="Times New Roman"/>
                <w:b w:val="0"/>
                <w:bCs w:val="0"/>
                <w:color w:val="000000"/>
                <w:sz w:val="24"/>
                <w:szCs w:val="24"/>
              </w:rPr>
              <w:t> </w:t>
            </w:r>
          </w:p>
        </w:tc>
        <w:tc>
          <w:tcPr>
            <w:tcW w:w="4686" w:type="dxa"/>
            <w:tcBorders>
              <w:top w:val="single" w:sz="4" w:space="0" w:color="auto"/>
              <w:left w:val="nil"/>
              <w:bottom w:val="single" w:sz="4" w:space="0" w:color="auto"/>
              <w:right w:val="single" w:sz="4" w:space="0" w:color="auto"/>
            </w:tcBorders>
            <w:shd w:val="clear" w:color="000000" w:fill="BFBFBF"/>
            <w:noWrap/>
            <w:vAlign w:val="center"/>
            <w:hideMark/>
          </w:tcPr>
          <w:p w:rsidR="00172A14" w:rsidRPr="00172A14" w:rsidRDefault="00172A14" w:rsidP="00FC3847">
            <w:pPr>
              <w:spacing w:before="100" w:beforeAutospacing="1" w:after="100" w:afterAutospacing="1" w:line="240" w:lineRule="exact"/>
              <w:jc w:val="left"/>
              <w:rPr>
                <w:rFonts w:eastAsia="Times New Roman"/>
                <w:color w:val="000000"/>
                <w:sz w:val="20"/>
                <w:szCs w:val="20"/>
              </w:rPr>
            </w:pPr>
            <w:r w:rsidRPr="00172A14">
              <w:rPr>
                <w:rFonts w:eastAsia="Times New Roman"/>
                <w:color w:val="000000"/>
                <w:sz w:val="20"/>
                <w:szCs w:val="20"/>
                <w:rtl/>
              </w:rPr>
              <w:t>نسبة الرفع المالي (2/1)</w:t>
            </w:r>
          </w:p>
        </w:tc>
        <w:tc>
          <w:tcPr>
            <w:tcW w:w="148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Pr>
              <w:t> </w:t>
            </w:r>
          </w:p>
        </w:tc>
        <w:tc>
          <w:tcPr>
            <w:tcW w:w="129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Pr>
              <w:t> </w:t>
            </w:r>
          </w:p>
        </w:tc>
        <w:tc>
          <w:tcPr>
            <w:tcW w:w="166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72A14" w:rsidRPr="00172A14" w:rsidRDefault="00172A14" w:rsidP="00FC3847">
            <w:pPr>
              <w:bidi w:val="0"/>
              <w:spacing w:before="100" w:beforeAutospacing="1" w:after="100" w:afterAutospacing="1" w:line="240" w:lineRule="exact"/>
              <w:jc w:val="center"/>
              <w:rPr>
                <w:rFonts w:eastAsia="Times New Roman"/>
                <w:color w:val="000000"/>
                <w:sz w:val="20"/>
                <w:szCs w:val="20"/>
              </w:rPr>
            </w:pPr>
            <w:r w:rsidRPr="00172A14">
              <w:rPr>
                <w:rFonts w:eastAsia="Times New Roman"/>
                <w:color w:val="000000"/>
                <w:sz w:val="20"/>
                <w:szCs w:val="20"/>
              </w:rPr>
              <w:t>#DIV/0!</w:t>
            </w:r>
          </w:p>
        </w:tc>
      </w:tr>
      <w:tr w:rsidR="00172A14" w:rsidRPr="00172A14" w:rsidTr="00FC3847">
        <w:trPr>
          <w:trHeight w:val="578"/>
          <w:jc w:val="center"/>
        </w:trPr>
        <w:tc>
          <w:tcPr>
            <w:tcW w:w="794" w:type="dxa"/>
            <w:tcBorders>
              <w:top w:val="single" w:sz="4" w:space="0" w:color="auto"/>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1</w:t>
            </w:r>
          </w:p>
        </w:tc>
        <w:tc>
          <w:tcPr>
            <w:tcW w:w="9132" w:type="dxa"/>
            <w:gridSpan w:val="4"/>
            <w:tcBorders>
              <w:top w:val="single" w:sz="4" w:space="0" w:color="auto"/>
            </w:tcBorders>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 xml:space="preserve">جميع الاقتطاعات من رأس المال ستكون من الشريحة الأولى، كما أن البنود المقتطعة بالكامل من الشريحة الأولى سيتم استبعادها من مقام النسبة. </w:t>
            </w:r>
          </w:p>
        </w:tc>
      </w:tr>
      <w:tr w:rsidR="00172A14" w:rsidRPr="00172A14" w:rsidTr="00FC3847">
        <w:trPr>
          <w:trHeight w:val="190"/>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2</w:t>
            </w:r>
          </w:p>
        </w:tc>
        <w:tc>
          <w:tcPr>
            <w:tcW w:w="4686" w:type="dxa"/>
            <w:shd w:val="clear" w:color="auto" w:fill="auto"/>
            <w:noWrap/>
            <w:vAlign w:val="center"/>
            <w:hideMark/>
          </w:tcPr>
          <w:p w:rsidR="00172A14" w:rsidRPr="00172A14" w:rsidRDefault="00172A14" w:rsidP="00D80122">
            <w:pPr>
              <w:spacing w:after="0" w:line="240" w:lineRule="exact"/>
              <w:jc w:val="left"/>
              <w:rPr>
                <w:rFonts w:eastAsia="Times New Roman"/>
                <w:b w:val="0"/>
                <w:bCs w:val="0"/>
                <w:color w:val="000000"/>
                <w:sz w:val="20"/>
                <w:szCs w:val="20"/>
              </w:rPr>
            </w:pPr>
            <w:r w:rsidRPr="00172A14">
              <w:rPr>
                <w:rFonts w:eastAsia="Times New Roman"/>
                <w:b w:val="0"/>
                <w:bCs w:val="0"/>
                <w:color w:val="000000"/>
                <w:sz w:val="20"/>
                <w:szCs w:val="20"/>
                <w:rtl/>
              </w:rPr>
              <w:t>محفظة الأوراق المالية بالصافي</w:t>
            </w:r>
          </w:p>
        </w:tc>
        <w:tc>
          <w:tcPr>
            <w:tcW w:w="1488"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296"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662"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r>
      <w:tr w:rsidR="00172A14" w:rsidRPr="00172A14" w:rsidTr="00FC3847">
        <w:trPr>
          <w:trHeight w:val="280"/>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3</w:t>
            </w:r>
          </w:p>
        </w:tc>
        <w:tc>
          <w:tcPr>
            <w:tcW w:w="4686" w:type="dxa"/>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 xml:space="preserve">التسهيلات الائتمانية ستكون بعد طرح مخصص التدني والفوائد المعلقة. </w:t>
            </w:r>
          </w:p>
        </w:tc>
        <w:tc>
          <w:tcPr>
            <w:tcW w:w="1488"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296"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662"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r>
      <w:tr w:rsidR="00172A14" w:rsidRPr="00172A14" w:rsidTr="00FC3847">
        <w:trPr>
          <w:trHeight w:val="355"/>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lastRenderedPageBreak/>
              <w:t>4</w:t>
            </w:r>
          </w:p>
        </w:tc>
        <w:tc>
          <w:tcPr>
            <w:tcW w:w="6174" w:type="dxa"/>
            <w:gridSpan w:val="2"/>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المشتقات الائتمانية داخل الميزانية تمثل صافي القيمة العادلة الموجبة بعد استبعاد القيمة السالبة</w:t>
            </w:r>
          </w:p>
        </w:tc>
        <w:tc>
          <w:tcPr>
            <w:tcW w:w="1296"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662"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r>
      <w:tr w:rsidR="00172A14" w:rsidRPr="00172A14" w:rsidTr="00FC3847">
        <w:trPr>
          <w:trHeight w:val="275"/>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5</w:t>
            </w:r>
          </w:p>
        </w:tc>
        <w:tc>
          <w:tcPr>
            <w:tcW w:w="9132" w:type="dxa"/>
            <w:gridSpan w:val="4"/>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 xml:space="preserve">جميع الموجودات داخل الميزانية يجب أن تكون بدون خصم أي ضمانات مالية أو عينية ودون الأخذ بمخففات مخاطر الائتمان، كما لا يسمح </w:t>
            </w:r>
          </w:p>
        </w:tc>
      </w:tr>
      <w:tr w:rsidR="00172A14" w:rsidRPr="00172A14" w:rsidTr="00FC3847">
        <w:trPr>
          <w:trHeight w:val="365"/>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4686" w:type="dxa"/>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بالتقاص بين القروض والودائع.</w:t>
            </w:r>
          </w:p>
        </w:tc>
        <w:tc>
          <w:tcPr>
            <w:tcW w:w="1488"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296"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662"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r>
      <w:tr w:rsidR="00172A14" w:rsidRPr="00172A14" w:rsidTr="00FC3847">
        <w:trPr>
          <w:trHeight w:val="427"/>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6</w:t>
            </w:r>
          </w:p>
        </w:tc>
        <w:tc>
          <w:tcPr>
            <w:tcW w:w="4686" w:type="dxa"/>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 xml:space="preserve">التسهيلات غير المستغلة تشمل المباشرة وغير المباشرة. </w:t>
            </w:r>
          </w:p>
        </w:tc>
        <w:tc>
          <w:tcPr>
            <w:tcW w:w="1488"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296"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662"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r>
      <w:tr w:rsidR="00172A14" w:rsidRPr="00172A14" w:rsidTr="00FC3847">
        <w:trPr>
          <w:trHeight w:val="263"/>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7</w:t>
            </w:r>
          </w:p>
        </w:tc>
        <w:tc>
          <w:tcPr>
            <w:tcW w:w="9132" w:type="dxa"/>
            <w:gridSpan w:val="4"/>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 xml:space="preserve">الالتزامات التي يجوز للبنك الغاؤها دون الرجوع إلى العميل ودون اشعار مسبق، وعادة ما يكون استحقاقها أقل من سنة. </w:t>
            </w:r>
          </w:p>
        </w:tc>
      </w:tr>
      <w:tr w:rsidR="00172A14" w:rsidRPr="00172A14" w:rsidTr="00FC3847">
        <w:trPr>
          <w:trHeight w:val="339"/>
          <w:jc w:val="center"/>
        </w:trPr>
        <w:tc>
          <w:tcPr>
            <w:tcW w:w="794" w:type="dxa"/>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r w:rsidRPr="00172A14">
              <w:rPr>
                <w:rFonts w:eastAsia="Times New Roman"/>
                <w:b w:val="0"/>
                <w:bCs w:val="0"/>
                <w:color w:val="000000"/>
                <w:sz w:val="20"/>
                <w:szCs w:val="20"/>
                <w:vertAlign w:val="superscript"/>
              </w:rPr>
              <w:t>8</w:t>
            </w:r>
          </w:p>
        </w:tc>
        <w:tc>
          <w:tcPr>
            <w:tcW w:w="4686" w:type="dxa"/>
            <w:shd w:val="clear" w:color="auto" w:fill="auto"/>
            <w:noWrap/>
            <w:vAlign w:val="center"/>
            <w:hideMark/>
          </w:tcPr>
          <w:p w:rsidR="00172A14" w:rsidRPr="00172A14" w:rsidRDefault="00172A14" w:rsidP="00172A14">
            <w:pPr>
              <w:spacing w:after="0"/>
              <w:jc w:val="left"/>
              <w:rPr>
                <w:rFonts w:eastAsia="Times New Roman"/>
                <w:b w:val="0"/>
                <w:bCs w:val="0"/>
                <w:color w:val="000000"/>
                <w:sz w:val="20"/>
                <w:szCs w:val="20"/>
              </w:rPr>
            </w:pPr>
            <w:r w:rsidRPr="00172A14">
              <w:rPr>
                <w:rFonts w:eastAsia="Times New Roman"/>
                <w:b w:val="0"/>
                <w:bCs w:val="0"/>
                <w:color w:val="000000"/>
                <w:sz w:val="20"/>
                <w:szCs w:val="20"/>
                <w:rtl/>
              </w:rPr>
              <w:t xml:space="preserve">البنود خارج الميزانية ستكون بالصافي بعد استبعاد التأمينات النقدية. </w:t>
            </w:r>
          </w:p>
        </w:tc>
        <w:tc>
          <w:tcPr>
            <w:tcW w:w="1488"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296"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c>
          <w:tcPr>
            <w:tcW w:w="1662" w:type="dxa"/>
            <w:tcBorders>
              <w:top w:val="nil"/>
              <w:left w:val="nil"/>
              <w:bottom w:val="nil"/>
              <w:right w:val="nil"/>
            </w:tcBorders>
            <w:shd w:val="clear" w:color="auto" w:fill="auto"/>
            <w:noWrap/>
            <w:vAlign w:val="center"/>
            <w:hideMark/>
          </w:tcPr>
          <w:p w:rsidR="00172A14" w:rsidRPr="00172A14" w:rsidRDefault="00172A14" w:rsidP="00172A14">
            <w:pPr>
              <w:bidi w:val="0"/>
              <w:spacing w:after="0"/>
              <w:jc w:val="center"/>
              <w:rPr>
                <w:rFonts w:eastAsia="Times New Roman"/>
                <w:b w:val="0"/>
                <w:bCs w:val="0"/>
                <w:color w:val="000000"/>
                <w:sz w:val="20"/>
                <w:szCs w:val="20"/>
              </w:rPr>
            </w:pPr>
          </w:p>
        </w:tc>
      </w:tr>
    </w:tbl>
    <w:p w:rsidR="00172A14" w:rsidRPr="00172A14" w:rsidRDefault="00172A14" w:rsidP="005A2DDD">
      <w:pPr>
        <w:rPr>
          <w:lang w:bidi="ar-JO"/>
        </w:rPr>
      </w:pPr>
    </w:p>
    <w:sectPr w:rsidR="00172A14" w:rsidRPr="00172A14" w:rsidSect="00DC79A4">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701"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97F" w:rsidRDefault="00B1497F">
      <w:r>
        <w:separator/>
      </w:r>
    </w:p>
  </w:endnote>
  <w:endnote w:type="continuationSeparator" w:id="0">
    <w:p w:rsidR="00B1497F" w:rsidRDefault="00B1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abic Transparent">
    <w:panose1 w:val="020B0604020202020204"/>
    <w:charset w:val="00"/>
    <w:family w:val="swiss"/>
    <w:pitch w:val="variable"/>
    <w:sig w:usb0="E0002AFF" w:usb1="C0007843" w:usb2="00000009" w:usb3="00000000" w:csb0="000001FF" w:csb1="00000000"/>
  </w:font>
  <w:font w:name="Mudir MT">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T Bold Heading">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Footer"/>
      <w:jc w:val="center"/>
    </w:pPr>
    <w:r>
      <w:fldChar w:fldCharType="begin"/>
    </w:r>
    <w:r>
      <w:instrText xml:space="preserve"> PAGE   \* MERGEFORMAT </w:instrText>
    </w:r>
    <w:r>
      <w:fldChar w:fldCharType="separate"/>
    </w:r>
    <w:r w:rsidR="002A35AA">
      <w:rPr>
        <w:rtl/>
      </w:rPr>
      <w:t>50</w:t>
    </w:r>
    <w:r>
      <w:fldChar w:fldCharType="end"/>
    </w:r>
  </w:p>
  <w:p w:rsidR="00B1497F" w:rsidRDefault="00B1497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Footer"/>
      <w:jc w:val="center"/>
    </w:pPr>
    <w:r>
      <w:fldChar w:fldCharType="begin"/>
    </w:r>
    <w:r>
      <w:instrText xml:space="preserve"> PAGE   \* MERGEFORMAT </w:instrText>
    </w:r>
    <w:r>
      <w:fldChar w:fldCharType="separate"/>
    </w:r>
    <w:r w:rsidR="002A35AA">
      <w:rPr>
        <w:rtl/>
      </w:rPr>
      <w:t>1</w:t>
    </w:r>
    <w:r>
      <w:fldChar w:fldCharType="end"/>
    </w:r>
  </w:p>
  <w:p w:rsidR="00B1497F" w:rsidRDefault="00B1497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Footer"/>
      <w:jc w:val="center"/>
    </w:pPr>
    <w:r>
      <w:fldChar w:fldCharType="begin"/>
    </w:r>
    <w:r>
      <w:instrText xml:space="preserve"> PAGE   \* MERGEFORMAT </w:instrText>
    </w:r>
    <w:r>
      <w:fldChar w:fldCharType="separate"/>
    </w:r>
    <w:r w:rsidR="002A35AA">
      <w:rPr>
        <w:rtl/>
      </w:rPr>
      <w:t>108</w:t>
    </w:r>
    <w:r>
      <w:fldChar w:fldCharType="end"/>
    </w:r>
  </w:p>
  <w:p w:rsidR="00B1497F" w:rsidRDefault="00B1497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Footer"/>
      <w:jc w:val="center"/>
    </w:pPr>
    <w:r>
      <w:fldChar w:fldCharType="begin"/>
    </w:r>
    <w:r>
      <w:instrText xml:space="preserve"> PAGE   \* MERGEFORMAT </w:instrText>
    </w:r>
    <w:r>
      <w:fldChar w:fldCharType="separate"/>
    </w:r>
    <w:r w:rsidR="002A35AA">
      <w:rPr>
        <w:rtl/>
      </w:rPr>
      <w:t>114</w:t>
    </w:r>
    <w:r>
      <w:fldChar w:fldCharType="end"/>
    </w:r>
  </w:p>
  <w:p w:rsidR="00B1497F" w:rsidRDefault="00B1497F">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Footer"/>
      <w:jc w:val="center"/>
    </w:pPr>
    <w:r>
      <w:fldChar w:fldCharType="begin"/>
    </w:r>
    <w:r>
      <w:instrText xml:space="preserve"> PAGE   \* MERGEFORMAT </w:instrText>
    </w:r>
    <w:r>
      <w:fldChar w:fldCharType="separate"/>
    </w:r>
    <w:r w:rsidR="002A35AA">
      <w:rPr>
        <w:rtl/>
      </w:rPr>
      <w:t>109</w:t>
    </w:r>
    <w:r>
      <w:fldChar w:fldCharType="end"/>
    </w:r>
  </w:p>
  <w:p w:rsidR="00B1497F" w:rsidRDefault="00B14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97F" w:rsidRDefault="00B1497F">
      <w:r>
        <w:separator/>
      </w:r>
    </w:p>
  </w:footnote>
  <w:footnote w:type="continuationSeparator" w:id="0">
    <w:p w:rsidR="00B1497F" w:rsidRDefault="00B1497F">
      <w:r>
        <w:continuationSeparator/>
      </w:r>
    </w:p>
  </w:footnote>
  <w:footnote w:id="1">
    <w:p w:rsidR="00B1497F" w:rsidRPr="00F43150" w:rsidRDefault="00B1497F">
      <w:pPr>
        <w:pStyle w:val="FootnoteText"/>
        <w:rPr>
          <w:b w:val="0"/>
          <w:bCs w:val="0"/>
          <w:sz w:val="22"/>
          <w:szCs w:val="22"/>
        </w:rPr>
      </w:pPr>
      <w:r w:rsidRPr="00F43150">
        <w:rPr>
          <w:rStyle w:val="FootnoteReference"/>
          <w:b w:val="0"/>
          <w:bCs w:val="0"/>
          <w:sz w:val="22"/>
          <w:szCs w:val="22"/>
        </w:rPr>
        <w:footnoteRef/>
      </w:r>
      <w:r w:rsidRPr="00F43150">
        <w:rPr>
          <w:b w:val="0"/>
          <w:bCs w:val="0"/>
          <w:sz w:val="22"/>
          <w:szCs w:val="22"/>
          <w:rtl/>
        </w:rPr>
        <w:t xml:space="preserve"> </w:t>
      </w:r>
      <w:r w:rsidRPr="00F43150">
        <w:rPr>
          <w:rFonts w:hint="cs"/>
          <w:b w:val="0"/>
          <w:bCs w:val="0"/>
          <w:sz w:val="22"/>
          <w:szCs w:val="22"/>
          <w:rtl/>
        </w:rPr>
        <w:t>المجموعة البنكية تخص البنوك الأردنية.</w:t>
      </w:r>
    </w:p>
  </w:footnote>
  <w:footnote w:id="2">
    <w:p w:rsidR="00B1497F" w:rsidRPr="00543384" w:rsidRDefault="00B1497F" w:rsidP="002174AE">
      <w:pPr>
        <w:pStyle w:val="FootnoteText"/>
        <w:spacing w:after="0"/>
        <w:ind w:left="183" w:hanging="183"/>
        <w:rPr>
          <w:b w:val="0"/>
          <w:bCs w:val="0"/>
        </w:rPr>
      </w:pPr>
      <w:r w:rsidRPr="00543384">
        <w:rPr>
          <w:rStyle w:val="FootnoteReference"/>
          <w:b w:val="0"/>
          <w:bCs w:val="0"/>
        </w:rPr>
        <w:footnoteRef/>
      </w:r>
      <w:r w:rsidRPr="00543384">
        <w:rPr>
          <w:b w:val="0"/>
          <w:bCs w:val="0"/>
          <w:rtl/>
        </w:rPr>
        <w:t xml:space="preserve"> </w:t>
      </w:r>
      <w:r w:rsidRPr="00543384">
        <w:rPr>
          <w:rFonts w:hint="cs"/>
          <w:b w:val="0"/>
          <w:bCs w:val="0"/>
          <w:rtl/>
        </w:rPr>
        <w:t xml:space="preserve">  </w:t>
      </w:r>
      <w:r w:rsidRPr="00543384">
        <w:rPr>
          <w:b w:val="0"/>
          <w:bCs w:val="0"/>
          <w:rtl/>
        </w:rPr>
        <w:t xml:space="preserve">تشمل الاستثمارات المباشرة وغير المباشرة سواء كانت مصنفة ضمن المحفظة البنكية أو محفظة المتاجرة. </w:t>
      </w:r>
    </w:p>
  </w:footnote>
  <w:footnote w:id="3">
    <w:p w:rsidR="00B1497F" w:rsidRPr="00776491" w:rsidRDefault="00B1497F" w:rsidP="002174AE">
      <w:pPr>
        <w:pStyle w:val="FootnoteText"/>
        <w:spacing w:after="0"/>
        <w:ind w:left="183" w:hanging="183"/>
        <w:rPr>
          <w:rtl/>
        </w:rPr>
      </w:pPr>
      <w:r w:rsidRPr="00543384">
        <w:rPr>
          <w:rStyle w:val="FootnoteReference"/>
          <w:b w:val="0"/>
          <w:bCs w:val="0"/>
        </w:rPr>
        <w:footnoteRef/>
      </w:r>
      <w:r w:rsidRPr="00543384">
        <w:rPr>
          <w:b w:val="0"/>
          <w:bCs w:val="0"/>
          <w:rtl/>
        </w:rPr>
        <w:t xml:space="preserve"> </w:t>
      </w:r>
      <w:r w:rsidRPr="00543384">
        <w:rPr>
          <w:rFonts w:hint="cs"/>
          <w:b w:val="0"/>
          <w:bCs w:val="0"/>
          <w:rtl/>
        </w:rPr>
        <w:t xml:space="preserve"> </w:t>
      </w:r>
      <w:r w:rsidRPr="00543384">
        <w:rPr>
          <w:b w:val="0"/>
          <w:bCs w:val="0"/>
          <w:rtl/>
        </w:rPr>
        <w:t xml:space="preserve">سيكون المبلغ المستقطع من الاستثمارات في حقوق الملكية والاستثمارات الاخرى في راس المال التنظيمي خاضعاً للتعديل ليعكس مبلغ الفائض في راسمال هذه </w:t>
      </w:r>
      <w:r w:rsidRPr="00543384">
        <w:rPr>
          <w:rFonts w:hint="cs"/>
          <w:b w:val="0"/>
          <w:bCs w:val="0"/>
          <w:rtl/>
        </w:rPr>
        <w:t xml:space="preserve"> الشركات </w:t>
      </w:r>
      <w:r w:rsidRPr="00543384">
        <w:rPr>
          <w:b w:val="0"/>
          <w:bCs w:val="0"/>
          <w:rtl/>
        </w:rPr>
        <w:t>الذي يزيد عن المتطلبات الرقابية. اي ان المبلغ المستقطع سيكون بمقدار الاستثمار و</w:t>
      </w:r>
      <w:r w:rsidRPr="00543384">
        <w:rPr>
          <w:rFonts w:hint="cs"/>
          <w:b w:val="0"/>
          <w:bCs w:val="0"/>
          <w:rtl/>
        </w:rPr>
        <w:t xml:space="preserve">/أو </w:t>
      </w:r>
      <w:r w:rsidRPr="00543384">
        <w:rPr>
          <w:b w:val="0"/>
          <w:bCs w:val="0"/>
          <w:rtl/>
        </w:rPr>
        <w:t>متطلبات راس المال التنظيمي ايهما اقل المبينة ف</w:t>
      </w:r>
      <w:r w:rsidRPr="00543384">
        <w:rPr>
          <w:rFonts w:hint="cs"/>
          <w:b w:val="0"/>
          <w:bCs w:val="0"/>
          <w:rtl/>
        </w:rPr>
        <w:t>ي البند (ثالثاً/4)</w:t>
      </w:r>
      <w:r w:rsidRPr="00543384">
        <w:rPr>
          <w:b w:val="0"/>
          <w:bCs w:val="0"/>
          <w:rtl/>
        </w:rPr>
        <w:t xml:space="preserve"> حقوق الاقلية ورأس المال الصادر عن الشركات التابعة المجمعة، المبلغ الذي يمثل الفائض (الفرق بين الاستثمار في هذه </w:t>
      </w:r>
      <w:r w:rsidRPr="00543384">
        <w:rPr>
          <w:rFonts w:hint="cs"/>
          <w:b w:val="0"/>
          <w:bCs w:val="0"/>
          <w:rtl/>
        </w:rPr>
        <w:t xml:space="preserve"> الشركات </w:t>
      </w:r>
      <w:r w:rsidRPr="00543384">
        <w:rPr>
          <w:b w:val="0"/>
          <w:bCs w:val="0"/>
          <w:rtl/>
        </w:rPr>
        <w:t>ورأسمالها الرقابي) سيتم اعطاؤه وزن مخاطر ترجيحي مثل اي استثمار آخر.</w:t>
      </w:r>
      <w:r w:rsidRPr="00776491">
        <w:rPr>
          <w:rtl/>
        </w:rPr>
        <w:t xml:space="preserve"> </w:t>
      </w:r>
    </w:p>
  </w:footnote>
  <w:footnote w:id="4">
    <w:p w:rsidR="00B1497F" w:rsidRPr="00D64172" w:rsidRDefault="00B1497F" w:rsidP="00DC1722">
      <w:pPr>
        <w:pStyle w:val="FootnoteText"/>
        <w:spacing w:after="0"/>
        <w:ind w:left="183" w:hanging="183"/>
        <w:rPr>
          <w:b w:val="0"/>
          <w:bCs w:val="0"/>
        </w:rPr>
      </w:pPr>
      <w:r w:rsidRPr="00D64172">
        <w:rPr>
          <w:rStyle w:val="FootnoteReference"/>
          <w:b w:val="0"/>
          <w:bCs w:val="0"/>
        </w:rPr>
        <w:footnoteRef/>
      </w:r>
      <w:r w:rsidRPr="00D64172">
        <w:rPr>
          <w:b w:val="0"/>
          <w:bCs w:val="0"/>
          <w:rtl/>
        </w:rPr>
        <w:t xml:space="preserve"> </w:t>
      </w:r>
      <w:r w:rsidRPr="00D64172">
        <w:rPr>
          <w:rFonts w:hint="cs"/>
          <w:b w:val="0"/>
          <w:bCs w:val="0"/>
          <w:rtl/>
        </w:rPr>
        <w:t xml:space="preserve"> يحق للبنك المركزي وفي حال مواجهة البنك لمشكلات مالية جوهرية أن يُصدر تعليمات تتضمن قيام هذه الأدوات بامتصاص الخسائر. </w:t>
      </w:r>
    </w:p>
  </w:footnote>
  <w:footnote w:id="5">
    <w:p w:rsidR="00B1497F" w:rsidRPr="00154B0B" w:rsidRDefault="00B1497F" w:rsidP="002174AE">
      <w:pPr>
        <w:pStyle w:val="FootnoteText"/>
        <w:spacing w:after="0"/>
        <w:rPr>
          <w:b w:val="0"/>
          <w:bCs w:val="0"/>
          <w:rtl/>
          <w:lang w:val="en-US"/>
        </w:rPr>
      </w:pPr>
      <w:r w:rsidRPr="00154B0B">
        <w:rPr>
          <w:rStyle w:val="FootnoteReference"/>
          <w:b w:val="0"/>
          <w:bCs w:val="0"/>
        </w:rPr>
        <w:footnoteRef/>
      </w:r>
      <w:r w:rsidRPr="00154B0B">
        <w:rPr>
          <w:b w:val="0"/>
          <w:bCs w:val="0"/>
          <w:rtl/>
        </w:rPr>
        <w:t xml:space="preserve"> </w:t>
      </w:r>
      <w:r w:rsidRPr="00154B0B">
        <w:rPr>
          <w:rFonts w:hint="cs"/>
          <w:b w:val="0"/>
          <w:bCs w:val="0"/>
          <w:rtl/>
        </w:rPr>
        <w:t xml:space="preserve">لا يتم تضمين الأرباح المقترح توزيعها ضمن </w:t>
      </w:r>
      <w:r w:rsidRPr="00154B0B">
        <w:rPr>
          <w:b w:val="0"/>
          <w:bCs w:val="0"/>
          <w:lang w:val="en-US"/>
        </w:rPr>
        <w:t>CET1</w:t>
      </w:r>
      <w:r w:rsidRPr="00154B0B">
        <w:rPr>
          <w:rFonts w:hint="cs"/>
          <w:b w:val="0"/>
          <w:bCs w:val="0"/>
          <w:rtl/>
          <w:lang w:val="en-US"/>
        </w:rPr>
        <w:t xml:space="preserve">. </w:t>
      </w:r>
    </w:p>
  </w:footnote>
  <w:footnote w:id="6">
    <w:p w:rsidR="00B1497F" w:rsidRDefault="00B1497F" w:rsidP="002174AE">
      <w:pPr>
        <w:pStyle w:val="FootnoteText"/>
        <w:spacing w:after="0"/>
      </w:pPr>
      <w:r w:rsidRPr="00154B0B">
        <w:rPr>
          <w:rStyle w:val="FootnoteReference"/>
          <w:b w:val="0"/>
          <w:bCs w:val="0"/>
        </w:rPr>
        <w:footnoteRef/>
      </w:r>
      <w:r w:rsidRPr="00154B0B">
        <w:rPr>
          <w:b w:val="0"/>
          <w:bCs w:val="0"/>
          <w:rtl/>
        </w:rPr>
        <w:t xml:space="preserve"> </w:t>
      </w:r>
      <w:r w:rsidRPr="00154B0B">
        <w:rPr>
          <w:rFonts w:hint="cs"/>
          <w:b w:val="0"/>
          <w:bCs w:val="0"/>
          <w:rtl/>
        </w:rPr>
        <w:t>إذا كان الاحتياطي ناتج عن أصول غير مقيمة بالقيمة العادلة فلا يتم الاعتراف بهذا الاحتياطي</w:t>
      </w:r>
      <w:r>
        <w:rPr>
          <w:rFonts w:hint="cs"/>
          <w:b w:val="0"/>
          <w:bCs w:val="0"/>
          <w:rtl/>
        </w:rPr>
        <w:t xml:space="preserve"> مثل التسهيلات الائتمانية</w:t>
      </w:r>
      <w:r w:rsidRPr="00154B0B">
        <w:rPr>
          <w:rFonts w:hint="cs"/>
          <w:b w:val="0"/>
          <w:bCs w:val="0"/>
          <w:rtl/>
        </w:rPr>
        <w:t>.</w:t>
      </w:r>
      <w:r>
        <w:rPr>
          <w:rFonts w:hint="cs"/>
          <w:rtl/>
        </w:rPr>
        <w:t xml:space="preserve"> </w:t>
      </w:r>
    </w:p>
  </w:footnote>
  <w:footnote w:id="7">
    <w:p w:rsidR="00B1497F" w:rsidRPr="00572231" w:rsidRDefault="00B1497F" w:rsidP="002174AE">
      <w:pPr>
        <w:pStyle w:val="FootnoteText"/>
        <w:spacing w:after="0"/>
        <w:ind w:left="183" w:hanging="183"/>
        <w:rPr>
          <w:b w:val="0"/>
          <w:bCs w:val="0"/>
          <w:rtl/>
        </w:rPr>
      </w:pPr>
      <w:r w:rsidRPr="00572231">
        <w:rPr>
          <w:rStyle w:val="FootnoteReference"/>
          <w:b w:val="0"/>
          <w:bCs w:val="0"/>
        </w:rPr>
        <w:footnoteRef/>
      </w:r>
      <w:r w:rsidRPr="00572231">
        <w:rPr>
          <w:b w:val="0"/>
          <w:bCs w:val="0"/>
          <w:rtl/>
        </w:rPr>
        <w:t xml:space="preserve"> يمكن ان تتضمن الجهة ذات العلاقة الشركة الأم، شركة شقيقه، شركة تابعة أو اي حليف آخر، وتعتبر الشركة القابضة طرف ذوعلاقة بغض النظر عما اذا كانت جزء من المجموعة البنكية.</w:t>
      </w:r>
    </w:p>
  </w:footnote>
  <w:footnote w:id="8">
    <w:p w:rsidR="00B1497F" w:rsidRPr="00572231" w:rsidRDefault="00B1497F" w:rsidP="00E52119">
      <w:pPr>
        <w:pStyle w:val="FootnoteText"/>
        <w:spacing w:after="0"/>
        <w:ind w:left="651" w:hanging="468"/>
        <w:rPr>
          <w:b w:val="0"/>
          <w:bCs w:val="0"/>
        </w:rPr>
      </w:pPr>
      <w:r w:rsidRPr="00572231">
        <w:rPr>
          <w:rStyle w:val="FootnoteReference"/>
          <w:b w:val="0"/>
          <w:bCs w:val="0"/>
        </w:rPr>
        <w:footnoteRef/>
      </w:r>
      <w:r w:rsidRPr="00572231">
        <w:rPr>
          <w:b w:val="0"/>
          <w:bCs w:val="0"/>
          <w:rtl/>
        </w:rPr>
        <w:t xml:space="preserve"> </w:t>
      </w:r>
      <w:r w:rsidRPr="00572231">
        <w:rPr>
          <w:b w:val="0"/>
          <w:bCs w:val="0"/>
          <w:rtl/>
        </w:rPr>
        <w:tab/>
        <w:t>يجوز تزامن استبدال الأداة الجديدة مع اطفاء الأداة القديمة لكن لا يجوز ان يحدث بعده.</w:t>
      </w:r>
    </w:p>
  </w:footnote>
  <w:footnote w:id="9">
    <w:p w:rsidR="00B1497F" w:rsidRPr="00105440" w:rsidRDefault="00B1497F" w:rsidP="00E52119">
      <w:pPr>
        <w:pStyle w:val="FootnoteText"/>
        <w:spacing w:after="0"/>
        <w:ind w:left="651" w:hanging="468"/>
      </w:pPr>
      <w:r w:rsidRPr="00572231">
        <w:rPr>
          <w:b w:val="0"/>
          <w:bCs w:val="0"/>
        </w:rPr>
        <w:t xml:space="preserve"> </w:t>
      </w:r>
      <w:r w:rsidRPr="009B17B3">
        <w:rPr>
          <w:b w:val="0"/>
          <w:bCs w:val="0"/>
          <w:vertAlign w:val="superscript"/>
        </w:rPr>
        <w:footnoteRef/>
      </w:r>
      <w:r w:rsidRPr="00572231">
        <w:rPr>
          <w:b w:val="0"/>
          <w:bCs w:val="0"/>
          <w:rtl/>
        </w:rPr>
        <w:tab/>
        <w:t>اذا تم تنفيذ خيار الإطفاء فان عملية تقييم كفاية راسمال البنك تخضع للتحقق من قبل البنك المركزي الأردني.</w:t>
      </w:r>
      <w:r w:rsidRPr="00105440">
        <w:rPr>
          <w:rtl/>
        </w:rPr>
        <w:t xml:space="preserve"> </w:t>
      </w:r>
    </w:p>
  </w:footnote>
  <w:footnote w:id="10">
    <w:p w:rsidR="00B1497F" w:rsidRPr="00BF6334" w:rsidRDefault="00B1497F" w:rsidP="007E6550">
      <w:pPr>
        <w:pStyle w:val="FootnoteText"/>
        <w:spacing w:after="0"/>
        <w:ind w:left="651" w:hanging="468"/>
        <w:rPr>
          <w:rFonts w:ascii="Arial" w:hAnsi="Arial" w:cs="Arial"/>
          <w:b w:val="0"/>
          <w:bCs w:val="0"/>
        </w:rPr>
      </w:pPr>
      <w:r w:rsidRPr="00BF6334">
        <w:rPr>
          <w:rStyle w:val="FootnoteReference"/>
          <w:b w:val="0"/>
          <w:bCs w:val="0"/>
        </w:rPr>
        <w:footnoteRef/>
      </w:r>
      <w:r w:rsidRPr="00BF6334">
        <w:rPr>
          <w:b w:val="0"/>
          <w:bCs w:val="0"/>
          <w:rtl/>
        </w:rPr>
        <w:t xml:space="preserve"> </w:t>
      </w:r>
      <w:r w:rsidRPr="00BF6334">
        <w:rPr>
          <w:rFonts w:hint="cs"/>
          <w:b w:val="0"/>
          <w:bCs w:val="0"/>
          <w:rtl/>
        </w:rPr>
        <w:tab/>
      </w:r>
      <w:r w:rsidRPr="00BF6334">
        <w:rPr>
          <w:rFonts w:ascii="Arial" w:hAnsi="Arial" w:cs="Arial"/>
          <w:b w:val="0"/>
          <w:bCs w:val="0"/>
          <w:rtl/>
        </w:rPr>
        <w:t>يجوز تزامن ا</w:t>
      </w:r>
      <w:r w:rsidRPr="00BF6334">
        <w:rPr>
          <w:rFonts w:ascii="Arial" w:hAnsi="Arial" w:cs="Arial" w:hint="cs"/>
          <w:b w:val="0"/>
          <w:bCs w:val="0"/>
          <w:rtl/>
        </w:rPr>
        <w:t>ستبدال الأداة الجديدة مع اطفاء الأداة القديمة لكن لا يجوز ان يحدث بعده.</w:t>
      </w:r>
    </w:p>
  </w:footnote>
  <w:footnote w:id="11">
    <w:p w:rsidR="00B1497F" w:rsidRPr="008C2EBC" w:rsidRDefault="00B1497F" w:rsidP="007E6550">
      <w:pPr>
        <w:pStyle w:val="FootnoteText"/>
        <w:spacing w:after="0"/>
        <w:ind w:left="651" w:hanging="468"/>
        <w:rPr>
          <w:rFonts w:ascii="Arial" w:hAnsi="Arial" w:cs="Arial"/>
        </w:rPr>
      </w:pPr>
      <w:r w:rsidRPr="00BF6334">
        <w:rPr>
          <w:rFonts w:ascii="Arial" w:hAnsi="Arial" w:cs="Arial"/>
          <w:b w:val="0"/>
          <w:bCs w:val="0"/>
        </w:rPr>
        <w:t xml:space="preserve"> </w:t>
      </w:r>
      <w:r w:rsidRPr="00BF6334">
        <w:rPr>
          <w:b w:val="0"/>
          <w:bCs w:val="0"/>
          <w:vertAlign w:val="superscript"/>
        </w:rPr>
        <w:footnoteRef/>
      </w:r>
      <w:r w:rsidRPr="00BF6334">
        <w:rPr>
          <w:b w:val="0"/>
          <w:bCs w:val="0"/>
          <w:vertAlign w:val="superscript"/>
          <w:rtl/>
        </w:rPr>
        <w:tab/>
      </w:r>
      <w:r w:rsidRPr="00BF6334">
        <w:rPr>
          <w:rFonts w:ascii="Arial" w:hAnsi="Arial" w:cs="Arial" w:hint="cs"/>
          <w:b w:val="0"/>
          <w:bCs w:val="0"/>
          <w:rtl/>
        </w:rPr>
        <w:t>اذا تم تنفيذ خيار الإطفاء فان عملية تقييم كفاية رأسمال البنك تخضع للتحقق من قبل البنك المركزي الأردني.</w:t>
      </w:r>
      <w:r w:rsidRPr="008C2EBC">
        <w:rPr>
          <w:rFonts w:ascii="Arial" w:hAnsi="Arial" w:cs="Arial"/>
          <w:rtl/>
        </w:rPr>
        <w:t xml:space="preserve"> </w:t>
      </w:r>
    </w:p>
  </w:footnote>
  <w:footnote w:id="12">
    <w:p w:rsidR="00B1497F" w:rsidRPr="00BF6334" w:rsidRDefault="00B1497F" w:rsidP="002174AE">
      <w:pPr>
        <w:pStyle w:val="FootnoteText"/>
        <w:spacing w:after="0"/>
        <w:rPr>
          <w:b w:val="0"/>
          <w:bCs w:val="0"/>
          <w:rtl/>
        </w:rPr>
      </w:pPr>
      <w:r w:rsidRPr="00BF6334">
        <w:rPr>
          <w:rStyle w:val="FootnoteReference"/>
          <w:b w:val="0"/>
          <w:bCs w:val="0"/>
        </w:rPr>
        <w:footnoteRef/>
      </w:r>
      <w:r w:rsidRPr="00BF6334">
        <w:rPr>
          <w:b w:val="0"/>
          <w:bCs w:val="0"/>
          <w:rtl/>
        </w:rPr>
        <w:t xml:space="preserve"> </w:t>
      </w:r>
      <w:r w:rsidRPr="00BF6334">
        <w:rPr>
          <w:rFonts w:hint="cs"/>
          <w:b w:val="0"/>
          <w:bCs w:val="0"/>
          <w:rtl/>
        </w:rPr>
        <w:t xml:space="preserve">في حال كانت متطلبات السلطة الرقابية المضيفة أعلى فيتم الأخذ بها. </w:t>
      </w:r>
    </w:p>
  </w:footnote>
  <w:footnote w:id="13">
    <w:p w:rsidR="00B1497F" w:rsidRPr="00126CEA" w:rsidRDefault="00B1497F" w:rsidP="002174AE">
      <w:pPr>
        <w:pStyle w:val="FootnoteText"/>
        <w:spacing w:after="0"/>
        <w:rPr>
          <w:b w:val="0"/>
          <w:bCs w:val="0"/>
        </w:rPr>
      </w:pPr>
      <w:r w:rsidRPr="00126CEA">
        <w:rPr>
          <w:rStyle w:val="FootnoteReference"/>
          <w:b w:val="0"/>
          <w:bCs w:val="0"/>
        </w:rPr>
        <w:footnoteRef/>
      </w:r>
      <w:r w:rsidRPr="00126CEA">
        <w:rPr>
          <w:b w:val="0"/>
          <w:bCs w:val="0"/>
          <w:rtl/>
        </w:rPr>
        <w:t xml:space="preserve"> </w:t>
      </w:r>
      <w:r w:rsidRPr="00126CEA">
        <w:rPr>
          <w:rFonts w:hint="cs"/>
          <w:b w:val="0"/>
          <w:bCs w:val="0"/>
          <w:rtl/>
        </w:rPr>
        <w:t>في حال كانت متطلبات السلطة الرقابية المضيفة أعلى فيتم الأخذ بها.</w:t>
      </w:r>
    </w:p>
  </w:footnote>
  <w:footnote w:id="14">
    <w:p w:rsidR="00B1497F" w:rsidRPr="00E4033C" w:rsidRDefault="00B1497F" w:rsidP="00A53B18">
      <w:pPr>
        <w:pStyle w:val="FootnoteText"/>
        <w:tabs>
          <w:tab w:val="right" w:pos="476"/>
        </w:tabs>
        <w:ind w:left="476" w:hanging="90"/>
        <w:rPr>
          <w:rFonts w:ascii="Arial" w:hAnsi="Arial" w:cs="Arial"/>
          <w:b w:val="0"/>
          <w:bCs w:val="0"/>
          <w:rtl/>
        </w:rPr>
      </w:pPr>
      <w:r w:rsidRPr="00E4033C">
        <w:rPr>
          <w:rStyle w:val="FootnoteReference"/>
          <w:b w:val="0"/>
          <w:bCs w:val="0"/>
        </w:rPr>
        <w:footnoteRef/>
      </w:r>
      <w:r w:rsidRPr="00E4033C">
        <w:rPr>
          <w:b w:val="0"/>
          <w:bCs w:val="0"/>
          <w:rtl/>
        </w:rPr>
        <w:t xml:space="preserve"> </w:t>
      </w:r>
      <w:r w:rsidRPr="00E4033C">
        <w:rPr>
          <w:rFonts w:ascii="Arial" w:hAnsi="Arial" w:cs="Arial"/>
          <w:b w:val="0"/>
          <w:bCs w:val="0"/>
          <w:rtl/>
        </w:rPr>
        <w:t>الاستثمارات غير المباشرة عبارة عن الانكشافات او جزء من الانكشافات</w:t>
      </w:r>
      <w:r w:rsidRPr="00E4033C">
        <w:rPr>
          <w:rFonts w:ascii="Arial" w:hAnsi="Arial" w:cs="Arial" w:hint="cs"/>
          <w:b w:val="0"/>
          <w:bCs w:val="0"/>
          <w:rtl/>
        </w:rPr>
        <w:t>،</w:t>
      </w:r>
      <w:r w:rsidRPr="00E4033C">
        <w:rPr>
          <w:rFonts w:ascii="Arial" w:hAnsi="Arial" w:cs="Arial"/>
          <w:b w:val="0"/>
          <w:bCs w:val="0"/>
          <w:rtl/>
        </w:rPr>
        <w:t xml:space="preserve"> التي اذا </w:t>
      </w:r>
      <w:r w:rsidRPr="00E4033C">
        <w:rPr>
          <w:rFonts w:ascii="Arial" w:hAnsi="Arial" w:cs="Arial" w:hint="cs"/>
          <w:b w:val="0"/>
          <w:bCs w:val="0"/>
          <w:rtl/>
        </w:rPr>
        <w:t xml:space="preserve">خسر حاملها </w:t>
      </w:r>
      <w:r w:rsidRPr="00E4033C">
        <w:rPr>
          <w:rFonts w:ascii="Arial" w:hAnsi="Arial" w:cs="Arial"/>
          <w:b w:val="0"/>
          <w:bCs w:val="0"/>
          <w:rtl/>
        </w:rPr>
        <w:t>المباشر قيمته</w:t>
      </w:r>
      <w:r w:rsidRPr="00E4033C">
        <w:rPr>
          <w:rFonts w:ascii="Arial" w:hAnsi="Arial" w:cs="Arial" w:hint="cs"/>
          <w:b w:val="0"/>
          <w:bCs w:val="0"/>
          <w:rtl/>
        </w:rPr>
        <w:t>ا،</w:t>
      </w:r>
      <w:r w:rsidRPr="00E4033C">
        <w:rPr>
          <w:rFonts w:ascii="Arial" w:hAnsi="Arial" w:cs="Arial"/>
          <w:b w:val="0"/>
          <w:bCs w:val="0"/>
          <w:rtl/>
        </w:rPr>
        <w:t xml:space="preserve"> ستترتب على البنك خسارة موازية </w:t>
      </w:r>
      <w:r w:rsidRPr="00E4033C">
        <w:rPr>
          <w:rFonts w:ascii="Arial" w:hAnsi="Arial" w:cs="Arial" w:hint="cs"/>
          <w:b w:val="0"/>
          <w:bCs w:val="0"/>
          <w:rtl/>
        </w:rPr>
        <w:t>تساوي نسبة مساهمة البنك في الشركة التابعة.</w:t>
      </w:r>
    </w:p>
    <w:p w:rsidR="00B1497F" w:rsidRDefault="00B1497F" w:rsidP="00B3109B">
      <w:pPr>
        <w:pStyle w:val="FootnoteText"/>
        <w:rPr>
          <w:rtl/>
        </w:rPr>
      </w:pPr>
    </w:p>
  </w:footnote>
  <w:footnote w:id="15">
    <w:p w:rsidR="00B1497F" w:rsidRDefault="00B1497F" w:rsidP="00710C43">
      <w:pPr>
        <w:pStyle w:val="FootnoteText"/>
        <w:ind w:left="283" w:hanging="283"/>
        <w:rPr>
          <w:rtl/>
        </w:rPr>
      </w:pPr>
      <w:r>
        <w:rPr>
          <w:rStyle w:val="FootnoteReference"/>
        </w:rPr>
        <w:footnoteRef/>
      </w:r>
      <w:r>
        <w:rPr>
          <w:rtl/>
        </w:rPr>
        <w:t xml:space="preserve"> </w:t>
      </w:r>
      <w:r w:rsidRPr="009A796C">
        <w:rPr>
          <w:b w:val="0"/>
          <w:bCs w:val="0"/>
          <w:rtl/>
        </w:rPr>
        <w:t xml:space="preserve">الاستثمارات في شركات خارج نطاق التجميع الرقابي يقصد بها استثمارات في شركات لم تجمع حساباتها نهائياً او لم تجمع حساباتها بشكل يتم معه تضمينها عند احتساب </w:t>
      </w:r>
      <w:r w:rsidRPr="009A796C">
        <w:rPr>
          <w:rFonts w:hint="cs"/>
          <w:b w:val="0"/>
          <w:bCs w:val="0"/>
          <w:rtl/>
        </w:rPr>
        <w:t>الموجودات المرجحة</w:t>
      </w:r>
      <w:r w:rsidRPr="009A796C">
        <w:rPr>
          <w:b w:val="0"/>
          <w:bCs w:val="0"/>
          <w:rtl/>
        </w:rPr>
        <w:t xml:space="preserve"> بالمخاطر للمجموعة على اساس مجمع.</w:t>
      </w:r>
    </w:p>
  </w:footnote>
  <w:footnote w:id="16">
    <w:p w:rsidR="00B1497F" w:rsidRDefault="00B1497F">
      <w:pPr>
        <w:pStyle w:val="FootnoteText"/>
        <w:rPr>
          <w:rtl/>
        </w:rPr>
      </w:pPr>
      <w:r>
        <w:rPr>
          <w:rStyle w:val="FootnoteReference"/>
        </w:rPr>
        <w:footnoteRef/>
      </w:r>
      <w:r>
        <w:rPr>
          <w:rtl/>
        </w:rPr>
        <w:t xml:space="preserve"> </w:t>
      </w:r>
      <w:r w:rsidRPr="00DC1722">
        <w:rPr>
          <w:rFonts w:hint="cs"/>
          <w:b w:val="0"/>
          <w:bCs w:val="0"/>
          <w:rtl/>
        </w:rPr>
        <w:t xml:space="preserve">(4.5%) وفق ورقة بازل </w:t>
      </w:r>
      <w:r w:rsidRPr="00DC1722">
        <w:rPr>
          <w:rFonts w:asciiTheme="majorBidi" w:hAnsiTheme="majorBidi" w:cstheme="majorBidi"/>
          <w:b w:val="0"/>
          <w:bCs w:val="0"/>
        </w:rPr>
        <w:t>III</w:t>
      </w:r>
      <w:r w:rsidRPr="00DC1722">
        <w:rPr>
          <w:rFonts w:hint="cs"/>
          <w:b w:val="0"/>
          <w:bCs w:val="0"/>
          <w:rtl/>
        </w:rPr>
        <w:t xml:space="preserve"> و (1.5%) هامش تحوط مخاطر إضافي من البنك المركزي.</w:t>
      </w:r>
    </w:p>
  </w:footnote>
  <w:footnote w:id="17">
    <w:p w:rsidR="00B1497F" w:rsidRPr="00EA455B" w:rsidRDefault="00B1497F" w:rsidP="00C51EF3">
      <w:pPr>
        <w:pStyle w:val="FootnoteText"/>
        <w:rPr>
          <w:b w:val="0"/>
          <w:bCs w:val="0"/>
          <w:rtl/>
          <w:lang w:val="en-US"/>
        </w:rPr>
      </w:pPr>
      <w:r w:rsidRPr="00EA455B">
        <w:rPr>
          <w:rStyle w:val="FootnoteReference"/>
          <w:b w:val="0"/>
          <w:bCs w:val="0"/>
        </w:rPr>
        <w:footnoteRef/>
      </w:r>
      <w:r w:rsidRPr="00EA455B">
        <w:rPr>
          <w:b w:val="0"/>
          <w:bCs w:val="0"/>
          <w:rtl/>
        </w:rPr>
        <w:t xml:space="preserve"> </w:t>
      </w:r>
      <w:r w:rsidRPr="00EA455B">
        <w:rPr>
          <w:rFonts w:hint="cs"/>
          <w:b w:val="0"/>
          <w:bCs w:val="0"/>
          <w:rtl/>
        </w:rPr>
        <w:t xml:space="preserve">الحد الأدنى يكون متضمن هامش رأس المال التحفظي بنسبة (2.5%) من الموجودات المرجحة بالمخاطر وبحيث يكون من </w:t>
      </w:r>
      <w:r w:rsidRPr="00EA455B">
        <w:rPr>
          <w:b w:val="0"/>
          <w:bCs w:val="0"/>
          <w:lang w:val="en-US"/>
        </w:rPr>
        <w:t>CET1</w:t>
      </w:r>
      <w:r w:rsidRPr="00EA455B">
        <w:rPr>
          <w:rFonts w:hint="cs"/>
          <w:b w:val="0"/>
          <w:bCs w:val="0"/>
          <w:rtl/>
          <w:lang w:val="en-US"/>
        </w:rPr>
        <w:t xml:space="preserve">. </w:t>
      </w:r>
    </w:p>
  </w:footnote>
  <w:footnote w:id="18">
    <w:p w:rsidR="00B1497F" w:rsidRDefault="00B1497F" w:rsidP="00F96D49">
      <w:pPr>
        <w:pStyle w:val="FootnoteText"/>
        <w:spacing w:after="0"/>
        <w:rPr>
          <w:rtl/>
        </w:rPr>
      </w:pPr>
      <w:r>
        <w:rPr>
          <w:rStyle w:val="FootnoteReference"/>
        </w:rPr>
        <w:footnoteRef/>
      </w:r>
      <w:r>
        <w:rPr>
          <w:rtl/>
        </w:rPr>
        <w:t xml:space="preserve"> </w:t>
      </w:r>
      <w:r w:rsidRPr="008F720A">
        <w:rPr>
          <w:rFonts w:hint="cs"/>
          <w:b w:val="0"/>
          <w:bCs w:val="0"/>
          <w:rtl/>
        </w:rPr>
        <w:t xml:space="preserve">على فرض أنه تم فرض القيمة القصوى لهامش </w:t>
      </w:r>
      <w:r>
        <w:rPr>
          <w:rFonts w:hint="cs"/>
          <w:b w:val="0"/>
          <w:bCs w:val="0"/>
          <w:rtl/>
        </w:rPr>
        <w:t>راس المال لمواجهة التقلبات الدورية</w:t>
      </w:r>
      <w:r w:rsidRPr="008F720A">
        <w:rPr>
          <w:rFonts w:hint="cs"/>
          <w:b w:val="0"/>
          <w:bCs w:val="0"/>
          <w:rtl/>
        </w:rPr>
        <w:t xml:space="preserve">. </w:t>
      </w:r>
    </w:p>
  </w:footnote>
  <w:footnote w:id="19">
    <w:p w:rsidR="00B1497F" w:rsidRDefault="00B1497F">
      <w:pPr>
        <w:pStyle w:val="FootnoteText"/>
        <w:rPr>
          <w:rtl/>
        </w:rPr>
      </w:pPr>
      <w:r>
        <w:rPr>
          <w:rStyle w:val="FootnoteReference"/>
        </w:rPr>
        <w:footnoteRef/>
      </w:r>
      <w:r>
        <w:rPr>
          <w:rtl/>
        </w:rPr>
        <w:t xml:space="preserve"> </w:t>
      </w:r>
      <w:r w:rsidRPr="00E4435F">
        <w:rPr>
          <w:rFonts w:hint="cs"/>
          <w:b w:val="0"/>
          <w:bCs w:val="0"/>
          <w:rtl/>
        </w:rPr>
        <w:t>اعتمادات مستندية تستخدم في تقديم الضمانات كبديل للكفالات.</w:t>
      </w:r>
    </w:p>
  </w:footnote>
  <w:footnote w:id="20">
    <w:p w:rsidR="00B1497F" w:rsidRPr="00FF0658" w:rsidRDefault="00B1497F">
      <w:pPr>
        <w:pStyle w:val="FootnoteText"/>
        <w:rPr>
          <w:b w:val="0"/>
          <w:bCs w:val="0"/>
          <w:rtl/>
          <w:lang w:bidi="ar-JO"/>
        </w:rPr>
      </w:pPr>
      <w:r w:rsidRPr="00FF0658">
        <w:rPr>
          <w:rStyle w:val="FootnoteReference"/>
          <w:b w:val="0"/>
          <w:bCs w:val="0"/>
        </w:rPr>
        <w:footnoteRef/>
      </w:r>
      <w:r w:rsidRPr="00FF0658">
        <w:rPr>
          <w:b w:val="0"/>
          <w:bCs w:val="0"/>
          <w:rtl/>
        </w:rPr>
        <w:t xml:space="preserve"> </w:t>
      </w:r>
      <w:r w:rsidRPr="00FF0658">
        <w:rPr>
          <w:rFonts w:hint="cs"/>
          <w:b w:val="0"/>
          <w:bCs w:val="0"/>
          <w:rtl/>
          <w:lang w:bidi="ar-JO"/>
        </w:rPr>
        <w:t xml:space="preserve">تسعير المراكز والمحافظ وفق أسعار تحددها النماذج المالية وليس السوق. </w:t>
      </w:r>
    </w:p>
  </w:footnote>
  <w:footnote w:id="21">
    <w:p w:rsidR="00B1497F" w:rsidRPr="00FF0658" w:rsidRDefault="00B1497F" w:rsidP="00B259A6">
      <w:pPr>
        <w:pStyle w:val="FootnoteText"/>
        <w:ind w:left="2366" w:hanging="2366"/>
        <w:rPr>
          <w:b w:val="0"/>
          <w:bCs w:val="0"/>
          <w:lang w:bidi="ar-JO"/>
        </w:rPr>
      </w:pPr>
      <w:r w:rsidRPr="00FF0658">
        <w:rPr>
          <w:rStyle w:val="FootnoteReference"/>
          <w:b w:val="0"/>
          <w:bCs w:val="0"/>
        </w:rPr>
        <w:footnoteRef/>
      </w:r>
      <w:r w:rsidRPr="00FF0658">
        <w:rPr>
          <w:b w:val="0"/>
          <w:bCs w:val="0"/>
          <w:rtl/>
        </w:rPr>
        <w:t xml:space="preserve"> </w:t>
      </w:r>
      <w:r w:rsidRPr="00FF0658">
        <w:rPr>
          <w:rFonts w:hint="cs"/>
          <w:b w:val="0"/>
          <w:bCs w:val="0"/>
          <w:rtl/>
          <w:lang w:bidi="ar-JO"/>
        </w:rPr>
        <w:t xml:space="preserve">المراكز الهيكلية بالعملة الأجنبية: هي المراكز التي يتم بواسطتها التحوط بشكل إجمالي لمجموعة مراكز بالعملات الأجنبية في  ميزانية البنك. </w:t>
      </w:r>
    </w:p>
  </w:footnote>
  <w:footnote w:id="22">
    <w:p w:rsidR="00B1497F" w:rsidRDefault="00B1497F" w:rsidP="00E139E3">
      <w:pPr>
        <w:pStyle w:val="FootnoteText"/>
        <w:rPr>
          <w:rtl/>
        </w:rPr>
      </w:pPr>
      <w:r>
        <w:rPr>
          <w:rStyle w:val="FootnoteReference"/>
        </w:rPr>
        <w:footnoteRef/>
      </w:r>
      <w:r>
        <w:rPr>
          <w:rtl/>
        </w:rPr>
        <w:t xml:space="preserve"> </w:t>
      </w:r>
      <w:r w:rsidRPr="00E139E3">
        <w:rPr>
          <w:rFonts w:hint="cs"/>
          <w:b w:val="0"/>
          <w:bCs w:val="0"/>
          <w:rtl/>
        </w:rPr>
        <w:t xml:space="preserve">عبارة عن ناتج جمع مبلغ (15) مليون دينار والذي يمثل الاستثمارات في البنوك والشركات المالية وشركات التأمين التي تزيد عن (10%) ضمن أدوات </w:t>
      </w:r>
      <w:r w:rsidRPr="00E139E3">
        <w:rPr>
          <w:b w:val="0"/>
          <w:bCs w:val="0"/>
          <w:lang w:val="en-US"/>
        </w:rPr>
        <w:t>CET1</w:t>
      </w:r>
      <w:r w:rsidRPr="00E139E3">
        <w:rPr>
          <w:rFonts w:hint="cs"/>
          <w:b w:val="0"/>
          <w:bCs w:val="0"/>
          <w:rtl/>
          <w:lang w:val="en-US"/>
        </w:rPr>
        <w:t xml:space="preserve"> </w:t>
      </w:r>
      <w:r w:rsidRPr="00E139E3">
        <w:rPr>
          <w:rFonts w:hint="cs"/>
          <w:b w:val="0"/>
          <w:bCs w:val="0"/>
          <w:rtl/>
        </w:rPr>
        <w:t>مع مبلغ (20) مليون دينار والذي يمثل الموجودات الضريبية المؤجلة.</w:t>
      </w:r>
      <w:r>
        <w:rPr>
          <w:rFonts w:hint="cs"/>
          <w:rtl/>
        </w:rPr>
        <w:t xml:space="preserve"> </w:t>
      </w:r>
    </w:p>
  </w:footnote>
  <w:footnote w:id="23">
    <w:p w:rsidR="00B1497F" w:rsidRPr="00B44B2E" w:rsidRDefault="00B1497F" w:rsidP="009C0603">
      <w:pPr>
        <w:pStyle w:val="FootnoteText"/>
        <w:ind w:left="215" w:hanging="270"/>
        <w:rPr>
          <w:b w:val="0"/>
          <w:bCs w:val="0"/>
          <w:sz w:val="22"/>
          <w:szCs w:val="22"/>
        </w:rPr>
      </w:pPr>
      <w:r w:rsidRPr="00B44B2E">
        <w:rPr>
          <w:rStyle w:val="FootnoteReference"/>
          <w:b w:val="0"/>
          <w:bCs w:val="0"/>
          <w:sz w:val="22"/>
          <w:szCs w:val="22"/>
        </w:rPr>
        <w:footnoteRef/>
      </w:r>
      <w:r w:rsidRPr="00B44B2E">
        <w:rPr>
          <w:b w:val="0"/>
          <w:bCs w:val="0"/>
          <w:sz w:val="22"/>
          <w:szCs w:val="22"/>
          <w:rtl/>
        </w:rPr>
        <w:t xml:space="preserve"> </w:t>
      </w:r>
      <w:r w:rsidRPr="00B44B2E">
        <w:rPr>
          <w:rFonts w:hint="cs"/>
          <w:b w:val="0"/>
          <w:bCs w:val="0"/>
          <w:sz w:val="22"/>
          <w:szCs w:val="22"/>
          <w:rtl/>
        </w:rPr>
        <w:t>إذا كانت التعرضات العائدة لهذه المؤسسات بالعملة الأجنبية فإن وزن</w:t>
      </w:r>
      <w:r>
        <w:rPr>
          <w:rFonts w:hint="cs"/>
          <w:b w:val="0"/>
          <w:bCs w:val="0"/>
          <w:sz w:val="22"/>
          <w:szCs w:val="22"/>
          <w:rtl/>
        </w:rPr>
        <w:t xml:space="preserve"> المخاطر</w:t>
      </w:r>
      <w:r w:rsidRPr="00B44B2E">
        <w:rPr>
          <w:rFonts w:hint="cs"/>
          <w:b w:val="0"/>
          <w:bCs w:val="0"/>
          <w:sz w:val="22"/>
          <w:szCs w:val="22"/>
          <w:rtl/>
        </w:rPr>
        <w:t xml:space="preserve"> الترجيحي الذي يُعطى لهذه التعرضات يجب أن لا يقل عن الوزن الترجيحي لتعرضات الحكومة الأردنية بالعملة الأجنبية.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Header"/>
      <w:framePr w:wrap="around" w:vAnchor="text" w:hAnchor="margin" w:xAlign="center" w:y="1"/>
      <w:rPr>
        <w:rStyle w:val="PageNumber"/>
        <w:rtl/>
      </w:rPr>
    </w:pPr>
    <w:r>
      <w:rPr>
        <w:noProof/>
        <w:rtl/>
        <w:lang w:eastAsia="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23.2pt;height:169.25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rStyle w:val="PageNumber"/>
        <w:rtl/>
      </w:rPr>
      <w:fldChar w:fldCharType="begin"/>
    </w:r>
    <w:r>
      <w:rPr>
        <w:rStyle w:val="PageNumber"/>
      </w:rPr>
      <w:instrText xml:space="preserve">PAGE  </w:instrText>
    </w:r>
    <w:r>
      <w:rPr>
        <w:rStyle w:val="PageNumber"/>
        <w:rtl/>
      </w:rPr>
      <w:fldChar w:fldCharType="end"/>
    </w:r>
  </w:p>
  <w:p w:rsidR="00B1497F" w:rsidRDefault="00B1497F">
    <w:pPr>
      <w:pStyle w:val="Head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Header"/>
    </w:pPr>
    <w:r>
      <w:rPr>
        <w:noProof/>
        <w:lang w:eastAsia="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23.2pt;height:169.2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B1497F" w:rsidRDefault="00B1497F">
    <w:pPr>
      <w:pStyle w:val="Header"/>
      <w:rPr>
        <w:rtl/>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97F" w:rsidRDefault="00B149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215"/>
    <w:multiLevelType w:val="multilevel"/>
    <w:tmpl w:val="B12801D4"/>
    <w:lvl w:ilvl="0">
      <w:start w:val="10"/>
      <w:numFmt w:val="decimal"/>
      <w:lvlText w:val="%1"/>
      <w:lvlJc w:val="left"/>
      <w:pPr>
        <w:tabs>
          <w:tab w:val="num" w:pos="960"/>
        </w:tabs>
        <w:ind w:left="960" w:right="960" w:hanging="960"/>
      </w:pPr>
      <w:rPr>
        <w:rFonts w:hint="default"/>
      </w:rPr>
    </w:lvl>
    <w:lvl w:ilvl="1">
      <w:start w:val="2"/>
      <w:numFmt w:val="decimal"/>
      <w:lvlText w:val="%1-%2"/>
      <w:lvlJc w:val="left"/>
      <w:pPr>
        <w:tabs>
          <w:tab w:val="num" w:pos="1508"/>
        </w:tabs>
        <w:ind w:left="1508" w:right="1508" w:hanging="960"/>
      </w:pPr>
      <w:rPr>
        <w:rFonts w:hint="default"/>
      </w:rPr>
    </w:lvl>
    <w:lvl w:ilvl="2">
      <w:start w:val="4"/>
      <w:numFmt w:val="decimal"/>
      <w:lvlText w:val="%1-%2-%3"/>
      <w:lvlJc w:val="left"/>
      <w:pPr>
        <w:tabs>
          <w:tab w:val="num" w:pos="2056"/>
        </w:tabs>
        <w:ind w:left="2056" w:right="2056" w:hanging="960"/>
      </w:pPr>
      <w:rPr>
        <w:rFonts w:hint="default"/>
      </w:rPr>
    </w:lvl>
    <w:lvl w:ilvl="3">
      <w:start w:val="2"/>
      <w:numFmt w:val="decimal"/>
      <w:lvlText w:val="%1-%2-%3-%4"/>
      <w:lvlJc w:val="left"/>
      <w:pPr>
        <w:tabs>
          <w:tab w:val="num" w:pos="2604"/>
        </w:tabs>
        <w:ind w:left="2604" w:right="2604" w:hanging="960"/>
      </w:pPr>
      <w:rPr>
        <w:rFonts w:hint="default"/>
      </w:rPr>
    </w:lvl>
    <w:lvl w:ilvl="4">
      <w:start w:val="1"/>
      <w:numFmt w:val="decimal"/>
      <w:lvlText w:val="%1-%2-%3-%4.%5"/>
      <w:lvlJc w:val="left"/>
      <w:pPr>
        <w:tabs>
          <w:tab w:val="num" w:pos="3272"/>
        </w:tabs>
        <w:ind w:left="3272" w:right="3272" w:hanging="1080"/>
      </w:pPr>
      <w:rPr>
        <w:rFonts w:hint="default"/>
      </w:rPr>
    </w:lvl>
    <w:lvl w:ilvl="5">
      <w:start w:val="1"/>
      <w:numFmt w:val="decimal"/>
      <w:lvlText w:val="%1-%2-%3-%4.%5.%6"/>
      <w:lvlJc w:val="left"/>
      <w:pPr>
        <w:tabs>
          <w:tab w:val="num" w:pos="3820"/>
        </w:tabs>
        <w:ind w:left="3820" w:right="3820" w:hanging="1080"/>
      </w:pPr>
      <w:rPr>
        <w:rFonts w:hint="default"/>
      </w:rPr>
    </w:lvl>
    <w:lvl w:ilvl="6">
      <w:start w:val="1"/>
      <w:numFmt w:val="decimal"/>
      <w:lvlText w:val="%1-%2-%3-%4.%5.%6.%7"/>
      <w:lvlJc w:val="left"/>
      <w:pPr>
        <w:tabs>
          <w:tab w:val="num" w:pos="4728"/>
        </w:tabs>
        <w:ind w:left="4728" w:right="4728" w:hanging="1440"/>
      </w:pPr>
      <w:rPr>
        <w:rFonts w:hint="default"/>
      </w:rPr>
    </w:lvl>
    <w:lvl w:ilvl="7">
      <w:start w:val="1"/>
      <w:numFmt w:val="decimal"/>
      <w:lvlText w:val="%1-%2-%3-%4.%5.%6.%7.%8"/>
      <w:lvlJc w:val="left"/>
      <w:pPr>
        <w:tabs>
          <w:tab w:val="num" w:pos="5276"/>
        </w:tabs>
        <w:ind w:left="5276" w:right="5276" w:hanging="1440"/>
      </w:pPr>
      <w:rPr>
        <w:rFonts w:hint="default"/>
      </w:rPr>
    </w:lvl>
    <w:lvl w:ilvl="8">
      <w:start w:val="1"/>
      <w:numFmt w:val="decimal"/>
      <w:lvlText w:val="%1-%2-%3-%4.%5.%6.%7.%8.%9"/>
      <w:lvlJc w:val="left"/>
      <w:pPr>
        <w:tabs>
          <w:tab w:val="num" w:pos="6184"/>
        </w:tabs>
        <w:ind w:left="6184" w:right="6184" w:hanging="1800"/>
      </w:pPr>
      <w:rPr>
        <w:rFonts w:hint="default"/>
      </w:rPr>
    </w:lvl>
  </w:abstractNum>
  <w:abstractNum w:abstractNumId="1" w15:restartNumberingAfterBreak="0">
    <w:nsid w:val="01D168A9"/>
    <w:multiLevelType w:val="hybridMultilevel"/>
    <w:tmpl w:val="3D3A58E4"/>
    <w:lvl w:ilvl="0" w:tplc="FEC2E1BA">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0438A"/>
    <w:multiLevelType w:val="multilevel"/>
    <w:tmpl w:val="1BC808EA"/>
    <w:lvl w:ilvl="0">
      <w:start w:val="1"/>
      <w:numFmt w:val="decimal"/>
      <w:isLgl/>
      <w:suff w:val="space"/>
      <w:lvlText w:val="%1."/>
      <w:lvlJc w:val="left"/>
      <w:pPr>
        <w:ind w:left="360" w:right="360" w:hanging="72"/>
      </w:pPr>
      <w:rPr>
        <w:rFonts w:hint="default"/>
      </w:rPr>
    </w:lvl>
    <w:lvl w:ilvl="1">
      <w:start w:val="1"/>
      <w:numFmt w:val="decimal"/>
      <w:lvlText w:val="%1.%2."/>
      <w:lvlJc w:val="left"/>
      <w:pPr>
        <w:tabs>
          <w:tab w:val="num" w:pos="1080"/>
        </w:tabs>
        <w:ind w:left="792" w:right="792" w:hanging="432"/>
      </w:pPr>
      <w:rPr>
        <w:rFonts w:hint="default"/>
      </w:rPr>
    </w:lvl>
    <w:lvl w:ilvl="2">
      <w:start w:val="1"/>
      <w:numFmt w:val="decimal"/>
      <w:lvlText w:val="%1.%2.%3."/>
      <w:lvlJc w:val="left"/>
      <w:pPr>
        <w:tabs>
          <w:tab w:val="num" w:pos="2340"/>
        </w:tabs>
        <w:ind w:left="1764" w:right="1764" w:hanging="504"/>
      </w:pPr>
      <w:rPr>
        <w:rFonts w:hint="default"/>
      </w:rPr>
    </w:lvl>
    <w:lvl w:ilvl="3">
      <w:start w:val="1"/>
      <w:numFmt w:val="decimal"/>
      <w:lvlText w:val="%1.%2.%3.%4."/>
      <w:lvlJc w:val="left"/>
      <w:pPr>
        <w:tabs>
          <w:tab w:val="num" w:pos="2160"/>
        </w:tabs>
        <w:ind w:left="1728" w:right="1728" w:hanging="648"/>
      </w:pPr>
      <w:rPr>
        <w:rFonts w:hint="default"/>
      </w:rPr>
    </w:lvl>
    <w:lvl w:ilvl="4">
      <w:start w:val="1"/>
      <w:numFmt w:val="decimal"/>
      <w:lvlText w:val="%1.%2.%3.%4.%5."/>
      <w:lvlJc w:val="left"/>
      <w:pPr>
        <w:tabs>
          <w:tab w:val="num" w:pos="2880"/>
        </w:tabs>
        <w:ind w:left="2232" w:right="2232" w:hanging="792"/>
      </w:pPr>
      <w:rPr>
        <w:rFonts w:hint="default"/>
      </w:rPr>
    </w:lvl>
    <w:lvl w:ilvl="5">
      <w:start w:val="1"/>
      <w:numFmt w:val="decimal"/>
      <w:lvlText w:val="%1.%2.%3.%4.%5.%6."/>
      <w:lvlJc w:val="left"/>
      <w:pPr>
        <w:tabs>
          <w:tab w:val="num" w:pos="3600"/>
        </w:tabs>
        <w:ind w:left="2736" w:right="2736" w:hanging="936"/>
      </w:pPr>
      <w:rPr>
        <w:rFonts w:hint="default"/>
      </w:rPr>
    </w:lvl>
    <w:lvl w:ilvl="6">
      <w:start w:val="1"/>
      <w:numFmt w:val="decimal"/>
      <w:lvlText w:val="%1.%2.%3.%4.%5.%6.%7."/>
      <w:lvlJc w:val="left"/>
      <w:pPr>
        <w:tabs>
          <w:tab w:val="num" w:pos="4320"/>
        </w:tabs>
        <w:ind w:left="3240" w:right="3240" w:hanging="1080"/>
      </w:pPr>
      <w:rPr>
        <w:rFonts w:hint="default"/>
      </w:rPr>
    </w:lvl>
    <w:lvl w:ilvl="7">
      <w:start w:val="1"/>
      <w:numFmt w:val="decimal"/>
      <w:lvlText w:val="%1.%2.%3.%4.%5.%6.%7.%8."/>
      <w:lvlJc w:val="left"/>
      <w:pPr>
        <w:tabs>
          <w:tab w:val="num" w:pos="4680"/>
        </w:tabs>
        <w:ind w:left="3744" w:right="3744" w:hanging="1224"/>
      </w:pPr>
      <w:rPr>
        <w:rFonts w:hint="default"/>
      </w:rPr>
    </w:lvl>
    <w:lvl w:ilvl="8">
      <w:start w:val="1"/>
      <w:numFmt w:val="decimal"/>
      <w:lvlText w:val="%1.%2.%3.%4.%5.%6.%7.%8.%9."/>
      <w:lvlJc w:val="left"/>
      <w:pPr>
        <w:tabs>
          <w:tab w:val="num" w:pos="5400"/>
        </w:tabs>
        <w:ind w:left="4320" w:right="4320" w:hanging="1440"/>
      </w:pPr>
      <w:rPr>
        <w:rFonts w:hint="default"/>
      </w:rPr>
    </w:lvl>
  </w:abstractNum>
  <w:abstractNum w:abstractNumId="3" w15:restartNumberingAfterBreak="0">
    <w:nsid w:val="06B34365"/>
    <w:multiLevelType w:val="hybridMultilevel"/>
    <w:tmpl w:val="61DC9BDA"/>
    <w:lvl w:ilvl="0" w:tplc="04090009">
      <w:start w:val="1"/>
      <w:numFmt w:val="bullet"/>
      <w:lvlText w:val=""/>
      <w:lvlJc w:val="left"/>
      <w:pPr>
        <w:ind w:left="2015" w:hanging="360"/>
      </w:pPr>
      <w:rPr>
        <w:rFonts w:ascii="Wingdings" w:hAnsi="Wingdings"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4" w15:restartNumberingAfterBreak="0">
    <w:nsid w:val="074B6BC1"/>
    <w:multiLevelType w:val="multilevel"/>
    <w:tmpl w:val="3D9845E0"/>
    <w:lvl w:ilvl="0">
      <w:start w:val="1"/>
      <w:numFmt w:val="decimal"/>
      <w:lvlText w:val="%1"/>
      <w:lvlJc w:val="left"/>
      <w:pPr>
        <w:ind w:left="555" w:hanging="555"/>
      </w:pPr>
      <w:rPr>
        <w:rFonts w:hint="default"/>
      </w:rPr>
    </w:lvl>
    <w:lvl w:ilvl="1">
      <w:start w:val="43"/>
      <w:numFmt w:val="decimal"/>
      <w:lvlText w:val="%1.%2"/>
      <w:lvlJc w:val="left"/>
      <w:pPr>
        <w:ind w:left="2179"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5457" w:hanging="1080"/>
      </w:pPr>
      <w:rPr>
        <w:rFonts w:hint="default"/>
      </w:rPr>
    </w:lvl>
    <w:lvl w:ilvl="4">
      <w:start w:val="1"/>
      <w:numFmt w:val="decimal"/>
      <w:lvlText w:val="%1.%2.%3.%4.%5"/>
      <w:lvlJc w:val="left"/>
      <w:pPr>
        <w:ind w:left="6916" w:hanging="1080"/>
      </w:pPr>
      <w:rPr>
        <w:rFonts w:hint="default"/>
      </w:rPr>
    </w:lvl>
    <w:lvl w:ilvl="5">
      <w:start w:val="1"/>
      <w:numFmt w:val="decimal"/>
      <w:lvlText w:val="%1.%2.%3.%4.%5.%6"/>
      <w:lvlJc w:val="left"/>
      <w:pPr>
        <w:ind w:left="8735" w:hanging="1440"/>
      </w:pPr>
      <w:rPr>
        <w:rFonts w:hint="default"/>
      </w:rPr>
    </w:lvl>
    <w:lvl w:ilvl="6">
      <w:start w:val="1"/>
      <w:numFmt w:val="decimal"/>
      <w:lvlText w:val="%1.%2.%3.%4.%5.%6.%7"/>
      <w:lvlJc w:val="left"/>
      <w:pPr>
        <w:ind w:left="10554" w:hanging="1800"/>
      </w:pPr>
      <w:rPr>
        <w:rFonts w:hint="default"/>
      </w:rPr>
    </w:lvl>
    <w:lvl w:ilvl="7">
      <w:start w:val="1"/>
      <w:numFmt w:val="decimal"/>
      <w:lvlText w:val="%1.%2.%3.%4.%5.%6.%7.%8"/>
      <w:lvlJc w:val="left"/>
      <w:pPr>
        <w:ind w:left="12013" w:hanging="1800"/>
      </w:pPr>
      <w:rPr>
        <w:rFonts w:hint="default"/>
      </w:rPr>
    </w:lvl>
    <w:lvl w:ilvl="8">
      <w:start w:val="1"/>
      <w:numFmt w:val="decimal"/>
      <w:lvlText w:val="%1.%2.%3.%4.%5.%6.%7.%8.%9"/>
      <w:lvlJc w:val="left"/>
      <w:pPr>
        <w:ind w:left="13832" w:hanging="2160"/>
      </w:pPr>
      <w:rPr>
        <w:rFonts w:hint="default"/>
      </w:rPr>
    </w:lvl>
  </w:abstractNum>
  <w:abstractNum w:abstractNumId="5" w15:restartNumberingAfterBreak="0">
    <w:nsid w:val="075C7303"/>
    <w:multiLevelType w:val="hybridMultilevel"/>
    <w:tmpl w:val="3992E9E0"/>
    <w:lvl w:ilvl="0" w:tplc="0409000F">
      <w:start w:val="1"/>
      <w:numFmt w:val="decimal"/>
      <w:lvlText w:val="%1."/>
      <w:lvlJc w:val="left"/>
      <w:pPr>
        <w:ind w:left="1328" w:hanging="360"/>
      </w:pPr>
    </w:lvl>
    <w:lvl w:ilvl="1" w:tplc="04090019" w:tentative="1">
      <w:start w:val="1"/>
      <w:numFmt w:val="lowerLetter"/>
      <w:lvlText w:val="%2."/>
      <w:lvlJc w:val="left"/>
      <w:pPr>
        <w:ind w:left="2048" w:hanging="360"/>
      </w:pPr>
    </w:lvl>
    <w:lvl w:ilvl="2" w:tplc="0409001B" w:tentative="1">
      <w:start w:val="1"/>
      <w:numFmt w:val="lowerRoman"/>
      <w:lvlText w:val="%3."/>
      <w:lvlJc w:val="right"/>
      <w:pPr>
        <w:ind w:left="2768" w:hanging="180"/>
      </w:pPr>
    </w:lvl>
    <w:lvl w:ilvl="3" w:tplc="0409000F" w:tentative="1">
      <w:start w:val="1"/>
      <w:numFmt w:val="decimal"/>
      <w:lvlText w:val="%4."/>
      <w:lvlJc w:val="left"/>
      <w:pPr>
        <w:ind w:left="3488" w:hanging="360"/>
      </w:pPr>
    </w:lvl>
    <w:lvl w:ilvl="4" w:tplc="04090019" w:tentative="1">
      <w:start w:val="1"/>
      <w:numFmt w:val="lowerLetter"/>
      <w:lvlText w:val="%5."/>
      <w:lvlJc w:val="left"/>
      <w:pPr>
        <w:ind w:left="4208" w:hanging="360"/>
      </w:pPr>
    </w:lvl>
    <w:lvl w:ilvl="5" w:tplc="0409001B" w:tentative="1">
      <w:start w:val="1"/>
      <w:numFmt w:val="lowerRoman"/>
      <w:lvlText w:val="%6."/>
      <w:lvlJc w:val="right"/>
      <w:pPr>
        <w:ind w:left="4928" w:hanging="180"/>
      </w:pPr>
    </w:lvl>
    <w:lvl w:ilvl="6" w:tplc="0409000F" w:tentative="1">
      <w:start w:val="1"/>
      <w:numFmt w:val="decimal"/>
      <w:lvlText w:val="%7."/>
      <w:lvlJc w:val="left"/>
      <w:pPr>
        <w:ind w:left="5648" w:hanging="360"/>
      </w:pPr>
    </w:lvl>
    <w:lvl w:ilvl="7" w:tplc="04090019" w:tentative="1">
      <w:start w:val="1"/>
      <w:numFmt w:val="lowerLetter"/>
      <w:lvlText w:val="%8."/>
      <w:lvlJc w:val="left"/>
      <w:pPr>
        <w:ind w:left="6368" w:hanging="360"/>
      </w:pPr>
    </w:lvl>
    <w:lvl w:ilvl="8" w:tplc="0409001B" w:tentative="1">
      <w:start w:val="1"/>
      <w:numFmt w:val="lowerRoman"/>
      <w:lvlText w:val="%9."/>
      <w:lvlJc w:val="right"/>
      <w:pPr>
        <w:ind w:left="7088" w:hanging="180"/>
      </w:pPr>
    </w:lvl>
  </w:abstractNum>
  <w:abstractNum w:abstractNumId="6" w15:restartNumberingAfterBreak="0">
    <w:nsid w:val="0EBE47B1"/>
    <w:multiLevelType w:val="hybridMultilevel"/>
    <w:tmpl w:val="BE320010"/>
    <w:lvl w:ilvl="0" w:tplc="5C963CA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86A38"/>
    <w:multiLevelType w:val="multilevel"/>
    <w:tmpl w:val="B9464B14"/>
    <w:lvl w:ilvl="0">
      <w:start w:val="1"/>
      <w:numFmt w:val="decimal"/>
      <w:isLgl/>
      <w:suff w:val="space"/>
      <w:lvlText w:val="%1."/>
      <w:lvlJc w:val="left"/>
      <w:pPr>
        <w:ind w:left="360" w:right="360" w:hanging="72"/>
      </w:pPr>
      <w:rPr>
        <w:rFonts w:hint="default"/>
      </w:rPr>
    </w:lvl>
    <w:lvl w:ilvl="1">
      <w:start w:val="1"/>
      <w:numFmt w:val="decimal"/>
      <w:lvlText w:val="%1.%2."/>
      <w:lvlJc w:val="left"/>
      <w:pPr>
        <w:tabs>
          <w:tab w:val="num" w:pos="1080"/>
        </w:tabs>
        <w:ind w:left="792" w:right="792" w:hanging="432"/>
      </w:pPr>
      <w:rPr>
        <w:rFonts w:hint="default"/>
      </w:rPr>
    </w:lvl>
    <w:lvl w:ilvl="2">
      <w:start w:val="1"/>
      <w:numFmt w:val="decimal"/>
      <w:lvlText w:val="%1.%2.%3."/>
      <w:lvlJc w:val="left"/>
      <w:pPr>
        <w:tabs>
          <w:tab w:val="num" w:pos="1800"/>
        </w:tabs>
        <w:ind w:left="1224" w:right="1224" w:hanging="504"/>
      </w:pPr>
      <w:rPr>
        <w:rFonts w:hint="default"/>
      </w:rPr>
    </w:lvl>
    <w:lvl w:ilvl="3">
      <w:start w:val="1"/>
      <w:numFmt w:val="decimal"/>
      <w:lvlText w:val="%1.%2.%3.%4."/>
      <w:lvlJc w:val="left"/>
      <w:pPr>
        <w:tabs>
          <w:tab w:val="num" w:pos="2160"/>
        </w:tabs>
        <w:ind w:left="1728" w:right="1728" w:hanging="648"/>
      </w:pPr>
      <w:rPr>
        <w:rFonts w:hint="default"/>
      </w:rPr>
    </w:lvl>
    <w:lvl w:ilvl="4">
      <w:start w:val="1"/>
      <w:numFmt w:val="decimal"/>
      <w:lvlText w:val="%1.%2.%3.%4.%5."/>
      <w:lvlJc w:val="left"/>
      <w:pPr>
        <w:tabs>
          <w:tab w:val="num" w:pos="2880"/>
        </w:tabs>
        <w:ind w:left="2232" w:right="2232" w:hanging="792"/>
      </w:pPr>
      <w:rPr>
        <w:rFonts w:hint="default"/>
      </w:rPr>
    </w:lvl>
    <w:lvl w:ilvl="5">
      <w:start w:val="1"/>
      <w:numFmt w:val="decimal"/>
      <w:lvlText w:val="%1.%2.%3.%4.%5.%6."/>
      <w:lvlJc w:val="left"/>
      <w:pPr>
        <w:tabs>
          <w:tab w:val="num" w:pos="3600"/>
        </w:tabs>
        <w:ind w:left="2736" w:right="2736" w:hanging="936"/>
      </w:pPr>
      <w:rPr>
        <w:rFonts w:hint="default"/>
      </w:rPr>
    </w:lvl>
    <w:lvl w:ilvl="6">
      <w:start w:val="1"/>
      <w:numFmt w:val="decimal"/>
      <w:lvlText w:val="%1.%2.%3.%4.%5.%6.%7."/>
      <w:lvlJc w:val="left"/>
      <w:pPr>
        <w:tabs>
          <w:tab w:val="num" w:pos="4320"/>
        </w:tabs>
        <w:ind w:left="3240" w:right="3240" w:hanging="1080"/>
      </w:pPr>
      <w:rPr>
        <w:rFonts w:hint="default"/>
      </w:rPr>
    </w:lvl>
    <w:lvl w:ilvl="7">
      <w:start w:val="1"/>
      <w:numFmt w:val="decimal"/>
      <w:lvlText w:val="%1.%2.%3.%4.%5.%6.%7.%8."/>
      <w:lvlJc w:val="left"/>
      <w:pPr>
        <w:tabs>
          <w:tab w:val="num" w:pos="4680"/>
        </w:tabs>
        <w:ind w:left="3744" w:right="3744" w:hanging="1224"/>
      </w:pPr>
      <w:rPr>
        <w:rFonts w:hint="default"/>
      </w:rPr>
    </w:lvl>
    <w:lvl w:ilvl="8">
      <w:start w:val="1"/>
      <w:numFmt w:val="decimal"/>
      <w:lvlText w:val="%1.%2.%3.%4.%5.%6.%7.%8.%9."/>
      <w:lvlJc w:val="left"/>
      <w:pPr>
        <w:tabs>
          <w:tab w:val="num" w:pos="5400"/>
        </w:tabs>
        <w:ind w:left="4320" w:right="4320" w:hanging="1440"/>
      </w:pPr>
      <w:rPr>
        <w:rFonts w:hint="default"/>
      </w:rPr>
    </w:lvl>
  </w:abstractNum>
  <w:abstractNum w:abstractNumId="8" w15:restartNumberingAfterBreak="0">
    <w:nsid w:val="12200348"/>
    <w:multiLevelType w:val="hybridMultilevel"/>
    <w:tmpl w:val="35B275BC"/>
    <w:lvl w:ilvl="0" w:tplc="0409000F">
      <w:start w:val="1"/>
      <w:numFmt w:val="decimal"/>
      <w:lvlText w:val="%1."/>
      <w:lvlJc w:val="left"/>
      <w:pPr>
        <w:tabs>
          <w:tab w:val="num" w:pos="720"/>
        </w:tabs>
        <w:ind w:left="720" w:right="720" w:hanging="360"/>
      </w:pPr>
      <w:rPr>
        <w:rFonts w:hint="default"/>
        <w:color w:val="auto"/>
      </w:rPr>
    </w:lvl>
    <w:lvl w:ilvl="1" w:tplc="04090003" w:tentative="1">
      <w:start w:val="1"/>
      <w:numFmt w:val="bullet"/>
      <w:lvlText w:val="o"/>
      <w:lvlJc w:val="left"/>
      <w:pPr>
        <w:tabs>
          <w:tab w:val="num" w:pos="1466"/>
        </w:tabs>
        <w:ind w:left="1466" w:right="1466" w:hanging="360"/>
      </w:pPr>
      <w:rPr>
        <w:rFonts w:ascii="Courier New" w:hAnsi="Courier New" w:cs="Courier New" w:hint="default"/>
      </w:rPr>
    </w:lvl>
    <w:lvl w:ilvl="2" w:tplc="04090005">
      <w:start w:val="1"/>
      <w:numFmt w:val="bullet"/>
      <w:lvlText w:val=""/>
      <w:lvlJc w:val="left"/>
      <w:pPr>
        <w:tabs>
          <w:tab w:val="num" w:pos="2186"/>
        </w:tabs>
        <w:ind w:left="2186" w:right="2186" w:hanging="360"/>
      </w:pPr>
      <w:rPr>
        <w:rFonts w:ascii="Wingdings" w:hAnsi="Wingdings" w:hint="default"/>
      </w:rPr>
    </w:lvl>
    <w:lvl w:ilvl="3" w:tplc="04090001" w:tentative="1">
      <w:start w:val="1"/>
      <w:numFmt w:val="bullet"/>
      <w:lvlText w:val=""/>
      <w:lvlJc w:val="left"/>
      <w:pPr>
        <w:tabs>
          <w:tab w:val="num" w:pos="2906"/>
        </w:tabs>
        <w:ind w:left="2906" w:right="2906" w:hanging="360"/>
      </w:pPr>
      <w:rPr>
        <w:rFonts w:ascii="Symbol" w:hAnsi="Symbol" w:hint="default"/>
      </w:rPr>
    </w:lvl>
    <w:lvl w:ilvl="4" w:tplc="04090003" w:tentative="1">
      <w:start w:val="1"/>
      <w:numFmt w:val="bullet"/>
      <w:lvlText w:val="o"/>
      <w:lvlJc w:val="left"/>
      <w:pPr>
        <w:tabs>
          <w:tab w:val="num" w:pos="3626"/>
        </w:tabs>
        <w:ind w:left="3626" w:right="3626" w:hanging="360"/>
      </w:pPr>
      <w:rPr>
        <w:rFonts w:ascii="Courier New" w:hAnsi="Courier New" w:cs="Courier New" w:hint="default"/>
      </w:rPr>
    </w:lvl>
    <w:lvl w:ilvl="5" w:tplc="04090005" w:tentative="1">
      <w:start w:val="1"/>
      <w:numFmt w:val="bullet"/>
      <w:lvlText w:val=""/>
      <w:lvlJc w:val="left"/>
      <w:pPr>
        <w:tabs>
          <w:tab w:val="num" w:pos="4346"/>
        </w:tabs>
        <w:ind w:left="4346" w:right="4346" w:hanging="360"/>
      </w:pPr>
      <w:rPr>
        <w:rFonts w:ascii="Wingdings" w:hAnsi="Wingdings" w:hint="default"/>
      </w:rPr>
    </w:lvl>
    <w:lvl w:ilvl="6" w:tplc="04090001" w:tentative="1">
      <w:start w:val="1"/>
      <w:numFmt w:val="bullet"/>
      <w:lvlText w:val=""/>
      <w:lvlJc w:val="left"/>
      <w:pPr>
        <w:tabs>
          <w:tab w:val="num" w:pos="5066"/>
        </w:tabs>
        <w:ind w:left="5066" w:right="5066" w:hanging="360"/>
      </w:pPr>
      <w:rPr>
        <w:rFonts w:ascii="Symbol" w:hAnsi="Symbol" w:hint="default"/>
      </w:rPr>
    </w:lvl>
    <w:lvl w:ilvl="7" w:tplc="04090003" w:tentative="1">
      <w:start w:val="1"/>
      <w:numFmt w:val="bullet"/>
      <w:lvlText w:val="o"/>
      <w:lvlJc w:val="left"/>
      <w:pPr>
        <w:tabs>
          <w:tab w:val="num" w:pos="5786"/>
        </w:tabs>
        <w:ind w:left="5786" w:right="5786" w:hanging="360"/>
      </w:pPr>
      <w:rPr>
        <w:rFonts w:ascii="Courier New" w:hAnsi="Courier New" w:cs="Courier New" w:hint="default"/>
      </w:rPr>
    </w:lvl>
    <w:lvl w:ilvl="8" w:tplc="04090005" w:tentative="1">
      <w:start w:val="1"/>
      <w:numFmt w:val="bullet"/>
      <w:lvlText w:val=""/>
      <w:lvlJc w:val="left"/>
      <w:pPr>
        <w:tabs>
          <w:tab w:val="num" w:pos="6506"/>
        </w:tabs>
        <w:ind w:left="6506" w:right="6506" w:hanging="360"/>
      </w:pPr>
      <w:rPr>
        <w:rFonts w:ascii="Wingdings" w:hAnsi="Wingdings" w:hint="default"/>
      </w:rPr>
    </w:lvl>
  </w:abstractNum>
  <w:abstractNum w:abstractNumId="9" w15:restartNumberingAfterBreak="0">
    <w:nsid w:val="13165530"/>
    <w:multiLevelType w:val="hybridMultilevel"/>
    <w:tmpl w:val="93FA72AC"/>
    <w:lvl w:ilvl="0" w:tplc="E9889DC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75C75"/>
    <w:multiLevelType w:val="hybridMultilevel"/>
    <w:tmpl w:val="0824C668"/>
    <w:lvl w:ilvl="0" w:tplc="FFFFFFFF">
      <w:start w:val="55"/>
      <w:numFmt w:val="decimal"/>
      <w:lvlText w:val="%1-"/>
      <w:lvlJc w:val="left"/>
      <w:pPr>
        <w:tabs>
          <w:tab w:val="num" w:pos="386"/>
        </w:tabs>
        <w:ind w:left="386" w:right="386" w:hanging="435"/>
      </w:pPr>
      <w:rPr>
        <w:rFonts w:hint="cs"/>
      </w:rPr>
    </w:lvl>
    <w:lvl w:ilvl="1" w:tplc="FFFFFFFF">
      <w:start w:val="1"/>
      <w:numFmt w:val="lowerRoman"/>
      <w:lvlText w:val="%2."/>
      <w:lvlJc w:val="left"/>
      <w:pPr>
        <w:tabs>
          <w:tab w:val="num" w:pos="1031"/>
        </w:tabs>
        <w:ind w:left="1031" w:right="1031" w:hanging="360"/>
      </w:pPr>
    </w:lvl>
    <w:lvl w:ilvl="2" w:tplc="FFFFFFFF">
      <w:start w:val="56"/>
      <w:numFmt w:val="irohaFullWidth"/>
      <w:lvlText w:val="-"/>
      <w:lvlJc w:val="left"/>
      <w:pPr>
        <w:tabs>
          <w:tab w:val="num" w:pos="1931"/>
        </w:tabs>
        <w:ind w:left="1931" w:right="1931" w:hanging="360"/>
      </w:pPr>
      <w:rPr>
        <w:rFonts w:ascii="Times New Roman" w:eastAsia="Times New Roman" w:hAnsi="Times New Roman" w:cs="Simplified Arabic" w:hint="default"/>
      </w:rPr>
    </w:lvl>
    <w:lvl w:ilvl="3" w:tplc="FFFFFFFF">
      <w:start w:val="1"/>
      <w:numFmt w:val="decimal"/>
      <w:lvlText w:val="%4."/>
      <w:lvlJc w:val="left"/>
      <w:pPr>
        <w:tabs>
          <w:tab w:val="num" w:pos="2471"/>
        </w:tabs>
        <w:ind w:left="2471" w:right="2471" w:hanging="360"/>
      </w:pPr>
    </w:lvl>
    <w:lvl w:ilvl="4" w:tplc="FFFFFFFF">
      <w:start w:val="1"/>
      <w:numFmt w:val="lowerRoman"/>
      <w:lvlText w:val="%5."/>
      <w:lvlJc w:val="left"/>
      <w:pPr>
        <w:tabs>
          <w:tab w:val="num" w:pos="3191"/>
        </w:tabs>
        <w:ind w:left="3191" w:right="3191" w:hanging="360"/>
      </w:pPr>
    </w:lvl>
    <w:lvl w:ilvl="5" w:tplc="FFFFFFFF" w:tentative="1">
      <w:start w:val="1"/>
      <w:numFmt w:val="arabicAbjad"/>
      <w:lvlText w:val="%6."/>
      <w:lvlJc w:val="right"/>
      <w:pPr>
        <w:tabs>
          <w:tab w:val="num" w:pos="3911"/>
        </w:tabs>
        <w:ind w:left="3911" w:right="3911" w:hanging="180"/>
      </w:pPr>
    </w:lvl>
    <w:lvl w:ilvl="6" w:tplc="FFFFFFFF" w:tentative="1">
      <w:start w:val="1"/>
      <w:numFmt w:val="decimal"/>
      <w:lvlText w:val="%7."/>
      <w:lvlJc w:val="left"/>
      <w:pPr>
        <w:tabs>
          <w:tab w:val="num" w:pos="4631"/>
        </w:tabs>
        <w:ind w:left="4631" w:right="4631" w:hanging="360"/>
      </w:pPr>
    </w:lvl>
    <w:lvl w:ilvl="7" w:tplc="FFFFFFFF" w:tentative="1">
      <w:start w:val="1"/>
      <w:numFmt w:val="lowerRoman"/>
      <w:lvlText w:val="%8."/>
      <w:lvlJc w:val="left"/>
      <w:pPr>
        <w:tabs>
          <w:tab w:val="num" w:pos="5351"/>
        </w:tabs>
        <w:ind w:left="5351" w:right="5351" w:hanging="360"/>
      </w:pPr>
    </w:lvl>
    <w:lvl w:ilvl="8" w:tplc="FFFFFFFF" w:tentative="1">
      <w:start w:val="1"/>
      <w:numFmt w:val="arabicAbjad"/>
      <w:lvlText w:val="%9."/>
      <w:lvlJc w:val="right"/>
      <w:pPr>
        <w:tabs>
          <w:tab w:val="num" w:pos="6071"/>
        </w:tabs>
        <w:ind w:left="6071" w:right="6071" w:hanging="180"/>
      </w:pPr>
    </w:lvl>
  </w:abstractNum>
  <w:abstractNum w:abstractNumId="11" w15:restartNumberingAfterBreak="0">
    <w:nsid w:val="20190872"/>
    <w:multiLevelType w:val="multilevel"/>
    <w:tmpl w:val="80B2D5C4"/>
    <w:lvl w:ilvl="0">
      <w:start w:val="1"/>
      <w:numFmt w:val="decimal"/>
      <w:lvlText w:val="%1."/>
      <w:lvlJc w:val="left"/>
      <w:pPr>
        <w:ind w:left="1470" w:hanging="360"/>
      </w:pPr>
    </w:lvl>
    <w:lvl w:ilvl="1">
      <w:start w:val="10"/>
      <w:numFmt w:val="decimal"/>
      <w:isLgl/>
      <w:lvlText w:val="%1.%2"/>
      <w:lvlJc w:val="left"/>
      <w:pPr>
        <w:ind w:left="147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19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910" w:hanging="1800"/>
      </w:pPr>
      <w:rPr>
        <w:rFonts w:hint="default"/>
      </w:rPr>
    </w:lvl>
    <w:lvl w:ilvl="8">
      <w:start w:val="1"/>
      <w:numFmt w:val="decimal"/>
      <w:isLgl/>
      <w:lvlText w:val="%1.%2.%3.%4.%5.%6.%7.%8.%9"/>
      <w:lvlJc w:val="left"/>
      <w:pPr>
        <w:ind w:left="3270" w:hanging="2160"/>
      </w:pPr>
      <w:rPr>
        <w:rFonts w:hint="default"/>
      </w:rPr>
    </w:lvl>
  </w:abstractNum>
  <w:abstractNum w:abstractNumId="12" w15:restartNumberingAfterBreak="0">
    <w:nsid w:val="201C1AF8"/>
    <w:multiLevelType w:val="hybridMultilevel"/>
    <w:tmpl w:val="3280C888"/>
    <w:lvl w:ilvl="0" w:tplc="E9889DCC">
      <w:numFmt w:val="bullet"/>
      <w:lvlText w:val="-"/>
      <w:lvlJc w:val="left"/>
      <w:pPr>
        <w:ind w:left="2015" w:hanging="360"/>
      </w:pPr>
      <w:rPr>
        <w:rFonts w:ascii="Simplified Arabic" w:eastAsia="Times New Roman" w:hAnsi="Simplified Arabic" w:cs="Simplified Arabic"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13" w15:restartNumberingAfterBreak="0">
    <w:nsid w:val="23204514"/>
    <w:multiLevelType w:val="hybridMultilevel"/>
    <w:tmpl w:val="27F2E5A0"/>
    <w:lvl w:ilvl="0" w:tplc="E9889DCC">
      <w:numFmt w:val="bullet"/>
      <w:lvlText w:val="-"/>
      <w:lvlJc w:val="left"/>
      <w:pPr>
        <w:ind w:left="543" w:hanging="360"/>
      </w:pPr>
      <w:rPr>
        <w:rFonts w:ascii="Simplified Arabic" w:eastAsia="Times New Roman" w:hAnsi="Simplified Arabic" w:cs="Simplified Arabic"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14" w15:restartNumberingAfterBreak="0">
    <w:nsid w:val="2644337B"/>
    <w:multiLevelType w:val="hybridMultilevel"/>
    <w:tmpl w:val="42B20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B7042D"/>
    <w:multiLevelType w:val="hybridMultilevel"/>
    <w:tmpl w:val="CA4AEF00"/>
    <w:lvl w:ilvl="0" w:tplc="E9889DCC">
      <w:numFmt w:val="bullet"/>
      <w:lvlText w:val="-"/>
      <w:lvlJc w:val="left"/>
      <w:pPr>
        <w:ind w:left="3313" w:hanging="360"/>
      </w:pPr>
      <w:rPr>
        <w:rFonts w:ascii="Simplified Arabic" w:eastAsia="Times New Roman" w:hAnsi="Simplified Arabic" w:cs="Simplified Arabic"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16" w15:restartNumberingAfterBreak="0">
    <w:nsid w:val="2A3A1B3A"/>
    <w:multiLevelType w:val="hybridMultilevel"/>
    <w:tmpl w:val="74182CE8"/>
    <w:lvl w:ilvl="0" w:tplc="E9889DCC">
      <w:numFmt w:val="bullet"/>
      <w:lvlText w:val="-"/>
      <w:lvlJc w:val="left"/>
      <w:pPr>
        <w:ind w:left="3275" w:hanging="360"/>
      </w:pPr>
      <w:rPr>
        <w:rFonts w:ascii="Simplified Arabic" w:eastAsia="Times New Roman" w:hAnsi="Simplified Arabic" w:cs="Simplified Arabic" w:hint="default"/>
      </w:rPr>
    </w:lvl>
    <w:lvl w:ilvl="1" w:tplc="04090003" w:tentative="1">
      <w:start w:val="1"/>
      <w:numFmt w:val="bullet"/>
      <w:lvlText w:val="o"/>
      <w:lvlJc w:val="left"/>
      <w:pPr>
        <w:ind w:left="3995" w:hanging="360"/>
      </w:pPr>
      <w:rPr>
        <w:rFonts w:ascii="Courier New" w:hAnsi="Courier New" w:cs="Courier New" w:hint="default"/>
      </w:rPr>
    </w:lvl>
    <w:lvl w:ilvl="2" w:tplc="04090005" w:tentative="1">
      <w:start w:val="1"/>
      <w:numFmt w:val="bullet"/>
      <w:lvlText w:val=""/>
      <w:lvlJc w:val="left"/>
      <w:pPr>
        <w:ind w:left="4715" w:hanging="360"/>
      </w:pPr>
      <w:rPr>
        <w:rFonts w:ascii="Wingdings" w:hAnsi="Wingdings" w:hint="default"/>
      </w:rPr>
    </w:lvl>
    <w:lvl w:ilvl="3" w:tplc="04090001" w:tentative="1">
      <w:start w:val="1"/>
      <w:numFmt w:val="bullet"/>
      <w:lvlText w:val=""/>
      <w:lvlJc w:val="left"/>
      <w:pPr>
        <w:ind w:left="5435" w:hanging="360"/>
      </w:pPr>
      <w:rPr>
        <w:rFonts w:ascii="Symbol" w:hAnsi="Symbol" w:hint="default"/>
      </w:rPr>
    </w:lvl>
    <w:lvl w:ilvl="4" w:tplc="04090003" w:tentative="1">
      <w:start w:val="1"/>
      <w:numFmt w:val="bullet"/>
      <w:lvlText w:val="o"/>
      <w:lvlJc w:val="left"/>
      <w:pPr>
        <w:ind w:left="6155" w:hanging="360"/>
      </w:pPr>
      <w:rPr>
        <w:rFonts w:ascii="Courier New" w:hAnsi="Courier New" w:cs="Courier New" w:hint="default"/>
      </w:rPr>
    </w:lvl>
    <w:lvl w:ilvl="5" w:tplc="04090005" w:tentative="1">
      <w:start w:val="1"/>
      <w:numFmt w:val="bullet"/>
      <w:lvlText w:val=""/>
      <w:lvlJc w:val="left"/>
      <w:pPr>
        <w:ind w:left="6875" w:hanging="360"/>
      </w:pPr>
      <w:rPr>
        <w:rFonts w:ascii="Wingdings" w:hAnsi="Wingdings" w:hint="default"/>
      </w:rPr>
    </w:lvl>
    <w:lvl w:ilvl="6" w:tplc="04090001" w:tentative="1">
      <w:start w:val="1"/>
      <w:numFmt w:val="bullet"/>
      <w:lvlText w:val=""/>
      <w:lvlJc w:val="left"/>
      <w:pPr>
        <w:ind w:left="7595" w:hanging="360"/>
      </w:pPr>
      <w:rPr>
        <w:rFonts w:ascii="Symbol" w:hAnsi="Symbol" w:hint="default"/>
      </w:rPr>
    </w:lvl>
    <w:lvl w:ilvl="7" w:tplc="04090003" w:tentative="1">
      <w:start w:val="1"/>
      <w:numFmt w:val="bullet"/>
      <w:lvlText w:val="o"/>
      <w:lvlJc w:val="left"/>
      <w:pPr>
        <w:ind w:left="8315" w:hanging="360"/>
      </w:pPr>
      <w:rPr>
        <w:rFonts w:ascii="Courier New" w:hAnsi="Courier New" w:cs="Courier New" w:hint="default"/>
      </w:rPr>
    </w:lvl>
    <w:lvl w:ilvl="8" w:tplc="04090005" w:tentative="1">
      <w:start w:val="1"/>
      <w:numFmt w:val="bullet"/>
      <w:lvlText w:val=""/>
      <w:lvlJc w:val="left"/>
      <w:pPr>
        <w:ind w:left="9035" w:hanging="360"/>
      </w:pPr>
      <w:rPr>
        <w:rFonts w:ascii="Wingdings" w:hAnsi="Wingdings" w:hint="default"/>
      </w:rPr>
    </w:lvl>
  </w:abstractNum>
  <w:abstractNum w:abstractNumId="17" w15:restartNumberingAfterBreak="0">
    <w:nsid w:val="2BFB785D"/>
    <w:multiLevelType w:val="hybridMultilevel"/>
    <w:tmpl w:val="B20886A8"/>
    <w:lvl w:ilvl="0" w:tplc="04090009">
      <w:start w:val="1"/>
      <w:numFmt w:val="bullet"/>
      <w:lvlText w:val=""/>
      <w:lvlJc w:val="left"/>
      <w:pPr>
        <w:ind w:left="3313" w:hanging="360"/>
      </w:pPr>
      <w:rPr>
        <w:rFonts w:ascii="Wingdings" w:hAnsi="Wingdings"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18" w15:restartNumberingAfterBreak="0">
    <w:nsid w:val="2C49308D"/>
    <w:multiLevelType w:val="hybridMultilevel"/>
    <w:tmpl w:val="3F249E24"/>
    <w:lvl w:ilvl="0" w:tplc="E9889DCC">
      <w:numFmt w:val="bullet"/>
      <w:lvlText w:val="-"/>
      <w:lvlJc w:val="left"/>
      <w:pPr>
        <w:ind w:left="3313" w:hanging="360"/>
      </w:pPr>
      <w:rPr>
        <w:rFonts w:ascii="Simplified Arabic" w:eastAsia="Times New Roman" w:hAnsi="Simplified Arabic" w:cs="Simplified Arabic"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19" w15:restartNumberingAfterBreak="0">
    <w:nsid w:val="32244957"/>
    <w:multiLevelType w:val="multilevel"/>
    <w:tmpl w:val="C8808B1A"/>
    <w:lvl w:ilvl="0">
      <w:start w:val="3"/>
      <w:numFmt w:val="decimal"/>
      <w:lvlText w:val="%1"/>
      <w:lvlJc w:val="left"/>
      <w:pPr>
        <w:ind w:left="585" w:hanging="585"/>
      </w:pPr>
      <w:rPr>
        <w:rFonts w:hint="default"/>
      </w:rPr>
    </w:lvl>
    <w:lvl w:ilvl="1">
      <w:start w:val="4"/>
      <w:numFmt w:val="decimal"/>
      <w:lvlText w:val="%1.%2"/>
      <w:lvlJc w:val="left"/>
      <w:pPr>
        <w:ind w:left="2359" w:hanging="720"/>
      </w:pPr>
      <w:rPr>
        <w:rFonts w:hint="default"/>
      </w:rPr>
    </w:lvl>
    <w:lvl w:ilvl="2">
      <w:start w:val="3"/>
      <w:numFmt w:val="decimal"/>
      <w:lvlText w:val="%1.%2.%3"/>
      <w:lvlJc w:val="left"/>
      <w:pPr>
        <w:ind w:left="3998" w:hanging="720"/>
      </w:pPr>
      <w:rPr>
        <w:rFonts w:hint="default"/>
      </w:rPr>
    </w:lvl>
    <w:lvl w:ilvl="3">
      <w:start w:val="1"/>
      <w:numFmt w:val="decimal"/>
      <w:lvlText w:val="%1.%2.%3.%4"/>
      <w:lvlJc w:val="left"/>
      <w:pPr>
        <w:ind w:left="5997" w:hanging="1080"/>
      </w:pPr>
      <w:rPr>
        <w:rFonts w:hint="default"/>
      </w:rPr>
    </w:lvl>
    <w:lvl w:ilvl="4">
      <w:start w:val="1"/>
      <w:numFmt w:val="decimal"/>
      <w:lvlText w:val="%1.%2.%3.%4.%5"/>
      <w:lvlJc w:val="left"/>
      <w:pPr>
        <w:ind w:left="7636" w:hanging="1080"/>
      </w:pPr>
      <w:rPr>
        <w:rFonts w:hint="default"/>
      </w:rPr>
    </w:lvl>
    <w:lvl w:ilvl="5">
      <w:start w:val="1"/>
      <w:numFmt w:val="decimal"/>
      <w:lvlText w:val="%1.%2.%3.%4.%5.%6"/>
      <w:lvlJc w:val="left"/>
      <w:pPr>
        <w:ind w:left="9635" w:hanging="1440"/>
      </w:pPr>
      <w:rPr>
        <w:rFonts w:hint="default"/>
      </w:rPr>
    </w:lvl>
    <w:lvl w:ilvl="6">
      <w:start w:val="1"/>
      <w:numFmt w:val="decimal"/>
      <w:lvlText w:val="%1.%2.%3.%4.%5.%6.%7"/>
      <w:lvlJc w:val="left"/>
      <w:pPr>
        <w:ind w:left="11634" w:hanging="1800"/>
      </w:pPr>
      <w:rPr>
        <w:rFonts w:hint="default"/>
      </w:rPr>
    </w:lvl>
    <w:lvl w:ilvl="7">
      <w:start w:val="1"/>
      <w:numFmt w:val="decimal"/>
      <w:lvlText w:val="%1.%2.%3.%4.%5.%6.%7.%8"/>
      <w:lvlJc w:val="left"/>
      <w:pPr>
        <w:ind w:left="13273" w:hanging="1800"/>
      </w:pPr>
      <w:rPr>
        <w:rFonts w:hint="default"/>
      </w:rPr>
    </w:lvl>
    <w:lvl w:ilvl="8">
      <w:start w:val="1"/>
      <w:numFmt w:val="decimal"/>
      <w:lvlText w:val="%1.%2.%3.%4.%5.%6.%7.%8.%9"/>
      <w:lvlJc w:val="left"/>
      <w:pPr>
        <w:ind w:left="15272" w:hanging="2160"/>
      </w:pPr>
      <w:rPr>
        <w:rFonts w:hint="default"/>
      </w:rPr>
    </w:lvl>
  </w:abstractNum>
  <w:abstractNum w:abstractNumId="20" w15:restartNumberingAfterBreak="0">
    <w:nsid w:val="34444C87"/>
    <w:multiLevelType w:val="hybridMultilevel"/>
    <w:tmpl w:val="2A14B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751B1D"/>
    <w:multiLevelType w:val="hybridMultilevel"/>
    <w:tmpl w:val="6B262F68"/>
    <w:lvl w:ilvl="0" w:tplc="BE8462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C87384"/>
    <w:multiLevelType w:val="hybridMultilevel"/>
    <w:tmpl w:val="A5DC9416"/>
    <w:lvl w:ilvl="0" w:tplc="1BF62F72">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3" w15:restartNumberingAfterBreak="0">
    <w:nsid w:val="3AB853ED"/>
    <w:multiLevelType w:val="hybridMultilevel"/>
    <w:tmpl w:val="D8A4BAFC"/>
    <w:lvl w:ilvl="0" w:tplc="04090005">
      <w:start w:val="1"/>
      <w:numFmt w:val="bullet"/>
      <w:lvlText w:val=""/>
      <w:lvlJc w:val="left"/>
      <w:pPr>
        <w:tabs>
          <w:tab w:val="num" w:pos="720"/>
        </w:tabs>
        <w:ind w:left="720" w:right="72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3BFC78F4"/>
    <w:multiLevelType w:val="multilevel"/>
    <w:tmpl w:val="6168579E"/>
    <w:lvl w:ilvl="0">
      <w:start w:val="3"/>
      <w:numFmt w:val="decimal"/>
      <w:lvlText w:val="%1"/>
      <w:lvlJc w:val="left"/>
      <w:pPr>
        <w:ind w:left="645" w:hanging="645"/>
      </w:pPr>
      <w:rPr>
        <w:rFonts w:hint="default"/>
      </w:rPr>
    </w:lvl>
    <w:lvl w:ilvl="1">
      <w:start w:val="4"/>
      <w:numFmt w:val="decimal"/>
      <w:lvlText w:val="%1.%2"/>
      <w:lvlJc w:val="left"/>
      <w:pPr>
        <w:ind w:left="1449" w:hanging="720"/>
      </w:pPr>
      <w:rPr>
        <w:rFonts w:hint="default"/>
      </w:rPr>
    </w:lvl>
    <w:lvl w:ilvl="2">
      <w:start w:val="3"/>
      <w:numFmt w:val="decimal"/>
      <w:lvlText w:val="%1.%2.%3"/>
      <w:lvlJc w:val="left"/>
      <w:pPr>
        <w:ind w:left="2178" w:hanging="720"/>
      </w:pPr>
      <w:rPr>
        <w:rFonts w:hint="default"/>
        <w:b w:val="0"/>
        <w:bCs w:val="0"/>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25" w15:restartNumberingAfterBreak="0">
    <w:nsid w:val="3CFE29DA"/>
    <w:multiLevelType w:val="multilevel"/>
    <w:tmpl w:val="0409001F"/>
    <w:lvl w:ilvl="0">
      <w:start w:val="1"/>
      <w:numFmt w:val="decimal"/>
      <w:lvlText w:val="%1."/>
      <w:lvlJc w:val="left"/>
      <w:pPr>
        <w:tabs>
          <w:tab w:val="num" w:pos="360"/>
        </w:tabs>
        <w:ind w:left="360" w:right="360" w:hanging="360"/>
      </w:pPr>
    </w:lvl>
    <w:lvl w:ilvl="1">
      <w:start w:val="1"/>
      <w:numFmt w:val="decimal"/>
      <w:lvlText w:val="%1.%2."/>
      <w:lvlJc w:val="left"/>
      <w:pPr>
        <w:tabs>
          <w:tab w:val="num" w:pos="792"/>
        </w:tabs>
        <w:ind w:left="792" w:right="792" w:hanging="432"/>
      </w:pPr>
    </w:lvl>
    <w:lvl w:ilvl="2">
      <w:start w:val="1"/>
      <w:numFmt w:val="decimal"/>
      <w:lvlText w:val="%1.%2.%3."/>
      <w:lvlJc w:val="left"/>
      <w:pPr>
        <w:tabs>
          <w:tab w:val="num" w:pos="1440"/>
        </w:tabs>
        <w:ind w:left="1224" w:right="1224" w:hanging="504"/>
      </w:pPr>
    </w:lvl>
    <w:lvl w:ilvl="3">
      <w:start w:val="1"/>
      <w:numFmt w:val="decimal"/>
      <w:lvlText w:val="%1.%2.%3.%4."/>
      <w:lvlJc w:val="left"/>
      <w:pPr>
        <w:tabs>
          <w:tab w:val="num" w:pos="2160"/>
        </w:tabs>
        <w:ind w:left="1728" w:right="1728" w:hanging="648"/>
      </w:pPr>
    </w:lvl>
    <w:lvl w:ilvl="4">
      <w:start w:val="1"/>
      <w:numFmt w:val="decimal"/>
      <w:lvlText w:val="%1.%2.%3.%4.%5."/>
      <w:lvlJc w:val="left"/>
      <w:pPr>
        <w:tabs>
          <w:tab w:val="num" w:pos="2520"/>
        </w:tabs>
        <w:ind w:left="2232" w:right="2232" w:hanging="792"/>
      </w:pPr>
    </w:lvl>
    <w:lvl w:ilvl="5">
      <w:start w:val="1"/>
      <w:numFmt w:val="decimal"/>
      <w:lvlText w:val="%1.%2.%3.%4.%5.%6."/>
      <w:lvlJc w:val="left"/>
      <w:pPr>
        <w:tabs>
          <w:tab w:val="num" w:pos="3240"/>
        </w:tabs>
        <w:ind w:left="2736" w:right="2736" w:hanging="936"/>
      </w:pPr>
    </w:lvl>
    <w:lvl w:ilvl="6">
      <w:start w:val="1"/>
      <w:numFmt w:val="decimal"/>
      <w:lvlText w:val="%1.%2.%3.%4.%5.%6.%7."/>
      <w:lvlJc w:val="left"/>
      <w:pPr>
        <w:tabs>
          <w:tab w:val="num" w:pos="3960"/>
        </w:tabs>
        <w:ind w:left="3240" w:right="3240" w:hanging="1080"/>
      </w:pPr>
    </w:lvl>
    <w:lvl w:ilvl="7">
      <w:start w:val="1"/>
      <w:numFmt w:val="decimal"/>
      <w:lvlText w:val="%1.%2.%3.%4.%5.%6.%7.%8."/>
      <w:lvlJc w:val="left"/>
      <w:pPr>
        <w:tabs>
          <w:tab w:val="num" w:pos="4320"/>
        </w:tabs>
        <w:ind w:left="3744" w:right="3744" w:hanging="1224"/>
      </w:pPr>
    </w:lvl>
    <w:lvl w:ilvl="8">
      <w:start w:val="1"/>
      <w:numFmt w:val="decimal"/>
      <w:lvlText w:val="%1.%2.%3.%4.%5.%6.%7.%8.%9."/>
      <w:lvlJc w:val="left"/>
      <w:pPr>
        <w:tabs>
          <w:tab w:val="num" w:pos="5040"/>
        </w:tabs>
        <w:ind w:left="4320" w:right="4320" w:hanging="1440"/>
      </w:pPr>
    </w:lvl>
  </w:abstractNum>
  <w:abstractNum w:abstractNumId="26" w15:restartNumberingAfterBreak="0">
    <w:nsid w:val="3D6E78A1"/>
    <w:multiLevelType w:val="hybridMultilevel"/>
    <w:tmpl w:val="92BA6CBE"/>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27" w15:restartNumberingAfterBreak="0">
    <w:nsid w:val="48CA1E7A"/>
    <w:multiLevelType w:val="hybridMultilevel"/>
    <w:tmpl w:val="E742686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4916023E"/>
    <w:multiLevelType w:val="hybridMultilevel"/>
    <w:tmpl w:val="98489702"/>
    <w:lvl w:ilvl="0" w:tplc="6C8EE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B1448"/>
    <w:multiLevelType w:val="hybridMultilevel"/>
    <w:tmpl w:val="9C7268BC"/>
    <w:lvl w:ilvl="0" w:tplc="E9889DCC">
      <w:numFmt w:val="bullet"/>
      <w:lvlText w:val="-"/>
      <w:lvlJc w:val="left"/>
      <w:pPr>
        <w:ind w:left="3313" w:hanging="360"/>
      </w:pPr>
      <w:rPr>
        <w:rFonts w:ascii="Simplified Arabic" w:eastAsia="Times New Roman" w:hAnsi="Simplified Arabic" w:cs="Simplified Arabic"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30" w15:restartNumberingAfterBreak="0">
    <w:nsid w:val="4D8B1D4A"/>
    <w:multiLevelType w:val="hybridMultilevel"/>
    <w:tmpl w:val="CC5C60D2"/>
    <w:lvl w:ilvl="0" w:tplc="0409000B">
      <w:start w:val="1"/>
      <w:numFmt w:val="bullet"/>
      <w:lvlText w:val=""/>
      <w:lvlJc w:val="left"/>
      <w:pPr>
        <w:ind w:left="746" w:hanging="360"/>
      </w:pPr>
      <w:rPr>
        <w:rFonts w:ascii="Wingdings" w:hAnsi="Wingdings"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31" w15:restartNumberingAfterBreak="0">
    <w:nsid w:val="525A160E"/>
    <w:multiLevelType w:val="hybridMultilevel"/>
    <w:tmpl w:val="BF104B16"/>
    <w:lvl w:ilvl="0" w:tplc="04090009">
      <w:start w:val="1"/>
      <w:numFmt w:val="bullet"/>
      <w:lvlText w:val=""/>
      <w:lvlJc w:val="left"/>
      <w:pPr>
        <w:ind w:left="2015" w:hanging="360"/>
      </w:pPr>
      <w:rPr>
        <w:rFonts w:ascii="Wingdings" w:hAnsi="Wingdings"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32" w15:restartNumberingAfterBreak="0">
    <w:nsid w:val="529D09BC"/>
    <w:multiLevelType w:val="hybridMultilevel"/>
    <w:tmpl w:val="2AD0DF2C"/>
    <w:lvl w:ilvl="0" w:tplc="E9889DC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BB13AE"/>
    <w:multiLevelType w:val="hybridMultilevel"/>
    <w:tmpl w:val="D67C08CC"/>
    <w:lvl w:ilvl="0" w:tplc="04090005">
      <w:start w:val="1"/>
      <w:numFmt w:val="bullet"/>
      <w:lvlText w:val=""/>
      <w:lvlJc w:val="left"/>
      <w:pPr>
        <w:ind w:left="1895" w:hanging="360"/>
      </w:pPr>
      <w:rPr>
        <w:rFonts w:ascii="Wingdings" w:hAnsi="Wingdings" w:hint="default"/>
      </w:rPr>
    </w:lvl>
    <w:lvl w:ilvl="1" w:tplc="04090003" w:tentative="1">
      <w:start w:val="1"/>
      <w:numFmt w:val="bullet"/>
      <w:lvlText w:val="o"/>
      <w:lvlJc w:val="left"/>
      <w:pPr>
        <w:ind w:left="2615" w:hanging="360"/>
      </w:pPr>
      <w:rPr>
        <w:rFonts w:ascii="Courier New" w:hAnsi="Courier New" w:cs="Courier New" w:hint="default"/>
      </w:rPr>
    </w:lvl>
    <w:lvl w:ilvl="2" w:tplc="04090005" w:tentative="1">
      <w:start w:val="1"/>
      <w:numFmt w:val="bullet"/>
      <w:lvlText w:val=""/>
      <w:lvlJc w:val="left"/>
      <w:pPr>
        <w:ind w:left="3335" w:hanging="360"/>
      </w:pPr>
      <w:rPr>
        <w:rFonts w:ascii="Wingdings" w:hAnsi="Wingdings" w:hint="default"/>
      </w:rPr>
    </w:lvl>
    <w:lvl w:ilvl="3" w:tplc="04090001" w:tentative="1">
      <w:start w:val="1"/>
      <w:numFmt w:val="bullet"/>
      <w:lvlText w:val=""/>
      <w:lvlJc w:val="left"/>
      <w:pPr>
        <w:ind w:left="4055" w:hanging="360"/>
      </w:pPr>
      <w:rPr>
        <w:rFonts w:ascii="Symbol" w:hAnsi="Symbol" w:hint="default"/>
      </w:rPr>
    </w:lvl>
    <w:lvl w:ilvl="4" w:tplc="04090003" w:tentative="1">
      <w:start w:val="1"/>
      <w:numFmt w:val="bullet"/>
      <w:lvlText w:val="o"/>
      <w:lvlJc w:val="left"/>
      <w:pPr>
        <w:ind w:left="4775" w:hanging="360"/>
      </w:pPr>
      <w:rPr>
        <w:rFonts w:ascii="Courier New" w:hAnsi="Courier New" w:cs="Courier New" w:hint="default"/>
      </w:rPr>
    </w:lvl>
    <w:lvl w:ilvl="5" w:tplc="04090005" w:tentative="1">
      <w:start w:val="1"/>
      <w:numFmt w:val="bullet"/>
      <w:lvlText w:val=""/>
      <w:lvlJc w:val="left"/>
      <w:pPr>
        <w:ind w:left="5495" w:hanging="360"/>
      </w:pPr>
      <w:rPr>
        <w:rFonts w:ascii="Wingdings" w:hAnsi="Wingdings" w:hint="default"/>
      </w:rPr>
    </w:lvl>
    <w:lvl w:ilvl="6" w:tplc="04090001" w:tentative="1">
      <w:start w:val="1"/>
      <w:numFmt w:val="bullet"/>
      <w:lvlText w:val=""/>
      <w:lvlJc w:val="left"/>
      <w:pPr>
        <w:ind w:left="6215" w:hanging="360"/>
      </w:pPr>
      <w:rPr>
        <w:rFonts w:ascii="Symbol" w:hAnsi="Symbol" w:hint="default"/>
      </w:rPr>
    </w:lvl>
    <w:lvl w:ilvl="7" w:tplc="04090003" w:tentative="1">
      <w:start w:val="1"/>
      <w:numFmt w:val="bullet"/>
      <w:lvlText w:val="o"/>
      <w:lvlJc w:val="left"/>
      <w:pPr>
        <w:ind w:left="6935" w:hanging="360"/>
      </w:pPr>
      <w:rPr>
        <w:rFonts w:ascii="Courier New" w:hAnsi="Courier New" w:cs="Courier New" w:hint="default"/>
      </w:rPr>
    </w:lvl>
    <w:lvl w:ilvl="8" w:tplc="04090005" w:tentative="1">
      <w:start w:val="1"/>
      <w:numFmt w:val="bullet"/>
      <w:lvlText w:val=""/>
      <w:lvlJc w:val="left"/>
      <w:pPr>
        <w:ind w:left="7655" w:hanging="360"/>
      </w:pPr>
      <w:rPr>
        <w:rFonts w:ascii="Wingdings" w:hAnsi="Wingdings" w:hint="default"/>
      </w:rPr>
    </w:lvl>
  </w:abstractNum>
  <w:abstractNum w:abstractNumId="34" w15:restartNumberingAfterBreak="0">
    <w:nsid w:val="615A106A"/>
    <w:multiLevelType w:val="hybridMultilevel"/>
    <w:tmpl w:val="A5DA224E"/>
    <w:lvl w:ilvl="0" w:tplc="E9889DCC">
      <w:numFmt w:val="bullet"/>
      <w:lvlText w:val="-"/>
      <w:lvlJc w:val="left"/>
      <w:pPr>
        <w:ind w:left="1835" w:hanging="360"/>
      </w:pPr>
      <w:rPr>
        <w:rFonts w:ascii="Simplified Arabic" w:eastAsia="Times New Roman" w:hAnsi="Simplified Arabic" w:cs="Simplified Arabic"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35" w15:restartNumberingAfterBreak="0">
    <w:nsid w:val="645E24F2"/>
    <w:multiLevelType w:val="hybridMultilevel"/>
    <w:tmpl w:val="952E916C"/>
    <w:lvl w:ilvl="0" w:tplc="5AFAB6EA">
      <w:start w:val="1"/>
      <w:numFmt w:val="bullet"/>
      <w:lvlText w:val="•"/>
      <w:lvlJc w:val="left"/>
      <w:pPr>
        <w:tabs>
          <w:tab w:val="num" w:pos="720"/>
        </w:tabs>
        <w:ind w:left="720" w:hanging="360"/>
      </w:pPr>
      <w:rPr>
        <w:rFonts w:ascii="Arial" w:hAnsi="Arial" w:hint="default"/>
        <w:lang w:bidi="ar-JO"/>
      </w:rPr>
    </w:lvl>
    <w:lvl w:ilvl="1" w:tplc="067AF572" w:tentative="1">
      <w:start w:val="1"/>
      <w:numFmt w:val="bullet"/>
      <w:lvlText w:val="•"/>
      <w:lvlJc w:val="left"/>
      <w:pPr>
        <w:tabs>
          <w:tab w:val="num" w:pos="1440"/>
        </w:tabs>
        <w:ind w:left="1440" w:hanging="360"/>
      </w:pPr>
      <w:rPr>
        <w:rFonts w:ascii="Arial" w:hAnsi="Arial" w:hint="default"/>
      </w:rPr>
    </w:lvl>
    <w:lvl w:ilvl="2" w:tplc="AEC2F388" w:tentative="1">
      <w:start w:val="1"/>
      <w:numFmt w:val="bullet"/>
      <w:lvlText w:val="•"/>
      <w:lvlJc w:val="left"/>
      <w:pPr>
        <w:tabs>
          <w:tab w:val="num" w:pos="2160"/>
        </w:tabs>
        <w:ind w:left="2160" w:hanging="360"/>
      </w:pPr>
      <w:rPr>
        <w:rFonts w:ascii="Arial" w:hAnsi="Arial" w:hint="default"/>
      </w:rPr>
    </w:lvl>
    <w:lvl w:ilvl="3" w:tplc="42B2FFFC" w:tentative="1">
      <w:start w:val="1"/>
      <w:numFmt w:val="bullet"/>
      <w:lvlText w:val="•"/>
      <w:lvlJc w:val="left"/>
      <w:pPr>
        <w:tabs>
          <w:tab w:val="num" w:pos="2880"/>
        </w:tabs>
        <w:ind w:left="2880" w:hanging="360"/>
      </w:pPr>
      <w:rPr>
        <w:rFonts w:ascii="Arial" w:hAnsi="Arial" w:hint="default"/>
      </w:rPr>
    </w:lvl>
    <w:lvl w:ilvl="4" w:tplc="12267FEC" w:tentative="1">
      <w:start w:val="1"/>
      <w:numFmt w:val="bullet"/>
      <w:lvlText w:val="•"/>
      <w:lvlJc w:val="left"/>
      <w:pPr>
        <w:tabs>
          <w:tab w:val="num" w:pos="3600"/>
        </w:tabs>
        <w:ind w:left="3600" w:hanging="360"/>
      </w:pPr>
      <w:rPr>
        <w:rFonts w:ascii="Arial" w:hAnsi="Arial" w:hint="default"/>
      </w:rPr>
    </w:lvl>
    <w:lvl w:ilvl="5" w:tplc="FFFCEBCA" w:tentative="1">
      <w:start w:val="1"/>
      <w:numFmt w:val="bullet"/>
      <w:lvlText w:val="•"/>
      <w:lvlJc w:val="left"/>
      <w:pPr>
        <w:tabs>
          <w:tab w:val="num" w:pos="4320"/>
        </w:tabs>
        <w:ind w:left="4320" w:hanging="360"/>
      </w:pPr>
      <w:rPr>
        <w:rFonts w:ascii="Arial" w:hAnsi="Arial" w:hint="default"/>
      </w:rPr>
    </w:lvl>
    <w:lvl w:ilvl="6" w:tplc="4ABEDE3C" w:tentative="1">
      <w:start w:val="1"/>
      <w:numFmt w:val="bullet"/>
      <w:lvlText w:val="•"/>
      <w:lvlJc w:val="left"/>
      <w:pPr>
        <w:tabs>
          <w:tab w:val="num" w:pos="5040"/>
        </w:tabs>
        <w:ind w:left="5040" w:hanging="360"/>
      </w:pPr>
      <w:rPr>
        <w:rFonts w:ascii="Arial" w:hAnsi="Arial" w:hint="default"/>
      </w:rPr>
    </w:lvl>
    <w:lvl w:ilvl="7" w:tplc="641E6380" w:tentative="1">
      <w:start w:val="1"/>
      <w:numFmt w:val="bullet"/>
      <w:lvlText w:val="•"/>
      <w:lvlJc w:val="left"/>
      <w:pPr>
        <w:tabs>
          <w:tab w:val="num" w:pos="5760"/>
        </w:tabs>
        <w:ind w:left="5760" w:hanging="360"/>
      </w:pPr>
      <w:rPr>
        <w:rFonts w:ascii="Arial" w:hAnsi="Arial" w:hint="default"/>
      </w:rPr>
    </w:lvl>
    <w:lvl w:ilvl="8" w:tplc="B346F10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6D2691"/>
    <w:multiLevelType w:val="hybridMultilevel"/>
    <w:tmpl w:val="9234430A"/>
    <w:lvl w:ilvl="0" w:tplc="2E92DB6C">
      <w:start w:val="1"/>
      <w:numFmt w:val="bullet"/>
      <w:lvlText w:val=""/>
      <w:lvlJc w:val="left"/>
      <w:pPr>
        <w:ind w:left="1260" w:hanging="360"/>
      </w:pPr>
      <w:rPr>
        <w:rFonts w:ascii="Wingdings" w:hAnsi="Wingdings" w:hint="default"/>
        <w:lang w:bidi="ar-S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9465E11"/>
    <w:multiLevelType w:val="hybridMultilevel"/>
    <w:tmpl w:val="A572873E"/>
    <w:lvl w:ilvl="0" w:tplc="E9889DCC">
      <w:numFmt w:val="bullet"/>
      <w:lvlText w:val="-"/>
      <w:lvlJc w:val="left"/>
      <w:pPr>
        <w:ind w:left="3313" w:hanging="360"/>
      </w:pPr>
      <w:rPr>
        <w:rFonts w:ascii="Simplified Arabic" w:eastAsia="Times New Roman" w:hAnsi="Simplified Arabic" w:cs="Simplified Arabic"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38" w15:restartNumberingAfterBreak="0">
    <w:nsid w:val="6C06698E"/>
    <w:multiLevelType w:val="hybridMultilevel"/>
    <w:tmpl w:val="D8DE6910"/>
    <w:lvl w:ilvl="0" w:tplc="E9889DCC">
      <w:numFmt w:val="bullet"/>
      <w:lvlText w:val="-"/>
      <w:lvlJc w:val="left"/>
      <w:pPr>
        <w:ind w:left="3313" w:hanging="360"/>
      </w:pPr>
      <w:rPr>
        <w:rFonts w:ascii="Simplified Arabic" w:eastAsia="Times New Roman" w:hAnsi="Simplified Arabic" w:cs="Simplified Arabic"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39" w15:restartNumberingAfterBreak="0">
    <w:nsid w:val="6EF9081A"/>
    <w:multiLevelType w:val="hybridMultilevel"/>
    <w:tmpl w:val="8C4CB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40" w15:restartNumberingAfterBreak="0">
    <w:nsid w:val="735845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F24AC2"/>
    <w:multiLevelType w:val="multilevel"/>
    <w:tmpl w:val="B9464B14"/>
    <w:lvl w:ilvl="0">
      <w:start w:val="1"/>
      <w:numFmt w:val="decimal"/>
      <w:isLgl/>
      <w:suff w:val="space"/>
      <w:lvlText w:val="%1."/>
      <w:lvlJc w:val="left"/>
      <w:pPr>
        <w:ind w:left="360" w:right="360" w:hanging="72"/>
      </w:pPr>
      <w:rPr>
        <w:rFonts w:hint="default"/>
      </w:rPr>
    </w:lvl>
    <w:lvl w:ilvl="1">
      <w:start w:val="1"/>
      <w:numFmt w:val="decimal"/>
      <w:lvlText w:val="%1.%2."/>
      <w:lvlJc w:val="left"/>
      <w:pPr>
        <w:tabs>
          <w:tab w:val="num" w:pos="1080"/>
        </w:tabs>
        <w:ind w:left="792" w:right="792" w:hanging="432"/>
      </w:pPr>
      <w:rPr>
        <w:rFonts w:hint="default"/>
      </w:rPr>
    </w:lvl>
    <w:lvl w:ilvl="2">
      <w:start w:val="1"/>
      <w:numFmt w:val="decimal"/>
      <w:lvlText w:val="%1.%2.%3."/>
      <w:lvlJc w:val="left"/>
      <w:pPr>
        <w:tabs>
          <w:tab w:val="num" w:pos="2340"/>
        </w:tabs>
        <w:ind w:left="1764" w:right="1224" w:hanging="504"/>
      </w:pPr>
      <w:rPr>
        <w:rFonts w:hint="default"/>
      </w:rPr>
    </w:lvl>
    <w:lvl w:ilvl="3">
      <w:start w:val="1"/>
      <w:numFmt w:val="decimal"/>
      <w:lvlText w:val="%1.%2.%3.%4."/>
      <w:lvlJc w:val="left"/>
      <w:pPr>
        <w:tabs>
          <w:tab w:val="num" w:pos="2160"/>
        </w:tabs>
        <w:ind w:left="1728" w:right="1728" w:hanging="648"/>
      </w:pPr>
      <w:rPr>
        <w:rFonts w:hint="default"/>
      </w:rPr>
    </w:lvl>
    <w:lvl w:ilvl="4">
      <w:start w:val="1"/>
      <w:numFmt w:val="decimal"/>
      <w:lvlText w:val="%1.%2.%3.%4.%5."/>
      <w:lvlJc w:val="left"/>
      <w:pPr>
        <w:tabs>
          <w:tab w:val="num" w:pos="2880"/>
        </w:tabs>
        <w:ind w:left="2232" w:right="2232" w:hanging="792"/>
      </w:pPr>
      <w:rPr>
        <w:rFonts w:hint="default"/>
      </w:rPr>
    </w:lvl>
    <w:lvl w:ilvl="5">
      <w:start w:val="1"/>
      <w:numFmt w:val="decimal"/>
      <w:lvlText w:val="%1.%2.%3.%4.%5.%6."/>
      <w:lvlJc w:val="left"/>
      <w:pPr>
        <w:tabs>
          <w:tab w:val="num" w:pos="3600"/>
        </w:tabs>
        <w:ind w:left="2736" w:right="2736" w:hanging="936"/>
      </w:pPr>
      <w:rPr>
        <w:rFonts w:hint="default"/>
      </w:rPr>
    </w:lvl>
    <w:lvl w:ilvl="6">
      <w:start w:val="1"/>
      <w:numFmt w:val="decimal"/>
      <w:lvlText w:val="%1.%2.%3.%4.%5.%6.%7."/>
      <w:lvlJc w:val="left"/>
      <w:pPr>
        <w:tabs>
          <w:tab w:val="num" w:pos="4320"/>
        </w:tabs>
        <w:ind w:left="3240" w:right="3240" w:hanging="1080"/>
      </w:pPr>
      <w:rPr>
        <w:rFonts w:hint="default"/>
      </w:rPr>
    </w:lvl>
    <w:lvl w:ilvl="7">
      <w:start w:val="1"/>
      <w:numFmt w:val="decimal"/>
      <w:lvlText w:val="%1.%2.%3.%4.%5.%6.%7.%8."/>
      <w:lvlJc w:val="left"/>
      <w:pPr>
        <w:tabs>
          <w:tab w:val="num" w:pos="4680"/>
        </w:tabs>
        <w:ind w:left="3744" w:right="3744" w:hanging="1224"/>
      </w:pPr>
      <w:rPr>
        <w:rFonts w:hint="default"/>
      </w:rPr>
    </w:lvl>
    <w:lvl w:ilvl="8">
      <w:start w:val="1"/>
      <w:numFmt w:val="decimal"/>
      <w:lvlText w:val="%1.%2.%3.%4.%5.%6.%7.%8.%9."/>
      <w:lvlJc w:val="left"/>
      <w:pPr>
        <w:tabs>
          <w:tab w:val="num" w:pos="5400"/>
        </w:tabs>
        <w:ind w:left="4320" w:right="4320" w:hanging="1440"/>
      </w:pPr>
      <w:rPr>
        <w:rFonts w:hint="default"/>
      </w:rPr>
    </w:lvl>
  </w:abstractNum>
  <w:abstractNum w:abstractNumId="42" w15:restartNumberingAfterBreak="0">
    <w:nsid w:val="75DF4049"/>
    <w:multiLevelType w:val="hybridMultilevel"/>
    <w:tmpl w:val="DD3E4A90"/>
    <w:lvl w:ilvl="0" w:tplc="E9889DCC">
      <w:numFmt w:val="bullet"/>
      <w:lvlText w:val="-"/>
      <w:lvlJc w:val="left"/>
      <w:pPr>
        <w:ind w:left="2190" w:hanging="360"/>
      </w:pPr>
      <w:rPr>
        <w:rFonts w:ascii="Simplified Arabic" w:eastAsia="Times New Roman" w:hAnsi="Simplified Arabic" w:cs="Simplified Arabic"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3" w15:restartNumberingAfterBreak="0">
    <w:nsid w:val="76D641AC"/>
    <w:multiLevelType w:val="hybridMultilevel"/>
    <w:tmpl w:val="49A015B2"/>
    <w:lvl w:ilvl="0" w:tplc="E9889DCC">
      <w:numFmt w:val="bullet"/>
      <w:lvlText w:val="-"/>
      <w:lvlJc w:val="left"/>
      <w:pPr>
        <w:ind w:left="4033" w:hanging="360"/>
      </w:pPr>
      <w:rPr>
        <w:rFonts w:ascii="Simplified Arabic" w:eastAsia="Times New Roman" w:hAnsi="Simplified Arabic" w:cs="Simplified Arabic" w:hint="default"/>
      </w:rPr>
    </w:lvl>
    <w:lvl w:ilvl="1" w:tplc="04090003" w:tentative="1">
      <w:start w:val="1"/>
      <w:numFmt w:val="bullet"/>
      <w:lvlText w:val="o"/>
      <w:lvlJc w:val="left"/>
      <w:pPr>
        <w:ind w:left="4753" w:hanging="360"/>
      </w:pPr>
      <w:rPr>
        <w:rFonts w:ascii="Courier New" w:hAnsi="Courier New" w:cs="Courier New" w:hint="default"/>
      </w:rPr>
    </w:lvl>
    <w:lvl w:ilvl="2" w:tplc="04090005" w:tentative="1">
      <w:start w:val="1"/>
      <w:numFmt w:val="bullet"/>
      <w:lvlText w:val=""/>
      <w:lvlJc w:val="left"/>
      <w:pPr>
        <w:ind w:left="5473" w:hanging="360"/>
      </w:pPr>
      <w:rPr>
        <w:rFonts w:ascii="Wingdings" w:hAnsi="Wingdings" w:hint="default"/>
      </w:rPr>
    </w:lvl>
    <w:lvl w:ilvl="3" w:tplc="04090001" w:tentative="1">
      <w:start w:val="1"/>
      <w:numFmt w:val="bullet"/>
      <w:lvlText w:val=""/>
      <w:lvlJc w:val="left"/>
      <w:pPr>
        <w:ind w:left="6193" w:hanging="360"/>
      </w:pPr>
      <w:rPr>
        <w:rFonts w:ascii="Symbol" w:hAnsi="Symbol" w:hint="default"/>
      </w:rPr>
    </w:lvl>
    <w:lvl w:ilvl="4" w:tplc="04090003" w:tentative="1">
      <w:start w:val="1"/>
      <w:numFmt w:val="bullet"/>
      <w:lvlText w:val="o"/>
      <w:lvlJc w:val="left"/>
      <w:pPr>
        <w:ind w:left="6913" w:hanging="360"/>
      </w:pPr>
      <w:rPr>
        <w:rFonts w:ascii="Courier New" w:hAnsi="Courier New" w:cs="Courier New" w:hint="default"/>
      </w:rPr>
    </w:lvl>
    <w:lvl w:ilvl="5" w:tplc="04090005" w:tentative="1">
      <w:start w:val="1"/>
      <w:numFmt w:val="bullet"/>
      <w:lvlText w:val=""/>
      <w:lvlJc w:val="left"/>
      <w:pPr>
        <w:ind w:left="7633" w:hanging="360"/>
      </w:pPr>
      <w:rPr>
        <w:rFonts w:ascii="Wingdings" w:hAnsi="Wingdings" w:hint="default"/>
      </w:rPr>
    </w:lvl>
    <w:lvl w:ilvl="6" w:tplc="04090001" w:tentative="1">
      <w:start w:val="1"/>
      <w:numFmt w:val="bullet"/>
      <w:lvlText w:val=""/>
      <w:lvlJc w:val="left"/>
      <w:pPr>
        <w:ind w:left="8353" w:hanging="360"/>
      </w:pPr>
      <w:rPr>
        <w:rFonts w:ascii="Symbol" w:hAnsi="Symbol" w:hint="default"/>
      </w:rPr>
    </w:lvl>
    <w:lvl w:ilvl="7" w:tplc="04090003" w:tentative="1">
      <w:start w:val="1"/>
      <w:numFmt w:val="bullet"/>
      <w:lvlText w:val="o"/>
      <w:lvlJc w:val="left"/>
      <w:pPr>
        <w:ind w:left="9073" w:hanging="360"/>
      </w:pPr>
      <w:rPr>
        <w:rFonts w:ascii="Courier New" w:hAnsi="Courier New" w:cs="Courier New" w:hint="default"/>
      </w:rPr>
    </w:lvl>
    <w:lvl w:ilvl="8" w:tplc="04090005" w:tentative="1">
      <w:start w:val="1"/>
      <w:numFmt w:val="bullet"/>
      <w:lvlText w:val=""/>
      <w:lvlJc w:val="left"/>
      <w:pPr>
        <w:ind w:left="9793" w:hanging="360"/>
      </w:pPr>
      <w:rPr>
        <w:rFonts w:ascii="Wingdings" w:hAnsi="Wingdings" w:hint="default"/>
      </w:rPr>
    </w:lvl>
  </w:abstractNum>
  <w:abstractNum w:abstractNumId="44" w15:restartNumberingAfterBreak="0">
    <w:nsid w:val="773E5A33"/>
    <w:multiLevelType w:val="hybridMultilevel"/>
    <w:tmpl w:val="613C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26409"/>
    <w:multiLevelType w:val="hybridMultilevel"/>
    <w:tmpl w:val="E87C66DE"/>
    <w:lvl w:ilvl="0" w:tplc="E9889DCC">
      <w:numFmt w:val="bullet"/>
      <w:lvlText w:val="-"/>
      <w:lvlJc w:val="left"/>
      <w:pPr>
        <w:ind w:left="3313" w:hanging="360"/>
      </w:pPr>
      <w:rPr>
        <w:rFonts w:ascii="Simplified Arabic" w:eastAsia="Times New Roman" w:hAnsi="Simplified Arabic" w:cs="Simplified Arabic" w:hint="default"/>
      </w:rPr>
    </w:lvl>
    <w:lvl w:ilvl="1" w:tplc="04090003" w:tentative="1">
      <w:start w:val="1"/>
      <w:numFmt w:val="bullet"/>
      <w:lvlText w:val="o"/>
      <w:lvlJc w:val="left"/>
      <w:pPr>
        <w:ind w:left="4033" w:hanging="360"/>
      </w:pPr>
      <w:rPr>
        <w:rFonts w:ascii="Courier New" w:hAnsi="Courier New" w:cs="Courier New" w:hint="default"/>
      </w:rPr>
    </w:lvl>
    <w:lvl w:ilvl="2" w:tplc="04090005" w:tentative="1">
      <w:start w:val="1"/>
      <w:numFmt w:val="bullet"/>
      <w:lvlText w:val=""/>
      <w:lvlJc w:val="left"/>
      <w:pPr>
        <w:ind w:left="4753" w:hanging="360"/>
      </w:pPr>
      <w:rPr>
        <w:rFonts w:ascii="Wingdings" w:hAnsi="Wingdings" w:hint="default"/>
      </w:rPr>
    </w:lvl>
    <w:lvl w:ilvl="3" w:tplc="04090001" w:tentative="1">
      <w:start w:val="1"/>
      <w:numFmt w:val="bullet"/>
      <w:lvlText w:val=""/>
      <w:lvlJc w:val="left"/>
      <w:pPr>
        <w:ind w:left="5473" w:hanging="360"/>
      </w:pPr>
      <w:rPr>
        <w:rFonts w:ascii="Symbol" w:hAnsi="Symbol" w:hint="default"/>
      </w:rPr>
    </w:lvl>
    <w:lvl w:ilvl="4" w:tplc="04090003" w:tentative="1">
      <w:start w:val="1"/>
      <w:numFmt w:val="bullet"/>
      <w:lvlText w:val="o"/>
      <w:lvlJc w:val="left"/>
      <w:pPr>
        <w:ind w:left="6193" w:hanging="360"/>
      </w:pPr>
      <w:rPr>
        <w:rFonts w:ascii="Courier New" w:hAnsi="Courier New" w:cs="Courier New" w:hint="default"/>
      </w:rPr>
    </w:lvl>
    <w:lvl w:ilvl="5" w:tplc="04090005" w:tentative="1">
      <w:start w:val="1"/>
      <w:numFmt w:val="bullet"/>
      <w:lvlText w:val=""/>
      <w:lvlJc w:val="left"/>
      <w:pPr>
        <w:ind w:left="6913" w:hanging="360"/>
      </w:pPr>
      <w:rPr>
        <w:rFonts w:ascii="Wingdings" w:hAnsi="Wingdings" w:hint="default"/>
      </w:rPr>
    </w:lvl>
    <w:lvl w:ilvl="6" w:tplc="04090001" w:tentative="1">
      <w:start w:val="1"/>
      <w:numFmt w:val="bullet"/>
      <w:lvlText w:val=""/>
      <w:lvlJc w:val="left"/>
      <w:pPr>
        <w:ind w:left="7633" w:hanging="360"/>
      </w:pPr>
      <w:rPr>
        <w:rFonts w:ascii="Symbol" w:hAnsi="Symbol" w:hint="default"/>
      </w:rPr>
    </w:lvl>
    <w:lvl w:ilvl="7" w:tplc="04090003" w:tentative="1">
      <w:start w:val="1"/>
      <w:numFmt w:val="bullet"/>
      <w:lvlText w:val="o"/>
      <w:lvlJc w:val="left"/>
      <w:pPr>
        <w:ind w:left="8353" w:hanging="360"/>
      </w:pPr>
      <w:rPr>
        <w:rFonts w:ascii="Courier New" w:hAnsi="Courier New" w:cs="Courier New" w:hint="default"/>
      </w:rPr>
    </w:lvl>
    <w:lvl w:ilvl="8" w:tplc="04090005" w:tentative="1">
      <w:start w:val="1"/>
      <w:numFmt w:val="bullet"/>
      <w:lvlText w:val=""/>
      <w:lvlJc w:val="left"/>
      <w:pPr>
        <w:ind w:left="9073" w:hanging="360"/>
      </w:pPr>
      <w:rPr>
        <w:rFonts w:ascii="Wingdings" w:hAnsi="Wingdings" w:hint="default"/>
      </w:rPr>
    </w:lvl>
  </w:abstractNum>
  <w:abstractNum w:abstractNumId="46" w15:restartNumberingAfterBreak="0">
    <w:nsid w:val="79A4603F"/>
    <w:multiLevelType w:val="multilevel"/>
    <w:tmpl w:val="592A1664"/>
    <w:lvl w:ilvl="0">
      <w:start w:val="3"/>
      <w:numFmt w:val="decimal"/>
      <w:lvlText w:val="%1"/>
      <w:lvlJc w:val="left"/>
      <w:pPr>
        <w:ind w:left="585" w:hanging="585"/>
      </w:pPr>
      <w:rPr>
        <w:rFonts w:hint="default"/>
      </w:rPr>
    </w:lvl>
    <w:lvl w:ilvl="1">
      <w:start w:val="4"/>
      <w:numFmt w:val="decimal"/>
      <w:lvlText w:val="%1.%2"/>
      <w:lvlJc w:val="left"/>
      <w:pPr>
        <w:ind w:left="1813" w:hanging="720"/>
      </w:pPr>
      <w:rPr>
        <w:rFonts w:hint="default"/>
      </w:rPr>
    </w:lvl>
    <w:lvl w:ilvl="2">
      <w:start w:val="3"/>
      <w:numFmt w:val="decimal"/>
      <w:lvlText w:val="%1.%2.%3"/>
      <w:lvlJc w:val="left"/>
      <w:pPr>
        <w:ind w:left="2906" w:hanging="720"/>
      </w:pPr>
      <w:rPr>
        <w:rFonts w:hint="default"/>
      </w:rPr>
    </w:lvl>
    <w:lvl w:ilvl="3">
      <w:start w:val="1"/>
      <w:numFmt w:val="decimal"/>
      <w:lvlText w:val="%1.%2.%3.%4"/>
      <w:lvlJc w:val="left"/>
      <w:pPr>
        <w:ind w:left="4359" w:hanging="1080"/>
      </w:pPr>
      <w:rPr>
        <w:rFonts w:hint="default"/>
      </w:rPr>
    </w:lvl>
    <w:lvl w:ilvl="4">
      <w:start w:val="1"/>
      <w:numFmt w:val="decimal"/>
      <w:lvlText w:val="%1.%2.%3.%4.%5"/>
      <w:lvlJc w:val="left"/>
      <w:pPr>
        <w:ind w:left="5452" w:hanging="1080"/>
      </w:pPr>
      <w:rPr>
        <w:rFonts w:hint="default"/>
      </w:rPr>
    </w:lvl>
    <w:lvl w:ilvl="5">
      <w:start w:val="1"/>
      <w:numFmt w:val="decimal"/>
      <w:lvlText w:val="%1.%2.%3.%4.%5.%6"/>
      <w:lvlJc w:val="left"/>
      <w:pPr>
        <w:ind w:left="6905" w:hanging="1440"/>
      </w:pPr>
      <w:rPr>
        <w:rFonts w:hint="default"/>
      </w:rPr>
    </w:lvl>
    <w:lvl w:ilvl="6">
      <w:start w:val="1"/>
      <w:numFmt w:val="decimal"/>
      <w:lvlText w:val="%1.%2.%3.%4.%5.%6.%7"/>
      <w:lvlJc w:val="left"/>
      <w:pPr>
        <w:ind w:left="8358" w:hanging="1800"/>
      </w:pPr>
      <w:rPr>
        <w:rFonts w:hint="default"/>
      </w:rPr>
    </w:lvl>
    <w:lvl w:ilvl="7">
      <w:start w:val="1"/>
      <w:numFmt w:val="decimal"/>
      <w:lvlText w:val="%1.%2.%3.%4.%5.%6.%7.%8"/>
      <w:lvlJc w:val="left"/>
      <w:pPr>
        <w:ind w:left="9451" w:hanging="1800"/>
      </w:pPr>
      <w:rPr>
        <w:rFonts w:hint="default"/>
      </w:rPr>
    </w:lvl>
    <w:lvl w:ilvl="8">
      <w:start w:val="1"/>
      <w:numFmt w:val="decimal"/>
      <w:lvlText w:val="%1.%2.%3.%4.%5.%6.%7.%8.%9"/>
      <w:lvlJc w:val="left"/>
      <w:pPr>
        <w:ind w:left="10904" w:hanging="2160"/>
      </w:pPr>
      <w:rPr>
        <w:rFonts w:hint="default"/>
      </w:rPr>
    </w:lvl>
  </w:abstractNum>
  <w:abstractNum w:abstractNumId="47" w15:restartNumberingAfterBreak="0">
    <w:nsid w:val="7A0447BE"/>
    <w:multiLevelType w:val="hybridMultilevel"/>
    <w:tmpl w:val="C8922F92"/>
    <w:lvl w:ilvl="0" w:tplc="E9889DCC">
      <w:numFmt w:val="bullet"/>
      <w:lvlText w:val="-"/>
      <w:lvlJc w:val="left"/>
      <w:pPr>
        <w:ind w:left="2015" w:hanging="360"/>
      </w:pPr>
      <w:rPr>
        <w:rFonts w:ascii="Simplified Arabic" w:eastAsia="Times New Roman" w:hAnsi="Simplified Arabic" w:cs="Simplified Arabic" w:hint="default"/>
      </w:rPr>
    </w:lvl>
    <w:lvl w:ilvl="1" w:tplc="04090003" w:tentative="1">
      <w:start w:val="1"/>
      <w:numFmt w:val="bullet"/>
      <w:lvlText w:val="o"/>
      <w:lvlJc w:val="left"/>
      <w:pPr>
        <w:ind w:left="2735" w:hanging="360"/>
      </w:pPr>
      <w:rPr>
        <w:rFonts w:ascii="Courier New" w:hAnsi="Courier New" w:cs="Courier New" w:hint="default"/>
      </w:rPr>
    </w:lvl>
    <w:lvl w:ilvl="2" w:tplc="04090005" w:tentative="1">
      <w:start w:val="1"/>
      <w:numFmt w:val="bullet"/>
      <w:lvlText w:val=""/>
      <w:lvlJc w:val="left"/>
      <w:pPr>
        <w:ind w:left="3455" w:hanging="360"/>
      </w:pPr>
      <w:rPr>
        <w:rFonts w:ascii="Wingdings" w:hAnsi="Wingdings" w:hint="default"/>
      </w:rPr>
    </w:lvl>
    <w:lvl w:ilvl="3" w:tplc="04090001" w:tentative="1">
      <w:start w:val="1"/>
      <w:numFmt w:val="bullet"/>
      <w:lvlText w:val=""/>
      <w:lvlJc w:val="left"/>
      <w:pPr>
        <w:ind w:left="4175" w:hanging="360"/>
      </w:pPr>
      <w:rPr>
        <w:rFonts w:ascii="Symbol" w:hAnsi="Symbol" w:hint="default"/>
      </w:rPr>
    </w:lvl>
    <w:lvl w:ilvl="4" w:tplc="04090003" w:tentative="1">
      <w:start w:val="1"/>
      <w:numFmt w:val="bullet"/>
      <w:lvlText w:val="o"/>
      <w:lvlJc w:val="left"/>
      <w:pPr>
        <w:ind w:left="4895" w:hanging="360"/>
      </w:pPr>
      <w:rPr>
        <w:rFonts w:ascii="Courier New" w:hAnsi="Courier New" w:cs="Courier New" w:hint="default"/>
      </w:rPr>
    </w:lvl>
    <w:lvl w:ilvl="5" w:tplc="04090005" w:tentative="1">
      <w:start w:val="1"/>
      <w:numFmt w:val="bullet"/>
      <w:lvlText w:val=""/>
      <w:lvlJc w:val="left"/>
      <w:pPr>
        <w:ind w:left="5615" w:hanging="360"/>
      </w:pPr>
      <w:rPr>
        <w:rFonts w:ascii="Wingdings" w:hAnsi="Wingdings" w:hint="default"/>
      </w:rPr>
    </w:lvl>
    <w:lvl w:ilvl="6" w:tplc="04090001" w:tentative="1">
      <w:start w:val="1"/>
      <w:numFmt w:val="bullet"/>
      <w:lvlText w:val=""/>
      <w:lvlJc w:val="left"/>
      <w:pPr>
        <w:ind w:left="6335" w:hanging="360"/>
      </w:pPr>
      <w:rPr>
        <w:rFonts w:ascii="Symbol" w:hAnsi="Symbol" w:hint="default"/>
      </w:rPr>
    </w:lvl>
    <w:lvl w:ilvl="7" w:tplc="04090003" w:tentative="1">
      <w:start w:val="1"/>
      <w:numFmt w:val="bullet"/>
      <w:lvlText w:val="o"/>
      <w:lvlJc w:val="left"/>
      <w:pPr>
        <w:ind w:left="7055" w:hanging="360"/>
      </w:pPr>
      <w:rPr>
        <w:rFonts w:ascii="Courier New" w:hAnsi="Courier New" w:cs="Courier New" w:hint="default"/>
      </w:rPr>
    </w:lvl>
    <w:lvl w:ilvl="8" w:tplc="04090005" w:tentative="1">
      <w:start w:val="1"/>
      <w:numFmt w:val="bullet"/>
      <w:lvlText w:val=""/>
      <w:lvlJc w:val="left"/>
      <w:pPr>
        <w:ind w:left="7775" w:hanging="360"/>
      </w:pPr>
      <w:rPr>
        <w:rFonts w:ascii="Wingdings" w:hAnsi="Wingdings" w:hint="default"/>
      </w:rPr>
    </w:lvl>
  </w:abstractNum>
  <w:abstractNum w:abstractNumId="48" w15:restartNumberingAfterBreak="0">
    <w:nsid w:val="7A961CB9"/>
    <w:multiLevelType w:val="hybridMultilevel"/>
    <w:tmpl w:val="1864F2AE"/>
    <w:lvl w:ilvl="0" w:tplc="0409000F">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9" w15:restartNumberingAfterBreak="0">
    <w:nsid w:val="7D795062"/>
    <w:multiLevelType w:val="hybridMultilevel"/>
    <w:tmpl w:val="C492B5C8"/>
    <w:lvl w:ilvl="0" w:tplc="61AC8D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0"/>
  </w:num>
  <w:num w:numId="4">
    <w:abstractNumId w:val="35"/>
  </w:num>
  <w:num w:numId="5">
    <w:abstractNumId w:val="33"/>
  </w:num>
  <w:num w:numId="6">
    <w:abstractNumId w:val="4"/>
  </w:num>
  <w:num w:numId="7">
    <w:abstractNumId w:val="24"/>
  </w:num>
  <w:num w:numId="8">
    <w:abstractNumId w:val="46"/>
  </w:num>
  <w:num w:numId="9">
    <w:abstractNumId w:val="19"/>
  </w:num>
  <w:num w:numId="10">
    <w:abstractNumId w:val="13"/>
  </w:num>
  <w:num w:numId="11">
    <w:abstractNumId w:val="10"/>
  </w:num>
  <w:num w:numId="12">
    <w:abstractNumId w:val="41"/>
  </w:num>
  <w:num w:numId="13">
    <w:abstractNumId w:val="2"/>
  </w:num>
  <w:num w:numId="14">
    <w:abstractNumId w:val="7"/>
  </w:num>
  <w:num w:numId="15">
    <w:abstractNumId w:val="8"/>
  </w:num>
  <w:num w:numId="16">
    <w:abstractNumId w:val="25"/>
  </w:num>
  <w:num w:numId="17">
    <w:abstractNumId w:val="1"/>
  </w:num>
  <w:num w:numId="18">
    <w:abstractNumId w:val="23"/>
  </w:num>
  <w:num w:numId="19">
    <w:abstractNumId w:val="0"/>
  </w:num>
  <w:num w:numId="20">
    <w:abstractNumId w:val="20"/>
  </w:num>
  <w:num w:numId="21">
    <w:abstractNumId w:val="14"/>
  </w:num>
  <w:num w:numId="22">
    <w:abstractNumId w:val="28"/>
  </w:num>
  <w:num w:numId="23">
    <w:abstractNumId w:val="44"/>
  </w:num>
  <w:num w:numId="24">
    <w:abstractNumId w:val="11"/>
  </w:num>
  <w:num w:numId="25">
    <w:abstractNumId w:val="5"/>
  </w:num>
  <w:num w:numId="26">
    <w:abstractNumId w:val="48"/>
  </w:num>
  <w:num w:numId="27">
    <w:abstractNumId w:val="42"/>
  </w:num>
  <w:num w:numId="28">
    <w:abstractNumId w:val="32"/>
  </w:num>
  <w:num w:numId="29">
    <w:abstractNumId w:val="34"/>
  </w:num>
  <w:num w:numId="30">
    <w:abstractNumId w:val="45"/>
  </w:num>
  <w:num w:numId="31">
    <w:abstractNumId w:val="43"/>
  </w:num>
  <w:num w:numId="32">
    <w:abstractNumId w:val="38"/>
  </w:num>
  <w:num w:numId="33">
    <w:abstractNumId w:val="9"/>
  </w:num>
  <w:num w:numId="34">
    <w:abstractNumId w:val="29"/>
  </w:num>
  <w:num w:numId="35">
    <w:abstractNumId w:val="3"/>
  </w:num>
  <w:num w:numId="36">
    <w:abstractNumId w:val="12"/>
  </w:num>
  <w:num w:numId="37">
    <w:abstractNumId w:val="16"/>
  </w:num>
  <w:num w:numId="38">
    <w:abstractNumId w:val="31"/>
  </w:num>
  <w:num w:numId="39">
    <w:abstractNumId w:val="47"/>
  </w:num>
  <w:num w:numId="40">
    <w:abstractNumId w:val="18"/>
  </w:num>
  <w:num w:numId="41">
    <w:abstractNumId w:val="17"/>
  </w:num>
  <w:num w:numId="42">
    <w:abstractNumId w:val="15"/>
  </w:num>
  <w:num w:numId="43">
    <w:abstractNumId w:val="36"/>
  </w:num>
  <w:num w:numId="44">
    <w:abstractNumId w:val="37"/>
  </w:num>
  <w:num w:numId="45">
    <w:abstractNumId w:val="49"/>
  </w:num>
  <w:num w:numId="46">
    <w:abstractNumId w:val="22"/>
  </w:num>
  <w:num w:numId="47">
    <w:abstractNumId w:val="6"/>
  </w:num>
  <w:num w:numId="48">
    <w:abstractNumId w:val="21"/>
  </w:num>
  <w:num w:numId="49">
    <w:abstractNumId w:val="40"/>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9B"/>
    <w:rsid w:val="0000087D"/>
    <w:rsid w:val="00010F96"/>
    <w:rsid w:val="000114FE"/>
    <w:rsid w:val="00013F5A"/>
    <w:rsid w:val="00016A24"/>
    <w:rsid w:val="00022148"/>
    <w:rsid w:val="00023D74"/>
    <w:rsid w:val="00030157"/>
    <w:rsid w:val="00036EC9"/>
    <w:rsid w:val="00040C69"/>
    <w:rsid w:val="00043703"/>
    <w:rsid w:val="00047777"/>
    <w:rsid w:val="000530E9"/>
    <w:rsid w:val="00060091"/>
    <w:rsid w:val="000640AA"/>
    <w:rsid w:val="00072EA6"/>
    <w:rsid w:val="00074288"/>
    <w:rsid w:val="0007480C"/>
    <w:rsid w:val="000850A2"/>
    <w:rsid w:val="000874FC"/>
    <w:rsid w:val="000971FC"/>
    <w:rsid w:val="00097451"/>
    <w:rsid w:val="000A13C3"/>
    <w:rsid w:val="000A2B40"/>
    <w:rsid w:val="000A690D"/>
    <w:rsid w:val="000B168B"/>
    <w:rsid w:val="000B68FE"/>
    <w:rsid w:val="000C0CC9"/>
    <w:rsid w:val="000C6933"/>
    <w:rsid w:val="000D1BAE"/>
    <w:rsid w:val="000D32E2"/>
    <w:rsid w:val="000D644E"/>
    <w:rsid w:val="000E5464"/>
    <w:rsid w:val="000E7E6C"/>
    <w:rsid w:val="000E7F6B"/>
    <w:rsid w:val="000F3B6F"/>
    <w:rsid w:val="000F428D"/>
    <w:rsid w:val="000F44CC"/>
    <w:rsid w:val="00100B17"/>
    <w:rsid w:val="0010425F"/>
    <w:rsid w:val="00105440"/>
    <w:rsid w:val="0011040B"/>
    <w:rsid w:val="00116629"/>
    <w:rsid w:val="001204D2"/>
    <w:rsid w:val="00122B71"/>
    <w:rsid w:val="0012345A"/>
    <w:rsid w:val="001242D4"/>
    <w:rsid w:val="00126B60"/>
    <w:rsid w:val="00126CEA"/>
    <w:rsid w:val="00130188"/>
    <w:rsid w:val="00136C4D"/>
    <w:rsid w:val="00137CA8"/>
    <w:rsid w:val="00140405"/>
    <w:rsid w:val="0014080B"/>
    <w:rsid w:val="00142424"/>
    <w:rsid w:val="00144897"/>
    <w:rsid w:val="001453E6"/>
    <w:rsid w:val="001507C5"/>
    <w:rsid w:val="00150D4B"/>
    <w:rsid w:val="00154B0B"/>
    <w:rsid w:val="00155779"/>
    <w:rsid w:val="00164670"/>
    <w:rsid w:val="0016569E"/>
    <w:rsid w:val="00166038"/>
    <w:rsid w:val="00167DAD"/>
    <w:rsid w:val="00172A14"/>
    <w:rsid w:val="00183F39"/>
    <w:rsid w:val="001847DF"/>
    <w:rsid w:val="001848BD"/>
    <w:rsid w:val="0018514B"/>
    <w:rsid w:val="00187D48"/>
    <w:rsid w:val="00190660"/>
    <w:rsid w:val="0019632D"/>
    <w:rsid w:val="00197862"/>
    <w:rsid w:val="001A0013"/>
    <w:rsid w:val="001A4B2D"/>
    <w:rsid w:val="001A73B7"/>
    <w:rsid w:val="001A7FAC"/>
    <w:rsid w:val="001C0063"/>
    <w:rsid w:val="001C6C37"/>
    <w:rsid w:val="001C6DBA"/>
    <w:rsid w:val="001D60FF"/>
    <w:rsid w:val="001E0FE2"/>
    <w:rsid w:val="001E1BF3"/>
    <w:rsid w:val="001E46DE"/>
    <w:rsid w:val="001F6DA7"/>
    <w:rsid w:val="00205AAB"/>
    <w:rsid w:val="00205F52"/>
    <w:rsid w:val="00206447"/>
    <w:rsid w:val="0020698A"/>
    <w:rsid w:val="0020743F"/>
    <w:rsid w:val="0021476F"/>
    <w:rsid w:val="002172DD"/>
    <w:rsid w:val="002174AE"/>
    <w:rsid w:val="00222C45"/>
    <w:rsid w:val="00225F63"/>
    <w:rsid w:val="00230BC7"/>
    <w:rsid w:val="00231B04"/>
    <w:rsid w:val="002339CF"/>
    <w:rsid w:val="0024115F"/>
    <w:rsid w:val="00243005"/>
    <w:rsid w:val="002474D8"/>
    <w:rsid w:val="00251BC7"/>
    <w:rsid w:val="002544DA"/>
    <w:rsid w:val="0026227C"/>
    <w:rsid w:val="002647D5"/>
    <w:rsid w:val="00266ADE"/>
    <w:rsid w:val="0026789D"/>
    <w:rsid w:val="00273F3F"/>
    <w:rsid w:val="00277449"/>
    <w:rsid w:val="002855CE"/>
    <w:rsid w:val="00285F98"/>
    <w:rsid w:val="00287DD0"/>
    <w:rsid w:val="00290249"/>
    <w:rsid w:val="002923D3"/>
    <w:rsid w:val="00295086"/>
    <w:rsid w:val="00296B84"/>
    <w:rsid w:val="002978CB"/>
    <w:rsid w:val="002A35AA"/>
    <w:rsid w:val="002A57BB"/>
    <w:rsid w:val="002A6C36"/>
    <w:rsid w:val="002B1A65"/>
    <w:rsid w:val="002B2743"/>
    <w:rsid w:val="002B7577"/>
    <w:rsid w:val="002C1D0E"/>
    <w:rsid w:val="002C20F1"/>
    <w:rsid w:val="002C63F3"/>
    <w:rsid w:val="002D1D82"/>
    <w:rsid w:val="002D3152"/>
    <w:rsid w:val="002D5DBC"/>
    <w:rsid w:val="002E087E"/>
    <w:rsid w:val="002E12E2"/>
    <w:rsid w:val="002E15F1"/>
    <w:rsid w:val="002E77D4"/>
    <w:rsid w:val="002F25E9"/>
    <w:rsid w:val="002F28A0"/>
    <w:rsid w:val="002F2C40"/>
    <w:rsid w:val="002F6223"/>
    <w:rsid w:val="003026ED"/>
    <w:rsid w:val="003050E6"/>
    <w:rsid w:val="00305DB1"/>
    <w:rsid w:val="00306EB1"/>
    <w:rsid w:val="00316783"/>
    <w:rsid w:val="00317942"/>
    <w:rsid w:val="00320122"/>
    <w:rsid w:val="00324874"/>
    <w:rsid w:val="003342E2"/>
    <w:rsid w:val="003357DB"/>
    <w:rsid w:val="00337A86"/>
    <w:rsid w:val="00341186"/>
    <w:rsid w:val="00343F0D"/>
    <w:rsid w:val="003529BA"/>
    <w:rsid w:val="0035613D"/>
    <w:rsid w:val="00362F64"/>
    <w:rsid w:val="0036451D"/>
    <w:rsid w:val="003727B7"/>
    <w:rsid w:val="0038022F"/>
    <w:rsid w:val="003811EE"/>
    <w:rsid w:val="00381DA6"/>
    <w:rsid w:val="003848F9"/>
    <w:rsid w:val="00390EAE"/>
    <w:rsid w:val="00396497"/>
    <w:rsid w:val="003A4196"/>
    <w:rsid w:val="003A4444"/>
    <w:rsid w:val="003A476C"/>
    <w:rsid w:val="003C2803"/>
    <w:rsid w:val="003C7391"/>
    <w:rsid w:val="003D3043"/>
    <w:rsid w:val="003D7392"/>
    <w:rsid w:val="003E1278"/>
    <w:rsid w:val="003E3723"/>
    <w:rsid w:val="003F3190"/>
    <w:rsid w:val="003F519B"/>
    <w:rsid w:val="003F65DB"/>
    <w:rsid w:val="003F7053"/>
    <w:rsid w:val="00400469"/>
    <w:rsid w:val="004028A0"/>
    <w:rsid w:val="0040419F"/>
    <w:rsid w:val="004079F7"/>
    <w:rsid w:val="0041583D"/>
    <w:rsid w:val="00415D2E"/>
    <w:rsid w:val="00416224"/>
    <w:rsid w:val="004219FE"/>
    <w:rsid w:val="00421A20"/>
    <w:rsid w:val="00423CAB"/>
    <w:rsid w:val="004248DC"/>
    <w:rsid w:val="004278CE"/>
    <w:rsid w:val="00430574"/>
    <w:rsid w:val="00431976"/>
    <w:rsid w:val="00431E93"/>
    <w:rsid w:val="004327C7"/>
    <w:rsid w:val="00432C9D"/>
    <w:rsid w:val="00434971"/>
    <w:rsid w:val="00434E1D"/>
    <w:rsid w:val="004451E4"/>
    <w:rsid w:val="00445AA6"/>
    <w:rsid w:val="00452024"/>
    <w:rsid w:val="00454251"/>
    <w:rsid w:val="00455A5D"/>
    <w:rsid w:val="0046540A"/>
    <w:rsid w:val="00467401"/>
    <w:rsid w:val="004730EA"/>
    <w:rsid w:val="004759B4"/>
    <w:rsid w:val="0047633C"/>
    <w:rsid w:val="00480271"/>
    <w:rsid w:val="00481D8C"/>
    <w:rsid w:val="0048642E"/>
    <w:rsid w:val="00486906"/>
    <w:rsid w:val="0048735B"/>
    <w:rsid w:val="00494AB1"/>
    <w:rsid w:val="00495218"/>
    <w:rsid w:val="00496B79"/>
    <w:rsid w:val="004A0A06"/>
    <w:rsid w:val="004A31B4"/>
    <w:rsid w:val="004A4C24"/>
    <w:rsid w:val="004A67C3"/>
    <w:rsid w:val="004A6EAB"/>
    <w:rsid w:val="004B1738"/>
    <w:rsid w:val="004B4881"/>
    <w:rsid w:val="004C56AD"/>
    <w:rsid w:val="004C6B76"/>
    <w:rsid w:val="004D7ECC"/>
    <w:rsid w:val="004E243E"/>
    <w:rsid w:val="004E2E90"/>
    <w:rsid w:val="004F15B1"/>
    <w:rsid w:val="004F1FC2"/>
    <w:rsid w:val="004F2F02"/>
    <w:rsid w:val="004F425C"/>
    <w:rsid w:val="004F542D"/>
    <w:rsid w:val="004F6BEC"/>
    <w:rsid w:val="005028A6"/>
    <w:rsid w:val="00502D9A"/>
    <w:rsid w:val="005144C9"/>
    <w:rsid w:val="005157B2"/>
    <w:rsid w:val="005171FE"/>
    <w:rsid w:val="00521FE2"/>
    <w:rsid w:val="00524031"/>
    <w:rsid w:val="00524FEE"/>
    <w:rsid w:val="0053072E"/>
    <w:rsid w:val="00533A4B"/>
    <w:rsid w:val="00534C47"/>
    <w:rsid w:val="005353BB"/>
    <w:rsid w:val="005354EF"/>
    <w:rsid w:val="00535E9E"/>
    <w:rsid w:val="0054161C"/>
    <w:rsid w:val="0054200F"/>
    <w:rsid w:val="00543384"/>
    <w:rsid w:val="00543F88"/>
    <w:rsid w:val="00544A2B"/>
    <w:rsid w:val="00551531"/>
    <w:rsid w:val="00552760"/>
    <w:rsid w:val="00556357"/>
    <w:rsid w:val="00564AE8"/>
    <w:rsid w:val="00564C17"/>
    <w:rsid w:val="00566E1A"/>
    <w:rsid w:val="00572231"/>
    <w:rsid w:val="00573C86"/>
    <w:rsid w:val="00577D67"/>
    <w:rsid w:val="00580899"/>
    <w:rsid w:val="00580DF4"/>
    <w:rsid w:val="00581250"/>
    <w:rsid w:val="00583F72"/>
    <w:rsid w:val="00585F1F"/>
    <w:rsid w:val="005908D3"/>
    <w:rsid w:val="0059242F"/>
    <w:rsid w:val="005A2389"/>
    <w:rsid w:val="005A2DDD"/>
    <w:rsid w:val="005A5C26"/>
    <w:rsid w:val="005A686A"/>
    <w:rsid w:val="005B1162"/>
    <w:rsid w:val="005B2940"/>
    <w:rsid w:val="005B4FA9"/>
    <w:rsid w:val="005B6C5F"/>
    <w:rsid w:val="005C20BD"/>
    <w:rsid w:val="005C4455"/>
    <w:rsid w:val="005C54C4"/>
    <w:rsid w:val="005D0126"/>
    <w:rsid w:val="005D4A0A"/>
    <w:rsid w:val="005E30BE"/>
    <w:rsid w:val="005E4E18"/>
    <w:rsid w:val="005E6761"/>
    <w:rsid w:val="005F3E0D"/>
    <w:rsid w:val="0060323C"/>
    <w:rsid w:val="006064ED"/>
    <w:rsid w:val="00607675"/>
    <w:rsid w:val="006079F0"/>
    <w:rsid w:val="00607D50"/>
    <w:rsid w:val="0062074F"/>
    <w:rsid w:val="0062106E"/>
    <w:rsid w:val="0062302B"/>
    <w:rsid w:val="00625AC6"/>
    <w:rsid w:val="00634EC5"/>
    <w:rsid w:val="006359AF"/>
    <w:rsid w:val="006420FD"/>
    <w:rsid w:val="0064620F"/>
    <w:rsid w:val="00646CA2"/>
    <w:rsid w:val="0065231F"/>
    <w:rsid w:val="0065375F"/>
    <w:rsid w:val="00654D1B"/>
    <w:rsid w:val="00655504"/>
    <w:rsid w:val="00685539"/>
    <w:rsid w:val="00692097"/>
    <w:rsid w:val="006959A7"/>
    <w:rsid w:val="006A02DD"/>
    <w:rsid w:val="006A6078"/>
    <w:rsid w:val="006A7565"/>
    <w:rsid w:val="006B31AB"/>
    <w:rsid w:val="006B35B7"/>
    <w:rsid w:val="006B56E1"/>
    <w:rsid w:val="006B612F"/>
    <w:rsid w:val="006C28EA"/>
    <w:rsid w:val="006C3D19"/>
    <w:rsid w:val="006C7E06"/>
    <w:rsid w:val="006D0790"/>
    <w:rsid w:val="006D09B0"/>
    <w:rsid w:val="006D1B84"/>
    <w:rsid w:val="006D6E07"/>
    <w:rsid w:val="006E1CD4"/>
    <w:rsid w:val="006E1FA5"/>
    <w:rsid w:val="006E4453"/>
    <w:rsid w:val="006E5922"/>
    <w:rsid w:val="006F3E77"/>
    <w:rsid w:val="006F5848"/>
    <w:rsid w:val="0070397F"/>
    <w:rsid w:val="00703D3C"/>
    <w:rsid w:val="0070751E"/>
    <w:rsid w:val="00710C43"/>
    <w:rsid w:val="007121AC"/>
    <w:rsid w:val="00714BB6"/>
    <w:rsid w:val="00716CC0"/>
    <w:rsid w:val="00723CA5"/>
    <w:rsid w:val="00724E5F"/>
    <w:rsid w:val="00725827"/>
    <w:rsid w:val="0073314A"/>
    <w:rsid w:val="00733DD5"/>
    <w:rsid w:val="007370DF"/>
    <w:rsid w:val="00751D28"/>
    <w:rsid w:val="00756FA6"/>
    <w:rsid w:val="00760B35"/>
    <w:rsid w:val="00766392"/>
    <w:rsid w:val="00773861"/>
    <w:rsid w:val="00776087"/>
    <w:rsid w:val="00776491"/>
    <w:rsid w:val="00777B31"/>
    <w:rsid w:val="0078176C"/>
    <w:rsid w:val="00782C90"/>
    <w:rsid w:val="00792126"/>
    <w:rsid w:val="00793FC4"/>
    <w:rsid w:val="00797CA4"/>
    <w:rsid w:val="007A02D4"/>
    <w:rsid w:val="007A2F08"/>
    <w:rsid w:val="007A6892"/>
    <w:rsid w:val="007B3C24"/>
    <w:rsid w:val="007B4861"/>
    <w:rsid w:val="007B5477"/>
    <w:rsid w:val="007B5DF6"/>
    <w:rsid w:val="007B61FE"/>
    <w:rsid w:val="007B7F97"/>
    <w:rsid w:val="007C5ECB"/>
    <w:rsid w:val="007C7000"/>
    <w:rsid w:val="007D2859"/>
    <w:rsid w:val="007E6550"/>
    <w:rsid w:val="007F030E"/>
    <w:rsid w:val="007F0449"/>
    <w:rsid w:val="00810BE9"/>
    <w:rsid w:val="00811F95"/>
    <w:rsid w:val="00821B6E"/>
    <w:rsid w:val="00825036"/>
    <w:rsid w:val="00831FA2"/>
    <w:rsid w:val="008400F3"/>
    <w:rsid w:val="00841BDC"/>
    <w:rsid w:val="008531A2"/>
    <w:rsid w:val="008545A7"/>
    <w:rsid w:val="00862A7C"/>
    <w:rsid w:val="00865DDA"/>
    <w:rsid w:val="0086621F"/>
    <w:rsid w:val="008677AB"/>
    <w:rsid w:val="00874F11"/>
    <w:rsid w:val="008805D1"/>
    <w:rsid w:val="008845C0"/>
    <w:rsid w:val="0088487E"/>
    <w:rsid w:val="00884ABA"/>
    <w:rsid w:val="0088503D"/>
    <w:rsid w:val="00887AF4"/>
    <w:rsid w:val="00893AB6"/>
    <w:rsid w:val="0089506A"/>
    <w:rsid w:val="008A265D"/>
    <w:rsid w:val="008A4D44"/>
    <w:rsid w:val="008A4DCF"/>
    <w:rsid w:val="008B011C"/>
    <w:rsid w:val="008B0502"/>
    <w:rsid w:val="008B0ACA"/>
    <w:rsid w:val="008B147C"/>
    <w:rsid w:val="008B6EA5"/>
    <w:rsid w:val="008C1354"/>
    <w:rsid w:val="008C17AC"/>
    <w:rsid w:val="008C1A07"/>
    <w:rsid w:val="008C2EBC"/>
    <w:rsid w:val="008C738C"/>
    <w:rsid w:val="008D52EF"/>
    <w:rsid w:val="008D70E0"/>
    <w:rsid w:val="008E0C4C"/>
    <w:rsid w:val="008E5122"/>
    <w:rsid w:val="008E6F92"/>
    <w:rsid w:val="008F11E1"/>
    <w:rsid w:val="008F2BB6"/>
    <w:rsid w:val="008F2C3E"/>
    <w:rsid w:val="008F60C0"/>
    <w:rsid w:val="008F720A"/>
    <w:rsid w:val="009058CD"/>
    <w:rsid w:val="0091708D"/>
    <w:rsid w:val="00921CA1"/>
    <w:rsid w:val="009402A9"/>
    <w:rsid w:val="00940CD5"/>
    <w:rsid w:val="00942B3C"/>
    <w:rsid w:val="009445B6"/>
    <w:rsid w:val="00957576"/>
    <w:rsid w:val="00957821"/>
    <w:rsid w:val="00961073"/>
    <w:rsid w:val="00962452"/>
    <w:rsid w:val="00964300"/>
    <w:rsid w:val="00984FC9"/>
    <w:rsid w:val="009854B4"/>
    <w:rsid w:val="00990B74"/>
    <w:rsid w:val="00992259"/>
    <w:rsid w:val="00994E12"/>
    <w:rsid w:val="009962F4"/>
    <w:rsid w:val="009A2A8A"/>
    <w:rsid w:val="009A796C"/>
    <w:rsid w:val="009B07E2"/>
    <w:rsid w:val="009B17B3"/>
    <w:rsid w:val="009B25A0"/>
    <w:rsid w:val="009B743E"/>
    <w:rsid w:val="009C0603"/>
    <w:rsid w:val="009C1759"/>
    <w:rsid w:val="009D0E6F"/>
    <w:rsid w:val="009D1555"/>
    <w:rsid w:val="009D6B4E"/>
    <w:rsid w:val="009F4AEB"/>
    <w:rsid w:val="00A00936"/>
    <w:rsid w:val="00A00FA3"/>
    <w:rsid w:val="00A033F5"/>
    <w:rsid w:val="00A11330"/>
    <w:rsid w:val="00A133CC"/>
    <w:rsid w:val="00A248B3"/>
    <w:rsid w:val="00A25A19"/>
    <w:rsid w:val="00A3177D"/>
    <w:rsid w:val="00A3201C"/>
    <w:rsid w:val="00A33955"/>
    <w:rsid w:val="00A36875"/>
    <w:rsid w:val="00A40C09"/>
    <w:rsid w:val="00A419BA"/>
    <w:rsid w:val="00A41D37"/>
    <w:rsid w:val="00A44B31"/>
    <w:rsid w:val="00A45B48"/>
    <w:rsid w:val="00A4704C"/>
    <w:rsid w:val="00A47120"/>
    <w:rsid w:val="00A53873"/>
    <w:rsid w:val="00A53B18"/>
    <w:rsid w:val="00A727C7"/>
    <w:rsid w:val="00A72D92"/>
    <w:rsid w:val="00A774D2"/>
    <w:rsid w:val="00A804B1"/>
    <w:rsid w:val="00A8525F"/>
    <w:rsid w:val="00A85BCC"/>
    <w:rsid w:val="00A86BBB"/>
    <w:rsid w:val="00A91F2E"/>
    <w:rsid w:val="00A97D4C"/>
    <w:rsid w:val="00AA08AF"/>
    <w:rsid w:val="00AA0DD9"/>
    <w:rsid w:val="00AA1657"/>
    <w:rsid w:val="00AA4144"/>
    <w:rsid w:val="00AA5883"/>
    <w:rsid w:val="00AB6912"/>
    <w:rsid w:val="00AC59F2"/>
    <w:rsid w:val="00AD0C08"/>
    <w:rsid w:val="00AD7F88"/>
    <w:rsid w:val="00AE0B98"/>
    <w:rsid w:val="00AE291C"/>
    <w:rsid w:val="00AE73E0"/>
    <w:rsid w:val="00AF1543"/>
    <w:rsid w:val="00AF2A78"/>
    <w:rsid w:val="00B074FF"/>
    <w:rsid w:val="00B1497F"/>
    <w:rsid w:val="00B14F32"/>
    <w:rsid w:val="00B154F4"/>
    <w:rsid w:val="00B16566"/>
    <w:rsid w:val="00B17AE2"/>
    <w:rsid w:val="00B22AA0"/>
    <w:rsid w:val="00B23C98"/>
    <w:rsid w:val="00B259A6"/>
    <w:rsid w:val="00B260BB"/>
    <w:rsid w:val="00B2749A"/>
    <w:rsid w:val="00B27516"/>
    <w:rsid w:val="00B30AEC"/>
    <w:rsid w:val="00B3109B"/>
    <w:rsid w:val="00B356E2"/>
    <w:rsid w:val="00B44B2E"/>
    <w:rsid w:val="00B54416"/>
    <w:rsid w:val="00B56938"/>
    <w:rsid w:val="00B610F2"/>
    <w:rsid w:val="00B63F4F"/>
    <w:rsid w:val="00B6419C"/>
    <w:rsid w:val="00B6517F"/>
    <w:rsid w:val="00B66431"/>
    <w:rsid w:val="00B668FC"/>
    <w:rsid w:val="00B67D5C"/>
    <w:rsid w:val="00B825D9"/>
    <w:rsid w:val="00B84901"/>
    <w:rsid w:val="00B86C91"/>
    <w:rsid w:val="00B91841"/>
    <w:rsid w:val="00B93599"/>
    <w:rsid w:val="00B9753F"/>
    <w:rsid w:val="00BA0E66"/>
    <w:rsid w:val="00BA1467"/>
    <w:rsid w:val="00BA262B"/>
    <w:rsid w:val="00BA445D"/>
    <w:rsid w:val="00BA56CF"/>
    <w:rsid w:val="00BB1574"/>
    <w:rsid w:val="00BB2446"/>
    <w:rsid w:val="00BB2A03"/>
    <w:rsid w:val="00BB63EF"/>
    <w:rsid w:val="00BC120A"/>
    <w:rsid w:val="00BC3653"/>
    <w:rsid w:val="00BC4F08"/>
    <w:rsid w:val="00BC77AF"/>
    <w:rsid w:val="00BC7A70"/>
    <w:rsid w:val="00BD1441"/>
    <w:rsid w:val="00BD3AF0"/>
    <w:rsid w:val="00BD62F1"/>
    <w:rsid w:val="00BD6BA0"/>
    <w:rsid w:val="00BE0CBE"/>
    <w:rsid w:val="00BE74EA"/>
    <w:rsid w:val="00BE7B8B"/>
    <w:rsid w:val="00BF384E"/>
    <w:rsid w:val="00BF6334"/>
    <w:rsid w:val="00C06D2A"/>
    <w:rsid w:val="00C142CD"/>
    <w:rsid w:val="00C1545B"/>
    <w:rsid w:val="00C162A0"/>
    <w:rsid w:val="00C234D3"/>
    <w:rsid w:val="00C24AEC"/>
    <w:rsid w:val="00C27ED0"/>
    <w:rsid w:val="00C414A1"/>
    <w:rsid w:val="00C43651"/>
    <w:rsid w:val="00C45644"/>
    <w:rsid w:val="00C51591"/>
    <w:rsid w:val="00C51EF3"/>
    <w:rsid w:val="00C53E63"/>
    <w:rsid w:val="00C548A5"/>
    <w:rsid w:val="00C6262A"/>
    <w:rsid w:val="00C644FC"/>
    <w:rsid w:val="00C706E1"/>
    <w:rsid w:val="00C70873"/>
    <w:rsid w:val="00C708D0"/>
    <w:rsid w:val="00C74E2F"/>
    <w:rsid w:val="00C7582A"/>
    <w:rsid w:val="00C75B5F"/>
    <w:rsid w:val="00C75C61"/>
    <w:rsid w:val="00C76D5F"/>
    <w:rsid w:val="00C77639"/>
    <w:rsid w:val="00C77C11"/>
    <w:rsid w:val="00C77DA2"/>
    <w:rsid w:val="00C87DB2"/>
    <w:rsid w:val="00C92C63"/>
    <w:rsid w:val="00CA218A"/>
    <w:rsid w:val="00CA5301"/>
    <w:rsid w:val="00CA6D85"/>
    <w:rsid w:val="00CA73ED"/>
    <w:rsid w:val="00CB0691"/>
    <w:rsid w:val="00CD561D"/>
    <w:rsid w:val="00CE45CD"/>
    <w:rsid w:val="00CF306B"/>
    <w:rsid w:val="00CF55C4"/>
    <w:rsid w:val="00CF7E7E"/>
    <w:rsid w:val="00D01BF0"/>
    <w:rsid w:val="00D026CE"/>
    <w:rsid w:val="00D02721"/>
    <w:rsid w:val="00D0311B"/>
    <w:rsid w:val="00D0581E"/>
    <w:rsid w:val="00D11E2C"/>
    <w:rsid w:val="00D20A1F"/>
    <w:rsid w:val="00D21FF5"/>
    <w:rsid w:val="00D32DC9"/>
    <w:rsid w:val="00D37027"/>
    <w:rsid w:val="00D413C2"/>
    <w:rsid w:val="00D470C6"/>
    <w:rsid w:val="00D50078"/>
    <w:rsid w:val="00D500AF"/>
    <w:rsid w:val="00D50680"/>
    <w:rsid w:val="00D5136B"/>
    <w:rsid w:val="00D5251D"/>
    <w:rsid w:val="00D54624"/>
    <w:rsid w:val="00D57532"/>
    <w:rsid w:val="00D61C1D"/>
    <w:rsid w:val="00D64172"/>
    <w:rsid w:val="00D64D75"/>
    <w:rsid w:val="00D6688C"/>
    <w:rsid w:val="00D6758C"/>
    <w:rsid w:val="00D70F2A"/>
    <w:rsid w:val="00D779AC"/>
    <w:rsid w:val="00D77F94"/>
    <w:rsid w:val="00D80122"/>
    <w:rsid w:val="00D85144"/>
    <w:rsid w:val="00D853A5"/>
    <w:rsid w:val="00D91D52"/>
    <w:rsid w:val="00D925D0"/>
    <w:rsid w:val="00D95417"/>
    <w:rsid w:val="00D96001"/>
    <w:rsid w:val="00DA36E0"/>
    <w:rsid w:val="00DA4881"/>
    <w:rsid w:val="00DA6DAA"/>
    <w:rsid w:val="00DB11C5"/>
    <w:rsid w:val="00DC1722"/>
    <w:rsid w:val="00DC1993"/>
    <w:rsid w:val="00DC20B9"/>
    <w:rsid w:val="00DC2C91"/>
    <w:rsid w:val="00DC73EE"/>
    <w:rsid w:val="00DC7961"/>
    <w:rsid w:val="00DC79A4"/>
    <w:rsid w:val="00DD1993"/>
    <w:rsid w:val="00DD461F"/>
    <w:rsid w:val="00DD7664"/>
    <w:rsid w:val="00DE0467"/>
    <w:rsid w:val="00DE0559"/>
    <w:rsid w:val="00DE0E6B"/>
    <w:rsid w:val="00DE1843"/>
    <w:rsid w:val="00DE1B1D"/>
    <w:rsid w:val="00DE3AF1"/>
    <w:rsid w:val="00DF0E34"/>
    <w:rsid w:val="00DF19D3"/>
    <w:rsid w:val="00DF1D39"/>
    <w:rsid w:val="00DF4AC7"/>
    <w:rsid w:val="00E0007D"/>
    <w:rsid w:val="00E071E5"/>
    <w:rsid w:val="00E139E3"/>
    <w:rsid w:val="00E145CC"/>
    <w:rsid w:val="00E14D32"/>
    <w:rsid w:val="00E205C4"/>
    <w:rsid w:val="00E24B2E"/>
    <w:rsid w:val="00E358B6"/>
    <w:rsid w:val="00E4019C"/>
    <w:rsid w:val="00E4033C"/>
    <w:rsid w:val="00E423EC"/>
    <w:rsid w:val="00E4390B"/>
    <w:rsid w:val="00E43F99"/>
    <w:rsid w:val="00E4435F"/>
    <w:rsid w:val="00E46D20"/>
    <w:rsid w:val="00E52119"/>
    <w:rsid w:val="00E553AA"/>
    <w:rsid w:val="00E60207"/>
    <w:rsid w:val="00E61863"/>
    <w:rsid w:val="00E61C3B"/>
    <w:rsid w:val="00E704A2"/>
    <w:rsid w:val="00E70A61"/>
    <w:rsid w:val="00E7129D"/>
    <w:rsid w:val="00E71A2E"/>
    <w:rsid w:val="00E72601"/>
    <w:rsid w:val="00E736B7"/>
    <w:rsid w:val="00E8252F"/>
    <w:rsid w:val="00E84716"/>
    <w:rsid w:val="00E85241"/>
    <w:rsid w:val="00E87617"/>
    <w:rsid w:val="00E92EB1"/>
    <w:rsid w:val="00E93F52"/>
    <w:rsid w:val="00E94EE2"/>
    <w:rsid w:val="00E972B2"/>
    <w:rsid w:val="00E976D3"/>
    <w:rsid w:val="00EA3732"/>
    <w:rsid w:val="00EA455B"/>
    <w:rsid w:val="00EA4E47"/>
    <w:rsid w:val="00EA7606"/>
    <w:rsid w:val="00EB718B"/>
    <w:rsid w:val="00EB7223"/>
    <w:rsid w:val="00EC227C"/>
    <w:rsid w:val="00EC2943"/>
    <w:rsid w:val="00EC2C7C"/>
    <w:rsid w:val="00ED4272"/>
    <w:rsid w:val="00EE39E7"/>
    <w:rsid w:val="00EF0D86"/>
    <w:rsid w:val="00EF11AB"/>
    <w:rsid w:val="00EF32A4"/>
    <w:rsid w:val="00F036B9"/>
    <w:rsid w:val="00F04AE6"/>
    <w:rsid w:val="00F309DF"/>
    <w:rsid w:val="00F309F8"/>
    <w:rsid w:val="00F3209A"/>
    <w:rsid w:val="00F333AC"/>
    <w:rsid w:val="00F337CA"/>
    <w:rsid w:val="00F43150"/>
    <w:rsid w:val="00F442AE"/>
    <w:rsid w:val="00F461F5"/>
    <w:rsid w:val="00F562FC"/>
    <w:rsid w:val="00F5651F"/>
    <w:rsid w:val="00F577AB"/>
    <w:rsid w:val="00F655E7"/>
    <w:rsid w:val="00F765A0"/>
    <w:rsid w:val="00F8311A"/>
    <w:rsid w:val="00F843FE"/>
    <w:rsid w:val="00F96D49"/>
    <w:rsid w:val="00FA1555"/>
    <w:rsid w:val="00FA4528"/>
    <w:rsid w:val="00FA4A48"/>
    <w:rsid w:val="00FA7888"/>
    <w:rsid w:val="00FB171C"/>
    <w:rsid w:val="00FB1F6F"/>
    <w:rsid w:val="00FB64A8"/>
    <w:rsid w:val="00FB7EEA"/>
    <w:rsid w:val="00FC1046"/>
    <w:rsid w:val="00FC3847"/>
    <w:rsid w:val="00FC7EE6"/>
    <w:rsid w:val="00FD4A08"/>
    <w:rsid w:val="00FE367E"/>
    <w:rsid w:val="00FE3D7A"/>
    <w:rsid w:val="00FE6A95"/>
    <w:rsid w:val="00FF0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FAA50E78-2CCD-4ACE-A227-AD4250C0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84"/>
    <w:pPr>
      <w:bidi/>
      <w:spacing w:after="120" w:line="240" w:lineRule="auto"/>
      <w:jc w:val="both"/>
    </w:pPr>
    <w:rPr>
      <w:rFonts w:ascii="Simplified Arabic" w:eastAsia="Simplified Arabic" w:hAnsi="Simplified Arabic" w:cs="Simplified Arabic"/>
      <w:b/>
      <w:bCs/>
      <w:sz w:val="26"/>
      <w:szCs w:val="26"/>
    </w:rPr>
  </w:style>
  <w:style w:type="paragraph" w:styleId="Heading1">
    <w:name w:val="heading 1"/>
    <w:basedOn w:val="Normal"/>
    <w:next w:val="Normal"/>
    <w:link w:val="Heading1Char"/>
    <w:uiPriority w:val="9"/>
    <w:qFormat/>
    <w:rsid w:val="009B17B3"/>
    <w:pPr>
      <w:spacing w:before="480" w:after="0"/>
      <w:contextualSpacing/>
      <w:outlineLvl w:val="0"/>
    </w:pPr>
    <w:rPr>
      <w:b w:val="0"/>
      <w:bCs w:val="0"/>
      <w:sz w:val="28"/>
      <w:szCs w:val="28"/>
    </w:rPr>
  </w:style>
  <w:style w:type="paragraph" w:styleId="Heading2">
    <w:name w:val="heading 2"/>
    <w:basedOn w:val="Normal"/>
    <w:next w:val="Normal"/>
    <w:link w:val="Heading2Char"/>
    <w:autoRedefine/>
    <w:unhideWhenUsed/>
    <w:qFormat/>
    <w:rsid w:val="00136C4D"/>
    <w:pPr>
      <w:spacing w:after="0"/>
      <w:ind w:left="490" w:hanging="470"/>
      <w:jc w:val="left"/>
      <w:outlineLvl w:val="1"/>
    </w:pPr>
  </w:style>
  <w:style w:type="paragraph" w:styleId="Heading3">
    <w:name w:val="heading 3"/>
    <w:basedOn w:val="Normal"/>
    <w:next w:val="Normal"/>
    <w:link w:val="Heading3Char"/>
    <w:unhideWhenUsed/>
    <w:qFormat/>
    <w:rsid w:val="00B14F32"/>
    <w:pPr>
      <w:spacing w:before="200" w:after="0" w:line="271" w:lineRule="auto"/>
      <w:outlineLvl w:val="2"/>
    </w:pPr>
    <w:rPr>
      <w:rFonts w:asciiTheme="majorHAnsi" w:eastAsiaTheme="majorEastAsia" w:hAnsiTheme="majorHAnsi" w:cstheme="majorBidi"/>
      <w:b w:val="0"/>
      <w:bCs w:val="0"/>
    </w:rPr>
  </w:style>
  <w:style w:type="paragraph" w:styleId="Heading4">
    <w:name w:val="heading 4"/>
    <w:basedOn w:val="Normal"/>
    <w:next w:val="Normal"/>
    <w:link w:val="Heading4Char"/>
    <w:unhideWhenUsed/>
    <w:qFormat/>
    <w:rsid w:val="00B14F32"/>
    <w:pPr>
      <w:spacing w:before="200" w:after="0"/>
      <w:outlineLvl w:val="3"/>
    </w:pPr>
    <w:rPr>
      <w:rFonts w:asciiTheme="majorHAnsi" w:eastAsiaTheme="majorEastAsia" w:hAnsiTheme="majorHAnsi" w:cstheme="majorBidi"/>
      <w:b w:val="0"/>
      <w:bCs w:val="0"/>
      <w:i/>
      <w:iCs/>
    </w:rPr>
  </w:style>
  <w:style w:type="paragraph" w:styleId="Heading5">
    <w:name w:val="heading 5"/>
    <w:basedOn w:val="Normal"/>
    <w:next w:val="Normal"/>
    <w:link w:val="Heading5Char"/>
    <w:unhideWhenUsed/>
    <w:qFormat/>
    <w:rsid w:val="00B14F32"/>
    <w:pPr>
      <w:spacing w:before="200" w:after="0"/>
      <w:outlineLvl w:val="4"/>
    </w:pPr>
    <w:rPr>
      <w:rFonts w:asciiTheme="majorHAnsi" w:eastAsiaTheme="majorEastAsia" w:hAnsiTheme="majorHAnsi" w:cstheme="majorBidi"/>
      <w:b w:val="0"/>
      <w:bCs w:val="0"/>
      <w:color w:val="7F7F7F" w:themeColor="text1" w:themeTint="80"/>
    </w:rPr>
  </w:style>
  <w:style w:type="paragraph" w:styleId="Heading6">
    <w:name w:val="heading 6"/>
    <w:basedOn w:val="Normal"/>
    <w:next w:val="Normal"/>
    <w:link w:val="Heading6Char"/>
    <w:uiPriority w:val="9"/>
    <w:semiHidden/>
    <w:unhideWhenUsed/>
    <w:qFormat/>
    <w:rsid w:val="00B14F32"/>
    <w:pPr>
      <w:bidi w:val="0"/>
      <w:spacing w:after="0" w:line="271" w:lineRule="auto"/>
      <w:outlineLvl w:val="5"/>
    </w:pPr>
    <w:rPr>
      <w:rFonts w:asciiTheme="majorHAnsi" w:eastAsiaTheme="majorEastAsia" w:hAnsiTheme="majorHAnsi" w:cstheme="majorBidi"/>
      <w:b w:val="0"/>
      <w:bCs w:val="0"/>
      <w:i/>
      <w:iCs/>
      <w:color w:val="7F7F7F" w:themeColor="text1" w:themeTint="80"/>
    </w:rPr>
  </w:style>
  <w:style w:type="paragraph" w:styleId="Heading7">
    <w:name w:val="heading 7"/>
    <w:basedOn w:val="Normal"/>
    <w:next w:val="Normal"/>
    <w:link w:val="Heading7Char"/>
    <w:unhideWhenUsed/>
    <w:qFormat/>
    <w:rsid w:val="00B14F3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14F32"/>
    <w:pPr>
      <w:bidi w:val="0"/>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14F32"/>
    <w:pPr>
      <w:bidi w:val="0"/>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pPr>
      <w:spacing w:line="420" w:lineRule="exact"/>
      <w:ind w:left="566"/>
      <w:jc w:val="lowKashida"/>
    </w:pPr>
    <w:rPr>
      <w:b w:val="0"/>
      <w:bCs w:val="0"/>
      <w:sz w:val="28"/>
      <w:szCs w:val="28"/>
      <w:lang w:val="x-none" w:bidi="ar-JO"/>
    </w:rPr>
  </w:style>
  <w:style w:type="paragraph" w:styleId="BodyTextIndent">
    <w:name w:val="Body Text Indent"/>
    <w:basedOn w:val="Normal"/>
    <w:link w:val="BodyTextIndentChar"/>
    <w:pPr>
      <w:ind w:left="283"/>
    </w:pPr>
    <w:rPr>
      <w:lang w:val="x-none"/>
    </w:rPr>
  </w:style>
  <w:style w:type="paragraph" w:styleId="BodyText">
    <w:name w:val="Body Text"/>
    <w:basedOn w:val="Normal"/>
    <w:link w:val="BodyTextChar"/>
    <w:rPr>
      <w:lang w:val="x-none"/>
    </w:rPr>
  </w:style>
  <w:style w:type="paragraph" w:styleId="Title">
    <w:name w:val="Title"/>
    <w:basedOn w:val="Normal"/>
    <w:next w:val="Normal"/>
    <w:link w:val="TitleChar"/>
    <w:qFormat/>
    <w:rsid w:val="00B14F32"/>
    <w:pPr>
      <w:pBdr>
        <w:bottom w:val="single" w:sz="4" w:space="1" w:color="auto"/>
      </w:pBdr>
      <w:contextualSpacing/>
    </w:pPr>
    <w:rPr>
      <w:rFonts w:asciiTheme="majorHAnsi" w:eastAsiaTheme="majorEastAsia" w:hAnsiTheme="majorHAnsi" w:cstheme="majorBidi"/>
      <w:spacing w:val="5"/>
      <w:sz w:val="52"/>
      <w:szCs w:val="52"/>
    </w:rPr>
  </w:style>
  <w:style w:type="paragraph" w:styleId="BlockText">
    <w:name w:val="Block Text"/>
    <w:basedOn w:val="Normal"/>
    <w:pPr>
      <w:ind w:left="654" w:hanging="294"/>
      <w:jc w:val="lowKashida"/>
    </w:pPr>
    <w:rPr>
      <w:rFonts w:cs="Arabic Transparent"/>
      <w:b w:val="0"/>
      <w:bCs w:val="0"/>
      <w:sz w:val="20"/>
      <w:szCs w:val="28"/>
    </w:rPr>
  </w:style>
  <w:style w:type="paragraph" w:styleId="Header">
    <w:name w:val="header"/>
    <w:basedOn w:val="Normal"/>
    <w:link w:val="HeaderChar"/>
    <w:semiHidden/>
    <w:pPr>
      <w:tabs>
        <w:tab w:val="center" w:pos="4153"/>
        <w:tab w:val="right" w:pos="8306"/>
      </w:tabs>
    </w:pPr>
    <w:rPr>
      <w:lang w:val="x-none"/>
    </w:rPr>
  </w:style>
  <w:style w:type="character" w:styleId="PageNumber">
    <w:name w:val="page number"/>
    <w:basedOn w:val="DefaultParagraphFont"/>
    <w:semiHidden/>
  </w:style>
  <w:style w:type="paragraph" w:styleId="BodyTextIndent3">
    <w:name w:val="Body Text Indent 3"/>
    <w:basedOn w:val="Normal"/>
    <w:semiHidden/>
    <w:pPr>
      <w:ind w:left="386" w:hanging="351"/>
      <w:jc w:val="lowKashida"/>
    </w:pPr>
    <w:rPr>
      <w:sz w:val="28"/>
      <w:szCs w:val="28"/>
      <w:lang w:bidi="ar-JO"/>
    </w:rPr>
  </w:style>
  <w:style w:type="paragraph" w:styleId="BodyText2">
    <w:name w:val="Body Text 2"/>
    <w:basedOn w:val="Normal"/>
    <w:link w:val="BodyText2Char"/>
    <w:pPr>
      <w:jc w:val="lowKashida"/>
    </w:pPr>
    <w:rPr>
      <w:b w:val="0"/>
      <w:bCs w:val="0"/>
      <w:sz w:val="22"/>
      <w:szCs w:val="22"/>
      <w:lang w:val="x-none" w:eastAsia="x-none"/>
    </w:rPr>
  </w:style>
  <w:style w:type="character" w:customStyle="1" w:styleId="Heading5Char">
    <w:name w:val="Heading 5 Char"/>
    <w:basedOn w:val="DefaultParagraphFont"/>
    <w:link w:val="Heading5"/>
    <w:rsid w:val="00B14F32"/>
    <w:rPr>
      <w:rFonts w:asciiTheme="majorHAnsi" w:eastAsiaTheme="majorEastAsia" w:hAnsiTheme="majorHAnsi" w:cstheme="majorBidi"/>
      <w:b/>
      <w:bCs/>
      <w:color w:val="7F7F7F" w:themeColor="text1" w:themeTint="80"/>
    </w:rPr>
  </w:style>
  <w:style w:type="character" w:customStyle="1" w:styleId="Heading3Char">
    <w:name w:val="Heading 3 Char"/>
    <w:basedOn w:val="DefaultParagraphFont"/>
    <w:link w:val="Heading3"/>
    <w:rsid w:val="00B14F32"/>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9B17B3"/>
    <w:rPr>
      <w:rFonts w:ascii="Simplified Arabic" w:eastAsia="Simplified Arabic" w:hAnsi="Simplified Arabic" w:cs="Simplified Arabic"/>
      <w:sz w:val="28"/>
      <w:szCs w:val="28"/>
    </w:rPr>
  </w:style>
  <w:style w:type="character" w:customStyle="1" w:styleId="Heading2Char">
    <w:name w:val="Heading 2 Char"/>
    <w:basedOn w:val="DefaultParagraphFont"/>
    <w:link w:val="Heading2"/>
    <w:rsid w:val="00136C4D"/>
    <w:rPr>
      <w:rFonts w:ascii="Simplified Arabic" w:eastAsia="Simplified Arabic" w:hAnsi="Simplified Arabic" w:cs="Simplified Arabic"/>
      <w:b/>
      <w:bCs/>
      <w:sz w:val="26"/>
      <w:szCs w:val="26"/>
    </w:rPr>
  </w:style>
  <w:style w:type="character" w:customStyle="1" w:styleId="Heading4Char">
    <w:name w:val="Heading 4 Char"/>
    <w:basedOn w:val="DefaultParagraphFont"/>
    <w:link w:val="Heading4"/>
    <w:rsid w:val="00B14F32"/>
    <w:rPr>
      <w:rFonts w:asciiTheme="majorHAnsi" w:eastAsiaTheme="majorEastAsia" w:hAnsiTheme="majorHAnsi" w:cstheme="majorBidi"/>
      <w:b/>
      <w:bCs/>
      <w:i/>
      <w:iCs/>
    </w:rPr>
  </w:style>
  <w:style w:type="character" w:customStyle="1" w:styleId="BodyTextIndentChar">
    <w:name w:val="Body Text Indent Char"/>
    <w:link w:val="BodyTextIndent"/>
    <w:rsid w:val="00B3109B"/>
    <w:rPr>
      <w:sz w:val="24"/>
      <w:szCs w:val="24"/>
      <w:lang w:eastAsia="ar-SA"/>
    </w:rPr>
  </w:style>
  <w:style w:type="character" w:customStyle="1" w:styleId="BodyTextIndent2Char">
    <w:name w:val="Body Text Indent 2 Char"/>
    <w:link w:val="BodyTextIndent2"/>
    <w:uiPriority w:val="99"/>
    <w:rsid w:val="00B3109B"/>
    <w:rPr>
      <w:rFonts w:cs="Simplified Arabic"/>
      <w:b/>
      <w:bCs/>
      <w:sz w:val="28"/>
      <w:szCs w:val="28"/>
      <w:lang w:eastAsia="ar-SA" w:bidi="ar-JO"/>
    </w:rPr>
  </w:style>
  <w:style w:type="character" w:customStyle="1" w:styleId="BodyTextChar">
    <w:name w:val="Body Text Char"/>
    <w:link w:val="BodyText"/>
    <w:rsid w:val="00B3109B"/>
    <w:rPr>
      <w:sz w:val="24"/>
      <w:szCs w:val="24"/>
      <w:lang w:eastAsia="ar-SA"/>
    </w:rPr>
  </w:style>
  <w:style w:type="character" w:customStyle="1" w:styleId="BodyText2Char">
    <w:name w:val="Body Text 2 Char"/>
    <w:link w:val="BodyText2"/>
    <w:rsid w:val="00B3109B"/>
    <w:rPr>
      <w:rFonts w:cs="Mudir MT"/>
      <w:b/>
      <w:bCs/>
      <w:sz w:val="22"/>
      <w:szCs w:val="22"/>
    </w:rPr>
  </w:style>
  <w:style w:type="character" w:customStyle="1" w:styleId="HeaderChar">
    <w:name w:val="Header Char"/>
    <w:link w:val="Header"/>
    <w:semiHidden/>
    <w:rsid w:val="00B3109B"/>
    <w:rPr>
      <w:sz w:val="24"/>
      <w:szCs w:val="24"/>
      <w:lang w:eastAsia="ar-SA"/>
    </w:rPr>
  </w:style>
  <w:style w:type="paragraph" w:styleId="Footer">
    <w:name w:val="footer"/>
    <w:basedOn w:val="Normal"/>
    <w:link w:val="FooterChar"/>
    <w:unhideWhenUsed/>
    <w:rsid w:val="00B3109B"/>
    <w:pPr>
      <w:tabs>
        <w:tab w:val="center" w:pos="4153"/>
        <w:tab w:val="right" w:pos="8306"/>
      </w:tabs>
    </w:pPr>
    <w:rPr>
      <w:noProof/>
      <w:sz w:val="20"/>
      <w:szCs w:val="20"/>
      <w:lang w:val="x-none"/>
    </w:rPr>
  </w:style>
  <w:style w:type="character" w:customStyle="1" w:styleId="FooterChar">
    <w:name w:val="Footer Char"/>
    <w:link w:val="Footer"/>
    <w:rsid w:val="00B3109B"/>
    <w:rPr>
      <w:rFonts w:cs="Traditional Arabic"/>
      <w:noProof/>
      <w:lang w:eastAsia="ar-SA"/>
    </w:rPr>
  </w:style>
  <w:style w:type="paragraph" w:styleId="BalloonText">
    <w:name w:val="Balloon Text"/>
    <w:basedOn w:val="Normal"/>
    <w:link w:val="BalloonTextChar"/>
    <w:uiPriority w:val="99"/>
    <w:semiHidden/>
    <w:unhideWhenUsed/>
    <w:rsid w:val="00B3109B"/>
    <w:rPr>
      <w:rFonts w:ascii="Tahoma" w:hAnsi="Tahoma"/>
      <w:noProof/>
      <w:sz w:val="16"/>
      <w:szCs w:val="16"/>
      <w:lang w:val="x-none"/>
    </w:rPr>
  </w:style>
  <w:style w:type="character" w:customStyle="1" w:styleId="BalloonTextChar">
    <w:name w:val="Balloon Text Char"/>
    <w:link w:val="BalloonText"/>
    <w:uiPriority w:val="99"/>
    <w:semiHidden/>
    <w:rsid w:val="00B3109B"/>
    <w:rPr>
      <w:rFonts w:ascii="Tahoma" w:hAnsi="Tahoma" w:cs="Tahoma"/>
      <w:noProof/>
      <w:sz w:val="16"/>
      <w:szCs w:val="16"/>
      <w:lang w:eastAsia="ar-SA"/>
    </w:rPr>
  </w:style>
  <w:style w:type="paragraph" w:styleId="FootnoteText">
    <w:name w:val="footnote text"/>
    <w:basedOn w:val="Normal"/>
    <w:link w:val="FootnoteTextChar"/>
    <w:uiPriority w:val="99"/>
    <w:unhideWhenUsed/>
    <w:rsid w:val="00B3109B"/>
    <w:rPr>
      <w:noProof/>
      <w:sz w:val="20"/>
      <w:szCs w:val="20"/>
      <w:lang w:val="x-none"/>
    </w:rPr>
  </w:style>
  <w:style w:type="character" w:customStyle="1" w:styleId="FootnoteTextChar">
    <w:name w:val="Footnote Text Char"/>
    <w:link w:val="FootnoteText"/>
    <w:uiPriority w:val="99"/>
    <w:rsid w:val="00B3109B"/>
    <w:rPr>
      <w:rFonts w:cs="Traditional Arabic"/>
      <w:noProof/>
      <w:lang w:eastAsia="ar-SA"/>
    </w:rPr>
  </w:style>
  <w:style w:type="character" w:styleId="FootnoteReference">
    <w:name w:val="footnote reference"/>
    <w:uiPriority w:val="99"/>
    <w:unhideWhenUsed/>
    <w:rsid w:val="00B3109B"/>
    <w:rPr>
      <w:vertAlign w:val="superscript"/>
    </w:rPr>
  </w:style>
  <w:style w:type="table" w:styleId="TableGrid">
    <w:name w:val="Table Grid"/>
    <w:basedOn w:val="TableNormal"/>
    <w:uiPriority w:val="59"/>
    <w:rsid w:val="00B3109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B14F32"/>
    <w:pPr>
      <w:ind w:left="720"/>
      <w:contextualSpacing/>
    </w:pPr>
  </w:style>
  <w:style w:type="character" w:styleId="CommentReference">
    <w:name w:val="annotation reference"/>
    <w:uiPriority w:val="99"/>
    <w:semiHidden/>
    <w:unhideWhenUsed/>
    <w:rsid w:val="00B3109B"/>
    <w:rPr>
      <w:sz w:val="16"/>
      <w:szCs w:val="16"/>
    </w:rPr>
  </w:style>
  <w:style w:type="paragraph" w:styleId="CommentText">
    <w:name w:val="annotation text"/>
    <w:basedOn w:val="Normal"/>
    <w:link w:val="CommentTextChar"/>
    <w:uiPriority w:val="99"/>
    <w:semiHidden/>
    <w:unhideWhenUsed/>
    <w:rsid w:val="00B3109B"/>
    <w:rPr>
      <w:noProof/>
      <w:sz w:val="20"/>
      <w:szCs w:val="20"/>
      <w:lang w:val="x-none"/>
    </w:rPr>
  </w:style>
  <w:style w:type="character" w:customStyle="1" w:styleId="CommentTextChar">
    <w:name w:val="Comment Text Char"/>
    <w:link w:val="CommentText"/>
    <w:uiPriority w:val="99"/>
    <w:semiHidden/>
    <w:rsid w:val="00B3109B"/>
    <w:rPr>
      <w:rFonts w:cs="Traditional Arabic"/>
      <w:noProof/>
      <w:lang w:eastAsia="ar-SA"/>
    </w:rPr>
  </w:style>
  <w:style w:type="paragraph" w:styleId="CommentSubject">
    <w:name w:val="annotation subject"/>
    <w:basedOn w:val="CommentText"/>
    <w:next w:val="CommentText"/>
    <w:link w:val="CommentSubjectChar"/>
    <w:uiPriority w:val="99"/>
    <w:semiHidden/>
    <w:unhideWhenUsed/>
    <w:rsid w:val="00B3109B"/>
    <w:rPr>
      <w:b w:val="0"/>
      <w:bCs w:val="0"/>
    </w:rPr>
  </w:style>
  <w:style w:type="character" w:customStyle="1" w:styleId="CommentSubjectChar">
    <w:name w:val="Comment Subject Char"/>
    <w:link w:val="CommentSubject"/>
    <w:uiPriority w:val="99"/>
    <w:semiHidden/>
    <w:rsid w:val="00B3109B"/>
    <w:rPr>
      <w:rFonts w:cs="Traditional Arabic"/>
      <w:b/>
      <w:bCs/>
      <w:noProof/>
      <w:lang w:eastAsia="ar-SA"/>
    </w:rPr>
  </w:style>
  <w:style w:type="paragraph" w:customStyle="1" w:styleId="CBKContinuousPara">
    <w:name w:val="CBK_ContinuousPara"/>
    <w:basedOn w:val="Normal"/>
    <w:link w:val="CBKContinuousParaChar"/>
    <w:qFormat/>
    <w:rsid w:val="00B3109B"/>
    <w:pPr>
      <w:bidi w:val="0"/>
      <w:spacing w:before="240"/>
      <w:ind w:left="720" w:hanging="720"/>
    </w:pPr>
    <w:rPr>
      <w:rFonts w:eastAsia="Calibri"/>
      <w:szCs w:val="22"/>
      <w:lang w:val="en-GB" w:eastAsia="x-none"/>
    </w:rPr>
  </w:style>
  <w:style w:type="character" w:customStyle="1" w:styleId="CBKContinuousParaChar">
    <w:name w:val="CBK_ContinuousPara Char"/>
    <w:link w:val="CBKContinuousPara"/>
    <w:rsid w:val="00B3109B"/>
    <w:rPr>
      <w:rFonts w:eastAsia="Calibri" w:cs="Arial"/>
      <w:sz w:val="26"/>
      <w:szCs w:val="22"/>
      <w:lang w:val="en-GB"/>
    </w:rPr>
  </w:style>
  <w:style w:type="paragraph" w:customStyle="1" w:styleId="CBKAlphaHeading2">
    <w:name w:val="CBK_AlphaHeading2"/>
    <w:basedOn w:val="Heading2"/>
    <w:link w:val="CBKAlphaHeading2Char"/>
    <w:qFormat/>
    <w:rsid w:val="005A2DDD"/>
    <w:pPr>
      <w:bidi w:val="0"/>
      <w:spacing w:after="60" w:line="360" w:lineRule="auto"/>
      <w:ind w:left="0" w:firstLine="0"/>
    </w:pPr>
    <w:rPr>
      <w:i/>
      <w:lang w:val="en-GB"/>
    </w:rPr>
  </w:style>
  <w:style w:type="character" w:customStyle="1" w:styleId="CBKAlphaHeading2Char">
    <w:name w:val="CBK_AlphaHeading2 Char"/>
    <w:link w:val="CBKAlphaHeading2"/>
    <w:rsid w:val="005A2DDD"/>
    <w:rPr>
      <w:rFonts w:ascii="Simplified Arabic" w:eastAsia="Simplified Arabic" w:hAnsi="Simplified Arabic" w:cs="Simplified Arabic"/>
      <w:b/>
      <w:bCs/>
      <w:i/>
      <w:sz w:val="26"/>
      <w:szCs w:val="26"/>
      <w:lang w:val="en-GB"/>
    </w:rPr>
  </w:style>
  <w:style w:type="paragraph" w:styleId="EndnoteText">
    <w:name w:val="endnote text"/>
    <w:basedOn w:val="Normal"/>
    <w:link w:val="EndnoteTextChar"/>
    <w:uiPriority w:val="99"/>
    <w:semiHidden/>
    <w:unhideWhenUsed/>
    <w:rsid w:val="00B3109B"/>
    <w:rPr>
      <w:noProof/>
      <w:sz w:val="20"/>
      <w:szCs w:val="20"/>
      <w:lang w:val="x-none"/>
    </w:rPr>
  </w:style>
  <w:style w:type="character" w:customStyle="1" w:styleId="EndnoteTextChar">
    <w:name w:val="Endnote Text Char"/>
    <w:link w:val="EndnoteText"/>
    <w:uiPriority w:val="99"/>
    <w:semiHidden/>
    <w:rsid w:val="00B3109B"/>
    <w:rPr>
      <w:rFonts w:cs="Traditional Arabic"/>
      <w:noProof/>
      <w:lang w:eastAsia="ar-SA"/>
    </w:rPr>
  </w:style>
  <w:style w:type="character" w:styleId="EndnoteReference">
    <w:name w:val="endnote reference"/>
    <w:uiPriority w:val="99"/>
    <w:semiHidden/>
    <w:unhideWhenUsed/>
    <w:rsid w:val="00B3109B"/>
    <w:rPr>
      <w:vertAlign w:val="superscript"/>
    </w:rPr>
  </w:style>
  <w:style w:type="paragraph" w:styleId="TOCHeading">
    <w:name w:val="TOC Heading"/>
    <w:basedOn w:val="Heading1"/>
    <w:next w:val="Normal"/>
    <w:uiPriority w:val="39"/>
    <w:unhideWhenUsed/>
    <w:qFormat/>
    <w:rsid w:val="00B14F32"/>
    <w:pPr>
      <w:bidi w:val="0"/>
      <w:outlineLvl w:val="9"/>
    </w:pPr>
    <w:rPr>
      <w:lang w:bidi="en-US"/>
    </w:rPr>
  </w:style>
  <w:style w:type="paragraph" w:styleId="TOC1">
    <w:name w:val="toc 1"/>
    <w:basedOn w:val="Normal"/>
    <w:next w:val="Normal"/>
    <w:autoRedefine/>
    <w:uiPriority w:val="39"/>
    <w:unhideWhenUsed/>
    <w:qFormat/>
    <w:rsid w:val="00B3109B"/>
    <w:pPr>
      <w:spacing w:after="100"/>
    </w:pPr>
    <w:rPr>
      <w:rFonts w:cs="Traditional Arabic"/>
      <w:noProof/>
      <w:sz w:val="20"/>
      <w:szCs w:val="20"/>
    </w:rPr>
  </w:style>
  <w:style w:type="paragraph" w:styleId="TOC3">
    <w:name w:val="toc 3"/>
    <w:basedOn w:val="Normal"/>
    <w:next w:val="Normal"/>
    <w:autoRedefine/>
    <w:uiPriority w:val="39"/>
    <w:unhideWhenUsed/>
    <w:qFormat/>
    <w:rsid w:val="00B3109B"/>
    <w:pPr>
      <w:spacing w:after="100"/>
      <w:ind w:left="400"/>
    </w:pPr>
    <w:rPr>
      <w:rFonts w:cs="Traditional Arabic"/>
      <w:noProof/>
      <w:sz w:val="20"/>
      <w:szCs w:val="20"/>
    </w:rPr>
  </w:style>
  <w:style w:type="paragraph" w:styleId="TOC2">
    <w:name w:val="toc 2"/>
    <w:basedOn w:val="Normal"/>
    <w:next w:val="Normal"/>
    <w:autoRedefine/>
    <w:uiPriority w:val="39"/>
    <w:unhideWhenUsed/>
    <w:qFormat/>
    <w:rsid w:val="00B3109B"/>
    <w:pPr>
      <w:spacing w:after="100"/>
      <w:ind w:left="200"/>
    </w:pPr>
    <w:rPr>
      <w:rFonts w:cs="Traditional Arabic"/>
      <w:noProof/>
      <w:sz w:val="20"/>
      <w:szCs w:val="20"/>
    </w:rPr>
  </w:style>
  <w:style w:type="character" w:styleId="Hyperlink">
    <w:name w:val="Hyperlink"/>
    <w:uiPriority w:val="99"/>
    <w:unhideWhenUsed/>
    <w:rsid w:val="00B3109B"/>
    <w:rPr>
      <w:color w:val="0000FF"/>
      <w:u w:val="single"/>
    </w:rPr>
  </w:style>
  <w:style w:type="paragraph" w:styleId="TOC4">
    <w:name w:val="toc 4"/>
    <w:basedOn w:val="Normal"/>
    <w:next w:val="Normal"/>
    <w:autoRedefine/>
    <w:uiPriority w:val="39"/>
    <w:unhideWhenUsed/>
    <w:rsid w:val="00B3109B"/>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B3109B"/>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B3109B"/>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B3109B"/>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B3109B"/>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B3109B"/>
    <w:pPr>
      <w:spacing w:after="100" w:line="276" w:lineRule="auto"/>
      <w:ind w:left="1760"/>
    </w:pPr>
    <w:rPr>
      <w:rFonts w:ascii="Calibri" w:hAnsi="Calibri" w:cs="Arial"/>
      <w:sz w:val="22"/>
      <w:szCs w:val="22"/>
    </w:rPr>
  </w:style>
  <w:style w:type="character" w:styleId="Strong">
    <w:name w:val="Strong"/>
    <w:uiPriority w:val="22"/>
    <w:qFormat/>
    <w:rsid w:val="00B14F32"/>
    <w:rPr>
      <w:b/>
      <w:bCs/>
    </w:rPr>
  </w:style>
  <w:style w:type="paragraph" w:styleId="Revision">
    <w:name w:val="Revision"/>
    <w:hidden/>
    <w:uiPriority w:val="99"/>
    <w:semiHidden/>
    <w:rsid w:val="002A57BB"/>
    <w:rPr>
      <w:sz w:val="24"/>
      <w:szCs w:val="24"/>
      <w:lang w:eastAsia="ar-SA"/>
    </w:rPr>
  </w:style>
  <w:style w:type="character" w:customStyle="1" w:styleId="Heading7Char">
    <w:name w:val="Heading 7 Char"/>
    <w:basedOn w:val="DefaultParagraphFont"/>
    <w:link w:val="Heading7"/>
    <w:rsid w:val="00B14F32"/>
    <w:rPr>
      <w:rFonts w:asciiTheme="majorHAnsi" w:eastAsiaTheme="majorEastAsia" w:hAnsiTheme="majorHAnsi" w:cstheme="majorBidi"/>
      <w:i/>
      <w:iCs/>
    </w:rPr>
  </w:style>
  <w:style w:type="character" w:customStyle="1" w:styleId="TitleChar">
    <w:name w:val="Title Char"/>
    <w:basedOn w:val="DefaultParagraphFont"/>
    <w:link w:val="Title"/>
    <w:rsid w:val="00B14F32"/>
    <w:rPr>
      <w:rFonts w:asciiTheme="majorHAnsi" w:eastAsiaTheme="majorEastAsia" w:hAnsiTheme="majorHAnsi" w:cstheme="majorBidi"/>
      <w:spacing w:val="5"/>
      <w:sz w:val="52"/>
      <w:szCs w:val="52"/>
    </w:rPr>
  </w:style>
  <w:style w:type="paragraph" w:styleId="Subtitle">
    <w:name w:val="Subtitle"/>
    <w:basedOn w:val="Normal"/>
    <w:next w:val="Normal"/>
    <w:link w:val="SubtitleChar"/>
    <w:qFormat/>
    <w:rsid w:val="00B14F3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rsid w:val="00B14F32"/>
    <w:rPr>
      <w:rFonts w:asciiTheme="majorHAnsi" w:eastAsiaTheme="majorEastAsia" w:hAnsiTheme="majorHAnsi" w:cstheme="majorBidi"/>
      <w:i/>
      <w:iCs/>
      <w:spacing w:val="13"/>
      <w:sz w:val="24"/>
      <w:szCs w:val="24"/>
    </w:rPr>
  </w:style>
  <w:style w:type="character" w:customStyle="1" w:styleId="Heading6Char">
    <w:name w:val="Heading 6 Char"/>
    <w:basedOn w:val="DefaultParagraphFont"/>
    <w:link w:val="Heading6"/>
    <w:uiPriority w:val="9"/>
    <w:semiHidden/>
    <w:rsid w:val="00B14F32"/>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semiHidden/>
    <w:rsid w:val="00B14F3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14F32"/>
    <w:rPr>
      <w:rFonts w:asciiTheme="majorHAnsi" w:eastAsiaTheme="majorEastAsia" w:hAnsiTheme="majorHAnsi" w:cstheme="majorBidi"/>
      <w:i/>
      <w:iCs/>
      <w:spacing w:val="5"/>
      <w:sz w:val="20"/>
      <w:szCs w:val="20"/>
    </w:rPr>
  </w:style>
  <w:style w:type="character" w:styleId="Emphasis">
    <w:name w:val="Emphasis"/>
    <w:uiPriority w:val="20"/>
    <w:qFormat/>
    <w:rsid w:val="00B14F32"/>
    <w:rPr>
      <w:b/>
      <w:bCs/>
      <w:i/>
      <w:iCs/>
      <w:spacing w:val="10"/>
      <w:bdr w:val="none" w:sz="0" w:space="0" w:color="auto"/>
      <w:shd w:val="clear" w:color="auto" w:fill="auto"/>
    </w:rPr>
  </w:style>
  <w:style w:type="paragraph" w:styleId="NoSpacing">
    <w:name w:val="No Spacing"/>
    <w:basedOn w:val="Normal"/>
    <w:uiPriority w:val="1"/>
    <w:qFormat/>
    <w:rsid w:val="00B14F32"/>
    <w:pPr>
      <w:bidi w:val="0"/>
      <w:spacing w:after="0"/>
    </w:pPr>
  </w:style>
  <w:style w:type="paragraph" w:styleId="Quote">
    <w:name w:val="Quote"/>
    <w:basedOn w:val="Normal"/>
    <w:next w:val="Normal"/>
    <w:link w:val="QuoteChar"/>
    <w:uiPriority w:val="29"/>
    <w:qFormat/>
    <w:rsid w:val="00B14F32"/>
    <w:pPr>
      <w:bidi w:val="0"/>
      <w:spacing w:before="200" w:after="0"/>
      <w:ind w:left="360" w:right="360"/>
    </w:pPr>
    <w:rPr>
      <w:i/>
      <w:iCs/>
    </w:rPr>
  </w:style>
  <w:style w:type="character" w:customStyle="1" w:styleId="QuoteChar">
    <w:name w:val="Quote Char"/>
    <w:basedOn w:val="DefaultParagraphFont"/>
    <w:link w:val="Quote"/>
    <w:uiPriority w:val="29"/>
    <w:rsid w:val="00B14F32"/>
    <w:rPr>
      <w:i/>
      <w:iCs/>
    </w:rPr>
  </w:style>
  <w:style w:type="paragraph" w:styleId="IntenseQuote">
    <w:name w:val="Intense Quote"/>
    <w:basedOn w:val="Normal"/>
    <w:next w:val="Normal"/>
    <w:link w:val="IntenseQuoteChar"/>
    <w:uiPriority w:val="30"/>
    <w:qFormat/>
    <w:rsid w:val="00B14F32"/>
    <w:pPr>
      <w:pBdr>
        <w:bottom w:val="single" w:sz="4" w:space="1" w:color="auto"/>
      </w:pBdr>
      <w:bidi w:val="0"/>
      <w:spacing w:before="200" w:after="280"/>
      <w:ind w:left="1008" w:right="1152"/>
    </w:pPr>
    <w:rPr>
      <w:b w:val="0"/>
      <w:bCs w:val="0"/>
      <w:i/>
      <w:iCs/>
    </w:rPr>
  </w:style>
  <w:style w:type="character" w:customStyle="1" w:styleId="IntenseQuoteChar">
    <w:name w:val="Intense Quote Char"/>
    <w:basedOn w:val="DefaultParagraphFont"/>
    <w:link w:val="IntenseQuote"/>
    <w:uiPriority w:val="30"/>
    <w:rsid w:val="00B14F32"/>
    <w:rPr>
      <w:b/>
      <w:bCs/>
      <w:i/>
      <w:iCs/>
    </w:rPr>
  </w:style>
  <w:style w:type="character" w:styleId="SubtleEmphasis">
    <w:name w:val="Subtle Emphasis"/>
    <w:uiPriority w:val="19"/>
    <w:qFormat/>
    <w:rsid w:val="00B14F32"/>
    <w:rPr>
      <w:i/>
      <w:iCs/>
    </w:rPr>
  </w:style>
  <w:style w:type="character" w:styleId="IntenseEmphasis">
    <w:name w:val="Intense Emphasis"/>
    <w:uiPriority w:val="21"/>
    <w:qFormat/>
    <w:rsid w:val="00B14F32"/>
    <w:rPr>
      <w:b/>
      <w:bCs/>
    </w:rPr>
  </w:style>
  <w:style w:type="character" w:styleId="SubtleReference">
    <w:name w:val="Subtle Reference"/>
    <w:uiPriority w:val="31"/>
    <w:qFormat/>
    <w:rsid w:val="00B14F32"/>
    <w:rPr>
      <w:smallCaps/>
    </w:rPr>
  </w:style>
  <w:style w:type="character" w:styleId="IntenseReference">
    <w:name w:val="Intense Reference"/>
    <w:uiPriority w:val="32"/>
    <w:qFormat/>
    <w:rsid w:val="00B14F32"/>
    <w:rPr>
      <w:smallCaps/>
      <w:spacing w:val="5"/>
      <w:u w:val="single"/>
    </w:rPr>
  </w:style>
  <w:style w:type="character" w:styleId="BookTitle">
    <w:name w:val="Book Title"/>
    <w:uiPriority w:val="33"/>
    <w:qFormat/>
    <w:rsid w:val="00B14F32"/>
    <w:rPr>
      <w:i/>
      <w:iCs/>
      <w:smallCaps/>
      <w:spacing w:val="5"/>
    </w:rPr>
  </w:style>
  <w:style w:type="character" w:customStyle="1" w:styleId="hps">
    <w:name w:val="hps"/>
    <w:basedOn w:val="DefaultParagraphFont"/>
    <w:rsid w:val="005A2DDD"/>
  </w:style>
  <w:style w:type="paragraph" w:styleId="NormalWeb">
    <w:name w:val="Normal (Web)"/>
    <w:basedOn w:val="Normal"/>
    <w:uiPriority w:val="99"/>
    <w:semiHidden/>
    <w:unhideWhenUsed/>
    <w:rsid w:val="005A2DDD"/>
    <w:pPr>
      <w:bidi w:val="0"/>
      <w:spacing w:before="100" w:beforeAutospacing="1" w:after="100" w:afterAutospacing="1"/>
      <w:jc w:val="left"/>
    </w:pPr>
    <w:rPr>
      <w:rFonts w:ascii="Times New Roman" w:eastAsiaTheme="minorEastAsia" w:hAnsi="Times New Roman" w:cs="Times New Roman"/>
      <w:b w:val="0"/>
      <w:bCs w:val="0"/>
      <w:sz w:val="24"/>
      <w:szCs w:val="24"/>
    </w:rPr>
  </w:style>
  <w:style w:type="paragraph" w:styleId="Caption">
    <w:name w:val="caption"/>
    <w:basedOn w:val="Normal"/>
    <w:next w:val="Normal"/>
    <w:uiPriority w:val="35"/>
    <w:unhideWhenUsed/>
    <w:rsid w:val="006A7565"/>
    <w:pPr>
      <w:spacing w:after="200"/>
    </w:pPr>
    <w:rPr>
      <w:b w:val="0"/>
      <w:bCs w:val="0"/>
      <w:color w:val="4F81BD" w:themeColor="accent1"/>
      <w:sz w:val="18"/>
      <w:szCs w:val="18"/>
    </w:rPr>
  </w:style>
  <w:style w:type="paragraph" w:styleId="TableofFigures">
    <w:name w:val="table of figures"/>
    <w:basedOn w:val="Normal"/>
    <w:next w:val="Normal"/>
    <w:uiPriority w:val="99"/>
    <w:unhideWhenUsed/>
    <w:rsid w:val="00187D48"/>
    <w:pPr>
      <w:spacing w:after="0"/>
      <w:ind w:left="520" w:hanging="520"/>
      <w:jc w:val="left"/>
    </w:pPr>
    <w:rPr>
      <w:rFonts w:asciiTheme="minorHAnsi" w:hAnsiTheme="minorHAnsi" w:cs="Times New Roman"/>
      <w:b w:val="0"/>
      <w:bCs w:val="0"/>
      <w:smallCap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7934">
      <w:bodyDiv w:val="1"/>
      <w:marLeft w:val="0"/>
      <w:marRight w:val="0"/>
      <w:marTop w:val="0"/>
      <w:marBottom w:val="0"/>
      <w:divBdr>
        <w:top w:val="none" w:sz="0" w:space="0" w:color="auto"/>
        <w:left w:val="none" w:sz="0" w:space="0" w:color="auto"/>
        <w:bottom w:val="none" w:sz="0" w:space="0" w:color="auto"/>
        <w:right w:val="none" w:sz="0" w:space="0" w:color="auto"/>
      </w:divBdr>
    </w:div>
    <w:div w:id="776754507">
      <w:bodyDiv w:val="1"/>
      <w:marLeft w:val="0"/>
      <w:marRight w:val="0"/>
      <w:marTop w:val="0"/>
      <w:marBottom w:val="0"/>
      <w:divBdr>
        <w:top w:val="none" w:sz="0" w:space="0" w:color="auto"/>
        <w:left w:val="none" w:sz="0" w:space="0" w:color="auto"/>
        <w:bottom w:val="none" w:sz="0" w:space="0" w:color="auto"/>
        <w:right w:val="none" w:sz="0" w:space="0" w:color="auto"/>
      </w:divBdr>
      <w:divsChild>
        <w:div w:id="621038912">
          <w:marLeft w:val="0"/>
          <w:marRight w:val="547"/>
          <w:marTop w:val="115"/>
          <w:marBottom w:val="0"/>
          <w:divBdr>
            <w:top w:val="none" w:sz="0" w:space="0" w:color="auto"/>
            <w:left w:val="none" w:sz="0" w:space="0" w:color="auto"/>
            <w:bottom w:val="none" w:sz="0" w:space="0" w:color="auto"/>
            <w:right w:val="none" w:sz="0" w:space="0" w:color="auto"/>
          </w:divBdr>
        </w:div>
        <w:div w:id="916986598">
          <w:marLeft w:val="0"/>
          <w:marRight w:val="547"/>
          <w:marTop w:val="115"/>
          <w:marBottom w:val="0"/>
          <w:divBdr>
            <w:top w:val="none" w:sz="0" w:space="0" w:color="auto"/>
            <w:left w:val="none" w:sz="0" w:space="0" w:color="auto"/>
            <w:bottom w:val="none" w:sz="0" w:space="0" w:color="auto"/>
            <w:right w:val="none" w:sz="0" w:space="0" w:color="auto"/>
          </w:divBdr>
        </w:div>
        <w:div w:id="1917476665">
          <w:marLeft w:val="0"/>
          <w:marRight w:val="547"/>
          <w:marTop w:val="115"/>
          <w:marBottom w:val="0"/>
          <w:divBdr>
            <w:top w:val="none" w:sz="0" w:space="0" w:color="auto"/>
            <w:left w:val="none" w:sz="0" w:space="0" w:color="auto"/>
            <w:bottom w:val="none" w:sz="0" w:space="0" w:color="auto"/>
            <w:right w:val="none" w:sz="0" w:space="0" w:color="auto"/>
          </w:divBdr>
        </w:div>
      </w:divsChild>
    </w:div>
    <w:div w:id="1153258058">
      <w:bodyDiv w:val="1"/>
      <w:marLeft w:val="0"/>
      <w:marRight w:val="0"/>
      <w:marTop w:val="0"/>
      <w:marBottom w:val="0"/>
      <w:divBdr>
        <w:top w:val="none" w:sz="0" w:space="0" w:color="auto"/>
        <w:left w:val="none" w:sz="0" w:space="0" w:color="auto"/>
        <w:bottom w:val="none" w:sz="0" w:space="0" w:color="auto"/>
        <w:right w:val="none" w:sz="0" w:space="0" w:color="auto"/>
      </w:divBdr>
    </w:div>
    <w:div w:id="1263300434">
      <w:bodyDiv w:val="1"/>
      <w:marLeft w:val="0"/>
      <w:marRight w:val="0"/>
      <w:marTop w:val="0"/>
      <w:marBottom w:val="0"/>
      <w:divBdr>
        <w:top w:val="none" w:sz="0" w:space="0" w:color="auto"/>
        <w:left w:val="none" w:sz="0" w:space="0" w:color="auto"/>
        <w:bottom w:val="none" w:sz="0" w:space="0" w:color="auto"/>
        <w:right w:val="none" w:sz="0" w:space="0" w:color="auto"/>
      </w:divBdr>
    </w:div>
    <w:div w:id="1364474679">
      <w:bodyDiv w:val="1"/>
      <w:marLeft w:val="0"/>
      <w:marRight w:val="0"/>
      <w:marTop w:val="0"/>
      <w:marBottom w:val="0"/>
      <w:divBdr>
        <w:top w:val="none" w:sz="0" w:space="0" w:color="auto"/>
        <w:left w:val="none" w:sz="0" w:space="0" w:color="auto"/>
        <w:bottom w:val="none" w:sz="0" w:space="0" w:color="auto"/>
        <w:right w:val="none" w:sz="0" w:space="0" w:color="auto"/>
      </w:divBdr>
    </w:div>
    <w:div w:id="1452746629">
      <w:bodyDiv w:val="1"/>
      <w:marLeft w:val="0"/>
      <w:marRight w:val="0"/>
      <w:marTop w:val="0"/>
      <w:marBottom w:val="0"/>
      <w:divBdr>
        <w:top w:val="none" w:sz="0" w:space="0" w:color="auto"/>
        <w:left w:val="none" w:sz="0" w:space="0" w:color="auto"/>
        <w:bottom w:val="none" w:sz="0" w:space="0" w:color="auto"/>
        <w:right w:val="none" w:sz="0" w:space="0" w:color="auto"/>
      </w:divBdr>
    </w:div>
    <w:div w:id="159443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7E50C0-F8EE-4E97-8500-04EE6232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116</Pages>
  <Words>24298</Words>
  <Characters>138502</Characters>
  <Application>Microsoft Office Word</Application>
  <DocSecurity>0</DocSecurity>
  <Lines>1154</Lines>
  <Paragraphs>324</Paragraphs>
  <ScaleCrop>false</ScaleCrop>
  <HeadingPairs>
    <vt:vector size="2" baseType="variant">
      <vt:variant>
        <vt:lpstr>Title</vt:lpstr>
      </vt:variant>
      <vt:variant>
        <vt:i4>1</vt:i4>
      </vt:variant>
    </vt:vector>
  </HeadingPairs>
  <TitlesOfParts>
    <vt:vector size="1" baseType="lpstr">
      <vt:lpstr>أولاً : نطاق التطبيق :-</vt:lpstr>
    </vt:vector>
  </TitlesOfParts>
  <Company>cbj</Company>
  <LinksUpToDate>false</LinksUpToDate>
  <CharactersWithSpaces>162476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أولاً : نطاق التطبيق :-</dc:title>
  <dc:creator>nadih</dc:creator>
  <cp:lastModifiedBy>Mohammad A. Abushiekh</cp:lastModifiedBy>
  <cp:revision>32</cp:revision>
  <cp:lastPrinted>2016-10-31T11:19:00Z</cp:lastPrinted>
  <dcterms:created xsi:type="dcterms:W3CDTF">2016-10-06T05:40:00Z</dcterms:created>
  <dcterms:modified xsi:type="dcterms:W3CDTF">2019-11-13T07:30:00Z</dcterms:modified>
</cp:coreProperties>
</file>