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F11" w:rsidRPr="00C3695C" w:rsidRDefault="00562F11" w:rsidP="00420286">
      <w:pPr>
        <w:ind w:left="-6"/>
        <w:jc w:val="lowKashida"/>
        <w:outlineLvl w:val="0"/>
        <w:rPr>
          <w:rFonts w:cs="Simplified Arabic"/>
          <w:szCs w:val="28"/>
          <w:rtl/>
        </w:rPr>
      </w:pPr>
      <w:r>
        <w:rPr>
          <w:rFonts w:cs="Simplified Arabic" w:hint="cs"/>
          <w:szCs w:val="28"/>
          <w:rtl/>
        </w:rPr>
        <w:t xml:space="preserve">    </w:t>
      </w:r>
      <w:r w:rsidRPr="00C3695C">
        <w:rPr>
          <w:rFonts w:cs="Simplified Arabic" w:hint="cs"/>
          <w:szCs w:val="28"/>
          <w:rtl/>
        </w:rPr>
        <w:t>10/</w:t>
      </w:r>
      <w:r>
        <w:rPr>
          <w:rFonts w:cs="Simplified Arabic" w:hint="cs"/>
          <w:szCs w:val="28"/>
          <w:rtl/>
        </w:rPr>
        <w:t>1</w:t>
      </w:r>
      <w:r w:rsidRPr="00C3695C">
        <w:rPr>
          <w:rFonts w:cs="Simplified Arabic" w:hint="cs"/>
          <w:szCs w:val="28"/>
          <w:rtl/>
        </w:rPr>
        <w:t>/</w:t>
      </w:r>
    </w:p>
    <w:p w:rsidR="00562F11" w:rsidRPr="00C3695C" w:rsidRDefault="00562F11" w:rsidP="00D859B2">
      <w:pPr>
        <w:spacing w:line="360" w:lineRule="exact"/>
        <w:ind w:left="-6"/>
        <w:jc w:val="lowKashida"/>
        <w:rPr>
          <w:rFonts w:cs="Simplified Arabic"/>
          <w:szCs w:val="28"/>
          <w:rtl/>
        </w:rPr>
      </w:pPr>
      <w:r>
        <w:rPr>
          <w:rFonts w:cs="Simplified Arabic" w:hint="cs"/>
          <w:szCs w:val="28"/>
          <w:rtl/>
        </w:rPr>
        <w:t xml:space="preserve"> </w:t>
      </w:r>
      <w:r w:rsidRPr="00C3695C">
        <w:rPr>
          <w:rFonts w:cs="Simplified Arabic" w:hint="cs"/>
          <w:szCs w:val="28"/>
          <w:rtl/>
        </w:rPr>
        <w:t xml:space="preserve"> </w:t>
      </w:r>
      <w:r>
        <w:rPr>
          <w:rFonts w:cs="Simplified Arabic" w:hint="cs"/>
          <w:szCs w:val="28"/>
          <w:rtl/>
        </w:rPr>
        <w:t xml:space="preserve">   </w:t>
      </w:r>
      <w:r w:rsidRPr="00C3695C">
        <w:rPr>
          <w:rFonts w:cs="Simplified Arabic" w:hint="cs"/>
          <w:szCs w:val="28"/>
          <w:rtl/>
        </w:rPr>
        <w:t xml:space="preserve"> </w:t>
      </w:r>
      <w:r w:rsidR="00D859B2">
        <w:rPr>
          <w:rFonts w:cs="Simplified Arabic" w:hint="cs"/>
          <w:szCs w:val="28"/>
          <w:rtl/>
        </w:rPr>
        <w:t xml:space="preserve"> </w:t>
      </w:r>
      <w:r w:rsidRPr="00C3695C">
        <w:rPr>
          <w:rFonts w:cs="Simplified Arabic" w:hint="cs"/>
          <w:szCs w:val="28"/>
          <w:rtl/>
        </w:rPr>
        <w:t xml:space="preserve"> /</w:t>
      </w:r>
      <w:r w:rsidR="00D859B2">
        <w:rPr>
          <w:rFonts w:cs="Simplified Arabic" w:hint="cs"/>
          <w:szCs w:val="28"/>
          <w:rtl/>
        </w:rPr>
        <w:t xml:space="preserve"> </w:t>
      </w:r>
      <w:r w:rsidR="00060861">
        <w:rPr>
          <w:rFonts w:cs="Simplified Arabic" w:hint="cs"/>
          <w:szCs w:val="28"/>
          <w:rtl/>
        </w:rPr>
        <w:t xml:space="preserve"> </w:t>
      </w:r>
      <w:r w:rsidRPr="00C3695C">
        <w:rPr>
          <w:rFonts w:cs="Simplified Arabic" w:hint="cs"/>
          <w:szCs w:val="28"/>
          <w:rtl/>
        </w:rPr>
        <w:t>/143</w:t>
      </w:r>
      <w:r w:rsidR="00D0212D">
        <w:rPr>
          <w:rFonts w:cs="Simplified Arabic" w:hint="cs"/>
          <w:szCs w:val="28"/>
          <w:rtl/>
        </w:rPr>
        <w:t>9</w:t>
      </w:r>
      <w:r w:rsidRPr="00C3695C">
        <w:rPr>
          <w:rFonts w:cs="Simplified Arabic" w:hint="cs"/>
          <w:szCs w:val="28"/>
          <w:rtl/>
        </w:rPr>
        <w:t>هـ</w:t>
      </w:r>
    </w:p>
    <w:p w:rsidR="00562F11" w:rsidRPr="00C3695C" w:rsidRDefault="00562F11" w:rsidP="00060861">
      <w:pPr>
        <w:spacing w:line="360" w:lineRule="exact"/>
        <w:ind w:left="-6"/>
        <w:jc w:val="lowKashida"/>
        <w:rPr>
          <w:rFonts w:cs="Simplified Arabic"/>
          <w:szCs w:val="28"/>
          <w:rtl/>
        </w:rPr>
      </w:pPr>
      <w:r>
        <w:rPr>
          <w:rFonts w:cs="Simplified Arabic" w:hint="cs"/>
          <w:szCs w:val="28"/>
          <w:rtl/>
        </w:rPr>
        <w:t xml:space="preserve">  </w:t>
      </w:r>
      <w:r w:rsidRPr="00C3695C">
        <w:rPr>
          <w:rFonts w:cs="Simplified Arabic" w:hint="cs"/>
          <w:szCs w:val="28"/>
          <w:rtl/>
        </w:rPr>
        <w:t xml:space="preserve"> </w:t>
      </w:r>
      <w:r>
        <w:rPr>
          <w:rFonts w:cs="Simplified Arabic" w:hint="cs"/>
          <w:szCs w:val="28"/>
          <w:rtl/>
        </w:rPr>
        <w:t xml:space="preserve">  </w:t>
      </w:r>
      <w:r w:rsidR="00420286">
        <w:rPr>
          <w:rFonts w:cs="Simplified Arabic" w:hint="cs"/>
          <w:szCs w:val="28"/>
          <w:rtl/>
        </w:rPr>
        <w:t xml:space="preserve">    </w:t>
      </w:r>
      <w:r w:rsidRPr="00C3695C">
        <w:rPr>
          <w:rFonts w:cs="Simplified Arabic" w:hint="cs"/>
          <w:szCs w:val="28"/>
          <w:rtl/>
        </w:rPr>
        <w:t>/</w:t>
      </w:r>
      <w:r w:rsidR="00060861">
        <w:rPr>
          <w:rFonts w:cs="Simplified Arabic" w:hint="cs"/>
          <w:szCs w:val="28"/>
          <w:rtl/>
        </w:rPr>
        <w:t xml:space="preserve">  </w:t>
      </w:r>
      <w:r w:rsidRPr="00C3695C">
        <w:rPr>
          <w:rFonts w:cs="Simplified Arabic" w:hint="cs"/>
          <w:szCs w:val="28"/>
          <w:rtl/>
        </w:rPr>
        <w:t>/</w:t>
      </w:r>
      <w:r w:rsidR="00492E31">
        <w:rPr>
          <w:rFonts w:cs="Simplified Arabic" w:hint="cs"/>
          <w:szCs w:val="28"/>
          <w:rtl/>
        </w:rPr>
        <w:t>2018</w:t>
      </w:r>
      <w:r w:rsidR="003D732F">
        <w:rPr>
          <w:rFonts w:cs="Simplified Arabic" w:hint="cs"/>
          <w:szCs w:val="28"/>
          <w:rtl/>
        </w:rPr>
        <w:t xml:space="preserve"> م</w:t>
      </w:r>
    </w:p>
    <w:p w:rsidR="00B31283" w:rsidRPr="00AE296B" w:rsidRDefault="00B31283" w:rsidP="00B31283">
      <w:pPr>
        <w:keepNext/>
        <w:spacing w:after="60"/>
        <w:jc w:val="center"/>
        <w:outlineLvl w:val="0"/>
        <w:rPr>
          <w:rFonts w:ascii="Simplified Arabic" w:hAnsi="Simplified Arabic" w:cs="Simplified Arabic"/>
          <w:b/>
          <w:bCs/>
          <w:sz w:val="8"/>
          <w:szCs w:val="8"/>
          <w:rtl/>
        </w:rPr>
      </w:pPr>
    </w:p>
    <w:p w:rsidR="004D3836" w:rsidRPr="002D457B" w:rsidRDefault="004D3836" w:rsidP="00AE296B">
      <w:pPr>
        <w:keepNext/>
        <w:spacing w:after="60" w:line="360" w:lineRule="exact"/>
        <w:jc w:val="center"/>
        <w:outlineLvl w:val="0"/>
        <w:rPr>
          <w:rFonts w:ascii="Simplified Arabic" w:hAnsi="Simplified Arabic" w:cs="Simplified Arabic"/>
          <w:b/>
          <w:bCs/>
          <w:sz w:val="32"/>
          <w:szCs w:val="32"/>
          <w:rtl/>
        </w:rPr>
      </w:pPr>
      <w:r w:rsidRPr="002D457B">
        <w:rPr>
          <w:rFonts w:ascii="Simplified Arabic" w:hAnsi="Simplified Arabic" w:cs="Simplified Arabic" w:hint="cs"/>
          <w:b/>
          <w:bCs/>
          <w:sz w:val="32"/>
          <w:szCs w:val="32"/>
          <w:rtl/>
        </w:rPr>
        <w:t xml:space="preserve">تعليمات تطبيق المعيار الدولي للتقارير المالية (9) </w:t>
      </w:r>
    </w:p>
    <w:p w:rsidR="001E69D9" w:rsidRPr="002D457B" w:rsidRDefault="004D3836" w:rsidP="00AE296B">
      <w:pPr>
        <w:keepNext/>
        <w:spacing w:after="60" w:line="360" w:lineRule="exact"/>
        <w:jc w:val="center"/>
        <w:outlineLvl w:val="0"/>
        <w:rPr>
          <w:rFonts w:ascii="Simplified Arabic" w:hAnsi="Simplified Arabic" w:cs="Simplified Arabic"/>
          <w:b/>
          <w:bCs/>
          <w:sz w:val="32"/>
          <w:szCs w:val="32"/>
          <w:rtl/>
        </w:rPr>
      </w:pPr>
      <w:r w:rsidRPr="002D457B">
        <w:rPr>
          <w:rFonts w:ascii="Simplified Arabic" w:hAnsi="Simplified Arabic" w:cs="Simplified Arabic" w:hint="cs"/>
          <w:b/>
          <w:bCs/>
          <w:sz w:val="32"/>
          <w:szCs w:val="32"/>
          <w:rtl/>
        </w:rPr>
        <w:t xml:space="preserve">رقم (     /2018) </w:t>
      </w:r>
      <w:r w:rsidR="00740141" w:rsidRPr="002D457B">
        <w:rPr>
          <w:rFonts w:ascii="Simplified Arabic" w:hAnsi="Simplified Arabic" w:cs="Simplified Arabic" w:hint="cs"/>
          <w:b/>
          <w:bCs/>
          <w:sz w:val="32"/>
          <w:szCs w:val="32"/>
          <w:rtl/>
        </w:rPr>
        <w:t xml:space="preserve"> </w:t>
      </w:r>
    </w:p>
    <w:p w:rsidR="00740141" w:rsidRPr="002D457B" w:rsidRDefault="00740141" w:rsidP="00AE296B">
      <w:pPr>
        <w:keepNext/>
        <w:spacing w:after="60" w:line="360" w:lineRule="exact"/>
        <w:jc w:val="center"/>
        <w:outlineLvl w:val="0"/>
        <w:rPr>
          <w:rFonts w:ascii="Simplified Arabic" w:hAnsi="Simplified Arabic" w:cs="Simplified Arabic"/>
          <w:b/>
          <w:bCs/>
          <w:kern w:val="32"/>
          <w:sz w:val="32"/>
          <w:szCs w:val="32"/>
          <w:u w:val="single"/>
          <w:rtl/>
          <w:lang w:bidi="ar-JO"/>
        </w:rPr>
      </w:pPr>
      <w:r w:rsidRPr="002D457B">
        <w:rPr>
          <w:rFonts w:ascii="Simplified Arabic" w:hAnsi="Simplified Arabic" w:cs="Simplified Arabic" w:hint="cs"/>
          <w:b/>
          <w:bCs/>
          <w:sz w:val="32"/>
          <w:szCs w:val="32"/>
          <w:rtl/>
        </w:rPr>
        <w:t>ـــــــــــــــــــــــــــــــــــــــــــــــــــــــــــــــــــــــــــــــــــــ</w:t>
      </w:r>
    </w:p>
    <w:p w:rsidR="00043661" w:rsidRPr="002D457B" w:rsidRDefault="00043661" w:rsidP="00AE296B">
      <w:pPr>
        <w:spacing w:after="240" w:line="380" w:lineRule="exact"/>
        <w:jc w:val="lowKashida"/>
        <w:rPr>
          <w:rFonts w:ascii="Simplified Arabic" w:hAnsi="Simplified Arabic" w:cs="Simplified Arabic"/>
          <w:b/>
          <w:bCs/>
          <w:sz w:val="32"/>
          <w:szCs w:val="32"/>
          <w:rtl/>
          <w:lang w:bidi="ar-JO"/>
        </w:rPr>
      </w:pPr>
      <w:r w:rsidRPr="002D457B">
        <w:rPr>
          <w:rFonts w:ascii="Simplified Arabic" w:hAnsi="Simplified Arabic" w:cs="Simplified Arabic"/>
          <w:b/>
          <w:bCs/>
          <w:sz w:val="32"/>
          <w:szCs w:val="32"/>
          <w:rtl/>
          <w:lang w:bidi="ar-JO"/>
        </w:rPr>
        <w:t>تحية طيبة وبعد ,,,</w:t>
      </w:r>
    </w:p>
    <w:p w:rsidR="002E7F85" w:rsidRDefault="00B31283" w:rsidP="002D457B">
      <w:pPr>
        <w:shd w:val="clear" w:color="auto" w:fill="FFFFFF" w:themeFill="background1"/>
        <w:spacing w:line="400" w:lineRule="exact"/>
        <w:ind w:left="48" w:firstLine="561"/>
        <w:jc w:val="lowKashida"/>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استناداً لأحكام المادة</w:t>
      </w:r>
      <w:r w:rsidR="00F15852">
        <w:rPr>
          <w:rFonts w:ascii="Simplified Arabic" w:hAnsi="Simplified Arabic" w:cs="Simplified Arabic" w:hint="cs"/>
          <w:sz w:val="28"/>
          <w:szCs w:val="28"/>
          <w:rtl/>
          <w:lang w:bidi="ar-JO"/>
        </w:rPr>
        <w:t xml:space="preserve"> (99/ب) والمادة</w:t>
      </w:r>
      <w:r>
        <w:rPr>
          <w:rFonts w:ascii="Simplified Arabic" w:hAnsi="Simplified Arabic" w:cs="Simplified Arabic" w:hint="cs"/>
          <w:sz w:val="28"/>
          <w:szCs w:val="28"/>
          <w:rtl/>
          <w:lang w:bidi="ar-JO"/>
        </w:rPr>
        <w:t xml:space="preserve"> (42/أ </w:t>
      </w:r>
      <w:r>
        <w:rPr>
          <w:rFonts w:ascii="Simplified Arabic" w:hAnsi="Simplified Arabic" w:cs="Simplified Arabic"/>
          <w:sz w:val="28"/>
          <w:szCs w:val="28"/>
          <w:rtl/>
          <w:lang w:bidi="ar-JO"/>
        </w:rPr>
        <w:t>–</w:t>
      </w:r>
      <w:r>
        <w:rPr>
          <w:rFonts w:ascii="Simplified Arabic" w:hAnsi="Simplified Arabic" w:cs="Simplified Arabic" w:hint="cs"/>
          <w:sz w:val="28"/>
          <w:szCs w:val="28"/>
          <w:rtl/>
          <w:lang w:bidi="ar-JO"/>
        </w:rPr>
        <w:t xml:space="preserve"> 2، 3) من قانون البنوك رقم (28) لسنة 2000 وتعديلاته</w:t>
      </w:r>
      <w:r w:rsidR="002E7F85" w:rsidRPr="00AE296B">
        <w:rPr>
          <w:rFonts w:ascii="Simplified Arabic" w:hAnsi="Simplified Arabic" w:cs="Simplified Arabic" w:hint="cs"/>
          <w:sz w:val="28"/>
          <w:szCs w:val="28"/>
          <w:shd w:val="clear" w:color="auto" w:fill="FFFFFF" w:themeFill="background1"/>
          <w:rtl/>
          <w:lang w:bidi="ar-JO"/>
        </w:rPr>
        <w:t xml:space="preserve">، </w:t>
      </w:r>
      <w:r w:rsidR="00F15852" w:rsidRPr="00AE296B">
        <w:rPr>
          <w:rFonts w:ascii="Simplified Arabic" w:hAnsi="Simplified Arabic" w:cs="Simplified Arabic" w:hint="cs"/>
          <w:sz w:val="28"/>
          <w:szCs w:val="28"/>
          <w:shd w:val="clear" w:color="auto" w:fill="FFFFFF" w:themeFill="background1"/>
          <w:rtl/>
          <w:lang w:bidi="ar-JO"/>
        </w:rPr>
        <w:t>وبالإشارة إلى</w:t>
      </w:r>
      <w:r w:rsidR="00120C92" w:rsidRPr="00AE296B">
        <w:rPr>
          <w:rFonts w:ascii="Simplified Arabic" w:hAnsi="Simplified Arabic" w:cs="Simplified Arabic" w:hint="cs"/>
          <w:sz w:val="28"/>
          <w:szCs w:val="28"/>
          <w:shd w:val="clear" w:color="auto" w:fill="FFFFFF" w:themeFill="background1"/>
          <w:rtl/>
          <w:lang w:bidi="ar-JO"/>
        </w:rPr>
        <w:t xml:space="preserve"> تعميمنا رقم (10/1/7037) تاريخ 18/5/2016 </w:t>
      </w:r>
      <w:r w:rsidR="00E2757B" w:rsidRPr="00AE296B">
        <w:rPr>
          <w:rFonts w:ascii="Simplified Arabic" w:hAnsi="Simplified Arabic" w:cs="Simplified Arabic" w:hint="cs"/>
          <w:sz w:val="28"/>
          <w:szCs w:val="28"/>
          <w:shd w:val="clear" w:color="auto" w:fill="FFFFFF" w:themeFill="background1"/>
          <w:rtl/>
          <w:lang w:bidi="ar-JO"/>
        </w:rPr>
        <w:t xml:space="preserve">حول متطلبات </w:t>
      </w:r>
      <w:r w:rsidR="00F15852" w:rsidRPr="00AE296B">
        <w:rPr>
          <w:rFonts w:ascii="Simplified Arabic" w:hAnsi="Simplified Arabic" w:cs="Simplified Arabic" w:hint="cs"/>
          <w:sz w:val="28"/>
          <w:szCs w:val="28"/>
          <w:shd w:val="clear" w:color="auto" w:fill="FFFFFF" w:themeFill="background1"/>
          <w:rtl/>
          <w:lang w:bidi="ar-JO"/>
        </w:rPr>
        <w:t>الإطار العام ل</w:t>
      </w:r>
      <w:r w:rsidR="00E2757B" w:rsidRPr="00AE296B">
        <w:rPr>
          <w:rFonts w:ascii="Simplified Arabic" w:hAnsi="Simplified Arabic" w:cs="Simplified Arabic" w:hint="cs"/>
          <w:sz w:val="28"/>
          <w:szCs w:val="28"/>
          <w:shd w:val="clear" w:color="auto" w:fill="FFFFFF" w:themeFill="background1"/>
          <w:rtl/>
          <w:lang w:bidi="ar-JO"/>
        </w:rPr>
        <w:t>تطبيق المعيار</w:t>
      </w:r>
      <w:r w:rsidR="00B573E2" w:rsidRPr="00AE296B">
        <w:rPr>
          <w:rFonts w:ascii="Simplified Arabic" w:hAnsi="Simplified Arabic" w:cs="Simplified Arabic" w:hint="cs"/>
          <w:sz w:val="28"/>
          <w:szCs w:val="28"/>
          <w:shd w:val="clear" w:color="auto" w:fill="FFFFFF" w:themeFill="background1"/>
          <w:rtl/>
          <w:lang w:bidi="ar-JO"/>
        </w:rPr>
        <w:t xml:space="preserve"> (9)</w:t>
      </w:r>
      <w:r w:rsidR="00E2757B" w:rsidRPr="00AE296B">
        <w:rPr>
          <w:rFonts w:ascii="Simplified Arabic" w:hAnsi="Simplified Arabic" w:cs="Simplified Arabic" w:hint="cs"/>
          <w:sz w:val="28"/>
          <w:szCs w:val="28"/>
          <w:shd w:val="clear" w:color="auto" w:fill="FFFFFF" w:themeFill="background1"/>
          <w:rtl/>
          <w:lang w:bidi="ar-JO"/>
        </w:rPr>
        <w:t xml:space="preserve">، </w:t>
      </w:r>
      <w:r w:rsidR="00120C92" w:rsidRPr="00AE296B">
        <w:rPr>
          <w:rFonts w:ascii="Simplified Arabic" w:hAnsi="Simplified Arabic" w:cs="Simplified Arabic" w:hint="cs"/>
          <w:sz w:val="28"/>
          <w:szCs w:val="28"/>
          <w:shd w:val="clear" w:color="auto" w:fill="FFFFFF" w:themeFill="background1"/>
          <w:rtl/>
          <w:lang w:bidi="ar-JO"/>
        </w:rPr>
        <w:t>و</w:t>
      </w:r>
      <w:r w:rsidR="00E2757B" w:rsidRPr="00AE296B">
        <w:rPr>
          <w:rFonts w:ascii="Simplified Arabic" w:hAnsi="Simplified Arabic" w:cs="Simplified Arabic" w:hint="cs"/>
          <w:sz w:val="28"/>
          <w:szCs w:val="28"/>
          <w:shd w:val="clear" w:color="auto" w:fill="FFFFFF" w:themeFill="background1"/>
          <w:rtl/>
          <w:lang w:bidi="ar-JO"/>
        </w:rPr>
        <w:t>تعميم</w:t>
      </w:r>
      <w:r w:rsidR="008F21F7" w:rsidRPr="00AE296B">
        <w:rPr>
          <w:rFonts w:ascii="Simplified Arabic" w:hAnsi="Simplified Arabic" w:cs="Simplified Arabic" w:hint="cs"/>
          <w:sz w:val="28"/>
          <w:szCs w:val="28"/>
          <w:shd w:val="clear" w:color="auto" w:fill="FFFFFF" w:themeFill="background1"/>
          <w:rtl/>
          <w:lang w:bidi="ar-JO"/>
        </w:rPr>
        <w:t>ي</w:t>
      </w:r>
      <w:r w:rsidR="00E2757B" w:rsidRPr="00AE296B">
        <w:rPr>
          <w:rFonts w:ascii="Simplified Arabic" w:hAnsi="Simplified Arabic" w:cs="Simplified Arabic" w:hint="cs"/>
          <w:sz w:val="28"/>
          <w:szCs w:val="28"/>
          <w:shd w:val="clear" w:color="auto" w:fill="FFFFFF" w:themeFill="background1"/>
          <w:rtl/>
          <w:lang w:bidi="ar-JO"/>
        </w:rPr>
        <w:t>نا</w:t>
      </w:r>
      <w:r w:rsidR="008F21F7" w:rsidRPr="00AE296B">
        <w:rPr>
          <w:rFonts w:ascii="Simplified Arabic" w:hAnsi="Simplified Arabic" w:cs="Simplified Arabic" w:hint="cs"/>
          <w:sz w:val="28"/>
          <w:szCs w:val="28"/>
          <w:shd w:val="clear" w:color="auto" w:fill="FFFFFF" w:themeFill="background1"/>
          <w:rtl/>
          <w:lang w:bidi="ar-JO"/>
        </w:rPr>
        <w:t xml:space="preserve"> </w:t>
      </w:r>
      <w:r w:rsidR="00120C92" w:rsidRPr="00AE296B">
        <w:rPr>
          <w:rFonts w:ascii="Simplified Arabic" w:hAnsi="Simplified Arabic" w:cs="Simplified Arabic" w:hint="cs"/>
          <w:sz w:val="28"/>
          <w:szCs w:val="28"/>
          <w:shd w:val="clear" w:color="auto" w:fill="FFFFFF" w:themeFill="background1"/>
          <w:rtl/>
          <w:lang w:bidi="ar-JO"/>
        </w:rPr>
        <w:t>رقم (10/1/15583) تاريخ 23/11/2017 ور</w:t>
      </w:r>
      <w:r w:rsidR="008F21F7" w:rsidRPr="00AE296B">
        <w:rPr>
          <w:rFonts w:ascii="Simplified Arabic" w:hAnsi="Simplified Arabic" w:cs="Simplified Arabic" w:hint="cs"/>
          <w:sz w:val="28"/>
          <w:szCs w:val="28"/>
          <w:shd w:val="clear" w:color="auto" w:fill="FFFFFF" w:themeFill="background1"/>
          <w:rtl/>
          <w:lang w:bidi="ar-JO"/>
        </w:rPr>
        <w:t>قم (10/1/1359) تاريخ 25/1/2018 و</w:t>
      </w:r>
      <w:r w:rsidR="00120C92" w:rsidRPr="00AE296B">
        <w:rPr>
          <w:rFonts w:ascii="Simplified Arabic" w:hAnsi="Simplified Arabic" w:cs="Simplified Arabic" w:hint="cs"/>
          <w:sz w:val="28"/>
          <w:szCs w:val="28"/>
          <w:shd w:val="clear" w:color="auto" w:fill="FFFFFF" w:themeFill="background1"/>
          <w:rtl/>
          <w:lang w:bidi="ar-JO"/>
        </w:rPr>
        <w:t>مرفق</w:t>
      </w:r>
      <w:r w:rsidR="008F21F7" w:rsidRPr="00AE296B">
        <w:rPr>
          <w:rFonts w:ascii="Simplified Arabic" w:hAnsi="Simplified Arabic" w:cs="Simplified Arabic" w:hint="cs"/>
          <w:sz w:val="28"/>
          <w:szCs w:val="28"/>
          <w:shd w:val="clear" w:color="auto" w:fill="FFFFFF" w:themeFill="background1"/>
          <w:rtl/>
          <w:lang w:bidi="ar-JO"/>
        </w:rPr>
        <w:t>هما</w:t>
      </w:r>
      <w:r w:rsidR="00120C92" w:rsidRPr="00AE296B">
        <w:rPr>
          <w:rFonts w:ascii="Simplified Arabic" w:hAnsi="Simplified Arabic" w:cs="Simplified Arabic" w:hint="cs"/>
          <w:sz w:val="28"/>
          <w:szCs w:val="28"/>
          <w:shd w:val="clear" w:color="auto" w:fill="FFFFFF" w:themeFill="background1"/>
          <w:rtl/>
          <w:lang w:bidi="ar-JO"/>
        </w:rPr>
        <w:t xml:space="preserve"> مشروع تعليمات تطبيق المعيار (9)ٍ</w:t>
      </w:r>
      <w:r w:rsidR="008F21F7" w:rsidRPr="00AE296B">
        <w:rPr>
          <w:rFonts w:ascii="Simplified Arabic" w:hAnsi="Simplified Arabic" w:cs="Simplified Arabic" w:hint="cs"/>
          <w:sz w:val="28"/>
          <w:szCs w:val="28"/>
          <w:shd w:val="clear" w:color="auto" w:fill="FFFFFF" w:themeFill="background1"/>
          <w:rtl/>
          <w:lang w:bidi="ar-JO"/>
        </w:rPr>
        <w:t xml:space="preserve"> واللذان تم الطلب من خلالهما تزويدنا </w:t>
      </w:r>
      <w:r w:rsidR="00B573E2" w:rsidRPr="00AE296B">
        <w:rPr>
          <w:rFonts w:ascii="Simplified Arabic" w:hAnsi="Simplified Arabic" w:cs="Simplified Arabic" w:hint="cs"/>
          <w:sz w:val="28"/>
          <w:szCs w:val="28"/>
          <w:shd w:val="clear" w:color="auto" w:fill="FFFFFF" w:themeFill="background1"/>
          <w:rtl/>
          <w:lang w:bidi="ar-JO"/>
        </w:rPr>
        <w:t>بملاحظاتكم</w:t>
      </w:r>
      <w:r w:rsidR="008F21F7" w:rsidRPr="00AE296B">
        <w:rPr>
          <w:rFonts w:ascii="Simplified Arabic" w:hAnsi="Simplified Arabic" w:cs="Simplified Arabic" w:hint="cs"/>
          <w:sz w:val="28"/>
          <w:szCs w:val="28"/>
          <w:shd w:val="clear" w:color="auto" w:fill="FFFFFF" w:themeFill="background1"/>
          <w:rtl/>
          <w:lang w:bidi="ar-JO"/>
        </w:rPr>
        <w:t xml:space="preserve"> بالخصوص</w:t>
      </w:r>
      <w:r w:rsidR="00E64582" w:rsidRPr="00AE296B">
        <w:rPr>
          <w:rFonts w:ascii="Simplified Arabic" w:hAnsi="Simplified Arabic" w:cs="Simplified Arabic" w:hint="cs"/>
          <w:sz w:val="28"/>
          <w:szCs w:val="28"/>
          <w:shd w:val="clear" w:color="auto" w:fill="FFFFFF" w:themeFill="background1"/>
          <w:rtl/>
          <w:lang w:bidi="ar-JO"/>
        </w:rPr>
        <w:t xml:space="preserve"> ولاحقاً</w:t>
      </w:r>
      <w:r w:rsidR="005941A0" w:rsidRPr="00AE296B">
        <w:rPr>
          <w:rFonts w:ascii="Simplified Arabic" w:hAnsi="Simplified Arabic" w:cs="Simplified Arabic" w:hint="cs"/>
          <w:sz w:val="28"/>
          <w:szCs w:val="28"/>
          <w:shd w:val="clear" w:color="auto" w:fill="FFFFFF" w:themeFill="background1"/>
          <w:rtl/>
          <w:lang w:bidi="ar-JO"/>
        </w:rPr>
        <w:t xml:space="preserve"> </w:t>
      </w:r>
      <w:r w:rsidR="00E64582" w:rsidRPr="00AE296B">
        <w:rPr>
          <w:rFonts w:ascii="Simplified Arabic" w:hAnsi="Simplified Arabic" w:cs="Simplified Arabic" w:hint="cs"/>
          <w:sz w:val="28"/>
          <w:szCs w:val="28"/>
          <w:shd w:val="clear" w:color="auto" w:fill="FFFFFF" w:themeFill="background1"/>
          <w:rtl/>
          <w:lang w:bidi="ar-JO"/>
        </w:rPr>
        <w:t>لل</w:t>
      </w:r>
      <w:r w:rsidR="005941A0" w:rsidRPr="00AE296B">
        <w:rPr>
          <w:rFonts w:ascii="Simplified Arabic" w:hAnsi="Simplified Arabic" w:cs="Simplified Arabic" w:hint="cs"/>
          <w:sz w:val="28"/>
          <w:szCs w:val="28"/>
          <w:shd w:val="clear" w:color="auto" w:fill="FFFFFF" w:themeFill="background1"/>
          <w:rtl/>
          <w:lang w:bidi="ar-JO"/>
        </w:rPr>
        <w:t xml:space="preserve">إجتماع </w:t>
      </w:r>
      <w:r w:rsidR="00B573E2" w:rsidRPr="00AE296B">
        <w:rPr>
          <w:rFonts w:ascii="Simplified Arabic" w:hAnsi="Simplified Arabic" w:cs="Simplified Arabic" w:hint="cs"/>
          <w:sz w:val="28"/>
          <w:szCs w:val="28"/>
          <w:shd w:val="clear" w:color="auto" w:fill="FFFFFF" w:themeFill="background1"/>
          <w:rtl/>
          <w:lang w:bidi="ar-JO"/>
        </w:rPr>
        <w:t>المنعقد</w:t>
      </w:r>
      <w:r w:rsidR="00E64582" w:rsidRPr="00AE296B">
        <w:rPr>
          <w:rFonts w:ascii="Simplified Arabic" w:hAnsi="Simplified Arabic" w:cs="Simplified Arabic" w:hint="cs"/>
          <w:sz w:val="28"/>
          <w:szCs w:val="28"/>
          <w:shd w:val="clear" w:color="auto" w:fill="FFFFFF" w:themeFill="background1"/>
          <w:rtl/>
          <w:lang w:bidi="ar-JO"/>
        </w:rPr>
        <w:t xml:space="preserve"> بتاريخ 14/12/2017 بحضور رؤساء </w:t>
      </w:r>
      <w:r w:rsidR="005941A0" w:rsidRPr="00AE296B">
        <w:rPr>
          <w:rFonts w:ascii="Simplified Arabic" w:hAnsi="Simplified Arabic" w:cs="Simplified Arabic" w:hint="cs"/>
          <w:sz w:val="28"/>
          <w:szCs w:val="28"/>
          <w:shd w:val="clear" w:color="auto" w:fill="FFFFFF" w:themeFill="background1"/>
          <w:rtl/>
          <w:lang w:bidi="ar-JO"/>
        </w:rPr>
        <w:t xml:space="preserve">مجالس </w:t>
      </w:r>
      <w:r w:rsidR="00E64582" w:rsidRPr="00AE296B">
        <w:rPr>
          <w:rFonts w:ascii="Simplified Arabic" w:hAnsi="Simplified Arabic" w:cs="Simplified Arabic" w:hint="cs"/>
          <w:sz w:val="28"/>
          <w:szCs w:val="28"/>
          <w:shd w:val="clear" w:color="auto" w:fill="FFFFFF" w:themeFill="background1"/>
          <w:rtl/>
          <w:lang w:bidi="ar-JO"/>
        </w:rPr>
        <w:t>ال</w:t>
      </w:r>
      <w:r w:rsidR="005941A0" w:rsidRPr="00AE296B">
        <w:rPr>
          <w:rFonts w:ascii="Simplified Arabic" w:hAnsi="Simplified Arabic" w:cs="Simplified Arabic" w:hint="cs"/>
          <w:sz w:val="28"/>
          <w:szCs w:val="28"/>
          <w:shd w:val="clear" w:color="auto" w:fill="FFFFFF" w:themeFill="background1"/>
          <w:rtl/>
          <w:lang w:bidi="ar-JO"/>
        </w:rPr>
        <w:t xml:space="preserve">إدارات </w:t>
      </w:r>
      <w:r w:rsidR="00E64582" w:rsidRPr="00AE296B">
        <w:rPr>
          <w:rFonts w:ascii="Simplified Arabic" w:hAnsi="Simplified Arabic" w:cs="Simplified Arabic" w:hint="cs"/>
          <w:sz w:val="28"/>
          <w:szCs w:val="28"/>
          <w:shd w:val="clear" w:color="auto" w:fill="FFFFFF" w:themeFill="background1"/>
          <w:rtl/>
          <w:lang w:bidi="ar-JO"/>
        </w:rPr>
        <w:t>والمدراء العامين للبنوك والاجتماع المنعقد بتاريخ 24/12/2017 بحضور مدراء المخاطر والمدراء الماليين في البنوك</w:t>
      </w:r>
      <w:r w:rsidR="00B573E2" w:rsidRPr="00AE296B">
        <w:rPr>
          <w:rFonts w:ascii="Simplified Arabic" w:hAnsi="Simplified Arabic" w:cs="Simplified Arabic" w:hint="cs"/>
          <w:sz w:val="28"/>
          <w:szCs w:val="28"/>
          <w:shd w:val="clear" w:color="auto" w:fill="FFFFFF" w:themeFill="background1"/>
          <w:rtl/>
          <w:lang w:bidi="ar-JO"/>
        </w:rPr>
        <w:t xml:space="preserve"> </w:t>
      </w:r>
      <w:r w:rsidR="002D457B">
        <w:rPr>
          <w:rFonts w:ascii="Simplified Arabic" w:hAnsi="Simplified Arabic" w:cs="Simplified Arabic" w:hint="cs"/>
          <w:sz w:val="28"/>
          <w:szCs w:val="28"/>
          <w:shd w:val="clear" w:color="auto" w:fill="FFFFFF" w:themeFill="background1"/>
          <w:rtl/>
          <w:lang w:bidi="ar-JO"/>
        </w:rPr>
        <w:t>للتباحث في موضوع تطبيق المعيار (9) ومتطلباته</w:t>
      </w:r>
      <w:r w:rsidR="005941A0" w:rsidRPr="00AE296B">
        <w:rPr>
          <w:rFonts w:ascii="Simplified Arabic" w:hAnsi="Simplified Arabic" w:cs="Simplified Arabic" w:hint="cs"/>
          <w:sz w:val="28"/>
          <w:szCs w:val="28"/>
          <w:shd w:val="clear" w:color="auto" w:fill="FFFFFF" w:themeFill="background1"/>
          <w:rtl/>
          <w:lang w:bidi="ar-JO"/>
        </w:rPr>
        <w:t>،</w:t>
      </w:r>
      <w:r w:rsidR="00120C92">
        <w:rPr>
          <w:rFonts w:ascii="Simplified Arabic" w:hAnsi="Simplified Arabic" w:cs="Simplified Arabic" w:hint="cs"/>
          <w:sz w:val="28"/>
          <w:szCs w:val="28"/>
          <w:rtl/>
          <w:lang w:bidi="ar-JO"/>
        </w:rPr>
        <w:t xml:space="preserve"> </w:t>
      </w:r>
      <w:r w:rsidR="002E7F85">
        <w:rPr>
          <w:rFonts w:ascii="Simplified Arabic" w:hAnsi="Simplified Arabic" w:cs="Simplified Arabic" w:hint="cs"/>
          <w:sz w:val="28"/>
          <w:szCs w:val="28"/>
          <w:rtl/>
          <w:lang w:bidi="ar-JO"/>
        </w:rPr>
        <w:t xml:space="preserve">نرفق لكم طياً </w:t>
      </w:r>
      <w:r w:rsidR="000C1C0A">
        <w:rPr>
          <w:rFonts w:ascii="Simplified Arabic" w:hAnsi="Simplified Arabic" w:cs="Simplified Arabic" w:hint="cs"/>
          <w:sz w:val="28"/>
          <w:szCs w:val="28"/>
          <w:rtl/>
          <w:lang w:bidi="ar-JO"/>
        </w:rPr>
        <w:t>قرص مدمج (</w:t>
      </w:r>
      <w:r w:rsidR="000C1C0A">
        <w:rPr>
          <w:rFonts w:ascii="Simplified Arabic" w:hAnsi="Simplified Arabic" w:cs="Simplified Arabic"/>
          <w:sz w:val="28"/>
          <w:szCs w:val="28"/>
          <w:lang w:bidi="ar-JO"/>
        </w:rPr>
        <w:t>CD</w:t>
      </w:r>
      <w:r w:rsidR="0064163F">
        <w:rPr>
          <w:rFonts w:ascii="Simplified Arabic" w:hAnsi="Simplified Arabic" w:cs="Simplified Arabic" w:hint="cs"/>
          <w:sz w:val="28"/>
          <w:szCs w:val="28"/>
          <w:rtl/>
          <w:lang w:bidi="ar-JO"/>
        </w:rPr>
        <w:t>) يتض</w:t>
      </w:r>
      <w:r w:rsidR="000C1C0A">
        <w:rPr>
          <w:rFonts w:ascii="Simplified Arabic" w:hAnsi="Simplified Arabic" w:cs="Simplified Arabic" w:hint="cs"/>
          <w:sz w:val="28"/>
          <w:szCs w:val="28"/>
          <w:rtl/>
          <w:lang w:bidi="ar-JO"/>
        </w:rPr>
        <w:t xml:space="preserve">من </w:t>
      </w:r>
      <w:r w:rsidR="002E7F85">
        <w:rPr>
          <w:rFonts w:ascii="Simplified Arabic" w:hAnsi="Simplified Arabic" w:cs="Simplified Arabic" w:hint="cs"/>
          <w:sz w:val="28"/>
          <w:szCs w:val="28"/>
          <w:rtl/>
          <w:lang w:bidi="ar-JO"/>
        </w:rPr>
        <w:t xml:space="preserve">تعليمات تطبيق المعيار (9)، مشيرين إلى الآتي:- </w:t>
      </w:r>
    </w:p>
    <w:p w:rsidR="00AF30E5" w:rsidRDefault="00AF30E5" w:rsidP="005A29C5">
      <w:pPr>
        <w:shd w:val="clear" w:color="auto" w:fill="FFFFFF" w:themeFill="background1"/>
        <w:spacing w:before="240" w:line="400" w:lineRule="exact"/>
        <w:ind w:left="615" w:hanging="567"/>
        <w:jc w:val="lowKashida"/>
        <w:rPr>
          <w:rFonts w:ascii="Simplified Arabic" w:hAnsi="Simplified Arabic" w:cs="Simplified Arabic" w:hint="cs"/>
          <w:sz w:val="28"/>
          <w:szCs w:val="28"/>
          <w:rtl/>
          <w:lang w:bidi="ar-JO"/>
        </w:rPr>
      </w:pPr>
      <w:r w:rsidRPr="00AF30E5">
        <w:rPr>
          <w:rFonts w:ascii="Simplified Arabic" w:hAnsi="Simplified Arabic" w:cs="Simplified Arabic" w:hint="cs"/>
          <w:b/>
          <w:bCs/>
          <w:sz w:val="28"/>
          <w:szCs w:val="28"/>
          <w:rtl/>
          <w:lang w:bidi="ar-JO"/>
        </w:rPr>
        <w:t xml:space="preserve">أولاً:  </w:t>
      </w:r>
      <w:r w:rsidR="00B128AE">
        <w:rPr>
          <w:rFonts w:ascii="Simplified Arabic" w:hAnsi="Simplified Arabic" w:cs="Simplified Arabic" w:hint="cs"/>
          <w:sz w:val="28"/>
          <w:szCs w:val="28"/>
          <w:rtl/>
          <w:lang w:bidi="ar-JO"/>
        </w:rPr>
        <w:t>إ</w:t>
      </w:r>
      <w:r>
        <w:rPr>
          <w:rFonts w:ascii="Simplified Arabic" w:hAnsi="Simplified Arabic" w:cs="Simplified Arabic" w:hint="cs"/>
          <w:sz w:val="28"/>
          <w:szCs w:val="28"/>
          <w:rtl/>
          <w:lang w:bidi="ar-JO"/>
        </w:rPr>
        <w:t xml:space="preserve">ن تطبيقات المعيار الدولي للتقارير المالية (9) تمثل في مضمونها </w:t>
      </w:r>
      <w:r w:rsidR="001542CF">
        <w:rPr>
          <w:rFonts w:ascii="Simplified Arabic" w:hAnsi="Simplified Arabic" w:cs="Simplified Arabic" w:hint="cs"/>
          <w:sz w:val="28"/>
          <w:szCs w:val="28"/>
          <w:rtl/>
          <w:lang w:bidi="ar-JO"/>
        </w:rPr>
        <w:t xml:space="preserve">(علاوة على الإطار المحاسبي) </w:t>
      </w:r>
      <w:r>
        <w:rPr>
          <w:rFonts w:ascii="Simplified Arabic" w:hAnsi="Simplified Arabic" w:cs="Simplified Arabic" w:hint="cs"/>
          <w:sz w:val="28"/>
          <w:szCs w:val="28"/>
          <w:rtl/>
          <w:lang w:bidi="ar-JO"/>
        </w:rPr>
        <w:t xml:space="preserve">منهجية لإدارة المخاطر </w:t>
      </w:r>
      <w:r w:rsidR="00234510">
        <w:rPr>
          <w:rFonts w:ascii="Simplified Arabic" w:hAnsi="Simplified Arabic" w:cs="Simplified Arabic" w:hint="cs"/>
          <w:sz w:val="28"/>
          <w:szCs w:val="28"/>
          <w:rtl/>
          <w:lang w:bidi="ar-JO"/>
        </w:rPr>
        <w:t>وتحديد</w:t>
      </w:r>
      <w:r w:rsidR="001542CF">
        <w:rPr>
          <w:rFonts w:ascii="Simplified Arabic" w:hAnsi="Simplified Arabic" w:cs="Simplified Arabic" w:hint="cs"/>
          <w:sz w:val="28"/>
          <w:szCs w:val="28"/>
          <w:rtl/>
          <w:lang w:bidi="ar-JO"/>
        </w:rPr>
        <w:t>اً</w:t>
      </w:r>
      <w:r w:rsidR="00234510">
        <w:rPr>
          <w:rFonts w:ascii="Simplified Arabic" w:hAnsi="Simplified Arabic" w:cs="Simplified Arabic" w:hint="cs"/>
          <w:sz w:val="28"/>
          <w:szCs w:val="28"/>
          <w:rtl/>
          <w:lang w:bidi="ar-JO"/>
        </w:rPr>
        <w:t xml:space="preserve"> </w:t>
      </w:r>
      <w:r w:rsidR="00F9560A">
        <w:rPr>
          <w:rFonts w:ascii="Simplified Arabic" w:hAnsi="Simplified Arabic" w:cs="Simplified Arabic" w:hint="cs"/>
          <w:sz w:val="28"/>
          <w:szCs w:val="28"/>
          <w:rtl/>
          <w:lang w:bidi="ar-JO"/>
        </w:rPr>
        <w:t>إدارة</w:t>
      </w:r>
      <w:r w:rsidR="00234510">
        <w:rPr>
          <w:rFonts w:ascii="Simplified Arabic" w:hAnsi="Simplified Arabic" w:cs="Simplified Arabic" w:hint="cs"/>
          <w:sz w:val="28"/>
          <w:szCs w:val="28"/>
          <w:rtl/>
          <w:lang w:bidi="ar-JO"/>
        </w:rPr>
        <w:t xml:space="preserve"> مخاطر الائتمان بهدف المحافظة على سلامة ومتانة الوضع المالي للبنك،</w:t>
      </w:r>
      <w:bookmarkStart w:id="0" w:name="_GoBack"/>
      <w:bookmarkEnd w:id="0"/>
      <w:r w:rsidR="00234510">
        <w:rPr>
          <w:rFonts w:ascii="Simplified Arabic" w:hAnsi="Simplified Arabic" w:cs="Simplified Arabic" w:hint="cs"/>
          <w:sz w:val="28"/>
          <w:szCs w:val="28"/>
          <w:rtl/>
          <w:lang w:bidi="ar-JO"/>
        </w:rPr>
        <w:t xml:space="preserve"> الأمر الذي يتطلب من مجلس إدارة البنك واللجان ذات العلاقة المنبثقة عنه التحقق من وجود وتطبيق سياسات ملائمة لإدارة مخاطر الائتمان وما يتطلبه ذلك من وجود وتطبيق أنظمة رقابة داخلية فعّـالة وأنظمة تصنيف ائتماني داخلية وأنظمة آلية لاحتساب الخسائر الائتمانية المتوقعة </w:t>
      </w:r>
      <w:r w:rsidR="002355C1">
        <w:rPr>
          <w:rFonts w:ascii="Simplified Arabic" w:hAnsi="Simplified Arabic" w:cs="Simplified Arabic" w:hint="cs"/>
          <w:sz w:val="28"/>
          <w:szCs w:val="28"/>
          <w:rtl/>
          <w:lang w:bidi="ar-JO"/>
        </w:rPr>
        <w:t>وإجراءات الفحص والتحقق المناسبة بحيث تكون هذه المنظومة قادرة على الوصول إلى النتائج التي تضمن التحوُّط</w:t>
      </w:r>
      <w:r w:rsidR="001542CF">
        <w:rPr>
          <w:rFonts w:ascii="Simplified Arabic" w:hAnsi="Simplified Arabic" w:cs="Simplified Arabic" w:hint="cs"/>
          <w:sz w:val="28"/>
          <w:szCs w:val="28"/>
          <w:rtl/>
          <w:lang w:bidi="ar-JO"/>
        </w:rPr>
        <w:t xml:space="preserve"> الكافي</w:t>
      </w:r>
      <w:r w:rsidR="00F9560A">
        <w:rPr>
          <w:rFonts w:ascii="Simplified Arabic" w:hAnsi="Simplified Arabic" w:cs="Simplified Arabic" w:hint="cs"/>
          <w:sz w:val="28"/>
          <w:szCs w:val="28"/>
          <w:rtl/>
          <w:lang w:bidi="ar-JO"/>
        </w:rPr>
        <w:t xml:space="preserve"> مقابل مخاطر الائتمان المتوقعة،</w:t>
      </w:r>
      <w:r w:rsidR="002355C1">
        <w:rPr>
          <w:rFonts w:ascii="Simplified Arabic" w:hAnsi="Simplified Arabic" w:cs="Simplified Arabic" w:hint="cs"/>
          <w:sz w:val="28"/>
          <w:szCs w:val="28"/>
          <w:rtl/>
          <w:lang w:bidi="ar-JO"/>
        </w:rPr>
        <w:t xml:space="preserve"> وعليه فإن على مجلس الإدارة</w:t>
      </w:r>
      <w:r w:rsidR="001542CF">
        <w:rPr>
          <w:rFonts w:ascii="Simplified Arabic" w:hAnsi="Simplified Arabic" w:cs="Simplified Arabic" w:hint="cs"/>
          <w:sz w:val="28"/>
          <w:szCs w:val="28"/>
          <w:rtl/>
          <w:lang w:bidi="ar-JO"/>
        </w:rPr>
        <w:t xml:space="preserve"> توفير </w:t>
      </w:r>
      <w:r w:rsidR="002355C1">
        <w:rPr>
          <w:rFonts w:ascii="Simplified Arabic" w:hAnsi="Simplified Arabic" w:cs="Simplified Arabic" w:hint="cs"/>
          <w:sz w:val="28"/>
          <w:szCs w:val="28"/>
          <w:rtl/>
          <w:lang w:bidi="ar-JO"/>
        </w:rPr>
        <w:t xml:space="preserve">هيكل الحاكمية المناسب لضمان التطبيق السليم لمتطلبات المعيار (9). </w:t>
      </w:r>
    </w:p>
    <w:p w:rsidR="008107CD" w:rsidRPr="00AE296B" w:rsidRDefault="008107CD" w:rsidP="002D457B">
      <w:pPr>
        <w:spacing w:line="400" w:lineRule="exact"/>
        <w:ind w:left="615" w:hanging="567"/>
        <w:jc w:val="lowKashida"/>
        <w:rPr>
          <w:rFonts w:ascii="Simplified Arabic" w:hAnsi="Simplified Arabic" w:cs="Simplified Arabic"/>
          <w:sz w:val="16"/>
          <w:szCs w:val="16"/>
          <w:rtl/>
          <w:lang w:bidi="ar-JO"/>
        </w:rPr>
      </w:pPr>
    </w:p>
    <w:p w:rsidR="00AF30E5" w:rsidRDefault="00AF30E5" w:rsidP="002D457B">
      <w:pPr>
        <w:spacing w:line="400" w:lineRule="exact"/>
        <w:ind w:left="615" w:hanging="567"/>
        <w:jc w:val="lowKashida"/>
        <w:rPr>
          <w:rFonts w:ascii="Simplified Arabic" w:hAnsi="Simplified Arabic" w:cs="Simplified Arabic"/>
          <w:sz w:val="28"/>
          <w:szCs w:val="28"/>
          <w:rtl/>
          <w:lang w:bidi="ar-JO"/>
        </w:rPr>
      </w:pPr>
      <w:r w:rsidRPr="00AF30E5">
        <w:rPr>
          <w:rFonts w:ascii="Simplified Arabic" w:hAnsi="Simplified Arabic" w:cs="Simplified Arabic" w:hint="cs"/>
          <w:b/>
          <w:bCs/>
          <w:sz w:val="28"/>
          <w:szCs w:val="28"/>
          <w:rtl/>
          <w:lang w:bidi="ar-JO"/>
        </w:rPr>
        <w:t>ثانياً:</w:t>
      </w:r>
      <w:r>
        <w:rPr>
          <w:rFonts w:ascii="Simplified Arabic" w:hAnsi="Simplified Arabic" w:cs="Simplified Arabic" w:hint="cs"/>
          <w:sz w:val="28"/>
          <w:szCs w:val="28"/>
          <w:rtl/>
          <w:lang w:bidi="ar-JO"/>
        </w:rPr>
        <w:t xml:space="preserve"> </w:t>
      </w:r>
    </w:p>
    <w:p w:rsidR="001E69D9" w:rsidRDefault="002E7F85" w:rsidP="002D457B">
      <w:pPr>
        <w:pStyle w:val="ListParagraph"/>
        <w:numPr>
          <w:ilvl w:val="0"/>
          <w:numId w:val="12"/>
        </w:numPr>
        <w:spacing w:line="400" w:lineRule="exact"/>
        <w:ind w:left="615"/>
        <w:jc w:val="lowKashida"/>
        <w:rPr>
          <w:rFonts w:ascii="Simplified Arabic" w:hAnsi="Simplified Arabic" w:cs="Simplified Arabic"/>
          <w:sz w:val="28"/>
          <w:szCs w:val="28"/>
          <w:lang w:bidi="ar-JO"/>
        </w:rPr>
      </w:pPr>
      <w:r>
        <w:rPr>
          <w:rFonts w:ascii="Simplified Arabic" w:hAnsi="Simplified Arabic" w:cs="Simplified Arabic" w:hint="cs"/>
          <w:sz w:val="28"/>
          <w:szCs w:val="28"/>
          <w:rtl/>
        </w:rPr>
        <w:t>قيد الأثر المادي الناتج عن تطبيق المعيار (9) لأول مرة على الرصيد الافتتاحي لحساب حقوق الملكية/بند الأرباح المدورة</w:t>
      </w:r>
      <w:r w:rsidR="001542CF">
        <w:rPr>
          <w:rFonts w:ascii="Simplified Arabic" w:hAnsi="Simplified Arabic" w:cs="Simplified Arabic" w:hint="cs"/>
          <w:sz w:val="28"/>
          <w:szCs w:val="28"/>
          <w:rtl/>
        </w:rPr>
        <w:t xml:space="preserve"> كما في </w:t>
      </w:r>
      <w:r w:rsidR="00F9560A">
        <w:rPr>
          <w:rFonts w:ascii="Simplified Arabic" w:hAnsi="Simplified Arabic" w:cs="Simplified Arabic" w:hint="cs"/>
          <w:sz w:val="28"/>
          <w:szCs w:val="28"/>
          <w:rtl/>
        </w:rPr>
        <w:t>1/1/2018</w:t>
      </w:r>
      <w:r w:rsidR="001E69D9" w:rsidRPr="002E7F85">
        <w:rPr>
          <w:rFonts w:ascii="Simplified Arabic" w:hAnsi="Simplified Arabic" w:cs="Simplified Arabic"/>
          <w:sz w:val="28"/>
          <w:szCs w:val="28"/>
          <w:rtl/>
        </w:rPr>
        <w:t>.</w:t>
      </w:r>
    </w:p>
    <w:p w:rsidR="002E7F85" w:rsidRDefault="002E7F85" w:rsidP="002D457B">
      <w:pPr>
        <w:pStyle w:val="ListParagraph"/>
        <w:numPr>
          <w:ilvl w:val="0"/>
          <w:numId w:val="12"/>
        </w:numPr>
        <w:spacing w:line="400" w:lineRule="exact"/>
        <w:ind w:left="615"/>
        <w:jc w:val="lowKashida"/>
        <w:rPr>
          <w:rFonts w:ascii="Simplified Arabic" w:hAnsi="Simplified Arabic" w:cs="Simplified Arabic"/>
          <w:sz w:val="28"/>
          <w:szCs w:val="28"/>
          <w:lang w:bidi="ar-JO"/>
        </w:rPr>
      </w:pPr>
      <w:r>
        <w:rPr>
          <w:rFonts w:ascii="Simplified Arabic" w:hAnsi="Simplified Arabic" w:cs="Simplified Arabic" w:hint="cs"/>
          <w:sz w:val="28"/>
          <w:szCs w:val="28"/>
          <w:rtl/>
        </w:rPr>
        <w:t xml:space="preserve">نقل الرصيد المتراكم لبند احتياطي المخاطر المصرفية العامة كما في 31/12/2017 إلى بند الأرباح المدورة وكما يلي:- </w:t>
      </w:r>
    </w:p>
    <w:p w:rsidR="00905D90" w:rsidRDefault="00905D90" w:rsidP="00761A31">
      <w:pPr>
        <w:pStyle w:val="ListParagraph"/>
        <w:numPr>
          <w:ilvl w:val="0"/>
          <w:numId w:val="13"/>
        </w:numPr>
        <w:spacing w:line="560" w:lineRule="exact"/>
        <w:jc w:val="lowKashida"/>
        <w:rPr>
          <w:rFonts w:ascii="Simplified Arabic" w:hAnsi="Simplified Arabic" w:cs="Simplified Arabic"/>
          <w:sz w:val="28"/>
          <w:szCs w:val="28"/>
          <w:lang w:bidi="ar-JO"/>
        </w:rPr>
      </w:pPr>
      <w:r>
        <w:rPr>
          <w:rFonts w:ascii="Simplified Arabic" w:hAnsi="Simplified Arabic" w:cs="Simplified Arabic" w:hint="cs"/>
          <w:sz w:val="28"/>
          <w:szCs w:val="28"/>
          <w:rtl/>
          <w:lang w:bidi="ar-JO"/>
        </w:rPr>
        <w:lastRenderedPageBreak/>
        <w:t>الإبقاء على</w:t>
      </w:r>
      <w:r w:rsidR="00E62DAA">
        <w:rPr>
          <w:rFonts w:ascii="Simplified Arabic" w:hAnsi="Simplified Arabic" w:cs="Simplified Arabic" w:hint="cs"/>
          <w:sz w:val="28"/>
          <w:szCs w:val="28"/>
          <w:rtl/>
          <w:lang w:bidi="ar-JO"/>
        </w:rPr>
        <w:t xml:space="preserve"> فائض</w:t>
      </w:r>
      <w:r>
        <w:rPr>
          <w:rFonts w:ascii="Simplified Arabic" w:hAnsi="Simplified Arabic" w:cs="Simplified Arabic" w:hint="cs"/>
          <w:sz w:val="28"/>
          <w:szCs w:val="28"/>
          <w:rtl/>
          <w:lang w:bidi="ar-JO"/>
        </w:rPr>
        <w:t xml:space="preserve"> رصيد بند احتياطي المخاطر المصرفية العامة </w:t>
      </w:r>
      <w:r w:rsidR="00E62DAA">
        <w:rPr>
          <w:rFonts w:ascii="Simplified Arabic" w:hAnsi="Simplified Arabic" w:cs="Simplified Arabic" w:hint="cs"/>
          <w:sz w:val="28"/>
          <w:szCs w:val="28"/>
          <w:rtl/>
          <w:lang w:bidi="ar-JO"/>
        </w:rPr>
        <w:t xml:space="preserve">(إن وجد) </w:t>
      </w:r>
      <w:r w:rsidR="000343E1">
        <w:rPr>
          <w:rFonts w:ascii="Simplified Arabic" w:hAnsi="Simplified Arabic" w:cs="Simplified Arabic" w:hint="cs"/>
          <w:sz w:val="28"/>
          <w:szCs w:val="28"/>
          <w:rtl/>
          <w:lang w:bidi="ar-JO"/>
        </w:rPr>
        <w:t>مقيد التصرف به ولا ي</w:t>
      </w:r>
      <w:r w:rsidR="004742FE">
        <w:rPr>
          <w:rFonts w:ascii="Simplified Arabic" w:hAnsi="Simplified Arabic" w:cs="Simplified Arabic" w:hint="cs"/>
          <w:sz w:val="28"/>
          <w:szCs w:val="28"/>
          <w:rtl/>
          <w:lang w:bidi="ar-JO"/>
        </w:rPr>
        <w:t>جوز توزيعه كأرباح على المساهمين</w:t>
      </w:r>
      <w:r w:rsidR="000343E1">
        <w:rPr>
          <w:rFonts w:ascii="Simplified Arabic" w:hAnsi="Simplified Arabic" w:cs="Simplified Arabic" w:hint="cs"/>
          <w:sz w:val="28"/>
          <w:szCs w:val="28"/>
          <w:rtl/>
          <w:lang w:bidi="ar-JO"/>
        </w:rPr>
        <w:t xml:space="preserve">، ولا يجوز استخدامه لأي أغراض أخرى إلا بموافقة مسبقة من البنك المركزي. </w:t>
      </w:r>
    </w:p>
    <w:p w:rsidR="000343E1" w:rsidRPr="000343E1" w:rsidRDefault="000343E1" w:rsidP="00761A31">
      <w:pPr>
        <w:pStyle w:val="ListParagraph"/>
        <w:numPr>
          <w:ilvl w:val="0"/>
          <w:numId w:val="13"/>
        </w:numPr>
        <w:spacing w:line="560" w:lineRule="exact"/>
        <w:jc w:val="lowKashida"/>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لغرض احتساب رأس المال التنظيمي </w:t>
      </w:r>
      <w:r w:rsidR="00C64A0E">
        <w:rPr>
          <w:rFonts w:ascii="Simplified Arabic" w:hAnsi="Simplified Arabic" w:cs="Simplified Arabic" w:hint="cs"/>
          <w:sz w:val="28"/>
          <w:szCs w:val="28"/>
          <w:rtl/>
          <w:lang w:bidi="ar-JO"/>
        </w:rPr>
        <w:t>(الشريحة الثانية/</w:t>
      </w:r>
      <w:r w:rsidR="00C64A0E">
        <w:rPr>
          <w:rFonts w:ascii="Simplified Arabic" w:hAnsi="Simplified Arabic" w:cs="Simplified Arabic"/>
          <w:sz w:val="28"/>
          <w:szCs w:val="28"/>
          <w:lang w:bidi="ar-JO"/>
        </w:rPr>
        <w:t>Tier 2 Capital</w:t>
      </w:r>
      <w:r w:rsidR="00C64A0E">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يؤخذ بالاعتبار ما يعادل رصيد المخصصات المطلوبة مقابل أدوات الدين</w:t>
      </w:r>
      <w:r w:rsidR="00D859B2">
        <w:rPr>
          <w:rFonts w:ascii="Simplified Arabic" w:hAnsi="Simplified Arabic" w:cs="Simplified Arabic" w:hint="cs"/>
          <w:sz w:val="28"/>
          <w:szCs w:val="28"/>
          <w:rtl/>
          <w:lang w:bidi="ar-JO"/>
        </w:rPr>
        <w:t>/التعرضات الائتمانية</w:t>
      </w:r>
      <w:r>
        <w:rPr>
          <w:rFonts w:ascii="Simplified Arabic" w:hAnsi="Simplified Arabic" w:cs="Simplified Arabic" w:hint="cs"/>
          <w:sz w:val="28"/>
          <w:szCs w:val="28"/>
          <w:rtl/>
          <w:lang w:bidi="ar-JO"/>
        </w:rPr>
        <w:t xml:space="preserve"> المدرجة في المرحلة الأولى </w:t>
      </w:r>
      <w:r>
        <w:rPr>
          <w:rFonts w:ascii="Simplified Arabic" w:hAnsi="Simplified Arabic" w:cs="Simplified Arabic"/>
          <w:sz w:val="28"/>
          <w:szCs w:val="28"/>
          <w:lang w:bidi="ar-JO"/>
        </w:rPr>
        <w:t>(Stage 1)</w:t>
      </w:r>
      <w:r>
        <w:rPr>
          <w:rFonts w:ascii="Simplified Arabic" w:hAnsi="Simplified Arabic" w:cs="Simplified Arabic" w:hint="cs"/>
          <w:sz w:val="28"/>
          <w:szCs w:val="28"/>
          <w:rtl/>
          <w:lang w:bidi="ar-JO"/>
        </w:rPr>
        <w:t xml:space="preserve"> </w:t>
      </w:r>
      <w:r w:rsidR="00F20216">
        <w:rPr>
          <w:rFonts w:ascii="Simplified Arabic" w:hAnsi="Simplified Arabic" w:cs="Simplified Arabic" w:hint="cs"/>
          <w:sz w:val="28"/>
          <w:szCs w:val="28"/>
          <w:rtl/>
          <w:lang w:bidi="ar-JO"/>
        </w:rPr>
        <w:t>وبما لا يزيد عن (1.25%) من مجموع الموجودات المرجحة لمخاطر الائتمان محتسبة وفق الطريقة المعيارية</w:t>
      </w:r>
      <w:r w:rsidR="006B24D7">
        <w:rPr>
          <w:rFonts w:ascii="Simplified Arabic" w:hAnsi="Simplified Arabic" w:cs="Simplified Arabic" w:hint="cs"/>
          <w:sz w:val="28"/>
          <w:szCs w:val="28"/>
          <w:rtl/>
          <w:lang w:bidi="ar-JO"/>
        </w:rPr>
        <w:t>، على أن لا يتم طرح قيمة تلك المخصصات من مبلغ التعرضات الائتمانية (</w:t>
      </w:r>
      <w:r w:rsidR="001542CF">
        <w:rPr>
          <w:rFonts w:ascii="Simplified Arabic" w:hAnsi="Simplified Arabic" w:cs="Simplified Arabic" w:hint="cs"/>
          <w:sz w:val="28"/>
          <w:szCs w:val="28"/>
          <w:rtl/>
          <w:lang w:bidi="ar-JO"/>
        </w:rPr>
        <w:t>مقام</w:t>
      </w:r>
      <w:r w:rsidR="006B24D7">
        <w:rPr>
          <w:rFonts w:ascii="Simplified Arabic" w:hAnsi="Simplified Arabic" w:cs="Simplified Arabic" w:hint="cs"/>
          <w:sz w:val="28"/>
          <w:szCs w:val="28"/>
          <w:rtl/>
          <w:lang w:bidi="ar-JO"/>
        </w:rPr>
        <w:t xml:space="preserve"> نسبة كفاية رأس المال)، إلا بالمقدار الذي يتجاوز (1.25%) من مجموع الموجودات المرجحة بمخاطر الائتمان </w:t>
      </w:r>
      <w:r w:rsidR="001542CF">
        <w:rPr>
          <w:rFonts w:ascii="Simplified Arabic" w:hAnsi="Simplified Arabic" w:cs="Simplified Arabic" w:hint="cs"/>
          <w:sz w:val="28"/>
          <w:szCs w:val="28"/>
          <w:rtl/>
          <w:lang w:bidi="ar-JO"/>
        </w:rPr>
        <w:t>وفق الطريقة</w:t>
      </w:r>
      <w:r w:rsidR="006D10ED">
        <w:rPr>
          <w:rFonts w:ascii="Simplified Arabic" w:hAnsi="Simplified Arabic" w:cs="Simplified Arabic" w:hint="cs"/>
          <w:sz w:val="28"/>
          <w:szCs w:val="28"/>
          <w:rtl/>
          <w:lang w:bidi="ar-JO"/>
        </w:rPr>
        <w:t xml:space="preserve"> المعيارية</w:t>
      </w:r>
      <w:r w:rsidR="00F20216">
        <w:rPr>
          <w:rFonts w:ascii="Simplified Arabic" w:hAnsi="Simplified Arabic" w:cs="Simplified Arabic" w:hint="cs"/>
          <w:sz w:val="28"/>
          <w:szCs w:val="28"/>
          <w:rtl/>
          <w:lang w:bidi="ar-JO"/>
        </w:rPr>
        <w:t xml:space="preserve">. </w:t>
      </w:r>
    </w:p>
    <w:p w:rsidR="00D859B2" w:rsidRDefault="00A44BCC" w:rsidP="00761A31">
      <w:pPr>
        <w:pStyle w:val="ListParagraph"/>
        <w:numPr>
          <w:ilvl w:val="0"/>
          <w:numId w:val="12"/>
        </w:numPr>
        <w:spacing w:line="560" w:lineRule="exact"/>
        <w:ind w:left="519"/>
        <w:jc w:val="lowKashida"/>
        <w:rPr>
          <w:rFonts w:ascii="Simplified Arabic" w:hAnsi="Simplified Arabic" w:cs="Simplified Arabic"/>
          <w:sz w:val="28"/>
          <w:szCs w:val="28"/>
          <w:lang w:bidi="ar-JO"/>
        </w:rPr>
      </w:pPr>
      <w:r>
        <w:rPr>
          <w:rFonts w:ascii="Simplified Arabic" w:hAnsi="Simplified Arabic" w:cs="Simplified Arabic" w:hint="cs"/>
          <w:sz w:val="28"/>
          <w:szCs w:val="28"/>
          <w:rtl/>
          <w:lang w:bidi="ar-JO"/>
        </w:rPr>
        <w:t>بخصوص البنوك الإسلامية ت</w:t>
      </w:r>
      <w:r w:rsidR="00D859B2">
        <w:rPr>
          <w:rFonts w:ascii="Simplified Arabic" w:hAnsi="Simplified Arabic" w:cs="Simplified Arabic" w:hint="cs"/>
          <w:sz w:val="28"/>
          <w:szCs w:val="28"/>
          <w:rtl/>
          <w:lang w:bidi="ar-JO"/>
        </w:rPr>
        <w:t xml:space="preserve">لتزم بتطبيق ما ورد أعلاه </w:t>
      </w:r>
      <w:r>
        <w:rPr>
          <w:rFonts w:ascii="Simplified Arabic" w:hAnsi="Simplified Arabic" w:cs="Simplified Arabic" w:hint="cs"/>
          <w:sz w:val="28"/>
          <w:szCs w:val="28"/>
          <w:rtl/>
          <w:lang w:bidi="ar-JO"/>
        </w:rPr>
        <w:t>على التم</w:t>
      </w:r>
      <w:r w:rsidR="00902E19">
        <w:rPr>
          <w:rFonts w:ascii="Simplified Arabic" w:hAnsi="Simplified Arabic" w:cs="Simplified Arabic" w:hint="cs"/>
          <w:sz w:val="28"/>
          <w:szCs w:val="28"/>
          <w:rtl/>
          <w:lang w:bidi="ar-JO"/>
        </w:rPr>
        <w:t>ويلات والذمم المدينة (التعرضات الائتمانية)</w:t>
      </w:r>
      <w:r>
        <w:rPr>
          <w:rFonts w:ascii="Simplified Arabic" w:hAnsi="Simplified Arabic" w:cs="Simplified Arabic" w:hint="cs"/>
          <w:sz w:val="28"/>
          <w:szCs w:val="28"/>
          <w:rtl/>
          <w:lang w:bidi="ar-JO"/>
        </w:rPr>
        <w:t xml:space="preserve"> المم</w:t>
      </w:r>
      <w:r w:rsidR="00491610">
        <w:rPr>
          <w:rFonts w:ascii="Simplified Arabic" w:hAnsi="Simplified Arabic" w:cs="Simplified Arabic" w:hint="cs"/>
          <w:sz w:val="28"/>
          <w:szCs w:val="28"/>
          <w:rtl/>
          <w:lang w:bidi="ar-JO"/>
        </w:rPr>
        <w:t xml:space="preserve">ولة من أموال البنك الذاتية. </w:t>
      </w:r>
    </w:p>
    <w:p w:rsidR="00491610" w:rsidRDefault="00491610" w:rsidP="00761A31">
      <w:pPr>
        <w:pStyle w:val="ListParagraph"/>
        <w:spacing w:line="560" w:lineRule="exact"/>
        <w:ind w:left="519"/>
        <w:jc w:val="lowKashida"/>
        <w:rPr>
          <w:rFonts w:ascii="Simplified Arabic" w:hAnsi="Simplified Arabic" w:cs="Simplified Arabic"/>
          <w:sz w:val="28"/>
          <w:szCs w:val="28"/>
          <w:lang w:bidi="ar-JO"/>
        </w:rPr>
      </w:pPr>
      <w:r>
        <w:rPr>
          <w:rFonts w:ascii="Simplified Arabic" w:hAnsi="Simplified Arabic" w:cs="Simplified Arabic" w:hint="cs"/>
          <w:sz w:val="28"/>
          <w:szCs w:val="28"/>
          <w:rtl/>
          <w:lang w:bidi="ar-JO"/>
        </w:rPr>
        <w:t>أما التمويلات والذمم المدينة (التعرضات الائتمانية) الممولة من حسابات الاستثمار المشترك</w:t>
      </w:r>
      <w:r w:rsidR="003368B0">
        <w:rPr>
          <w:rFonts w:ascii="Simplified Arabic" w:hAnsi="Simplified Arabic" w:cs="Simplified Arabic" w:hint="cs"/>
          <w:sz w:val="28"/>
          <w:szCs w:val="28"/>
          <w:rtl/>
          <w:lang w:bidi="ar-JO"/>
        </w:rPr>
        <w:t xml:space="preserve"> فيتم احتساب الخسائر الائتمانية المتوقعة مقابلها وتزويد البنك المركزي بنتائج الاحتساب ليتم اتخاذ القرار المناسب بالخصوص. </w:t>
      </w:r>
    </w:p>
    <w:p w:rsidR="00837BE4" w:rsidRDefault="00F20216" w:rsidP="00761A31">
      <w:pPr>
        <w:pStyle w:val="ListParagraph"/>
        <w:numPr>
          <w:ilvl w:val="0"/>
          <w:numId w:val="12"/>
        </w:numPr>
        <w:spacing w:line="560" w:lineRule="exact"/>
        <w:ind w:left="519"/>
        <w:jc w:val="lowKashida"/>
        <w:rPr>
          <w:rFonts w:ascii="Simplified Arabic" w:hAnsi="Simplified Arabic" w:cs="Simplified Arabic" w:hint="cs"/>
          <w:sz w:val="28"/>
          <w:szCs w:val="28"/>
          <w:lang w:bidi="ar-JO"/>
        </w:rPr>
      </w:pPr>
      <w:r>
        <w:rPr>
          <w:rFonts w:ascii="Simplified Arabic" w:hAnsi="Simplified Arabic" w:cs="Simplified Arabic" w:hint="cs"/>
          <w:sz w:val="28"/>
          <w:szCs w:val="28"/>
          <w:rtl/>
          <w:lang w:bidi="ar-JO"/>
        </w:rPr>
        <w:t xml:space="preserve">يستمر العمل بتعليمات البنك المركزي رقم (47/2009) تاريخ 10/12/2009 وتعديلاتها وأخذ النتائج الأشد بالاعتبار [على أن يتم </w:t>
      </w:r>
      <w:r w:rsidR="008D67D0">
        <w:rPr>
          <w:rFonts w:ascii="Simplified Arabic" w:hAnsi="Simplified Arabic" w:cs="Simplified Arabic" w:hint="cs"/>
          <w:sz w:val="28"/>
          <w:szCs w:val="28"/>
          <w:rtl/>
          <w:lang w:bidi="ar-JO"/>
        </w:rPr>
        <w:t>مقارن</w:t>
      </w:r>
      <w:r w:rsidR="004F0339">
        <w:rPr>
          <w:rFonts w:ascii="Simplified Arabic" w:hAnsi="Simplified Arabic" w:cs="Simplified Arabic" w:hint="cs"/>
          <w:sz w:val="28"/>
          <w:szCs w:val="28"/>
          <w:rtl/>
          <w:lang w:bidi="ar-JO"/>
        </w:rPr>
        <w:t xml:space="preserve">ة النتائج للمخصصات المحتسبة لكل </w:t>
      </w:r>
      <w:r w:rsidR="00D33D5E">
        <w:rPr>
          <w:rFonts w:ascii="Simplified Arabic" w:hAnsi="Simplified Arabic" w:cs="Simplified Arabic" w:hint="cs"/>
          <w:sz w:val="28"/>
          <w:szCs w:val="28"/>
          <w:rtl/>
          <w:lang w:bidi="ar-JO"/>
        </w:rPr>
        <w:t xml:space="preserve">من المرحلة الثانية والمرحلة الثالثة </w:t>
      </w:r>
      <w:r w:rsidR="004F0339">
        <w:rPr>
          <w:rFonts w:ascii="Simplified Arabic" w:hAnsi="Simplified Arabic" w:cs="Simplified Arabic" w:hint="cs"/>
          <w:sz w:val="28"/>
          <w:szCs w:val="28"/>
          <w:rtl/>
          <w:lang w:bidi="ar-JO"/>
        </w:rPr>
        <w:t xml:space="preserve">على حدة </w:t>
      </w:r>
      <w:r w:rsidR="006D10ED">
        <w:rPr>
          <w:rFonts w:ascii="Simplified Arabic" w:hAnsi="Simplified Arabic" w:cs="Simplified Arabic" w:hint="cs"/>
          <w:sz w:val="28"/>
          <w:szCs w:val="28"/>
          <w:rtl/>
          <w:lang w:bidi="ar-JO"/>
        </w:rPr>
        <w:t xml:space="preserve">(إجمالي كل مرحلة) </w:t>
      </w:r>
      <w:r w:rsidR="004F0339">
        <w:rPr>
          <w:rFonts w:ascii="Simplified Arabic" w:hAnsi="Simplified Arabic" w:cs="Simplified Arabic" w:hint="cs"/>
          <w:sz w:val="28"/>
          <w:szCs w:val="28"/>
          <w:rtl/>
          <w:lang w:bidi="ar-JO"/>
        </w:rPr>
        <w:t xml:space="preserve">من خلال عمل مقاربة </w:t>
      </w:r>
      <w:r w:rsidR="004F0339">
        <w:rPr>
          <w:rFonts w:ascii="Simplified Arabic" w:hAnsi="Simplified Arabic" w:cs="Simplified Arabic"/>
          <w:sz w:val="28"/>
          <w:szCs w:val="28"/>
          <w:lang w:bidi="ar-JO"/>
        </w:rPr>
        <w:t>(Ma</w:t>
      </w:r>
      <w:r w:rsidR="00211BA5">
        <w:rPr>
          <w:rFonts w:ascii="Simplified Arabic" w:hAnsi="Simplified Arabic" w:cs="Simplified Arabic"/>
          <w:sz w:val="28"/>
          <w:szCs w:val="28"/>
          <w:lang w:bidi="ar-JO"/>
        </w:rPr>
        <w:t>p</w:t>
      </w:r>
      <w:r w:rsidR="008D67D0">
        <w:rPr>
          <w:rFonts w:ascii="Simplified Arabic" w:hAnsi="Simplified Arabic" w:cs="Simplified Arabic"/>
          <w:sz w:val="28"/>
          <w:szCs w:val="28"/>
          <w:lang w:bidi="ar-JO"/>
        </w:rPr>
        <w:t>ping</w:t>
      </w:r>
      <w:r w:rsidR="004F0339">
        <w:rPr>
          <w:rFonts w:ascii="Simplified Arabic" w:hAnsi="Simplified Arabic" w:cs="Simplified Arabic"/>
          <w:sz w:val="28"/>
          <w:szCs w:val="28"/>
          <w:lang w:bidi="ar-JO"/>
        </w:rPr>
        <w:t>)</w:t>
      </w:r>
      <w:r w:rsidR="004F0339">
        <w:rPr>
          <w:rFonts w:ascii="Simplified Arabic" w:hAnsi="Simplified Arabic" w:cs="Simplified Arabic" w:hint="cs"/>
          <w:sz w:val="28"/>
          <w:szCs w:val="28"/>
          <w:rtl/>
          <w:lang w:bidi="ar-JO"/>
        </w:rPr>
        <w:t xml:space="preserve"> ما بين </w:t>
      </w:r>
      <w:r w:rsidR="00211BA5">
        <w:rPr>
          <w:rFonts w:ascii="Simplified Arabic" w:hAnsi="Simplified Arabic" w:cs="Simplified Arabic" w:hint="cs"/>
          <w:sz w:val="28"/>
          <w:szCs w:val="28"/>
          <w:rtl/>
          <w:lang w:bidi="ar-JO"/>
        </w:rPr>
        <w:t xml:space="preserve">المرحلة الثانية والمرحلة الثالثة حسب متطلبات المعيار (9) مع </w:t>
      </w:r>
      <w:r w:rsidR="008D67D0">
        <w:rPr>
          <w:rFonts w:ascii="Simplified Arabic" w:hAnsi="Simplified Arabic" w:cs="Simplified Arabic" w:hint="cs"/>
          <w:sz w:val="28"/>
          <w:szCs w:val="28"/>
          <w:rtl/>
          <w:lang w:bidi="ar-JO"/>
        </w:rPr>
        <w:t>مطالبات الائتمان تحت المراقبة وم</w:t>
      </w:r>
      <w:r w:rsidR="00837BE4">
        <w:rPr>
          <w:rFonts w:ascii="Simplified Arabic" w:hAnsi="Simplified Arabic" w:cs="Simplified Arabic" w:hint="cs"/>
          <w:sz w:val="28"/>
          <w:szCs w:val="28"/>
          <w:rtl/>
          <w:lang w:bidi="ar-JO"/>
        </w:rPr>
        <w:t>ط</w:t>
      </w:r>
      <w:r w:rsidR="008D67D0">
        <w:rPr>
          <w:rFonts w:ascii="Simplified Arabic" w:hAnsi="Simplified Arabic" w:cs="Simplified Arabic" w:hint="cs"/>
          <w:sz w:val="28"/>
          <w:szCs w:val="28"/>
          <w:rtl/>
          <w:lang w:bidi="ar-JO"/>
        </w:rPr>
        <w:t>ا</w:t>
      </w:r>
      <w:r w:rsidR="00837BE4">
        <w:rPr>
          <w:rFonts w:ascii="Simplified Arabic" w:hAnsi="Simplified Arabic" w:cs="Simplified Arabic" w:hint="cs"/>
          <w:sz w:val="28"/>
          <w:szCs w:val="28"/>
          <w:rtl/>
          <w:lang w:bidi="ar-JO"/>
        </w:rPr>
        <w:t>لبات الائتمان غير العاملة</w:t>
      </w:r>
      <w:r w:rsidR="001837D6">
        <w:rPr>
          <w:rFonts w:ascii="Simplified Arabic" w:hAnsi="Simplified Arabic" w:cs="Simplified Arabic" w:hint="cs"/>
          <w:sz w:val="28"/>
          <w:szCs w:val="28"/>
          <w:rtl/>
          <w:lang w:bidi="ar-JO"/>
        </w:rPr>
        <w:t xml:space="preserve"> على التوالي</w:t>
      </w:r>
      <w:r w:rsidR="00837BE4">
        <w:rPr>
          <w:rFonts w:ascii="Simplified Arabic" w:hAnsi="Simplified Arabic" w:cs="Simplified Arabic" w:hint="cs"/>
          <w:sz w:val="28"/>
          <w:szCs w:val="28"/>
          <w:rtl/>
          <w:lang w:bidi="ar-JO"/>
        </w:rPr>
        <w:t xml:space="preserve"> حسب التعليمات رقم (47/2009).</w:t>
      </w:r>
    </w:p>
    <w:p w:rsidR="00761A31" w:rsidRDefault="00761A31" w:rsidP="00761A31">
      <w:pPr>
        <w:pStyle w:val="ListParagraph"/>
        <w:spacing w:line="560" w:lineRule="exact"/>
        <w:ind w:left="519"/>
        <w:jc w:val="lowKashida"/>
        <w:rPr>
          <w:rFonts w:ascii="Simplified Arabic" w:hAnsi="Simplified Arabic" w:cs="Simplified Arabic" w:hint="cs"/>
          <w:sz w:val="28"/>
          <w:szCs w:val="28"/>
          <w:rtl/>
          <w:lang w:bidi="ar-JO"/>
        </w:rPr>
      </w:pPr>
    </w:p>
    <w:p w:rsidR="00AE296B" w:rsidRDefault="00AE296B" w:rsidP="00761A31">
      <w:pPr>
        <w:pStyle w:val="ListParagraph"/>
        <w:spacing w:line="560" w:lineRule="exact"/>
        <w:ind w:left="519"/>
        <w:jc w:val="lowKashida"/>
        <w:rPr>
          <w:rFonts w:ascii="Simplified Arabic" w:hAnsi="Simplified Arabic" w:cs="Simplified Arabic"/>
          <w:sz w:val="28"/>
          <w:szCs w:val="28"/>
          <w:lang w:bidi="ar-JO"/>
        </w:rPr>
      </w:pPr>
    </w:p>
    <w:p w:rsidR="002E7F85" w:rsidRDefault="00837BE4" w:rsidP="00761A31">
      <w:pPr>
        <w:pStyle w:val="ListParagraph"/>
        <w:numPr>
          <w:ilvl w:val="0"/>
          <w:numId w:val="12"/>
        </w:numPr>
        <w:spacing w:line="400" w:lineRule="exact"/>
        <w:ind w:left="519"/>
        <w:jc w:val="lowKashida"/>
        <w:rPr>
          <w:rFonts w:ascii="Simplified Arabic" w:hAnsi="Simplified Arabic" w:cs="Simplified Arabic"/>
          <w:sz w:val="28"/>
          <w:szCs w:val="28"/>
          <w:lang w:bidi="ar-JO"/>
        </w:rPr>
      </w:pPr>
      <w:r>
        <w:rPr>
          <w:rFonts w:ascii="Simplified Arabic" w:hAnsi="Simplified Arabic" w:cs="Simplified Arabic" w:hint="cs"/>
          <w:sz w:val="28"/>
          <w:szCs w:val="28"/>
          <w:rtl/>
          <w:lang w:bidi="ar-JO"/>
        </w:rPr>
        <w:lastRenderedPageBreak/>
        <w:t xml:space="preserve">يجوز إجراء عمليات إعادة تصنيف للأدوات المالية ما بين الفئات الثلاث المحددة بموجب المعيار (9) </w:t>
      </w:r>
      <w:r w:rsidR="00CA3B02">
        <w:rPr>
          <w:rFonts w:ascii="Simplified Arabic" w:hAnsi="Simplified Arabic" w:cs="Simplified Arabic" w:hint="cs"/>
          <w:sz w:val="28"/>
          <w:szCs w:val="28"/>
          <w:rtl/>
          <w:lang w:bidi="ar-JO"/>
        </w:rPr>
        <w:t xml:space="preserve">[الكلفة المطفأة، بالقيمة العادلة </w:t>
      </w:r>
      <w:r w:rsidR="00593091">
        <w:rPr>
          <w:rFonts w:ascii="Simplified Arabic" w:hAnsi="Simplified Arabic" w:cs="Simplified Arabic" w:hint="cs"/>
          <w:sz w:val="28"/>
          <w:szCs w:val="28"/>
          <w:rtl/>
          <w:lang w:bidi="ar-JO"/>
        </w:rPr>
        <w:t xml:space="preserve">من خلال قائمة الدخل، بالقيمة العادلة من خلال قائمة الدخل الشامل الآخر] لمرة واحدة في بداية عام 2018 </w:t>
      </w:r>
      <w:r w:rsidR="008D67D0">
        <w:rPr>
          <w:rFonts w:ascii="Simplified Arabic" w:hAnsi="Simplified Arabic" w:cs="Simplified Arabic" w:hint="cs"/>
          <w:sz w:val="28"/>
          <w:szCs w:val="28"/>
          <w:rtl/>
          <w:lang w:bidi="ar-JO"/>
        </w:rPr>
        <w:t>وذلك بهدف تحقيق التطبيق السل</w:t>
      </w:r>
      <w:r w:rsidR="0090449D">
        <w:rPr>
          <w:rFonts w:ascii="Simplified Arabic" w:hAnsi="Simplified Arabic" w:cs="Simplified Arabic" w:hint="cs"/>
          <w:sz w:val="28"/>
          <w:szCs w:val="28"/>
          <w:rtl/>
          <w:lang w:bidi="ar-JO"/>
        </w:rPr>
        <w:t xml:space="preserve">يم لمتطلبات المعيار (9)، وبعد ذلك الالتزام بمتطلبات المعيار (9) وكما وردت في التعليمات بخصوص عمليات المناقلة وإعادة التصنيف. </w:t>
      </w:r>
      <w:r>
        <w:rPr>
          <w:rFonts w:ascii="Simplified Arabic" w:hAnsi="Simplified Arabic" w:cs="Simplified Arabic" w:hint="cs"/>
          <w:sz w:val="28"/>
          <w:szCs w:val="28"/>
          <w:rtl/>
          <w:lang w:bidi="ar-JO"/>
        </w:rPr>
        <w:t xml:space="preserve"> </w:t>
      </w:r>
    </w:p>
    <w:p w:rsidR="00751753" w:rsidRDefault="00751753" w:rsidP="00761A31">
      <w:pPr>
        <w:pStyle w:val="ListParagraph"/>
        <w:numPr>
          <w:ilvl w:val="0"/>
          <w:numId w:val="12"/>
        </w:numPr>
        <w:spacing w:line="400" w:lineRule="exact"/>
        <w:ind w:left="519"/>
        <w:jc w:val="lowKashida"/>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أي تعديل في رصيد الخسارة الائتمانية المتوقعة ناتج عن تغيير في المنهجية والأنظمة المطبقة لدى البنك يتم قيد الفرق ضمن رصيد </w:t>
      </w:r>
      <w:r w:rsidR="000934AA">
        <w:rPr>
          <w:rFonts w:ascii="Simplified Arabic" w:hAnsi="Simplified Arabic" w:cs="Simplified Arabic" w:hint="cs"/>
          <w:sz w:val="28"/>
          <w:szCs w:val="28"/>
          <w:rtl/>
          <w:lang w:bidi="ar-JO"/>
        </w:rPr>
        <w:t xml:space="preserve">الأرباح المدورة/حقوق الملكية. </w:t>
      </w:r>
    </w:p>
    <w:p w:rsidR="000934AA" w:rsidRDefault="000934AA" w:rsidP="00761A31">
      <w:pPr>
        <w:pStyle w:val="ListParagraph"/>
        <w:numPr>
          <w:ilvl w:val="0"/>
          <w:numId w:val="12"/>
        </w:numPr>
        <w:spacing w:line="400" w:lineRule="exact"/>
        <w:ind w:left="519"/>
        <w:jc w:val="lowKashida"/>
        <w:rPr>
          <w:rFonts w:ascii="Simplified Arabic" w:hAnsi="Simplified Arabic" w:cs="Simplified Arabic"/>
          <w:sz w:val="28"/>
          <w:szCs w:val="28"/>
          <w:lang w:bidi="ar-JO"/>
        </w:rPr>
      </w:pPr>
      <w:r>
        <w:rPr>
          <w:rFonts w:ascii="Simplified Arabic" w:hAnsi="Simplified Arabic" w:cs="Simplified Arabic" w:hint="cs"/>
          <w:sz w:val="28"/>
          <w:szCs w:val="28"/>
          <w:rtl/>
          <w:lang w:bidi="ar-JO"/>
        </w:rPr>
        <w:t>تقع على مسؤولية مدقق الحسابات الخارجي التحقق من سلامة إجراءات البنك بخصوص</w:t>
      </w:r>
      <w:r w:rsidR="00A913C7">
        <w:rPr>
          <w:rFonts w:ascii="Simplified Arabic" w:hAnsi="Simplified Arabic" w:cs="Simplified Arabic" w:hint="cs"/>
          <w:sz w:val="28"/>
          <w:szCs w:val="28"/>
          <w:rtl/>
          <w:lang w:bidi="ar-JO"/>
        </w:rPr>
        <w:t xml:space="preserve"> منهجية</w:t>
      </w:r>
      <w:r>
        <w:rPr>
          <w:rFonts w:ascii="Simplified Arabic" w:hAnsi="Simplified Arabic" w:cs="Simplified Arabic" w:hint="cs"/>
          <w:sz w:val="28"/>
          <w:szCs w:val="28"/>
          <w:rtl/>
          <w:lang w:bidi="ar-JO"/>
        </w:rPr>
        <w:t xml:space="preserve"> </w:t>
      </w:r>
      <w:r w:rsidR="00A913C7">
        <w:rPr>
          <w:rFonts w:ascii="Simplified Arabic" w:hAnsi="Simplified Arabic" w:cs="Simplified Arabic" w:hint="cs"/>
          <w:sz w:val="28"/>
          <w:szCs w:val="28"/>
          <w:rtl/>
          <w:lang w:bidi="ar-JO"/>
        </w:rPr>
        <w:t>و</w:t>
      </w:r>
      <w:r>
        <w:rPr>
          <w:rFonts w:ascii="Simplified Arabic" w:hAnsi="Simplified Arabic" w:cs="Simplified Arabic" w:hint="cs"/>
          <w:sz w:val="28"/>
          <w:szCs w:val="28"/>
          <w:rtl/>
          <w:lang w:bidi="ar-JO"/>
        </w:rPr>
        <w:t>احتساب الخسارة الائتمانية المتوقعة وأن يتم تزويد البنك المركزي بشهادة من المدقق الخارجي بخصوص سلامة الإجراءات وكفاية مبلغ الخسارة الائتمانية المتوقعة المحتسب من قبل البنك مع كل بيانات مالية</w:t>
      </w:r>
      <w:r w:rsidR="00AA6B07">
        <w:rPr>
          <w:rFonts w:ascii="Simplified Arabic" w:hAnsi="Simplified Arabic" w:cs="Simplified Arabic" w:hint="cs"/>
          <w:sz w:val="28"/>
          <w:szCs w:val="28"/>
          <w:rtl/>
          <w:lang w:bidi="ar-JO"/>
        </w:rPr>
        <w:t xml:space="preserve">. </w:t>
      </w:r>
    </w:p>
    <w:p w:rsidR="00AA6B07" w:rsidRDefault="00AA6B07" w:rsidP="00761A31">
      <w:pPr>
        <w:pStyle w:val="ListParagraph"/>
        <w:numPr>
          <w:ilvl w:val="0"/>
          <w:numId w:val="12"/>
        </w:numPr>
        <w:spacing w:line="400" w:lineRule="exact"/>
        <w:ind w:left="519"/>
        <w:jc w:val="lowKashida"/>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سيقوم البنك المركزي باتخاذ الإجراءات اللازمة للتحقق من سلامة المنهجيات والآليات المطبقة من البنوك لاحتساب الخسارة الائتمانية المتوقعة من خلال زيارات ميدانية للبنوك، حيث سيتم إعلام كل بنك بالترتيبات التي سيتم اتباعها. </w:t>
      </w:r>
    </w:p>
    <w:p w:rsidR="00AA6B07" w:rsidRPr="002E7F85" w:rsidRDefault="002044A8" w:rsidP="00761A31">
      <w:pPr>
        <w:pStyle w:val="ListParagraph"/>
        <w:numPr>
          <w:ilvl w:val="0"/>
          <w:numId w:val="12"/>
        </w:numPr>
        <w:spacing w:line="400" w:lineRule="exact"/>
        <w:ind w:left="519"/>
        <w:jc w:val="lowKashida"/>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ضرورة الالتزام </w:t>
      </w:r>
      <w:r w:rsidR="008B7F85">
        <w:rPr>
          <w:rFonts w:ascii="Simplified Arabic" w:hAnsi="Simplified Arabic" w:cs="Simplified Arabic" w:hint="cs"/>
          <w:sz w:val="28"/>
          <w:szCs w:val="28"/>
          <w:rtl/>
          <w:lang w:bidi="ar-JO"/>
        </w:rPr>
        <w:t>بالإفصاحات الكمية والنوعية المرفقة طي التعليمات وأية إفصاحات أخرى مطلوبة بموجب المعايير الدولية للتقارير المالية</w:t>
      </w:r>
      <w:r w:rsidR="001617AC">
        <w:rPr>
          <w:rFonts w:ascii="Simplified Arabic" w:hAnsi="Simplified Arabic" w:cs="Simplified Arabic" w:hint="cs"/>
          <w:sz w:val="28"/>
          <w:szCs w:val="28"/>
          <w:rtl/>
          <w:lang w:bidi="ar-JO"/>
        </w:rPr>
        <w:t xml:space="preserve"> وكذلك تزويد البنك المركزي بالكشوفات المرفقة طي هذه التعليمات مع كل بيانات مالية</w:t>
      </w:r>
      <w:r>
        <w:rPr>
          <w:rFonts w:ascii="Simplified Arabic" w:hAnsi="Simplified Arabic" w:cs="Simplified Arabic" w:hint="cs"/>
          <w:sz w:val="28"/>
          <w:szCs w:val="28"/>
          <w:rtl/>
          <w:lang w:bidi="ar-JO"/>
        </w:rPr>
        <w:t xml:space="preserve">. </w:t>
      </w:r>
    </w:p>
    <w:p w:rsidR="001E69D9" w:rsidRPr="00F80730" w:rsidRDefault="001E69D9" w:rsidP="00761A31">
      <w:pPr>
        <w:spacing w:line="400" w:lineRule="exact"/>
        <w:ind w:left="158" w:firstLine="562"/>
        <w:jc w:val="lowKashida"/>
        <w:rPr>
          <w:rFonts w:ascii="Simplified Arabic" w:hAnsi="Simplified Arabic" w:cs="Simplified Arabic"/>
          <w:sz w:val="22"/>
          <w:szCs w:val="22"/>
          <w:rtl/>
          <w:lang w:bidi="ar-JO"/>
        </w:rPr>
      </w:pPr>
    </w:p>
    <w:p w:rsidR="006D10ED" w:rsidRDefault="006D10ED" w:rsidP="00761A31">
      <w:pPr>
        <w:spacing w:line="400" w:lineRule="exact"/>
        <w:ind w:left="615" w:hanging="567"/>
        <w:jc w:val="lowKashida"/>
        <w:rPr>
          <w:rFonts w:ascii="Simplified Arabic" w:hAnsi="Simplified Arabic" w:cs="Simplified Arabic"/>
          <w:sz w:val="28"/>
          <w:szCs w:val="28"/>
          <w:rtl/>
          <w:lang w:bidi="ar-JO"/>
        </w:rPr>
      </w:pPr>
      <w:r w:rsidRPr="00AF30E5">
        <w:rPr>
          <w:rFonts w:ascii="Simplified Arabic" w:hAnsi="Simplified Arabic" w:cs="Simplified Arabic" w:hint="cs"/>
          <w:b/>
          <w:bCs/>
          <w:sz w:val="28"/>
          <w:szCs w:val="28"/>
          <w:rtl/>
          <w:lang w:bidi="ar-JO"/>
        </w:rPr>
        <w:t>ثا</w:t>
      </w:r>
      <w:r>
        <w:rPr>
          <w:rFonts w:ascii="Simplified Arabic" w:hAnsi="Simplified Arabic" w:cs="Simplified Arabic" w:hint="cs"/>
          <w:b/>
          <w:bCs/>
          <w:sz w:val="28"/>
          <w:szCs w:val="28"/>
          <w:rtl/>
          <w:lang w:bidi="ar-JO"/>
        </w:rPr>
        <w:t>لث</w:t>
      </w:r>
      <w:r w:rsidRPr="00AF30E5">
        <w:rPr>
          <w:rFonts w:ascii="Simplified Arabic" w:hAnsi="Simplified Arabic" w:cs="Simplified Arabic" w:hint="cs"/>
          <w:b/>
          <w:bCs/>
          <w:sz w:val="28"/>
          <w:szCs w:val="28"/>
          <w:rtl/>
          <w:lang w:bidi="ar-JO"/>
        </w:rPr>
        <w:t>اً:</w:t>
      </w:r>
      <w:r>
        <w:rPr>
          <w:rFonts w:ascii="Simplified Arabic" w:hAnsi="Simplified Arabic" w:cs="Simplified Arabic" w:hint="cs"/>
          <w:sz w:val="28"/>
          <w:szCs w:val="28"/>
          <w:rtl/>
          <w:lang w:bidi="ar-JO"/>
        </w:rPr>
        <w:t xml:space="preserve"> </w:t>
      </w:r>
      <w:r w:rsidR="001542CF">
        <w:rPr>
          <w:rFonts w:ascii="Simplified Arabic" w:hAnsi="Simplified Arabic" w:cs="Simplified Arabic" w:hint="cs"/>
          <w:sz w:val="28"/>
          <w:szCs w:val="28"/>
          <w:rtl/>
          <w:lang w:bidi="ar-JO"/>
        </w:rPr>
        <w:t>يلغى</w:t>
      </w:r>
      <w:r w:rsidR="00677236">
        <w:rPr>
          <w:rFonts w:ascii="Simplified Arabic" w:hAnsi="Simplified Arabic" w:cs="Simplified Arabic" w:hint="cs"/>
          <w:sz w:val="28"/>
          <w:szCs w:val="28"/>
          <w:rtl/>
          <w:lang w:bidi="ar-JO"/>
        </w:rPr>
        <w:t xml:space="preserve"> العمل بتعميمينا رقم (</w:t>
      </w:r>
      <w:r w:rsidR="004A2DAD">
        <w:rPr>
          <w:rFonts w:ascii="Simplified Arabic" w:hAnsi="Simplified Arabic" w:cs="Simplified Arabic" w:hint="cs"/>
          <w:sz w:val="28"/>
          <w:szCs w:val="28"/>
          <w:rtl/>
          <w:lang w:bidi="ar-JO"/>
        </w:rPr>
        <w:t>10/1/1359</w:t>
      </w:r>
      <w:r w:rsidR="00677236">
        <w:rPr>
          <w:rFonts w:ascii="Simplified Arabic" w:hAnsi="Simplified Arabic" w:cs="Simplified Arabic" w:hint="cs"/>
          <w:sz w:val="28"/>
          <w:szCs w:val="28"/>
          <w:rtl/>
          <w:lang w:bidi="ar-JO"/>
        </w:rPr>
        <w:t>) تاريخ</w:t>
      </w:r>
      <w:r w:rsidR="004A2DAD">
        <w:rPr>
          <w:rFonts w:ascii="Simplified Arabic" w:hAnsi="Simplified Arabic" w:cs="Simplified Arabic" w:hint="cs"/>
          <w:sz w:val="28"/>
          <w:szCs w:val="28"/>
          <w:rtl/>
          <w:lang w:bidi="ar-JO"/>
        </w:rPr>
        <w:t xml:space="preserve"> 25/1/2018</w:t>
      </w:r>
      <w:r w:rsidR="00677236">
        <w:rPr>
          <w:rFonts w:ascii="Simplified Arabic" w:hAnsi="Simplified Arabic" w:cs="Simplified Arabic" w:hint="cs"/>
          <w:sz w:val="28"/>
          <w:szCs w:val="28"/>
          <w:rtl/>
          <w:lang w:bidi="ar-JO"/>
        </w:rPr>
        <w:t xml:space="preserve"> ورقم </w:t>
      </w:r>
      <w:r w:rsidR="004A2DAD">
        <w:rPr>
          <w:rFonts w:ascii="Simplified Arabic" w:hAnsi="Simplified Arabic" w:cs="Simplified Arabic" w:hint="cs"/>
          <w:sz w:val="28"/>
          <w:szCs w:val="28"/>
          <w:rtl/>
          <w:lang w:bidi="ar-JO"/>
        </w:rPr>
        <w:t xml:space="preserve">(10/1/15583) </w:t>
      </w:r>
      <w:r w:rsidR="00677236">
        <w:rPr>
          <w:rFonts w:ascii="Simplified Arabic" w:hAnsi="Simplified Arabic" w:cs="Simplified Arabic" w:hint="cs"/>
          <w:sz w:val="28"/>
          <w:szCs w:val="28"/>
          <w:rtl/>
          <w:lang w:bidi="ar-JO"/>
        </w:rPr>
        <w:t xml:space="preserve">تاريخ </w:t>
      </w:r>
      <w:r w:rsidR="004A2DAD">
        <w:rPr>
          <w:rFonts w:ascii="Simplified Arabic" w:hAnsi="Simplified Arabic" w:cs="Simplified Arabic" w:hint="cs"/>
          <w:sz w:val="28"/>
          <w:szCs w:val="28"/>
          <w:rtl/>
          <w:lang w:bidi="ar-JO"/>
        </w:rPr>
        <w:t xml:space="preserve">23/11/2017. </w:t>
      </w:r>
    </w:p>
    <w:p w:rsidR="001E69D9" w:rsidRPr="007E684E" w:rsidRDefault="001E69D9" w:rsidP="00761A31">
      <w:pPr>
        <w:spacing w:line="400" w:lineRule="exact"/>
        <w:jc w:val="center"/>
        <w:rPr>
          <w:rFonts w:ascii="Simplified Arabic" w:hAnsi="Simplified Arabic" w:cs="Simplified Arabic"/>
          <w:b/>
          <w:bCs/>
          <w:sz w:val="28"/>
          <w:szCs w:val="28"/>
          <w:rtl/>
        </w:rPr>
      </w:pPr>
      <w:r w:rsidRPr="007E684E">
        <w:rPr>
          <w:rFonts w:ascii="Simplified Arabic" w:hAnsi="Simplified Arabic" w:cs="Simplified Arabic"/>
          <w:b/>
          <w:bCs/>
          <w:sz w:val="28"/>
          <w:szCs w:val="28"/>
          <w:rtl/>
        </w:rPr>
        <w:t>وتفضلوا بقبول فائق الاحترام</w:t>
      </w:r>
      <w:r w:rsidR="007E684E" w:rsidRPr="007E684E">
        <w:rPr>
          <w:rFonts w:ascii="Simplified Arabic" w:hAnsi="Simplified Arabic" w:cs="Simplified Arabic" w:hint="cs"/>
          <w:b/>
          <w:bCs/>
          <w:sz w:val="28"/>
          <w:szCs w:val="28"/>
          <w:rtl/>
        </w:rPr>
        <w:t xml:space="preserve"> </w:t>
      </w:r>
      <w:r w:rsidRPr="007E684E">
        <w:rPr>
          <w:rFonts w:ascii="Simplified Arabic" w:hAnsi="Simplified Arabic" w:cs="Simplified Arabic"/>
          <w:b/>
          <w:bCs/>
          <w:sz w:val="28"/>
          <w:szCs w:val="28"/>
          <w:rtl/>
        </w:rPr>
        <w:t>،،،</w:t>
      </w:r>
    </w:p>
    <w:p w:rsidR="00DE0CA3" w:rsidRPr="004F694D" w:rsidRDefault="001E69D9" w:rsidP="00AE296B">
      <w:pPr>
        <w:jc w:val="right"/>
        <w:rPr>
          <w:rFonts w:cs="Simplified Arabic"/>
          <w:b/>
          <w:bCs/>
          <w:i/>
          <w:iCs/>
          <w:rtl/>
          <w:lang w:bidi="ar-JO"/>
        </w:rPr>
      </w:pPr>
      <w:r w:rsidRPr="000316B3">
        <w:rPr>
          <w:rFonts w:ascii="Simplified Arabic" w:hAnsi="Simplified Arabic" w:cs="Simplified Arabic"/>
          <w:sz w:val="32"/>
          <w:szCs w:val="32"/>
          <w:rtl/>
          <w:lang w:bidi="ar-JO"/>
        </w:rPr>
        <w:tab/>
      </w:r>
      <w:r w:rsidRPr="000316B3">
        <w:rPr>
          <w:rFonts w:ascii="Simplified Arabic" w:hAnsi="Simplified Arabic" w:cs="Simplified Arabic"/>
          <w:sz w:val="32"/>
          <w:szCs w:val="32"/>
          <w:rtl/>
          <w:lang w:bidi="ar-JO"/>
        </w:rPr>
        <w:tab/>
      </w:r>
      <w:r w:rsidRPr="000316B3">
        <w:rPr>
          <w:rFonts w:ascii="Simplified Arabic" w:hAnsi="Simplified Arabic" w:cs="Simplified Arabic"/>
          <w:sz w:val="32"/>
          <w:szCs w:val="32"/>
          <w:rtl/>
          <w:lang w:bidi="ar-JO"/>
        </w:rPr>
        <w:tab/>
      </w:r>
    </w:p>
    <w:tbl>
      <w:tblPr>
        <w:tblStyle w:val="TableGrid"/>
        <w:bidiVisual/>
        <w:tblW w:w="0" w:type="auto"/>
        <w:tblInd w:w="75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tblGrid>
      <w:tr w:rsidR="00DE0CA3" w:rsidTr="00D8037B">
        <w:tc>
          <w:tcPr>
            <w:tcW w:w="2093" w:type="dxa"/>
          </w:tcPr>
          <w:p w:rsidR="00DE0CA3" w:rsidRPr="00D8037B" w:rsidRDefault="00D8037B" w:rsidP="00D8037B">
            <w:pPr>
              <w:jc w:val="center"/>
              <w:rPr>
                <w:rFonts w:cs="Simplified Arabic"/>
                <w:b/>
                <w:bCs/>
                <w:sz w:val="32"/>
                <w:szCs w:val="32"/>
                <w:rtl/>
                <w:lang w:bidi="ar-JO"/>
              </w:rPr>
            </w:pPr>
            <w:r>
              <w:rPr>
                <w:rFonts w:cs="Simplified Arabic" w:hint="cs"/>
                <w:b/>
                <w:bCs/>
                <w:sz w:val="32"/>
                <w:szCs w:val="32"/>
                <w:rtl/>
                <w:lang w:bidi="ar-JO"/>
              </w:rPr>
              <w:t>المــحــافــظ</w:t>
            </w:r>
          </w:p>
        </w:tc>
      </w:tr>
      <w:tr w:rsidR="00DE0CA3" w:rsidTr="00D8037B">
        <w:tc>
          <w:tcPr>
            <w:tcW w:w="2093" w:type="dxa"/>
          </w:tcPr>
          <w:p w:rsidR="00DE0CA3" w:rsidRPr="00D8037B" w:rsidRDefault="00D8037B" w:rsidP="00D8037B">
            <w:pPr>
              <w:jc w:val="center"/>
              <w:rPr>
                <w:rFonts w:cs="Simplified Arabic"/>
                <w:b/>
                <w:bCs/>
                <w:sz w:val="32"/>
                <w:szCs w:val="32"/>
                <w:rtl/>
                <w:lang w:bidi="ar-JO"/>
              </w:rPr>
            </w:pPr>
            <w:r>
              <w:rPr>
                <w:rFonts w:cs="Simplified Arabic" w:hint="cs"/>
                <w:b/>
                <w:bCs/>
                <w:sz w:val="32"/>
                <w:szCs w:val="32"/>
                <w:rtl/>
                <w:lang w:bidi="ar-JO"/>
              </w:rPr>
              <w:t xml:space="preserve">د. زيــــاد فــريـــز </w:t>
            </w:r>
          </w:p>
        </w:tc>
      </w:tr>
    </w:tbl>
    <w:p w:rsidR="0006385E" w:rsidRDefault="0006385E" w:rsidP="0006385E">
      <w:pPr>
        <w:pStyle w:val="ListParagraph"/>
        <w:outlineLvl w:val="0"/>
        <w:rPr>
          <w:rFonts w:ascii="Simplified Arabic" w:hAnsi="Simplified Arabic" w:cs="Simplified Arabic"/>
          <w:b/>
          <w:bCs/>
          <w:lang w:bidi="ar-JO"/>
        </w:rPr>
      </w:pPr>
    </w:p>
    <w:p w:rsidR="00EC6D63" w:rsidRPr="00EC6D63" w:rsidRDefault="0006385E" w:rsidP="0006385E">
      <w:pPr>
        <w:pStyle w:val="ListParagraph"/>
        <w:numPr>
          <w:ilvl w:val="0"/>
          <w:numId w:val="14"/>
        </w:numPr>
        <w:outlineLvl w:val="0"/>
        <w:rPr>
          <w:rFonts w:ascii="Simplified Arabic" w:hAnsi="Simplified Arabic" w:cs="Simplified Arabic"/>
          <w:b/>
          <w:bCs/>
          <w:lang w:bidi="ar-JO"/>
        </w:rPr>
      </w:pPr>
      <w:r w:rsidRPr="00EC6D63">
        <w:rPr>
          <w:rFonts w:ascii="Simplified Arabic" w:hAnsi="Simplified Arabic" w:cs="Simplified Arabic" w:hint="cs"/>
          <w:b/>
          <w:bCs/>
          <w:rtl/>
          <w:lang w:bidi="ar-JO"/>
        </w:rPr>
        <w:t>مرفق</w:t>
      </w:r>
      <w:r w:rsidR="00EC6D63" w:rsidRPr="00EC6D63">
        <w:rPr>
          <w:rFonts w:ascii="Simplified Arabic" w:hAnsi="Simplified Arabic" w:cs="Simplified Arabic" w:hint="cs"/>
          <w:b/>
          <w:bCs/>
          <w:rtl/>
          <w:lang w:bidi="ar-JO"/>
        </w:rPr>
        <w:t>:</w:t>
      </w:r>
    </w:p>
    <w:p w:rsidR="00EC6D63" w:rsidRPr="00EC6D63" w:rsidRDefault="00EC6D63" w:rsidP="00EC6D63">
      <w:pPr>
        <w:pStyle w:val="ListParagraph"/>
        <w:numPr>
          <w:ilvl w:val="0"/>
          <w:numId w:val="15"/>
        </w:numPr>
        <w:outlineLvl w:val="0"/>
        <w:rPr>
          <w:rFonts w:ascii="Simplified Arabic" w:hAnsi="Simplified Arabic" w:cs="Simplified Arabic"/>
          <w:b/>
          <w:bCs/>
          <w:lang w:bidi="ar-JO"/>
        </w:rPr>
      </w:pPr>
      <w:r w:rsidRPr="00EC6D63">
        <w:rPr>
          <w:rFonts w:ascii="Simplified Arabic" w:hAnsi="Simplified Arabic" w:cs="Simplified Arabic" w:hint="cs"/>
          <w:b/>
          <w:bCs/>
          <w:rtl/>
          <w:lang w:bidi="ar-JO"/>
        </w:rPr>
        <w:t xml:space="preserve">تعليمات تطبيق المعيار الدولي للتقارير المالية (9). </w:t>
      </w:r>
    </w:p>
    <w:p w:rsidR="00EC6D63" w:rsidRDefault="00EC6D63" w:rsidP="00EC6D63">
      <w:pPr>
        <w:pStyle w:val="ListParagraph"/>
        <w:numPr>
          <w:ilvl w:val="0"/>
          <w:numId w:val="15"/>
        </w:numPr>
        <w:outlineLvl w:val="0"/>
        <w:rPr>
          <w:rFonts w:ascii="Simplified Arabic" w:hAnsi="Simplified Arabic" w:cs="Simplified Arabic"/>
          <w:b/>
          <w:bCs/>
          <w:lang w:bidi="ar-JO"/>
        </w:rPr>
      </w:pPr>
      <w:r>
        <w:rPr>
          <w:rFonts w:ascii="Simplified Arabic" w:hAnsi="Simplified Arabic" w:cs="Simplified Arabic" w:hint="cs"/>
          <w:b/>
          <w:bCs/>
          <w:rtl/>
          <w:lang w:bidi="ar-JO"/>
        </w:rPr>
        <w:t xml:space="preserve">الإفصاحات الكمية والنوعية المطلوبة. </w:t>
      </w:r>
    </w:p>
    <w:p w:rsidR="00B11343" w:rsidRDefault="00EC6D63" w:rsidP="00D3327F">
      <w:pPr>
        <w:pStyle w:val="ListParagraph"/>
        <w:numPr>
          <w:ilvl w:val="0"/>
          <w:numId w:val="15"/>
        </w:numPr>
        <w:outlineLvl w:val="0"/>
        <w:rPr>
          <w:rFonts w:ascii="Simplified Arabic" w:hAnsi="Simplified Arabic" w:cs="Simplified Arabic"/>
          <w:b/>
          <w:bCs/>
          <w:lang w:bidi="ar-JO"/>
        </w:rPr>
      </w:pPr>
      <w:r>
        <w:rPr>
          <w:rFonts w:ascii="Simplified Arabic" w:hAnsi="Simplified Arabic" w:cs="Simplified Arabic" w:hint="cs"/>
          <w:b/>
          <w:bCs/>
          <w:rtl/>
          <w:lang w:bidi="ar-JO"/>
        </w:rPr>
        <w:t xml:space="preserve">الكشوفات المطلوبة </w:t>
      </w:r>
      <w:r w:rsidR="00D3327F">
        <w:rPr>
          <w:rFonts w:ascii="Simplified Arabic" w:hAnsi="Simplified Arabic" w:cs="Simplified Arabic" w:hint="cs"/>
          <w:b/>
          <w:bCs/>
          <w:rtl/>
          <w:lang w:bidi="ar-JO"/>
        </w:rPr>
        <w:t>لأغراض البنك المركزي</w:t>
      </w:r>
      <w:r w:rsidR="007E187F">
        <w:rPr>
          <w:rFonts w:ascii="Simplified Arabic" w:hAnsi="Simplified Arabic" w:cs="Simplified Arabic" w:hint="cs"/>
          <w:b/>
          <w:bCs/>
          <w:rtl/>
          <w:lang w:bidi="ar-JO"/>
        </w:rPr>
        <w:t>.</w:t>
      </w:r>
    </w:p>
    <w:sectPr w:rsidR="00B11343" w:rsidSect="002D457B">
      <w:pgSz w:w="12240" w:h="15840" w:code="1"/>
      <w:pgMar w:top="2092" w:right="1418" w:bottom="1418" w:left="1418" w:header="709" w:footer="709" w:gutter="0"/>
      <w:paperSrc w:first="4"/>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4951" w:rsidRDefault="00944951" w:rsidP="00C460DD">
      <w:r>
        <w:separator/>
      </w:r>
    </w:p>
  </w:endnote>
  <w:endnote w:type="continuationSeparator" w:id="0">
    <w:p w:rsidR="00944951" w:rsidRDefault="00944951" w:rsidP="00C46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plified Arabic">
    <w:panose1 w:val="02020603050405020304"/>
    <w:charset w:val="00"/>
    <w:family w:val="roman"/>
    <w:pitch w:val="variable"/>
    <w:sig w:usb0="00002003" w:usb1="00000000" w:usb2="00000000" w:usb3="00000000" w:csb0="0000004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abic Transparent">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4951" w:rsidRDefault="00944951" w:rsidP="00C460DD">
      <w:r>
        <w:separator/>
      </w:r>
    </w:p>
  </w:footnote>
  <w:footnote w:type="continuationSeparator" w:id="0">
    <w:p w:rsidR="00944951" w:rsidRDefault="00944951" w:rsidP="00C460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23CB5"/>
    <w:multiLevelType w:val="hybridMultilevel"/>
    <w:tmpl w:val="FE7C8B30"/>
    <w:lvl w:ilvl="0" w:tplc="11B21604">
      <w:start w:val="8"/>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7470A9"/>
    <w:multiLevelType w:val="hybridMultilevel"/>
    <w:tmpl w:val="FC0E2B1A"/>
    <w:lvl w:ilvl="0" w:tplc="C8D89D6C">
      <w:start w:val="1"/>
      <w:numFmt w:val="decimal"/>
      <w:lvlText w:val="%1."/>
      <w:lvlJc w:val="left"/>
      <w:pPr>
        <w:ind w:left="386" w:hanging="360"/>
      </w:pPr>
      <w:rPr>
        <w:rFonts w:ascii="Simplified Arabic" w:eastAsia="Times New Roman" w:hAnsi="Simplified Arabic" w:cs="Simplified Arabic"/>
        <w:sz w:val="28"/>
      </w:r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2">
    <w:nsid w:val="195C186C"/>
    <w:multiLevelType w:val="hybridMultilevel"/>
    <w:tmpl w:val="13C60D40"/>
    <w:lvl w:ilvl="0" w:tplc="0652CCC4">
      <w:start w:val="8"/>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D41532"/>
    <w:multiLevelType w:val="hybridMultilevel"/>
    <w:tmpl w:val="EDA20A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EB13C7"/>
    <w:multiLevelType w:val="hybridMultilevel"/>
    <w:tmpl w:val="1312E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E44F1D"/>
    <w:multiLevelType w:val="hybridMultilevel"/>
    <w:tmpl w:val="DFD48C5E"/>
    <w:lvl w:ilvl="0" w:tplc="B3C29A24">
      <w:start w:val="1"/>
      <w:numFmt w:val="arabicAlpha"/>
      <w:lvlText w:val="%1."/>
      <w:lvlJc w:val="left"/>
      <w:pPr>
        <w:ind w:left="879" w:hanging="360"/>
      </w:pPr>
      <w:rPr>
        <w:rFonts w:hint="default"/>
      </w:rPr>
    </w:lvl>
    <w:lvl w:ilvl="1" w:tplc="04090019" w:tentative="1">
      <w:start w:val="1"/>
      <w:numFmt w:val="lowerLetter"/>
      <w:lvlText w:val="%2."/>
      <w:lvlJc w:val="left"/>
      <w:pPr>
        <w:ind w:left="1599" w:hanging="360"/>
      </w:pPr>
    </w:lvl>
    <w:lvl w:ilvl="2" w:tplc="0409001B" w:tentative="1">
      <w:start w:val="1"/>
      <w:numFmt w:val="lowerRoman"/>
      <w:lvlText w:val="%3."/>
      <w:lvlJc w:val="right"/>
      <w:pPr>
        <w:ind w:left="2319" w:hanging="180"/>
      </w:pPr>
    </w:lvl>
    <w:lvl w:ilvl="3" w:tplc="0409000F" w:tentative="1">
      <w:start w:val="1"/>
      <w:numFmt w:val="decimal"/>
      <w:lvlText w:val="%4."/>
      <w:lvlJc w:val="left"/>
      <w:pPr>
        <w:ind w:left="3039" w:hanging="360"/>
      </w:pPr>
    </w:lvl>
    <w:lvl w:ilvl="4" w:tplc="04090019" w:tentative="1">
      <w:start w:val="1"/>
      <w:numFmt w:val="lowerLetter"/>
      <w:lvlText w:val="%5."/>
      <w:lvlJc w:val="left"/>
      <w:pPr>
        <w:ind w:left="3759" w:hanging="360"/>
      </w:pPr>
    </w:lvl>
    <w:lvl w:ilvl="5" w:tplc="0409001B" w:tentative="1">
      <w:start w:val="1"/>
      <w:numFmt w:val="lowerRoman"/>
      <w:lvlText w:val="%6."/>
      <w:lvlJc w:val="right"/>
      <w:pPr>
        <w:ind w:left="4479" w:hanging="180"/>
      </w:pPr>
    </w:lvl>
    <w:lvl w:ilvl="6" w:tplc="0409000F" w:tentative="1">
      <w:start w:val="1"/>
      <w:numFmt w:val="decimal"/>
      <w:lvlText w:val="%7."/>
      <w:lvlJc w:val="left"/>
      <w:pPr>
        <w:ind w:left="5199" w:hanging="360"/>
      </w:pPr>
    </w:lvl>
    <w:lvl w:ilvl="7" w:tplc="04090019" w:tentative="1">
      <w:start w:val="1"/>
      <w:numFmt w:val="lowerLetter"/>
      <w:lvlText w:val="%8."/>
      <w:lvlJc w:val="left"/>
      <w:pPr>
        <w:ind w:left="5919" w:hanging="360"/>
      </w:pPr>
    </w:lvl>
    <w:lvl w:ilvl="8" w:tplc="0409001B" w:tentative="1">
      <w:start w:val="1"/>
      <w:numFmt w:val="lowerRoman"/>
      <w:lvlText w:val="%9."/>
      <w:lvlJc w:val="right"/>
      <w:pPr>
        <w:ind w:left="6639" w:hanging="180"/>
      </w:pPr>
    </w:lvl>
  </w:abstractNum>
  <w:abstractNum w:abstractNumId="6">
    <w:nsid w:val="2E065169"/>
    <w:multiLevelType w:val="hybridMultilevel"/>
    <w:tmpl w:val="7D6C13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FE63A91"/>
    <w:multiLevelType w:val="hybridMultilevel"/>
    <w:tmpl w:val="A43E786A"/>
    <w:lvl w:ilvl="0" w:tplc="0EB6ADAA">
      <w:start w:val="1"/>
      <w:numFmt w:val="decimal"/>
      <w:lvlText w:val="%1."/>
      <w:lvlJc w:val="left"/>
      <w:pPr>
        <w:ind w:left="360" w:hanging="360"/>
      </w:pPr>
      <w:rPr>
        <w:rFonts w:hint="default"/>
        <w:b w:val="0"/>
        <w:bCs w:val="0"/>
        <w:sz w:val="28"/>
        <w:szCs w:val="28"/>
      </w:rPr>
    </w:lvl>
    <w:lvl w:ilvl="1" w:tplc="04090019" w:tentative="1">
      <w:start w:val="1"/>
      <w:numFmt w:val="lowerLetter"/>
      <w:lvlText w:val="%2."/>
      <w:lvlJc w:val="left"/>
      <w:pPr>
        <w:ind w:left="2162" w:hanging="360"/>
      </w:pPr>
    </w:lvl>
    <w:lvl w:ilvl="2" w:tplc="0409001B" w:tentative="1">
      <w:start w:val="1"/>
      <w:numFmt w:val="lowerRoman"/>
      <w:lvlText w:val="%3."/>
      <w:lvlJc w:val="right"/>
      <w:pPr>
        <w:ind w:left="2882" w:hanging="180"/>
      </w:pPr>
    </w:lvl>
    <w:lvl w:ilvl="3" w:tplc="0409000F" w:tentative="1">
      <w:start w:val="1"/>
      <w:numFmt w:val="decimal"/>
      <w:lvlText w:val="%4."/>
      <w:lvlJc w:val="left"/>
      <w:pPr>
        <w:ind w:left="3602" w:hanging="360"/>
      </w:pPr>
    </w:lvl>
    <w:lvl w:ilvl="4" w:tplc="04090019" w:tentative="1">
      <w:start w:val="1"/>
      <w:numFmt w:val="lowerLetter"/>
      <w:lvlText w:val="%5."/>
      <w:lvlJc w:val="left"/>
      <w:pPr>
        <w:ind w:left="4322" w:hanging="360"/>
      </w:pPr>
    </w:lvl>
    <w:lvl w:ilvl="5" w:tplc="0409001B" w:tentative="1">
      <w:start w:val="1"/>
      <w:numFmt w:val="lowerRoman"/>
      <w:lvlText w:val="%6."/>
      <w:lvlJc w:val="right"/>
      <w:pPr>
        <w:ind w:left="5042" w:hanging="180"/>
      </w:pPr>
    </w:lvl>
    <w:lvl w:ilvl="6" w:tplc="0409000F" w:tentative="1">
      <w:start w:val="1"/>
      <w:numFmt w:val="decimal"/>
      <w:lvlText w:val="%7."/>
      <w:lvlJc w:val="left"/>
      <w:pPr>
        <w:ind w:left="5762" w:hanging="360"/>
      </w:pPr>
    </w:lvl>
    <w:lvl w:ilvl="7" w:tplc="04090019" w:tentative="1">
      <w:start w:val="1"/>
      <w:numFmt w:val="lowerLetter"/>
      <w:lvlText w:val="%8."/>
      <w:lvlJc w:val="left"/>
      <w:pPr>
        <w:ind w:left="6482" w:hanging="360"/>
      </w:pPr>
    </w:lvl>
    <w:lvl w:ilvl="8" w:tplc="0409001B" w:tentative="1">
      <w:start w:val="1"/>
      <w:numFmt w:val="lowerRoman"/>
      <w:lvlText w:val="%9."/>
      <w:lvlJc w:val="right"/>
      <w:pPr>
        <w:ind w:left="7202" w:hanging="180"/>
      </w:pPr>
    </w:lvl>
  </w:abstractNum>
  <w:abstractNum w:abstractNumId="8">
    <w:nsid w:val="35E83F62"/>
    <w:multiLevelType w:val="hybridMultilevel"/>
    <w:tmpl w:val="463E07C0"/>
    <w:lvl w:ilvl="0" w:tplc="D6D2CB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A3C6125"/>
    <w:multiLevelType w:val="hybridMultilevel"/>
    <w:tmpl w:val="F04E66AE"/>
    <w:lvl w:ilvl="0" w:tplc="51BE46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20B2F55"/>
    <w:multiLevelType w:val="hybridMultilevel"/>
    <w:tmpl w:val="411AD404"/>
    <w:lvl w:ilvl="0" w:tplc="6BE4632E">
      <w:start w:val="1"/>
      <w:numFmt w:val="decimal"/>
      <w:lvlText w:val="%1."/>
      <w:lvlJc w:val="left"/>
      <w:pPr>
        <w:ind w:left="386" w:hanging="360"/>
      </w:pPr>
      <w:rPr>
        <w:rFonts w:hint="default"/>
      </w:r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11">
    <w:nsid w:val="638D5952"/>
    <w:multiLevelType w:val="hybridMultilevel"/>
    <w:tmpl w:val="3A96D90E"/>
    <w:lvl w:ilvl="0" w:tplc="4F34DE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9996399"/>
    <w:multiLevelType w:val="hybridMultilevel"/>
    <w:tmpl w:val="076CF6E0"/>
    <w:lvl w:ilvl="0" w:tplc="F02C512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77315F24"/>
    <w:multiLevelType w:val="hybridMultilevel"/>
    <w:tmpl w:val="20C803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ED87B30"/>
    <w:multiLevelType w:val="hybridMultilevel"/>
    <w:tmpl w:val="661A90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4"/>
  </w:num>
  <w:num w:numId="3">
    <w:abstractNumId w:val="13"/>
  </w:num>
  <w:num w:numId="4">
    <w:abstractNumId w:val="3"/>
  </w:num>
  <w:num w:numId="5">
    <w:abstractNumId w:val="1"/>
  </w:num>
  <w:num w:numId="6">
    <w:abstractNumId w:val="9"/>
  </w:num>
  <w:num w:numId="7">
    <w:abstractNumId w:val="7"/>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2"/>
  </w:num>
  <w:num w:numId="11">
    <w:abstractNumId w:val="6"/>
  </w:num>
  <w:num w:numId="12">
    <w:abstractNumId w:val="8"/>
  </w:num>
  <w:num w:numId="13">
    <w:abstractNumId w:val="5"/>
  </w:num>
  <w:num w:numId="14">
    <w:abstractNumId w:val="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F11"/>
    <w:rsid w:val="00030F5E"/>
    <w:rsid w:val="00032240"/>
    <w:rsid w:val="00033700"/>
    <w:rsid w:val="000343E1"/>
    <w:rsid w:val="00043661"/>
    <w:rsid w:val="00060861"/>
    <w:rsid w:val="0006385E"/>
    <w:rsid w:val="0006514C"/>
    <w:rsid w:val="00086126"/>
    <w:rsid w:val="00090996"/>
    <w:rsid w:val="000934AA"/>
    <w:rsid w:val="00097EB6"/>
    <w:rsid w:val="000B3825"/>
    <w:rsid w:val="000C1C0A"/>
    <w:rsid w:val="000C433A"/>
    <w:rsid w:val="000C7E0C"/>
    <w:rsid w:val="001104A2"/>
    <w:rsid w:val="00120C92"/>
    <w:rsid w:val="00153A06"/>
    <w:rsid w:val="001542CF"/>
    <w:rsid w:val="0016073F"/>
    <w:rsid w:val="001617AC"/>
    <w:rsid w:val="00161E06"/>
    <w:rsid w:val="001720E2"/>
    <w:rsid w:val="001837D6"/>
    <w:rsid w:val="00195D43"/>
    <w:rsid w:val="0019779A"/>
    <w:rsid w:val="001A1A1E"/>
    <w:rsid w:val="001C1388"/>
    <w:rsid w:val="001D799F"/>
    <w:rsid w:val="001E69D9"/>
    <w:rsid w:val="001F30EB"/>
    <w:rsid w:val="002044A8"/>
    <w:rsid w:val="00206D2B"/>
    <w:rsid w:val="00211BA5"/>
    <w:rsid w:val="00216A4E"/>
    <w:rsid w:val="00217554"/>
    <w:rsid w:val="00226713"/>
    <w:rsid w:val="002316C9"/>
    <w:rsid w:val="00234510"/>
    <w:rsid w:val="002355C1"/>
    <w:rsid w:val="0023574B"/>
    <w:rsid w:val="00242586"/>
    <w:rsid w:val="0024765C"/>
    <w:rsid w:val="00266D84"/>
    <w:rsid w:val="002707E2"/>
    <w:rsid w:val="00280439"/>
    <w:rsid w:val="002935F2"/>
    <w:rsid w:val="002C3B5A"/>
    <w:rsid w:val="002D457B"/>
    <w:rsid w:val="002E398E"/>
    <w:rsid w:val="002E571F"/>
    <w:rsid w:val="002E7F85"/>
    <w:rsid w:val="003258B9"/>
    <w:rsid w:val="003368B0"/>
    <w:rsid w:val="00340E8D"/>
    <w:rsid w:val="00344E77"/>
    <w:rsid w:val="003D732F"/>
    <w:rsid w:val="003F1393"/>
    <w:rsid w:val="00420286"/>
    <w:rsid w:val="004236A5"/>
    <w:rsid w:val="0046284D"/>
    <w:rsid w:val="00463CD6"/>
    <w:rsid w:val="00472545"/>
    <w:rsid w:val="004742FE"/>
    <w:rsid w:val="00476B6A"/>
    <w:rsid w:val="004864B1"/>
    <w:rsid w:val="00491610"/>
    <w:rsid w:val="00492E31"/>
    <w:rsid w:val="004A2DAD"/>
    <w:rsid w:val="004B253F"/>
    <w:rsid w:val="004B5868"/>
    <w:rsid w:val="004D3836"/>
    <w:rsid w:val="004E33FA"/>
    <w:rsid w:val="004F0339"/>
    <w:rsid w:val="00523620"/>
    <w:rsid w:val="00524F21"/>
    <w:rsid w:val="005259DF"/>
    <w:rsid w:val="00526919"/>
    <w:rsid w:val="00526C74"/>
    <w:rsid w:val="00562F11"/>
    <w:rsid w:val="00577399"/>
    <w:rsid w:val="00593091"/>
    <w:rsid w:val="005941A0"/>
    <w:rsid w:val="00595C4C"/>
    <w:rsid w:val="005A29C5"/>
    <w:rsid w:val="005B485D"/>
    <w:rsid w:val="005C3C07"/>
    <w:rsid w:val="005F5FEF"/>
    <w:rsid w:val="006034FA"/>
    <w:rsid w:val="00612EF1"/>
    <w:rsid w:val="00630560"/>
    <w:rsid w:val="006310CB"/>
    <w:rsid w:val="00635D8E"/>
    <w:rsid w:val="0064163F"/>
    <w:rsid w:val="00644E76"/>
    <w:rsid w:val="00661F1E"/>
    <w:rsid w:val="00675E8D"/>
    <w:rsid w:val="00677236"/>
    <w:rsid w:val="006900CD"/>
    <w:rsid w:val="00693B61"/>
    <w:rsid w:val="006A0274"/>
    <w:rsid w:val="006A3014"/>
    <w:rsid w:val="006B24D7"/>
    <w:rsid w:val="006C3512"/>
    <w:rsid w:val="006C548C"/>
    <w:rsid w:val="006D10ED"/>
    <w:rsid w:val="006D4CC2"/>
    <w:rsid w:val="006E6F73"/>
    <w:rsid w:val="006F660E"/>
    <w:rsid w:val="00700349"/>
    <w:rsid w:val="00701875"/>
    <w:rsid w:val="00702A5D"/>
    <w:rsid w:val="007131F0"/>
    <w:rsid w:val="00715A34"/>
    <w:rsid w:val="00740141"/>
    <w:rsid w:val="00751753"/>
    <w:rsid w:val="007564CE"/>
    <w:rsid w:val="00761A31"/>
    <w:rsid w:val="00765A5C"/>
    <w:rsid w:val="00786A20"/>
    <w:rsid w:val="007A2198"/>
    <w:rsid w:val="007A566E"/>
    <w:rsid w:val="007D156B"/>
    <w:rsid w:val="007D513E"/>
    <w:rsid w:val="007E187F"/>
    <w:rsid w:val="007E684E"/>
    <w:rsid w:val="007F634A"/>
    <w:rsid w:val="00803A75"/>
    <w:rsid w:val="008107CD"/>
    <w:rsid w:val="008148DC"/>
    <w:rsid w:val="00833397"/>
    <w:rsid w:val="00837BE4"/>
    <w:rsid w:val="0085152D"/>
    <w:rsid w:val="0089242C"/>
    <w:rsid w:val="0089371E"/>
    <w:rsid w:val="008A3151"/>
    <w:rsid w:val="008B7F85"/>
    <w:rsid w:val="008D17B5"/>
    <w:rsid w:val="008D240E"/>
    <w:rsid w:val="008D67D0"/>
    <w:rsid w:val="008E0E15"/>
    <w:rsid w:val="008E1671"/>
    <w:rsid w:val="008F21F7"/>
    <w:rsid w:val="009024DF"/>
    <w:rsid w:val="00902E19"/>
    <w:rsid w:val="0090449D"/>
    <w:rsid w:val="00905D90"/>
    <w:rsid w:val="00905EA4"/>
    <w:rsid w:val="00907574"/>
    <w:rsid w:val="0091266A"/>
    <w:rsid w:val="00927820"/>
    <w:rsid w:val="00944951"/>
    <w:rsid w:val="009535E4"/>
    <w:rsid w:val="00966D7C"/>
    <w:rsid w:val="00977F3E"/>
    <w:rsid w:val="009836AF"/>
    <w:rsid w:val="00996E8C"/>
    <w:rsid w:val="009B0433"/>
    <w:rsid w:val="009B7108"/>
    <w:rsid w:val="009C17C8"/>
    <w:rsid w:val="009C1BF6"/>
    <w:rsid w:val="009C666E"/>
    <w:rsid w:val="009C79D2"/>
    <w:rsid w:val="009F6C59"/>
    <w:rsid w:val="00A00509"/>
    <w:rsid w:val="00A00968"/>
    <w:rsid w:val="00A2144E"/>
    <w:rsid w:val="00A34D66"/>
    <w:rsid w:val="00A44BCC"/>
    <w:rsid w:val="00A71273"/>
    <w:rsid w:val="00A7201B"/>
    <w:rsid w:val="00A913C7"/>
    <w:rsid w:val="00AA24EA"/>
    <w:rsid w:val="00AA6B07"/>
    <w:rsid w:val="00AC53B9"/>
    <w:rsid w:val="00AE296B"/>
    <w:rsid w:val="00AF0F6A"/>
    <w:rsid w:val="00AF30E5"/>
    <w:rsid w:val="00AF4C7D"/>
    <w:rsid w:val="00AF5526"/>
    <w:rsid w:val="00B11343"/>
    <w:rsid w:val="00B128AE"/>
    <w:rsid w:val="00B31283"/>
    <w:rsid w:val="00B573E2"/>
    <w:rsid w:val="00B61220"/>
    <w:rsid w:val="00B840B7"/>
    <w:rsid w:val="00B96EA5"/>
    <w:rsid w:val="00BA582C"/>
    <w:rsid w:val="00BA7B89"/>
    <w:rsid w:val="00BC60B6"/>
    <w:rsid w:val="00BD08B3"/>
    <w:rsid w:val="00C05220"/>
    <w:rsid w:val="00C355CF"/>
    <w:rsid w:val="00C37EF4"/>
    <w:rsid w:val="00C460DD"/>
    <w:rsid w:val="00C64A0E"/>
    <w:rsid w:val="00CA3B02"/>
    <w:rsid w:val="00CC059C"/>
    <w:rsid w:val="00CD547F"/>
    <w:rsid w:val="00CD7043"/>
    <w:rsid w:val="00CF4C06"/>
    <w:rsid w:val="00CF7BDF"/>
    <w:rsid w:val="00D0212D"/>
    <w:rsid w:val="00D027A6"/>
    <w:rsid w:val="00D3327F"/>
    <w:rsid w:val="00D33D5E"/>
    <w:rsid w:val="00D540F2"/>
    <w:rsid w:val="00D6312E"/>
    <w:rsid w:val="00D72C1D"/>
    <w:rsid w:val="00D73CB5"/>
    <w:rsid w:val="00D8037B"/>
    <w:rsid w:val="00D859B2"/>
    <w:rsid w:val="00D927A2"/>
    <w:rsid w:val="00DA1788"/>
    <w:rsid w:val="00DC0110"/>
    <w:rsid w:val="00DD4BD4"/>
    <w:rsid w:val="00DE0CA3"/>
    <w:rsid w:val="00E10C00"/>
    <w:rsid w:val="00E152CA"/>
    <w:rsid w:val="00E1569D"/>
    <w:rsid w:val="00E2757B"/>
    <w:rsid w:val="00E31E8E"/>
    <w:rsid w:val="00E51C84"/>
    <w:rsid w:val="00E57DB8"/>
    <w:rsid w:val="00E617F0"/>
    <w:rsid w:val="00E61F15"/>
    <w:rsid w:val="00E62DAA"/>
    <w:rsid w:val="00E64582"/>
    <w:rsid w:val="00E963D2"/>
    <w:rsid w:val="00EA537A"/>
    <w:rsid w:val="00EA6BF6"/>
    <w:rsid w:val="00EA7892"/>
    <w:rsid w:val="00EB5A0D"/>
    <w:rsid w:val="00EC6D63"/>
    <w:rsid w:val="00EF092E"/>
    <w:rsid w:val="00EF604A"/>
    <w:rsid w:val="00F15852"/>
    <w:rsid w:val="00F20216"/>
    <w:rsid w:val="00F4130A"/>
    <w:rsid w:val="00F674E2"/>
    <w:rsid w:val="00F728CE"/>
    <w:rsid w:val="00F80730"/>
    <w:rsid w:val="00F9560A"/>
    <w:rsid w:val="00FC4384"/>
    <w:rsid w:val="00FD73D6"/>
    <w:rsid w:val="00FE3F1D"/>
    <w:rsid w:val="00FE42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10ED"/>
    <w:pPr>
      <w:bidi/>
    </w:pPr>
    <w:rPr>
      <w:rFonts w:ascii="Times New Roman" w:eastAsia="Times New Roman" w:hAnsi="Times New Roman" w:cs="Times New Roman"/>
      <w:sz w:val="24"/>
      <w:szCs w:val="24"/>
      <w:lang w:eastAsia="ar-SA"/>
    </w:rPr>
  </w:style>
  <w:style w:type="paragraph" w:styleId="Heading1">
    <w:name w:val="heading 1"/>
    <w:basedOn w:val="Normal"/>
    <w:next w:val="Normal"/>
    <w:link w:val="Heading1Char"/>
    <w:qFormat/>
    <w:rsid w:val="002935F2"/>
    <w:pPr>
      <w:keepNext/>
      <w:bidi w:val="0"/>
      <w:ind w:left="-540" w:right="-334"/>
      <w:jc w:val="center"/>
      <w:outlineLvl w:val="0"/>
    </w:pPr>
    <w:rPr>
      <w:rFonts w:cs="Arabic Transparent"/>
      <w:b/>
      <w:bCs/>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7108"/>
    <w:pPr>
      <w:ind w:left="720"/>
    </w:pPr>
  </w:style>
  <w:style w:type="table" w:styleId="TableGrid">
    <w:name w:val="Table Grid"/>
    <w:basedOn w:val="TableNormal"/>
    <w:uiPriority w:val="59"/>
    <w:rsid w:val="005B4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460DD"/>
    <w:pPr>
      <w:tabs>
        <w:tab w:val="center" w:pos="4153"/>
        <w:tab w:val="right" w:pos="8306"/>
      </w:tabs>
    </w:pPr>
  </w:style>
  <w:style w:type="character" w:customStyle="1" w:styleId="HeaderChar">
    <w:name w:val="Header Char"/>
    <w:link w:val="Header"/>
    <w:uiPriority w:val="99"/>
    <w:rsid w:val="00C460DD"/>
    <w:rPr>
      <w:rFonts w:ascii="Times New Roman" w:eastAsia="Times New Roman" w:hAnsi="Times New Roman" w:cs="Times New Roman"/>
      <w:sz w:val="24"/>
      <w:szCs w:val="24"/>
      <w:lang w:eastAsia="ar-SA"/>
    </w:rPr>
  </w:style>
  <w:style w:type="paragraph" w:styleId="Footer">
    <w:name w:val="footer"/>
    <w:basedOn w:val="Normal"/>
    <w:link w:val="FooterChar"/>
    <w:uiPriority w:val="99"/>
    <w:unhideWhenUsed/>
    <w:rsid w:val="00C460DD"/>
    <w:pPr>
      <w:tabs>
        <w:tab w:val="center" w:pos="4153"/>
        <w:tab w:val="right" w:pos="8306"/>
      </w:tabs>
    </w:pPr>
  </w:style>
  <w:style w:type="character" w:customStyle="1" w:styleId="FooterChar">
    <w:name w:val="Footer Char"/>
    <w:link w:val="Footer"/>
    <w:uiPriority w:val="99"/>
    <w:rsid w:val="00C460DD"/>
    <w:rPr>
      <w:rFonts w:ascii="Times New Roman" w:eastAsia="Times New Roman" w:hAnsi="Times New Roman" w:cs="Times New Roman"/>
      <w:sz w:val="24"/>
      <w:szCs w:val="24"/>
      <w:lang w:eastAsia="ar-SA"/>
    </w:rPr>
  </w:style>
  <w:style w:type="paragraph" w:styleId="BalloonText">
    <w:name w:val="Balloon Text"/>
    <w:basedOn w:val="Normal"/>
    <w:link w:val="BalloonTextChar"/>
    <w:uiPriority w:val="99"/>
    <w:semiHidden/>
    <w:unhideWhenUsed/>
    <w:rsid w:val="00C460DD"/>
    <w:rPr>
      <w:rFonts w:ascii="Tahoma" w:hAnsi="Tahoma" w:cs="Tahoma"/>
      <w:sz w:val="16"/>
      <w:szCs w:val="16"/>
    </w:rPr>
  </w:style>
  <w:style w:type="character" w:customStyle="1" w:styleId="BalloonTextChar">
    <w:name w:val="Balloon Text Char"/>
    <w:link w:val="BalloonText"/>
    <w:uiPriority w:val="99"/>
    <w:semiHidden/>
    <w:rsid w:val="00C460DD"/>
    <w:rPr>
      <w:rFonts w:ascii="Tahoma" w:eastAsia="Times New Roman" w:hAnsi="Tahoma" w:cs="Tahoma"/>
      <w:sz w:val="16"/>
      <w:szCs w:val="16"/>
      <w:lang w:eastAsia="ar-SA"/>
    </w:rPr>
  </w:style>
  <w:style w:type="character" w:customStyle="1" w:styleId="Heading1Char">
    <w:name w:val="Heading 1 Char"/>
    <w:link w:val="Heading1"/>
    <w:rsid w:val="002935F2"/>
    <w:rPr>
      <w:rFonts w:ascii="Times New Roman" w:eastAsia="Times New Roman" w:hAnsi="Times New Roman" w:cs="Arabic Transparent"/>
      <w:b/>
      <w:bCs/>
      <w:sz w:val="32"/>
      <w:szCs w:val="32"/>
    </w:rPr>
  </w:style>
  <w:style w:type="character" w:styleId="Strong">
    <w:name w:val="Strong"/>
    <w:qFormat/>
    <w:rsid w:val="002935F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10ED"/>
    <w:pPr>
      <w:bidi/>
    </w:pPr>
    <w:rPr>
      <w:rFonts w:ascii="Times New Roman" w:eastAsia="Times New Roman" w:hAnsi="Times New Roman" w:cs="Times New Roman"/>
      <w:sz w:val="24"/>
      <w:szCs w:val="24"/>
      <w:lang w:eastAsia="ar-SA"/>
    </w:rPr>
  </w:style>
  <w:style w:type="paragraph" w:styleId="Heading1">
    <w:name w:val="heading 1"/>
    <w:basedOn w:val="Normal"/>
    <w:next w:val="Normal"/>
    <w:link w:val="Heading1Char"/>
    <w:qFormat/>
    <w:rsid w:val="002935F2"/>
    <w:pPr>
      <w:keepNext/>
      <w:bidi w:val="0"/>
      <w:ind w:left="-540" w:right="-334"/>
      <w:jc w:val="center"/>
      <w:outlineLvl w:val="0"/>
    </w:pPr>
    <w:rPr>
      <w:rFonts w:cs="Arabic Transparent"/>
      <w:b/>
      <w:bCs/>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7108"/>
    <w:pPr>
      <w:ind w:left="720"/>
    </w:pPr>
  </w:style>
  <w:style w:type="table" w:styleId="TableGrid">
    <w:name w:val="Table Grid"/>
    <w:basedOn w:val="TableNormal"/>
    <w:uiPriority w:val="59"/>
    <w:rsid w:val="005B4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460DD"/>
    <w:pPr>
      <w:tabs>
        <w:tab w:val="center" w:pos="4153"/>
        <w:tab w:val="right" w:pos="8306"/>
      </w:tabs>
    </w:pPr>
  </w:style>
  <w:style w:type="character" w:customStyle="1" w:styleId="HeaderChar">
    <w:name w:val="Header Char"/>
    <w:link w:val="Header"/>
    <w:uiPriority w:val="99"/>
    <w:rsid w:val="00C460DD"/>
    <w:rPr>
      <w:rFonts w:ascii="Times New Roman" w:eastAsia="Times New Roman" w:hAnsi="Times New Roman" w:cs="Times New Roman"/>
      <w:sz w:val="24"/>
      <w:szCs w:val="24"/>
      <w:lang w:eastAsia="ar-SA"/>
    </w:rPr>
  </w:style>
  <w:style w:type="paragraph" w:styleId="Footer">
    <w:name w:val="footer"/>
    <w:basedOn w:val="Normal"/>
    <w:link w:val="FooterChar"/>
    <w:uiPriority w:val="99"/>
    <w:unhideWhenUsed/>
    <w:rsid w:val="00C460DD"/>
    <w:pPr>
      <w:tabs>
        <w:tab w:val="center" w:pos="4153"/>
        <w:tab w:val="right" w:pos="8306"/>
      </w:tabs>
    </w:pPr>
  </w:style>
  <w:style w:type="character" w:customStyle="1" w:styleId="FooterChar">
    <w:name w:val="Footer Char"/>
    <w:link w:val="Footer"/>
    <w:uiPriority w:val="99"/>
    <w:rsid w:val="00C460DD"/>
    <w:rPr>
      <w:rFonts w:ascii="Times New Roman" w:eastAsia="Times New Roman" w:hAnsi="Times New Roman" w:cs="Times New Roman"/>
      <w:sz w:val="24"/>
      <w:szCs w:val="24"/>
      <w:lang w:eastAsia="ar-SA"/>
    </w:rPr>
  </w:style>
  <w:style w:type="paragraph" w:styleId="BalloonText">
    <w:name w:val="Balloon Text"/>
    <w:basedOn w:val="Normal"/>
    <w:link w:val="BalloonTextChar"/>
    <w:uiPriority w:val="99"/>
    <w:semiHidden/>
    <w:unhideWhenUsed/>
    <w:rsid w:val="00C460DD"/>
    <w:rPr>
      <w:rFonts w:ascii="Tahoma" w:hAnsi="Tahoma" w:cs="Tahoma"/>
      <w:sz w:val="16"/>
      <w:szCs w:val="16"/>
    </w:rPr>
  </w:style>
  <w:style w:type="character" w:customStyle="1" w:styleId="BalloonTextChar">
    <w:name w:val="Balloon Text Char"/>
    <w:link w:val="BalloonText"/>
    <w:uiPriority w:val="99"/>
    <w:semiHidden/>
    <w:rsid w:val="00C460DD"/>
    <w:rPr>
      <w:rFonts w:ascii="Tahoma" w:eastAsia="Times New Roman" w:hAnsi="Tahoma" w:cs="Tahoma"/>
      <w:sz w:val="16"/>
      <w:szCs w:val="16"/>
      <w:lang w:eastAsia="ar-SA"/>
    </w:rPr>
  </w:style>
  <w:style w:type="character" w:customStyle="1" w:styleId="Heading1Char">
    <w:name w:val="Heading 1 Char"/>
    <w:link w:val="Heading1"/>
    <w:rsid w:val="002935F2"/>
    <w:rPr>
      <w:rFonts w:ascii="Times New Roman" w:eastAsia="Times New Roman" w:hAnsi="Times New Roman" w:cs="Arabic Transparent"/>
      <w:b/>
      <w:bCs/>
      <w:sz w:val="32"/>
      <w:szCs w:val="32"/>
    </w:rPr>
  </w:style>
  <w:style w:type="character" w:styleId="Strong">
    <w:name w:val="Strong"/>
    <w:qFormat/>
    <w:rsid w:val="002935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8069126">
      <w:bodyDiv w:val="1"/>
      <w:marLeft w:val="0"/>
      <w:marRight w:val="0"/>
      <w:marTop w:val="0"/>
      <w:marBottom w:val="0"/>
      <w:divBdr>
        <w:top w:val="none" w:sz="0" w:space="0" w:color="auto"/>
        <w:left w:val="none" w:sz="0" w:space="0" w:color="auto"/>
        <w:bottom w:val="none" w:sz="0" w:space="0" w:color="auto"/>
        <w:right w:val="none" w:sz="0" w:space="0" w:color="auto"/>
      </w:divBdr>
    </w:div>
    <w:div w:id="1674607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66ED6E-9D9F-4704-8C38-3D65FC473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3</Pages>
  <Words>719</Words>
  <Characters>4104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cbj</Company>
  <LinksUpToDate>false</LinksUpToDate>
  <CharactersWithSpaces>4814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ramahe.ja</dc:creator>
  <cp:lastModifiedBy>nisreen.habash</cp:lastModifiedBy>
  <cp:revision>38</cp:revision>
  <cp:lastPrinted>2018-06-04T12:10:00Z</cp:lastPrinted>
  <dcterms:created xsi:type="dcterms:W3CDTF">2018-04-03T11:19:00Z</dcterms:created>
  <dcterms:modified xsi:type="dcterms:W3CDTF">2018-06-04T12:13:00Z</dcterms:modified>
</cp:coreProperties>
</file>