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C6" w:rsidRDefault="00CA62C6" w:rsidP="00CA62C6">
      <w:pPr>
        <w:jc w:val="lowKashida"/>
        <w:rPr>
          <w:rFonts w:cs="Simplified Arabic"/>
          <w:b/>
          <w:bCs/>
          <w:sz w:val="32"/>
          <w:szCs w:val="32"/>
          <w:lang w:bidi="ar-JO"/>
        </w:rPr>
      </w:pPr>
    </w:p>
    <w:p w:rsidR="006D5FCB" w:rsidRPr="00446424" w:rsidRDefault="007858BF" w:rsidP="00CA62C6">
      <w:pPr>
        <w:jc w:val="lowKashida"/>
        <w:rPr>
          <w:rFonts w:cs="Simplified Arabic"/>
          <w:sz w:val="32"/>
          <w:szCs w:val="32"/>
          <w:rtl/>
        </w:rPr>
      </w:pPr>
      <w:r w:rsidRPr="00446424">
        <w:rPr>
          <w:rFonts w:cs="Simplified Arabic" w:hint="cs"/>
          <w:sz w:val="32"/>
          <w:szCs w:val="32"/>
          <w:rtl/>
        </w:rPr>
        <w:t>10/1/</w:t>
      </w:r>
      <w:r w:rsidR="00413477">
        <w:rPr>
          <w:rFonts w:cs="Simplified Arabic" w:hint="cs"/>
          <w:sz w:val="32"/>
          <w:szCs w:val="32"/>
          <w:rtl/>
        </w:rPr>
        <w:t>3758</w:t>
      </w:r>
    </w:p>
    <w:p w:rsidR="007858BF" w:rsidRPr="00446424" w:rsidRDefault="007858BF" w:rsidP="00413477">
      <w:pPr>
        <w:jc w:val="lowKashida"/>
        <w:rPr>
          <w:rFonts w:cs="Simplified Arabic"/>
          <w:sz w:val="32"/>
          <w:szCs w:val="32"/>
          <w:rtl/>
        </w:rPr>
      </w:pPr>
      <w:r w:rsidRPr="00446424">
        <w:rPr>
          <w:rFonts w:cs="Simplified Arabic" w:hint="cs"/>
          <w:sz w:val="32"/>
          <w:szCs w:val="32"/>
          <w:rtl/>
        </w:rPr>
        <w:t xml:space="preserve"> </w:t>
      </w:r>
      <w:r w:rsidR="00413477">
        <w:rPr>
          <w:rFonts w:cs="Simplified Arabic" w:hint="cs"/>
          <w:sz w:val="32"/>
          <w:szCs w:val="32"/>
          <w:rtl/>
        </w:rPr>
        <w:t>19</w:t>
      </w:r>
      <w:r w:rsidRPr="00446424">
        <w:rPr>
          <w:rFonts w:cs="Simplified Arabic" w:hint="cs"/>
          <w:sz w:val="32"/>
          <w:szCs w:val="32"/>
          <w:rtl/>
        </w:rPr>
        <w:t>/</w:t>
      </w:r>
      <w:r w:rsidR="00413477">
        <w:rPr>
          <w:rFonts w:cs="Simplified Arabic" w:hint="cs"/>
          <w:sz w:val="32"/>
          <w:szCs w:val="32"/>
          <w:rtl/>
        </w:rPr>
        <w:t>7</w:t>
      </w:r>
      <w:r w:rsidRPr="00446424">
        <w:rPr>
          <w:rFonts w:cs="Simplified Arabic" w:hint="cs"/>
          <w:sz w:val="32"/>
          <w:szCs w:val="32"/>
          <w:rtl/>
        </w:rPr>
        <w:t xml:space="preserve"> /14</w:t>
      </w:r>
      <w:r w:rsidR="00C204EA" w:rsidRPr="00446424">
        <w:rPr>
          <w:rFonts w:cs="Simplified Arabic" w:hint="cs"/>
          <w:sz w:val="32"/>
          <w:szCs w:val="32"/>
          <w:rtl/>
        </w:rPr>
        <w:t>4</w:t>
      </w:r>
      <w:r w:rsidR="009C7ED3">
        <w:rPr>
          <w:rFonts w:cs="Simplified Arabic" w:hint="cs"/>
          <w:sz w:val="32"/>
          <w:szCs w:val="32"/>
          <w:rtl/>
        </w:rPr>
        <w:t>2</w:t>
      </w:r>
      <w:r w:rsidRPr="00446424">
        <w:rPr>
          <w:rFonts w:cs="Simplified Arabic" w:hint="cs"/>
          <w:sz w:val="32"/>
          <w:szCs w:val="32"/>
          <w:rtl/>
        </w:rPr>
        <w:t xml:space="preserve"> هـ</w:t>
      </w:r>
    </w:p>
    <w:p w:rsidR="007858BF" w:rsidRPr="00446424" w:rsidRDefault="00413477" w:rsidP="00413477">
      <w:pPr>
        <w:jc w:val="lowKashida"/>
        <w:rPr>
          <w:rFonts w:cs="Simplified Arabic"/>
          <w:sz w:val="32"/>
          <w:szCs w:val="32"/>
          <w:rtl/>
        </w:rPr>
      </w:pPr>
      <w:r>
        <w:rPr>
          <w:rFonts w:cs="Simplified Arabic" w:hint="cs"/>
          <w:sz w:val="32"/>
          <w:szCs w:val="32"/>
          <w:rtl/>
        </w:rPr>
        <w:t xml:space="preserve"> 3</w:t>
      </w:r>
      <w:r w:rsidR="007858BF" w:rsidRPr="00446424">
        <w:rPr>
          <w:rFonts w:cs="Simplified Arabic" w:hint="cs"/>
          <w:sz w:val="32"/>
          <w:szCs w:val="32"/>
          <w:rtl/>
        </w:rPr>
        <w:t xml:space="preserve"> </w:t>
      </w:r>
      <w:proofErr w:type="gramStart"/>
      <w:r w:rsidR="007858BF" w:rsidRPr="00446424">
        <w:rPr>
          <w:rFonts w:cs="Simplified Arabic" w:hint="cs"/>
          <w:sz w:val="32"/>
          <w:szCs w:val="32"/>
          <w:rtl/>
        </w:rPr>
        <w:t xml:space="preserve">/  </w:t>
      </w:r>
      <w:r>
        <w:rPr>
          <w:rFonts w:cs="Simplified Arabic" w:hint="cs"/>
          <w:sz w:val="32"/>
          <w:szCs w:val="32"/>
          <w:rtl/>
        </w:rPr>
        <w:t>3</w:t>
      </w:r>
      <w:proofErr w:type="gramEnd"/>
      <w:r w:rsidR="007858BF" w:rsidRPr="00446424">
        <w:rPr>
          <w:rFonts w:cs="Simplified Arabic" w:hint="cs"/>
          <w:sz w:val="32"/>
          <w:szCs w:val="32"/>
          <w:rtl/>
        </w:rPr>
        <w:t xml:space="preserve"> /20</w:t>
      </w:r>
      <w:r w:rsidR="00E57ACD">
        <w:rPr>
          <w:rFonts w:cs="Simplified Arabic" w:hint="cs"/>
          <w:sz w:val="32"/>
          <w:szCs w:val="32"/>
          <w:rtl/>
        </w:rPr>
        <w:t>2</w:t>
      </w:r>
      <w:r w:rsidR="00944538">
        <w:rPr>
          <w:rFonts w:cs="Simplified Arabic" w:hint="cs"/>
          <w:sz w:val="32"/>
          <w:szCs w:val="32"/>
          <w:rtl/>
        </w:rPr>
        <w:t>1</w:t>
      </w:r>
      <w:r w:rsidR="007858BF" w:rsidRPr="00446424">
        <w:rPr>
          <w:rFonts w:cs="Simplified Arabic" w:hint="cs"/>
          <w:sz w:val="32"/>
          <w:szCs w:val="32"/>
          <w:rtl/>
        </w:rPr>
        <w:t xml:space="preserve"> م</w:t>
      </w:r>
    </w:p>
    <w:p w:rsidR="008D54DF" w:rsidRDefault="008D54DF" w:rsidP="007858BF">
      <w:pPr>
        <w:jc w:val="lowKashida"/>
        <w:rPr>
          <w:rFonts w:cs="Simplified Arabic"/>
          <w:b/>
          <w:bCs/>
          <w:sz w:val="32"/>
          <w:szCs w:val="32"/>
          <w:rtl/>
        </w:rPr>
      </w:pPr>
    </w:p>
    <w:p w:rsidR="008D54DF" w:rsidRDefault="008D54DF" w:rsidP="007858BF">
      <w:pPr>
        <w:jc w:val="lowKashida"/>
        <w:rPr>
          <w:rFonts w:cs="Simplified Arabic"/>
          <w:b/>
          <w:bCs/>
          <w:sz w:val="32"/>
          <w:szCs w:val="32"/>
          <w:rtl/>
        </w:rPr>
      </w:pPr>
    </w:p>
    <w:p w:rsidR="006D5FCB" w:rsidRPr="00B96CEA" w:rsidRDefault="006D5FCB" w:rsidP="006D5FCB">
      <w:pPr>
        <w:ind w:left="-6"/>
        <w:jc w:val="lowKashida"/>
        <w:rPr>
          <w:rFonts w:cs="Simplified Arabic"/>
          <w:b/>
          <w:bCs/>
          <w:sz w:val="32"/>
          <w:szCs w:val="32"/>
          <w:rtl/>
        </w:rPr>
      </w:pPr>
    </w:p>
    <w:p w:rsidR="002F167F" w:rsidRDefault="009C7ED3" w:rsidP="00915899">
      <w:pPr>
        <w:pStyle w:val="Heading4"/>
        <w:ind w:left="-227" w:right="-142" w:firstLine="0"/>
        <w:rPr>
          <w:rFonts w:cs="Simplified Arabic"/>
          <w:sz w:val="34"/>
          <w:szCs w:val="34"/>
          <w:u w:val="single"/>
          <w:rtl/>
        </w:rPr>
      </w:pPr>
      <w:r>
        <w:rPr>
          <w:rFonts w:cs="Simplified Arabic" w:hint="cs"/>
          <w:sz w:val="34"/>
          <w:szCs w:val="34"/>
          <w:u w:val="single"/>
          <w:rtl/>
        </w:rPr>
        <w:t>تعليمات منح التسهيلات المباشرة بالعملة الأجنبية وضوابط منح التسهيلات الائتمانية لأشخاص لا يمارسون نشاطاً داخل المملكة و/أو لتمويل أنشطة خارج المملكة</w:t>
      </w:r>
    </w:p>
    <w:p w:rsidR="009C7ED3" w:rsidRPr="009C7ED3" w:rsidRDefault="00413477" w:rsidP="00413477">
      <w:pPr>
        <w:jc w:val="center"/>
        <w:rPr>
          <w:b/>
          <w:bCs/>
          <w:sz w:val="36"/>
          <w:szCs w:val="36"/>
          <w:rtl/>
        </w:rPr>
      </w:pPr>
      <w:r>
        <w:rPr>
          <w:rFonts w:hint="cs"/>
          <w:b/>
          <w:bCs/>
          <w:sz w:val="36"/>
          <w:szCs w:val="36"/>
          <w:rtl/>
        </w:rPr>
        <w:t>رقم (2/</w:t>
      </w:r>
      <w:r w:rsidR="009C7ED3" w:rsidRPr="009C7ED3">
        <w:rPr>
          <w:rFonts w:hint="cs"/>
          <w:b/>
          <w:bCs/>
          <w:sz w:val="36"/>
          <w:szCs w:val="36"/>
          <w:rtl/>
        </w:rPr>
        <w:t>202</w:t>
      </w:r>
      <w:r w:rsidR="00433B18">
        <w:rPr>
          <w:rFonts w:hint="cs"/>
          <w:b/>
          <w:bCs/>
          <w:sz w:val="36"/>
          <w:szCs w:val="36"/>
          <w:rtl/>
        </w:rPr>
        <w:t>1</w:t>
      </w:r>
      <w:r w:rsidR="009C7ED3" w:rsidRPr="009C7ED3">
        <w:rPr>
          <w:rFonts w:hint="cs"/>
          <w:b/>
          <w:bCs/>
          <w:sz w:val="36"/>
          <w:szCs w:val="36"/>
          <w:rtl/>
        </w:rPr>
        <w:t>)</w:t>
      </w:r>
    </w:p>
    <w:p w:rsidR="006D5FCB" w:rsidRPr="0061087F" w:rsidRDefault="006D5FCB" w:rsidP="006D5FCB">
      <w:pPr>
        <w:rPr>
          <w:rtl/>
        </w:rPr>
      </w:pPr>
    </w:p>
    <w:p w:rsidR="00744DF2" w:rsidRDefault="005B5419" w:rsidP="00B97108">
      <w:pPr>
        <w:spacing w:line="420" w:lineRule="atLeast"/>
        <w:ind w:left="58" w:firstLine="432"/>
        <w:jc w:val="both"/>
        <w:rPr>
          <w:rFonts w:ascii="Simplified Arabic" w:hAnsi="Simplified Arabic" w:cs="Simplified Arabic"/>
          <w:sz w:val="30"/>
          <w:szCs w:val="30"/>
          <w:lang w:bidi="ar-JO"/>
        </w:rPr>
      </w:pPr>
      <w:r w:rsidRPr="008D1328">
        <w:rPr>
          <w:rFonts w:cs="Simplified Arabic" w:hint="cs"/>
          <w:sz w:val="30"/>
          <w:szCs w:val="30"/>
          <w:rtl/>
          <w:lang w:eastAsia="en-US"/>
        </w:rPr>
        <w:t xml:space="preserve">في إطار سعي البنك المركزي لمواصلة نهجه بمتابعة مراجعة </w:t>
      </w:r>
      <w:r w:rsidR="00DD4E0C">
        <w:rPr>
          <w:rFonts w:cs="Simplified Arabic" w:hint="cs"/>
          <w:sz w:val="30"/>
          <w:szCs w:val="30"/>
          <w:rtl/>
          <w:lang w:eastAsia="en-US"/>
        </w:rPr>
        <w:t xml:space="preserve">التعليمات والتعاميم الصادرة عنه، </w:t>
      </w:r>
      <w:r>
        <w:rPr>
          <w:rFonts w:cs="Simplified Arabic" w:hint="cs"/>
          <w:sz w:val="30"/>
          <w:szCs w:val="30"/>
          <w:rtl/>
          <w:lang w:eastAsia="en-US"/>
        </w:rPr>
        <w:t>وبهدف تأطير التعليمات</w:t>
      </w:r>
      <w:r w:rsidR="005A443F">
        <w:rPr>
          <w:rFonts w:cs="Simplified Arabic" w:hint="cs"/>
          <w:sz w:val="30"/>
          <w:szCs w:val="30"/>
          <w:rtl/>
          <w:lang w:eastAsia="en-US"/>
        </w:rPr>
        <w:t xml:space="preserve"> والتعاميم</w:t>
      </w:r>
      <w:r>
        <w:rPr>
          <w:rFonts w:cs="Simplified Arabic" w:hint="cs"/>
          <w:sz w:val="30"/>
          <w:szCs w:val="30"/>
          <w:rtl/>
          <w:lang w:eastAsia="en-US"/>
        </w:rPr>
        <w:t xml:space="preserve"> الناظمة لعملية منح البنوك للتسهيلات المباشرة بالعملة الأجنبية ومنح التسهيلات الائتمانية لأشخاص لا يمارسون نشاطاً داخل المملكة و/أو لتمويل أنشطة خارج المملكة</w:t>
      </w:r>
      <w:r w:rsidR="005A443F">
        <w:rPr>
          <w:rFonts w:cs="Simplified Arabic" w:hint="cs"/>
          <w:sz w:val="30"/>
          <w:szCs w:val="30"/>
          <w:rtl/>
          <w:lang w:eastAsia="en-US"/>
        </w:rPr>
        <w:t xml:space="preserve"> ودمجها ضمن وثيقة واحدة</w:t>
      </w:r>
      <w:r w:rsidR="006058C9">
        <w:rPr>
          <w:rFonts w:cs="Simplified Arabic" w:hint="cs"/>
          <w:sz w:val="30"/>
          <w:szCs w:val="30"/>
          <w:rtl/>
          <w:lang w:eastAsia="en-US"/>
        </w:rPr>
        <w:t>، أ</w:t>
      </w:r>
      <w:r>
        <w:rPr>
          <w:rFonts w:cs="Simplified Arabic" w:hint="cs"/>
          <w:sz w:val="30"/>
          <w:szCs w:val="30"/>
          <w:rtl/>
          <w:lang w:eastAsia="en-US"/>
        </w:rPr>
        <w:t>ر</w:t>
      </w:r>
      <w:r w:rsidR="006058C9">
        <w:rPr>
          <w:rFonts w:cs="Simplified Arabic" w:hint="cs"/>
          <w:sz w:val="30"/>
          <w:szCs w:val="30"/>
          <w:rtl/>
          <w:lang w:eastAsia="en-US"/>
        </w:rPr>
        <w:t>ف</w:t>
      </w:r>
      <w:r>
        <w:rPr>
          <w:rFonts w:cs="Simplified Arabic" w:hint="cs"/>
          <w:sz w:val="30"/>
          <w:szCs w:val="30"/>
          <w:rtl/>
          <w:lang w:eastAsia="en-US"/>
        </w:rPr>
        <w:t xml:space="preserve">ق </w:t>
      </w:r>
      <w:r w:rsidRPr="008D1328">
        <w:rPr>
          <w:rFonts w:cs="Simplified Arabic" w:hint="cs"/>
          <w:sz w:val="30"/>
          <w:szCs w:val="30"/>
          <w:rtl/>
          <w:lang w:eastAsia="en-US"/>
        </w:rPr>
        <w:t xml:space="preserve">طياً </w:t>
      </w:r>
      <w:r w:rsidR="005A443F">
        <w:rPr>
          <w:rFonts w:cs="Simplified Arabic" w:hint="cs"/>
          <w:sz w:val="30"/>
          <w:szCs w:val="30"/>
          <w:rtl/>
          <w:lang w:eastAsia="en-US"/>
        </w:rPr>
        <w:t>ال</w:t>
      </w:r>
      <w:r w:rsidRPr="008D1328">
        <w:rPr>
          <w:rFonts w:cs="Simplified Arabic" w:hint="cs"/>
          <w:sz w:val="30"/>
          <w:szCs w:val="30"/>
          <w:rtl/>
          <w:lang w:eastAsia="en-US"/>
        </w:rPr>
        <w:t xml:space="preserve">تعليمات </w:t>
      </w:r>
      <w:r w:rsidR="005A443F">
        <w:rPr>
          <w:rFonts w:cs="Simplified Arabic" w:hint="cs"/>
          <w:sz w:val="30"/>
          <w:szCs w:val="30"/>
          <w:rtl/>
          <w:lang w:eastAsia="en-US"/>
        </w:rPr>
        <w:t>المُعد</w:t>
      </w:r>
      <w:r w:rsidR="004A69D6">
        <w:rPr>
          <w:rFonts w:cs="Simplified Arabic" w:hint="cs"/>
          <w:sz w:val="30"/>
          <w:szCs w:val="30"/>
          <w:rtl/>
          <w:lang w:eastAsia="en-US"/>
        </w:rPr>
        <w:t>لّة المتعلقة بمنح هذه التسهيلات والتي تضمنت المزيد من التوضيح لعدد من المتطلبات المتعلقة بمنح التسهيلات أعلاه.</w:t>
      </w:r>
    </w:p>
    <w:p w:rsidR="009C7ED3" w:rsidRPr="00B97108" w:rsidRDefault="009C7ED3" w:rsidP="00B97108">
      <w:pPr>
        <w:pStyle w:val="BodyTextIndent"/>
      </w:pPr>
      <w:r w:rsidRPr="00B97108">
        <w:rPr>
          <w:rFonts w:hint="cs"/>
          <w:rtl/>
        </w:rPr>
        <w:t xml:space="preserve">يُعمل بهذه التعليمات </w:t>
      </w:r>
      <w:r w:rsidR="00777CE5" w:rsidRPr="00B97108">
        <w:rPr>
          <w:rFonts w:hint="cs"/>
          <w:rtl/>
        </w:rPr>
        <w:t>اعتباراً</w:t>
      </w:r>
      <w:r w:rsidRPr="00B97108">
        <w:rPr>
          <w:rFonts w:hint="cs"/>
          <w:rtl/>
        </w:rPr>
        <w:t xml:space="preserve"> من تاريخه </w:t>
      </w:r>
      <w:r w:rsidR="00DC5BFA" w:rsidRPr="00B97108">
        <w:rPr>
          <w:rFonts w:hint="cs"/>
          <w:rtl/>
        </w:rPr>
        <w:t>و</w:t>
      </w:r>
      <w:r w:rsidRPr="00B97108">
        <w:rPr>
          <w:rFonts w:hint="cs"/>
          <w:rtl/>
        </w:rPr>
        <w:t xml:space="preserve">يتوجب على البنك تزويدنا بالبيانات المتعلقة بالتعليمات أعلاه </w:t>
      </w:r>
      <w:r w:rsidR="00073C79" w:rsidRPr="00B97108">
        <w:rPr>
          <w:rFonts w:hint="cs"/>
          <w:rtl/>
        </w:rPr>
        <w:t xml:space="preserve">بشكل ربع سنوي </w:t>
      </w:r>
      <w:r w:rsidR="00777CE5" w:rsidRPr="00B97108">
        <w:rPr>
          <w:rFonts w:hint="cs"/>
          <w:rtl/>
        </w:rPr>
        <w:t>اعتباراً</w:t>
      </w:r>
      <w:r w:rsidRPr="00B97108">
        <w:rPr>
          <w:rFonts w:hint="cs"/>
          <w:rtl/>
        </w:rPr>
        <w:t xml:space="preserve"> من </w:t>
      </w:r>
      <w:r w:rsidR="00EF5F29" w:rsidRPr="00B97108">
        <w:rPr>
          <w:rFonts w:hint="cs"/>
          <w:rtl/>
        </w:rPr>
        <w:t xml:space="preserve">نهاية </w:t>
      </w:r>
      <w:r w:rsidRPr="00B97108">
        <w:rPr>
          <w:rFonts w:hint="cs"/>
          <w:rtl/>
        </w:rPr>
        <w:t xml:space="preserve">شهر </w:t>
      </w:r>
      <w:r w:rsidR="00433B18" w:rsidRPr="00B97108">
        <w:rPr>
          <w:rFonts w:hint="cs"/>
          <w:rtl/>
        </w:rPr>
        <w:t>3</w:t>
      </w:r>
      <w:r w:rsidRPr="00B97108">
        <w:rPr>
          <w:rFonts w:hint="cs"/>
          <w:rtl/>
        </w:rPr>
        <w:t>/202</w:t>
      </w:r>
      <w:r w:rsidR="00433B18" w:rsidRPr="00B97108">
        <w:rPr>
          <w:rFonts w:hint="cs"/>
          <w:rtl/>
        </w:rPr>
        <w:t>1</w:t>
      </w:r>
      <w:r w:rsidRPr="00B97108">
        <w:rPr>
          <w:rFonts w:hint="cs"/>
          <w:rtl/>
        </w:rPr>
        <w:t xml:space="preserve"> وفق النماذج المُعدة لهذه الغاية والمرفقة طي </w:t>
      </w:r>
      <w:r w:rsidR="00777CE5" w:rsidRPr="00B97108">
        <w:rPr>
          <w:rFonts w:hint="cs"/>
          <w:rtl/>
        </w:rPr>
        <w:t xml:space="preserve">هذه </w:t>
      </w:r>
      <w:r w:rsidRPr="00B97108">
        <w:rPr>
          <w:rFonts w:hint="cs"/>
          <w:rtl/>
        </w:rPr>
        <w:t>التعليمات.</w:t>
      </w:r>
    </w:p>
    <w:p w:rsidR="009C7ED3" w:rsidRPr="009C7ED3" w:rsidRDefault="009C7ED3" w:rsidP="009C7ED3">
      <w:pPr>
        <w:spacing w:before="240" w:line="360" w:lineRule="exact"/>
        <w:jc w:val="lowKashida"/>
        <w:rPr>
          <w:rFonts w:ascii="Arial" w:hAnsi="Arial" w:cs="Simplified Arabic"/>
          <w:szCs w:val="28"/>
          <w:rtl/>
          <w:lang w:eastAsia="en-US" w:bidi="ar-JO"/>
        </w:rPr>
      </w:pPr>
    </w:p>
    <w:p w:rsidR="006D5FCB" w:rsidRPr="00CA62C6" w:rsidRDefault="006D5FCB" w:rsidP="006D5FCB">
      <w:pPr>
        <w:jc w:val="center"/>
        <w:rPr>
          <w:rFonts w:cs="Simplified Arabic"/>
          <w:b/>
          <w:bCs/>
          <w:sz w:val="34"/>
          <w:szCs w:val="34"/>
          <w:rtl/>
        </w:rPr>
      </w:pPr>
      <w:r w:rsidRPr="00CA62C6">
        <w:rPr>
          <w:rFonts w:cs="Simplified Arabic" w:hint="cs"/>
          <w:b/>
          <w:bCs/>
          <w:sz w:val="34"/>
          <w:szCs w:val="34"/>
          <w:rtl/>
        </w:rPr>
        <w:t xml:space="preserve">وتفضلوا بقبول فائق </w:t>
      </w:r>
      <w:proofErr w:type="gramStart"/>
      <w:r w:rsidRPr="00CA62C6">
        <w:rPr>
          <w:rFonts w:cs="Simplified Arabic" w:hint="cs"/>
          <w:b/>
          <w:bCs/>
          <w:sz w:val="34"/>
          <w:szCs w:val="34"/>
          <w:rtl/>
        </w:rPr>
        <w:t>الاحترام،،،</w:t>
      </w:r>
      <w:proofErr w:type="gramEnd"/>
    </w:p>
    <w:p w:rsidR="001E5DE6" w:rsidRPr="00CA62C6" w:rsidRDefault="001E5DE6" w:rsidP="001E5DE6">
      <w:pPr>
        <w:rPr>
          <w:rFonts w:cs="Simplified Arabic"/>
          <w:sz w:val="34"/>
          <w:szCs w:val="34"/>
          <w:rtl/>
          <w:lang w:bidi="ar-JO"/>
        </w:rPr>
      </w:pPr>
    </w:p>
    <w:p w:rsidR="0037657B" w:rsidRPr="00CA62C6" w:rsidRDefault="001E5DE6" w:rsidP="00CA62C6">
      <w:pPr>
        <w:pStyle w:val="Heading2"/>
        <w:tabs>
          <w:tab w:val="left" w:pos="7002"/>
          <w:tab w:val="left" w:pos="7144"/>
        </w:tabs>
        <w:ind w:right="180"/>
        <w:jc w:val="right"/>
        <w:rPr>
          <w:rFonts w:cs="Simplified Arabic"/>
          <w:sz w:val="34"/>
          <w:szCs w:val="34"/>
          <w:rtl/>
        </w:rPr>
      </w:pPr>
      <w:r w:rsidRPr="00CA62C6">
        <w:rPr>
          <w:rFonts w:cs="Simplified Arabic" w:hint="cs"/>
          <w:sz w:val="34"/>
          <w:szCs w:val="34"/>
          <w:rtl/>
        </w:rPr>
        <w:t xml:space="preserve">                </w:t>
      </w:r>
      <w:r w:rsidR="00552D40" w:rsidRPr="00CA62C6">
        <w:rPr>
          <w:rFonts w:cs="Simplified Arabic" w:hint="cs"/>
          <w:sz w:val="34"/>
          <w:szCs w:val="34"/>
          <w:rtl/>
        </w:rPr>
        <w:t xml:space="preserve">                      </w:t>
      </w:r>
      <w:r w:rsidR="00DC0650" w:rsidRPr="00CA62C6">
        <w:rPr>
          <w:rFonts w:cs="Simplified Arabic" w:hint="cs"/>
          <w:sz w:val="34"/>
          <w:szCs w:val="34"/>
          <w:rtl/>
        </w:rPr>
        <w:t xml:space="preserve">                             </w:t>
      </w:r>
      <w:r w:rsidR="00CA62C6">
        <w:rPr>
          <w:rFonts w:cs="Simplified Arabic" w:hint="cs"/>
          <w:sz w:val="34"/>
          <w:szCs w:val="34"/>
          <w:rtl/>
        </w:rPr>
        <w:t>ا</w:t>
      </w:r>
      <w:r w:rsidR="00552D40" w:rsidRPr="00CA62C6">
        <w:rPr>
          <w:rFonts w:cs="Simplified Arabic" w:hint="cs"/>
          <w:sz w:val="34"/>
          <w:szCs w:val="34"/>
          <w:rtl/>
        </w:rPr>
        <w:t>لمحاف</w:t>
      </w:r>
      <w:r w:rsidR="00783234" w:rsidRPr="00CA62C6">
        <w:rPr>
          <w:rFonts w:cs="Simplified Arabic" w:hint="cs"/>
          <w:sz w:val="34"/>
          <w:szCs w:val="34"/>
          <w:rtl/>
        </w:rPr>
        <w:t>ـ</w:t>
      </w:r>
      <w:r w:rsidR="0037657B" w:rsidRPr="00CA62C6">
        <w:rPr>
          <w:rFonts w:cs="Simplified Arabic" w:hint="cs"/>
          <w:sz w:val="34"/>
          <w:szCs w:val="34"/>
          <w:rtl/>
        </w:rPr>
        <w:t>ـظ</w:t>
      </w:r>
    </w:p>
    <w:p w:rsidR="00DC0650" w:rsidRPr="00915899" w:rsidRDefault="008F3D21" w:rsidP="00915899">
      <w:pPr>
        <w:pStyle w:val="ListParagraph"/>
        <w:tabs>
          <w:tab w:val="left" w:pos="751"/>
          <w:tab w:val="left" w:pos="7002"/>
          <w:tab w:val="right" w:pos="9412"/>
        </w:tabs>
        <w:ind w:right="-6"/>
        <w:jc w:val="right"/>
        <w:rPr>
          <w:rFonts w:cs="Simplified Arabic"/>
          <w:b/>
          <w:bCs/>
          <w:sz w:val="34"/>
          <w:szCs w:val="34"/>
          <w:rtl/>
        </w:rPr>
      </w:pPr>
      <w:r w:rsidRPr="00CA62C6">
        <w:rPr>
          <w:rFonts w:cs="Simplified Arabic" w:hint="cs"/>
          <w:b/>
          <w:bCs/>
          <w:sz w:val="34"/>
          <w:szCs w:val="34"/>
          <w:rtl/>
        </w:rPr>
        <w:t xml:space="preserve"> </w:t>
      </w:r>
      <w:r w:rsidR="00DC0650" w:rsidRPr="00CA62C6">
        <w:rPr>
          <w:rFonts w:cs="Simplified Arabic" w:hint="cs"/>
          <w:b/>
          <w:bCs/>
          <w:sz w:val="34"/>
          <w:szCs w:val="34"/>
          <w:rtl/>
        </w:rPr>
        <w:t xml:space="preserve"> </w:t>
      </w:r>
      <w:r w:rsidRPr="00CA62C6">
        <w:rPr>
          <w:rFonts w:cs="Simplified Arabic" w:hint="cs"/>
          <w:b/>
          <w:bCs/>
          <w:sz w:val="34"/>
          <w:szCs w:val="34"/>
          <w:rtl/>
        </w:rPr>
        <w:t xml:space="preserve">  </w:t>
      </w:r>
      <w:r w:rsidR="00DC0650" w:rsidRPr="00CA62C6">
        <w:rPr>
          <w:rFonts w:cs="Simplified Arabic" w:hint="cs"/>
          <w:b/>
          <w:bCs/>
          <w:sz w:val="34"/>
          <w:szCs w:val="34"/>
          <w:rtl/>
        </w:rPr>
        <w:t xml:space="preserve"> </w:t>
      </w:r>
      <w:r w:rsidRPr="00CA62C6">
        <w:rPr>
          <w:rFonts w:cs="Simplified Arabic" w:hint="cs"/>
          <w:b/>
          <w:bCs/>
          <w:sz w:val="34"/>
          <w:szCs w:val="34"/>
          <w:rtl/>
        </w:rPr>
        <w:t xml:space="preserve"> </w:t>
      </w:r>
      <w:r w:rsidR="00552D40" w:rsidRPr="00CA62C6">
        <w:rPr>
          <w:rFonts w:cs="Simplified Arabic" w:hint="cs"/>
          <w:b/>
          <w:bCs/>
          <w:sz w:val="34"/>
          <w:szCs w:val="34"/>
          <w:rtl/>
        </w:rPr>
        <w:t>د. زياد فري</w:t>
      </w:r>
      <w:r w:rsidR="00744DF2">
        <w:rPr>
          <w:rFonts w:cs="Simplified Arabic" w:hint="cs"/>
          <w:b/>
          <w:bCs/>
          <w:sz w:val="34"/>
          <w:szCs w:val="34"/>
          <w:rtl/>
        </w:rPr>
        <w:t>ـ</w:t>
      </w:r>
      <w:r w:rsidR="00915899">
        <w:rPr>
          <w:rFonts w:cs="Simplified Arabic" w:hint="cs"/>
          <w:b/>
          <w:bCs/>
          <w:sz w:val="34"/>
          <w:szCs w:val="34"/>
          <w:rtl/>
        </w:rPr>
        <w:t>ز</w:t>
      </w:r>
    </w:p>
    <w:p w:rsidR="000902EC" w:rsidRPr="004B4FD3" w:rsidRDefault="000902EC" w:rsidP="004B4FD3">
      <w:pPr>
        <w:spacing w:line="276" w:lineRule="auto"/>
        <w:jc w:val="lowKashida"/>
        <w:rPr>
          <w:rFonts w:cs="Arabic Transparent"/>
          <w:b/>
          <w:bCs/>
          <w:sz w:val="28"/>
          <w:szCs w:val="28"/>
          <w:lang w:bidi="ar-JO"/>
        </w:rPr>
      </w:pPr>
    </w:p>
    <w:p w:rsidR="000902EC" w:rsidRPr="004B4FD3" w:rsidRDefault="000902EC" w:rsidP="004B4FD3">
      <w:pPr>
        <w:spacing w:line="276" w:lineRule="auto"/>
        <w:jc w:val="lowKashida"/>
        <w:rPr>
          <w:rFonts w:cs="Arabic Transparent"/>
          <w:b/>
          <w:bCs/>
          <w:sz w:val="28"/>
          <w:szCs w:val="28"/>
          <w:rtl/>
          <w:lang w:bidi="ar-JO"/>
        </w:rPr>
      </w:pPr>
    </w:p>
    <w:p w:rsidR="000902EC" w:rsidRPr="004B4FD3" w:rsidRDefault="000902EC" w:rsidP="004B4FD3">
      <w:pPr>
        <w:spacing w:line="276" w:lineRule="auto"/>
        <w:jc w:val="center"/>
        <w:rPr>
          <w:rFonts w:cs="Arabic Transparent"/>
          <w:b/>
          <w:bCs/>
          <w:sz w:val="28"/>
          <w:szCs w:val="28"/>
          <w:rtl/>
          <w:lang w:bidi="ar-JO"/>
        </w:rPr>
      </w:pPr>
    </w:p>
    <w:p w:rsidR="000902EC" w:rsidRPr="004B4FD3" w:rsidRDefault="000902EC" w:rsidP="004B4FD3">
      <w:pPr>
        <w:spacing w:line="276" w:lineRule="auto"/>
        <w:jc w:val="center"/>
        <w:rPr>
          <w:rFonts w:cs="Arabic Transparent"/>
          <w:b/>
          <w:bCs/>
          <w:sz w:val="28"/>
          <w:szCs w:val="28"/>
          <w:rtl/>
          <w:lang w:bidi="ar-JO"/>
        </w:rPr>
      </w:pPr>
      <w:r w:rsidRPr="007049A0">
        <w:rPr>
          <w:noProof/>
          <w:sz w:val="28"/>
          <w:szCs w:val="28"/>
          <w:lang w:eastAsia="en-US"/>
        </w:rPr>
        <w:drawing>
          <wp:inline distT="0" distB="0" distL="0" distR="0" wp14:anchorId="1FAD68B3" wp14:editId="5A966EB9">
            <wp:extent cx="132397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a:ln>
                      <a:noFill/>
                    </a:ln>
                  </pic:spPr>
                </pic:pic>
              </a:graphicData>
            </a:graphic>
          </wp:inline>
        </w:drawing>
      </w:r>
    </w:p>
    <w:p w:rsidR="000902EC" w:rsidRPr="004B4FD3" w:rsidRDefault="000902EC" w:rsidP="004B4FD3">
      <w:pPr>
        <w:spacing w:line="430" w:lineRule="exact"/>
        <w:jc w:val="lowKashida"/>
        <w:rPr>
          <w:rFonts w:ascii="Arial" w:hAnsi="Arial" w:cs="Arial"/>
          <w:sz w:val="28"/>
          <w:szCs w:val="28"/>
          <w:rtl/>
        </w:rPr>
      </w:pPr>
    </w:p>
    <w:p w:rsidR="000902EC" w:rsidRPr="004B4FD3" w:rsidRDefault="000902EC" w:rsidP="00C35153">
      <w:pPr>
        <w:spacing w:line="430" w:lineRule="exact"/>
        <w:jc w:val="lowKashida"/>
        <w:rPr>
          <w:rFonts w:ascii="Arial" w:hAnsi="Arial" w:cs="Arial"/>
          <w:sz w:val="28"/>
          <w:szCs w:val="28"/>
          <w:rtl/>
          <w:lang w:bidi="ar-JO"/>
        </w:rPr>
      </w:pPr>
      <w:r w:rsidRPr="004B4FD3">
        <w:rPr>
          <w:rFonts w:ascii="Arial" w:hAnsi="Arial" w:cs="Arial" w:hint="cs"/>
          <w:sz w:val="28"/>
          <w:szCs w:val="28"/>
          <w:rtl/>
        </w:rPr>
        <w:t xml:space="preserve">   </w:t>
      </w:r>
    </w:p>
    <w:p w:rsidR="000902EC" w:rsidRPr="004B4FD3" w:rsidRDefault="000902EC" w:rsidP="004B4FD3">
      <w:pPr>
        <w:spacing w:line="430" w:lineRule="exact"/>
        <w:jc w:val="lowKashida"/>
        <w:rPr>
          <w:rFonts w:ascii="Arial" w:hAnsi="Arial" w:cs="Arial"/>
          <w:sz w:val="28"/>
          <w:szCs w:val="28"/>
          <w:rtl/>
          <w:lang w:bidi="ar-JO"/>
        </w:rPr>
      </w:pPr>
    </w:p>
    <w:p w:rsidR="000902EC" w:rsidRPr="004B4FD3" w:rsidRDefault="000902EC" w:rsidP="004B4FD3">
      <w:pPr>
        <w:ind w:left="-6"/>
        <w:jc w:val="center"/>
        <w:rPr>
          <w:rFonts w:ascii="Arial" w:hAnsi="Arial" w:cs="Arial"/>
          <w:b/>
          <w:bCs/>
          <w:szCs w:val="28"/>
          <w:rtl/>
        </w:rPr>
      </w:pPr>
      <w:r w:rsidRPr="004B4FD3">
        <w:rPr>
          <w:rFonts w:hint="cs"/>
          <w:sz w:val="72"/>
          <w:szCs w:val="72"/>
          <w:rtl/>
        </w:rPr>
        <w:t>البنك المركزي الأردني</w:t>
      </w:r>
    </w:p>
    <w:p w:rsidR="000902EC" w:rsidRPr="004B4FD3" w:rsidRDefault="000902EC" w:rsidP="004B4FD3">
      <w:pPr>
        <w:ind w:left="33"/>
        <w:jc w:val="center"/>
        <w:rPr>
          <w:rFonts w:ascii="Arial" w:hAnsi="Arial" w:cs="Arial"/>
          <w:b/>
          <w:bCs/>
          <w:sz w:val="32"/>
          <w:szCs w:val="32"/>
          <w:rtl/>
          <w:lang w:bidi="ar-JO"/>
        </w:rPr>
      </w:pPr>
    </w:p>
    <w:p w:rsidR="000902EC" w:rsidRPr="004B4FD3" w:rsidRDefault="000902EC" w:rsidP="004D6F30">
      <w:pPr>
        <w:rPr>
          <w:rFonts w:ascii="Simplified Arabic" w:hAnsi="Simplified Arabic" w:cs="Simplified Arabic"/>
          <w:b/>
          <w:bCs/>
          <w:sz w:val="32"/>
          <w:szCs w:val="32"/>
          <w:rtl/>
          <w:lang w:eastAsia="en-US" w:bidi="ar-JO"/>
        </w:rPr>
      </w:pPr>
    </w:p>
    <w:p w:rsidR="000902EC" w:rsidRPr="004B4FD3" w:rsidRDefault="000902EC" w:rsidP="004B4FD3">
      <w:pPr>
        <w:ind w:left="33"/>
        <w:jc w:val="center"/>
        <w:rPr>
          <w:rFonts w:ascii="Simplified Arabic" w:hAnsi="Simplified Arabic" w:cs="Simplified Arabic"/>
          <w:b/>
          <w:bCs/>
          <w:sz w:val="32"/>
          <w:szCs w:val="32"/>
          <w:rtl/>
          <w:lang w:eastAsia="en-US" w:bidi="ar-JO"/>
        </w:rPr>
      </w:pPr>
    </w:p>
    <w:p w:rsidR="000902EC" w:rsidRPr="004B4FD3" w:rsidRDefault="000902EC" w:rsidP="004B4FD3">
      <w:pPr>
        <w:ind w:left="33"/>
        <w:jc w:val="center"/>
        <w:rPr>
          <w:rFonts w:ascii="Simplified Arabic" w:hAnsi="Simplified Arabic" w:cs="Simplified Arabic"/>
          <w:b/>
          <w:bCs/>
          <w:sz w:val="32"/>
          <w:szCs w:val="32"/>
          <w:rtl/>
          <w:lang w:eastAsia="en-US"/>
        </w:rPr>
      </w:pPr>
    </w:p>
    <w:p w:rsidR="000902EC" w:rsidRPr="004B4FD3" w:rsidRDefault="000902EC" w:rsidP="00D02680">
      <w:pPr>
        <w:pStyle w:val="BodyText"/>
        <w:rPr>
          <w:rtl/>
        </w:rPr>
      </w:pPr>
      <w:r w:rsidRPr="004B4FD3">
        <w:rPr>
          <w:rFonts w:hint="cs"/>
          <w:rtl/>
        </w:rPr>
        <w:t>تعليمات م</w:t>
      </w:r>
      <w:r>
        <w:rPr>
          <w:rFonts w:hint="cs"/>
          <w:rtl/>
        </w:rPr>
        <w:t>نح التسهيلات الائتمانية بالعملة</w:t>
      </w:r>
      <w:r w:rsidRPr="004B4FD3">
        <w:rPr>
          <w:rFonts w:hint="cs"/>
          <w:rtl/>
        </w:rPr>
        <w:t xml:space="preserve"> الأجنبية</w:t>
      </w:r>
    </w:p>
    <w:p w:rsidR="000902EC" w:rsidRPr="004B4FD3" w:rsidRDefault="000902EC" w:rsidP="004B4FD3">
      <w:pPr>
        <w:spacing w:after="200" w:line="276" w:lineRule="auto"/>
        <w:jc w:val="center"/>
        <w:rPr>
          <w:rFonts w:ascii="Calibri" w:eastAsia="Calibri" w:hAnsi="Calibri" w:cs="Arial"/>
          <w:b/>
          <w:bCs/>
          <w:sz w:val="54"/>
          <w:szCs w:val="54"/>
          <w:rtl/>
          <w:lang w:eastAsia="en-US" w:bidi="ar-JO"/>
        </w:rPr>
      </w:pPr>
      <w:r w:rsidRPr="004B4FD3">
        <w:rPr>
          <w:rFonts w:ascii="Calibri" w:eastAsia="Calibri" w:hAnsi="Calibri" w:cs="Arial" w:hint="cs"/>
          <w:b/>
          <w:bCs/>
          <w:sz w:val="54"/>
          <w:szCs w:val="54"/>
          <w:rtl/>
          <w:lang w:eastAsia="en-US" w:bidi="ar-JO"/>
        </w:rPr>
        <w:t xml:space="preserve"> وضوابط منح التسهيلات الائتمانية لأشخاص لا يمارسون نشاطاً داخل المملكة</w:t>
      </w:r>
      <w:r>
        <w:rPr>
          <w:rFonts w:ascii="Calibri" w:eastAsia="Calibri" w:hAnsi="Calibri" w:cs="Arial" w:hint="cs"/>
          <w:b/>
          <w:bCs/>
          <w:sz w:val="54"/>
          <w:szCs w:val="54"/>
          <w:rtl/>
          <w:lang w:eastAsia="en-US" w:bidi="ar-JO"/>
        </w:rPr>
        <w:t xml:space="preserve"> و/أو لتمويل أنشطة خارج المملكة</w:t>
      </w:r>
    </w:p>
    <w:p w:rsidR="000902EC" w:rsidRPr="004B4FD3" w:rsidRDefault="000902EC" w:rsidP="00574360">
      <w:pPr>
        <w:spacing w:after="200" w:line="276" w:lineRule="auto"/>
        <w:jc w:val="center"/>
        <w:rPr>
          <w:rFonts w:ascii="Calibri" w:eastAsia="Calibri" w:hAnsi="Calibri" w:cs="Arial"/>
          <w:b/>
          <w:bCs/>
          <w:sz w:val="54"/>
          <w:szCs w:val="54"/>
          <w:rtl/>
          <w:lang w:eastAsia="en-US" w:bidi="ar-JO"/>
        </w:rPr>
      </w:pPr>
      <w:r>
        <w:rPr>
          <w:rFonts w:ascii="Calibri" w:eastAsia="Calibri" w:hAnsi="Calibri" w:cs="Arial" w:hint="cs"/>
          <w:b/>
          <w:bCs/>
          <w:sz w:val="54"/>
          <w:szCs w:val="54"/>
          <w:rtl/>
          <w:lang w:eastAsia="en-US" w:bidi="ar-JO"/>
        </w:rPr>
        <w:t>رقم(2/2021</w:t>
      </w:r>
      <w:r w:rsidRPr="004B4FD3">
        <w:rPr>
          <w:rFonts w:ascii="Calibri" w:eastAsia="Calibri" w:hAnsi="Calibri" w:cs="Arial" w:hint="cs"/>
          <w:b/>
          <w:bCs/>
          <w:sz w:val="54"/>
          <w:szCs w:val="54"/>
          <w:rtl/>
          <w:lang w:eastAsia="en-US" w:bidi="ar-JO"/>
        </w:rPr>
        <w:t>)</w:t>
      </w:r>
    </w:p>
    <w:p w:rsidR="000902EC" w:rsidRDefault="000902EC">
      <w:pPr>
        <w:bidi w:val="0"/>
        <w:spacing w:after="200" w:line="276" w:lineRule="auto"/>
        <w:rPr>
          <w:rFonts w:ascii="Calibri" w:eastAsia="Calibri" w:hAnsi="Calibri" w:cs="Arial"/>
          <w:b/>
          <w:bCs/>
          <w:sz w:val="72"/>
          <w:szCs w:val="72"/>
          <w:rtl/>
          <w:lang w:eastAsia="en-US" w:bidi="ar-JO"/>
        </w:rPr>
      </w:pPr>
      <w:r>
        <w:rPr>
          <w:rFonts w:ascii="Calibri" w:eastAsia="Calibri" w:hAnsi="Calibri" w:cs="Arial"/>
          <w:b/>
          <w:bCs/>
          <w:sz w:val="72"/>
          <w:szCs w:val="72"/>
          <w:rtl/>
          <w:lang w:eastAsia="en-US" w:bidi="ar-JO"/>
        </w:rPr>
        <w:br w:type="page"/>
      </w:r>
    </w:p>
    <w:p w:rsidR="000902EC" w:rsidRPr="00654B45" w:rsidRDefault="000902EC" w:rsidP="004B4FD3">
      <w:pPr>
        <w:spacing w:after="200" w:line="276" w:lineRule="auto"/>
        <w:rPr>
          <w:rFonts w:ascii="Calibri" w:eastAsia="Calibri" w:hAnsi="Calibri" w:cs="Arial"/>
          <w:b/>
          <w:bCs/>
          <w:sz w:val="30"/>
          <w:szCs w:val="30"/>
          <w:rtl/>
          <w:lang w:eastAsia="en-US" w:bidi="ar-JO"/>
        </w:rPr>
      </w:pPr>
      <w:r w:rsidRPr="00654B45">
        <w:rPr>
          <w:rFonts w:hint="cs"/>
          <w:b/>
          <w:bCs/>
          <w:sz w:val="30"/>
          <w:szCs w:val="30"/>
          <w:u w:val="single"/>
          <w:rtl/>
          <w:lang w:bidi="ar-JO"/>
        </w:rPr>
        <w:lastRenderedPageBreak/>
        <w:t>أولاً: الإسناد</w:t>
      </w:r>
    </w:p>
    <w:p w:rsidR="000902EC" w:rsidRDefault="000902EC" w:rsidP="00ED1EF2">
      <w:pPr>
        <w:ind w:right="-180"/>
        <w:jc w:val="both"/>
        <w:rPr>
          <w:rFonts w:ascii="Calibri" w:eastAsia="Calibri" w:hAnsi="Calibri" w:cs="Arial"/>
          <w:sz w:val="30"/>
          <w:szCs w:val="30"/>
          <w:rtl/>
          <w:lang w:eastAsia="en-US" w:bidi="ar-JO"/>
        </w:rPr>
      </w:pPr>
      <w:r w:rsidRPr="00654B45">
        <w:rPr>
          <w:rFonts w:asciiTheme="minorHAnsi" w:eastAsiaTheme="minorHAnsi" w:hAnsiTheme="minorHAnsi" w:cstheme="minorBidi" w:hint="cs"/>
          <w:color w:val="000000" w:themeColor="text1"/>
          <w:sz w:val="30"/>
          <w:szCs w:val="30"/>
          <w:rtl/>
          <w:lang w:bidi="ar-JO"/>
        </w:rPr>
        <w:t>تُسمى هذه التعليمات (تعليمات منح التسهيلات بالعملة الأجنبية وضوابط منح التسهيلات الائتمانية لأشخاص لا يمارسون نشاطاً داخل المملكة و/أو لتمويل أنشطة خارج المملكة)، وتصدر سنداً لأحكام المواد (4/ب/6</w:t>
      </w:r>
      <w:r>
        <w:rPr>
          <w:rFonts w:asciiTheme="minorHAnsi" w:eastAsiaTheme="minorHAnsi" w:hAnsiTheme="minorHAnsi" w:cstheme="minorBidi" w:hint="cs"/>
          <w:color w:val="000000" w:themeColor="text1"/>
          <w:sz w:val="30"/>
          <w:szCs w:val="30"/>
          <w:rtl/>
          <w:lang w:bidi="ar-JO"/>
        </w:rPr>
        <w:t>)</w:t>
      </w:r>
      <w:r w:rsidRPr="00654B45">
        <w:rPr>
          <w:rFonts w:asciiTheme="minorHAnsi" w:eastAsiaTheme="minorHAnsi" w:hAnsiTheme="minorHAnsi" w:cstheme="minorBidi" w:hint="cs"/>
          <w:color w:val="000000" w:themeColor="text1"/>
          <w:sz w:val="30"/>
          <w:szCs w:val="30"/>
          <w:rtl/>
          <w:lang w:bidi="ar-JO"/>
        </w:rPr>
        <w:t xml:space="preserve"> و(44/أ) من قانون البنك المركزي رقم (23) لسنة 1971 وتعديلاته، </w:t>
      </w:r>
      <w:r>
        <w:rPr>
          <w:rFonts w:asciiTheme="minorHAnsi" w:eastAsiaTheme="minorHAnsi" w:hAnsiTheme="minorHAnsi" w:cstheme="minorBidi" w:hint="cs"/>
          <w:color w:val="000000" w:themeColor="text1"/>
          <w:sz w:val="30"/>
          <w:szCs w:val="30"/>
          <w:rtl/>
          <w:lang w:bidi="ar-JO"/>
        </w:rPr>
        <w:t>والمادة</w:t>
      </w:r>
      <w:r w:rsidRPr="00654B45">
        <w:rPr>
          <w:rFonts w:asciiTheme="minorHAnsi" w:eastAsiaTheme="minorHAnsi" w:hAnsiTheme="minorHAnsi" w:cstheme="minorBidi" w:hint="cs"/>
          <w:color w:val="000000" w:themeColor="text1"/>
          <w:sz w:val="30"/>
          <w:szCs w:val="30"/>
          <w:rtl/>
          <w:lang w:bidi="ar-JO"/>
        </w:rPr>
        <w:t xml:space="preserve"> (99/ب) من قانون البنوك رقم (28) لسنة </w:t>
      </w:r>
      <w:r>
        <w:rPr>
          <w:rFonts w:asciiTheme="minorHAnsi" w:eastAsiaTheme="minorHAnsi" w:hAnsiTheme="minorHAnsi" w:cstheme="minorBidi" w:hint="cs"/>
          <w:color w:val="000000" w:themeColor="text1"/>
          <w:sz w:val="30"/>
          <w:szCs w:val="30"/>
          <w:rtl/>
          <w:lang w:bidi="ar-JO"/>
        </w:rPr>
        <w:t>2000 وتعديلاته.</w:t>
      </w:r>
    </w:p>
    <w:p w:rsidR="000902EC" w:rsidRPr="00654B45" w:rsidRDefault="000902EC" w:rsidP="00851A6D">
      <w:pPr>
        <w:ind w:right="-180"/>
        <w:jc w:val="both"/>
        <w:rPr>
          <w:rFonts w:ascii="Calibri" w:eastAsia="Calibri" w:hAnsi="Calibri" w:cs="Arial"/>
          <w:sz w:val="30"/>
          <w:szCs w:val="30"/>
          <w:rtl/>
          <w:lang w:eastAsia="en-US" w:bidi="ar-JO"/>
        </w:rPr>
      </w:pPr>
    </w:p>
    <w:p w:rsidR="000902EC" w:rsidRPr="00654B45" w:rsidRDefault="000902EC" w:rsidP="006867BD">
      <w:pPr>
        <w:spacing w:line="420" w:lineRule="exact"/>
        <w:ind w:hanging="270"/>
        <w:rPr>
          <w:rFonts w:ascii="Simplified Arabic" w:hAnsi="Simplified Arabic" w:cs="Simplified Arabic"/>
          <w:b/>
          <w:bCs/>
          <w:sz w:val="30"/>
          <w:szCs w:val="30"/>
          <w:u w:val="single"/>
          <w:rtl/>
          <w:lang w:eastAsia="en-US"/>
        </w:rPr>
      </w:pPr>
      <w:r w:rsidRPr="00654B45">
        <w:rPr>
          <w:rFonts w:ascii="Simplified Arabic" w:hAnsi="Simplified Arabic" w:cs="Simplified Arabic" w:hint="cs"/>
          <w:b/>
          <w:bCs/>
          <w:sz w:val="30"/>
          <w:szCs w:val="30"/>
          <w:u w:val="single"/>
          <w:rtl/>
          <w:lang w:eastAsia="en-US"/>
        </w:rPr>
        <w:t>ثانياً: محددات منح التسهيلات الائتمانية المباشرة بالعملة الأجنبية</w:t>
      </w:r>
    </w:p>
    <w:p w:rsidR="000902EC" w:rsidRPr="00654B45" w:rsidRDefault="000902EC" w:rsidP="000902EC">
      <w:pPr>
        <w:pStyle w:val="ListParagraph"/>
        <w:widowControl w:val="0"/>
        <w:numPr>
          <w:ilvl w:val="0"/>
          <w:numId w:val="13"/>
        </w:numPr>
        <w:adjustRightInd w:val="0"/>
        <w:spacing w:line="276" w:lineRule="auto"/>
        <w:ind w:left="90" w:right="-180" w:hanging="90"/>
        <w:jc w:val="lowKashida"/>
        <w:textAlignment w:val="baseline"/>
        <w:rPr>
          <w:rFonts w:ascii="Simplified Arabic" w:hAnsi="Simplified Arabic" w:cs="Simplified Arabic"/>
          <w:sz w:val="30"/>
          <w:szCs w:val="30"/>
          <w:rtl/>
        </w:rPr>
      </w:pPr>
      <w:r w:rsidRPr="00654B45">
        <w:rPr>
          <w:rFonts w:ascii="Simplified Arabic" w:hAnsi="Simplified Arabic" w:cs="Simplified Arabic"/>
          <w:sz w:val="30"/>
          <w:szCs w:val="30"/>
          <w:rtl/>
        </w:rPr>
        <w:t>ي</w:t>
      </w:r>
      <w:r w:rsidRPr="00654B45">
        <w:rPr>
          <w:rFonts w:ascii="Simplified Arabic" w:hAnsi="Simplified Arabic" w:cs="Simplified Arabic" w:hint="cs"/>
          <w:sz w:val="30"/>
          <w:szCs w:val="30"/>
          <w:rtl/>
        </w:rPr>
        <w:t>ُ</w:t>
      </w:r>
      <w:r w:rsidRPr="00654B45">
        <w:rPr>
          <w:rFonts w:ascii="Simplified Arabic" w:hAnsi="Simplified Arabic" w:cs="Simplified Arabic"/>
          <w:sz w:val="30"/>
          <w:szCs w:val="30"/>
          <w:rtl/>
        </w:rPr>
        <w:t xml:space="preserve">سمح للبنوك </w:t>
      </w:r>
      <w:r w:rsidRPr="00654B45">
        <w:rPr>
          <w:rFonts w:ascii="Simplified Arabic" w:hAnsi="Simplified Arabic" w:cs="Simplified Arabic" w:hint="cs"/>
          <w:sz w:val="30"/>
          <w:szCs w:val="30"/>
          <w:rtl/>
        </w:rPr>
        <w:t xml:space="preserve">- وفق الأصول والأعراف المصرفية </w:t>
      </w:r>
      <w:r>
        <w:rPr>
          <w:rFonts w:ascii="Simplified Arabic" w:hAnsi="Simplified Arabic" w:cs="Simplified Arabic" w:hint="cs"/>
          <w:sz w:val="30"/>
          <w:szCs w:val="30"/>
          <w:rtl/>
        </w:rPr>
        <w:t xml:space="preserve">السليمة </w:t>
      </w:r>
      <w:r w:rsidRPr="00654B45">
        <w:rPr>
          <w:rFonts w:ascii="Simplified Arabic" w:hAnsi="Simplified Arabic" w:cs="Simplified Arabic" w:hint="cs"/>
          <w:sz w:val="30"/>
          <w:szCs w:val="30"/>
          <w:rtl/>
        </w:rPr>
        <w:t>في الإقراض - ب</w:t>
      </w:r>
      <w:r w:rsidRPr="00654B45">
        <w:rPr>
          <w:rFonts w:ascii="Simplified Arabic" w:hAnsi="Simplified Arabic" w:cs="Simplified Arabic"/>
          <w:sz w:val="30"/>
          <w:szCs w:val="30"/>
          <w:rtl/>
        </w:rPr>
        <w:t xml:space="preserve">منح تسهيلات </w:t>
      </w:r>
      <w:r w:rsidRPr="00654B45">
        <w:rPr>
          <w:rFonts w:ascii="Simplified Arabic" w:hAnsi="Simplified Arabic" w:cs="Simplified Arabic" w:hint="cs"/>
          <w:sz w:val="30"/>
          <w:szCs w:val="30"/>
          <w:rtl/>
        </w:rPr>
        <w:t xml:space="preserve">ائتمانية مباشرة </w:t>
      </w:r>
      <w:r w:rsidRPr="00654B45">
        <w:rPr>
          <w:rFonts w:ascii="Simplified Arabic" w:hAnsi="Simplified Arabic" w:cs="Simplified Arabic"/>
          <w:sz w:val="30"/>
          <w:szCs w:val="30"/>
          <w:rtl/>
        </w:rPr>
        <w:t>بالعمل</w:t>
      </w:r>
      <w:r w:rsidRPr="00654B45">
        <w:rPr>
          <w:rFonts w:ascii="Simplified Arabic" w:hAnsi="Simplified Arabic" w:cs="Simplified Arabic" w:hint="cs"/>
          <w:sz w:val="30"/>
          <w:szCs w:val="30"/>
          <w:rtl/>
        </w:rPr>
        <w:t>ة</w:t>
      </w:r>
      <w:r w:rsidRPr="00654B45">
        <w:rPr>
          <w:rFonts w:ascii="Simplified Arabic" w:hAnsi="Simplified Arabic" w:cs="Simplified Arabic"/>
          <w:sz w:val="30"/>
          <w:szCs w:val="30"/>
          <w:rtl/>
        </w:rPr>
        <w:t xml:space="preserve"> </w:t>
      </w:r>
      <w:r w:rsidRPr="00654B45">
        <w:rPr>
          <w:rFonts w:ascii="Simplified Arabic" w:hAnsi="Simplified Arabic" w:cs="Simplified Arabic" w:hint="cs"/>
          <w:sz w:val="30"/>
          <w:szCs w:val="30"/>
          <w:rtl/>
        </w:rPr>
        <w:t>الأجنبية</w:t>
      </w:r>
      <w:r w:rsidRPr="00654B45">
        <w:rPr>
          <w:rFonts w:ascii="Simplified Arabic" w:hAnsi="Simplified Arabic" w:cs="Simplified Arabic"/>
          <w:sz w:val="30"/>
          <w:szCs w:val="30"/>
          <w:rtl/>
        </w:rPr>
        <w:t xml:space="preserve"> (بما فيها قروض التجمع البنكي</w:t>
      </w:r>
      <w:r w:rsidRPr="00654B45">
        <w:rPr>
          <w:rFonts w:ascii="Simplified Arabic" w:hAnsi="Simplified Arabic" w:cs="Simplified Arabic" w:hint="cs"/>
          <w:sz w:val="30"/>
          <w:szCs w:val="30"/>
          <w:rtl/>
        </w:rPr>
        <w:t xml:space="preserve"> والتسهيلات الائتمانية الممنوحة بالعملة الأجنبية مقابل تأمينات نقدية بالعملة الأجنبية</w:t>
      </w:r>
      <w:r w:rsidRPr="00654B45">
        <w:rPr>
          <w:rFonts w:ascii="Simplified Arabic" w:hAnsi="Simplified Arabic" w:cs="Simplified Arabic"/>
          <w:sz w:val="30"/>
          <w:szCs w:val="30"/>
          <w:rtl/>
        </w:rPr>
        <w:t xml:space="preserve">) لتمويل النشاطات </w:t>
      </w:r>
      <w:r w:rsidRPr="00654B45">
        <w:rPr>
          <w:rFonts w:ascii="Simplified Arabic" w:hAnsi="Simplified Arabic" w:cs="Simplified Arabic" w:hint="cs"/>
          <w:sz w:val="30"/>
          <w:szCs w:val="30"/>
          <w:rtl/>
        </w:rPr>
        <w:t xml:space="preserve">التالية: </w:t>
      </w:r>
      <w:r w:rsidRPr="00654B45">
        <w:rPr>
          <w:rFonts w:ascii="Simplified Arabic" w:hAnsi="Simplified Arabic" w:cs="Simplified Arabic"/>
          <w:sz w:val="30"/>
          <w:szCs w:val="30"/>
          <w:rtl/>
        </w:rPr>
        <w:t>-</w:t>
      </w:r>
    </w:p>
    <w:p w:rsidR="000902EC" w:rsidRPr="00654B45" w:rsidRDefault="000902EC" w:rsidP="000902EC">
      <w:pPr>
        <w:numPr>
          <w:ilvl w:val="0"/>
          <w:numId w:val="12"/>
        </w:numPr>
        <w:tabs>
          <w:tab w:val="right" w:pos="900"/>
        </w:tabs>
        <w:spacing w:line="276" w:lineRule="auto"/>
        <w:ind w:left="900" w:right="-180" w:hanging="270"/>
        <w:jc w:val="lowKashida"/>
        <w:rPr>
          <w:rFonts w:ascii="Simplified Arabic" w:hAnsi="Simplified Arabic" w:cs="Simplified Arabic"/>
          <w:sz w:val="30"/>
          <w:szCs w:val="30"/>
          <w:lang w:eastAsia="en-US"/>
        </w:rPr>
      </w:pPr>
      <w:r w:rsidRPr="00654B45">
        <w:rPr>
          <w:rFonts w:ascii="Simplified Arabic" w:hAnsi="Simplified Arabic" w:cs="Simplified Arabic" w:hint="cs"/>
          <w:sz w:val="30"/>
          <w:szCs w:val="30"/>
          <w:rtl/>
          <w:lang w:eastAsia="en-US"/>
        </w:rPr>
        <w:t>كافة الأنشطة</w:t>
      </w:r>
      <w:r w:rsidRPr="00654B45">
        <w:rPr>
          <w:rFonts w:ascii="Simplified Arabic" w:hAnsi="Simplified Arabic" w:cs="Simplified Arabic"/>
          <w:sz w:val="30"/>
          <w:szCs w:val="30"/>
          <w:rtl/>
          <w:lang w:eastAsia="en-US"/>
        </w:rPr>
        <w:t xml:space="preserve"> </w:t>
      </w:r>
      <w:r w:rsidRPr="00654B45">
        <w:rPr>
          <w:rFonts w:ascii="Simplified Arabic" w:hAnsi="Simplified Arabic" w:cs="Simplified Arabic" w:hint="cs"/>
          <w:sz w:val="30"/>
          <w:szCs w:val="30"/>
          <w:rtl/>
          <w:lang w:eastAsia="en-US"/>
        </w:rPr>
        <w:t xml:space="preserve">والخدمات الاقتصادية </w:t>
      </w:r>
      <w:r w:rsidRPr="00654B45">
        <w:rPr>
          <w:rFonts w:ascii="Simplified Arabic" w:hAnsi="Simplified Arabic" w:cs="Simplified Arabic"/>
          <w:sz w:val="30"/>
          <w:szCs w:val="30"/>
          <w:rtl/>
          <w:lang w:eastAsia="en-US"/>
        </w:rPr>
        <w:t xml:space="preserve">التصديرية </w:t>
      </w:r>
      <w:r w:rsidRPr="00654B45">
        <w:rPr>
          <w:rFonts w:ascii="Simplified Arabic" w:hAnsi="Simplified Arabic" w:cs="Simplified Arabic" w:hint="cs"/>
          <w:sz w:val="30"/>
          <w:szCs w:val="30"/>
          <w:rtl/>
          <w:lang w:eastAsia="en-US"/>
        </w:rPr>
        <w:t>و</w:t>
      </w:r>
      <w:r w:rsidRPr="00654B45">
        <w:rPr>
          <w:rFonts w:ascii="Simplified Arabic" w:hAnsi="Simplified Arabic" w:cs="Simplified Arabic"/>
          <w:sz w:val="30"/>
          <w:szCs w:val="30"/>
          <w:rtl/>
          <w:lang w:eastAsia="en-US"/>
        </w:rPr>
        <w:t xml:space="preserve">التي </w:t>
      </w:r>
      <w:r w:rsidRPr="00654B45">
        <w:rPr>
          <w:rFonts w:ascii="Simplified Arabic" w:hAnsi="Simplified Arabic" w:cs="Simplified Arabic" w:hint="cs"/>
          <w:sz w:val="30"/>
          <w:szCs w:val="30"/>
          <w:rtl/>
          <w:lang w:eastAsia="en-US"/>
        </w:rPr>
        <w:t>تؤدي الى تحصيل تدفقات نقدية بالعملة الأجنبية واردة للمملكة.</w:t>
      </w:r>
    </w:p>
    <w:p w:rsidR="000902EC" w:rsidRDefault="000902EC" w:rsidP="000902EC">
      <w:pPr>
        <w:numPr>
          <w:ilvl w:val="0"/>
          <w:numId w:val="12"/>
        </w:numPr>
        <w:tabs>
          <w:tab w:val="right" w:pos="900"/>
        </w:tabs>
        <w:spacing w:line="276" w:lineRule="auto"/>
        <w:ind w:left="900" w:right="-180" w:hanging="270"/>
        <w:jc w:val="lowKashida"/>
        <w:rPr>
          <w:rFonts w:ascii="Simplified Arabic" w:hAnsi="Simplified Arabic" w:cs="Simplified Arabic"/>
          <w:sz w:val="30"/>
          <w:szCs w:val="30"/>
          <w:lang w:eastAsia="en-US"/>
        </w:rPr>
      </w:pPr>
      <w:r>
        <w:rPr>
          <w:rFonts w:ascii="Simplified Arabic" w:hAnsi="Simplified Arabic" w:cs="Simplified Arabic" w:hint="cs"/>
          <w:sz w:val="30"/>
          <w:szCs w:val="30"/>
          <w:rtl/>
          <w:lang w:eastAsia="en-US" w:bidi="ar-JO"/>
        </w:rPr>
        <w:t xml:space="preserve">كافة </w:t>
      </w:r>
      <w:r w:rsidRPr="00654B45">
        <w:rPr>
          <w:rFonts w:ascii="Simplified Arabic" w:hAnsi="Simplified Arabic" w:cs="Simplified Arabic" w:hint="cs"/>
          <w:sz w:val="30"/>
          <w:szCs w:val="30"/>
          <w:rtl/>
          <w:lang w:eastAsia="en-US"/>
        </w:rPr>
        <w:t>أنشطة</w:t>
      </w:r>
      <w:r w:rsidRPr="00654B45">
        <w:rPr>
          <w:rFonts w:ascii="Simplified Arabic" w:hAnsi="Simplified Arabic" w:cs="Simplified Arabic"/>
          <w:sz w:val="30"/>
          <w:szCs w:val="30"/>
          <w:rtl/>
          <w:lang w:eastAsia="en-US"/>
        </w:rPr>
        <w:t xml:space="preserve"> إعادة التصدير للبضائع المارة عبر </w:t>
      </w:r>
      <w:r w:rsidRPr="00654B45">
        <w:rPr>
          <w:rFonts w:ascii="Simplified Arabic" w:hAnsi="Simplified Arabic" w:cs="Simplified Arabic" w:hint="cs"/>
          <w:sz w:val="30"/>
          <w:szCs w:val="30"/>
          <w:rtl/>
          <w:lang w:eastAsia="en-US"/>
        </w:rPr>
        <w:t xml:space="preserve">المملكة </w:t>
      </w:r>
      <w:r w:rsidRPr="00654B45">
        <w:rPr>
          <w:rFonts w:ascii="Simplified Arabic" w:hAnsi="Simplified Arabic" w:cs="Simplified Arabic"/>
          <w:sz w:val="30"/>
          <w:szCs w:val="30"/>
          <w:rtl/>
          <w:lang w:eastAsia="en-US"/>
        </w:rPr>
        <w:t>(</w:t>
      </w:r>
      <w:r w:rsidRPr="00654B45">
        <w:rPr>
          <w:rFonts w:ascii="Simplified Arabic" w:hAnsi="Simplified Arabic" w:cs="Simplified Arabic" w:hint="cs"/>
          <w:sz w:val="30"/>
          <w:szCs w:val="30"/>
          <w:rtl/>
          <w:lang w:eastAsia="en-US"/>
        </w:rPr>
        <w:t>تجارة ترانزيت) والتي تؤدي الى تحصيل تدفقات نقدية بالعملة الأجنبية واردة للمملكة.</w:t>
      </w:r>
    </w:p>
    <w:p w:rsidR="000902EC" w:rsidRPr="00F07182" w:rsidRDefault="000902EC" w:rsidP="000902EC">
      <w:pPr>
        <w:pStyle w:val="ListParagraph"/>
        <w:widowControl w:val="0"/>
        <w:numPr>
          <w:ilvl w:val="0"/>
          <w:numId w:val="13"/>
        </w:numPr>
        <w:tabs>
          <w:tab w:val="right" w:pos="900"/>
        </w:tabs>
        <w:adjustRightInd w:val="0"/>
        <w:spacing w:line="276" w:lineRule="auto"/>
        <w:ind w:left="90" w:right="-180" w:hanging="90"/>
        <w:jc w:val="lowKashida"/>
        <w:textAlignment w:val="baseline"/>
        <w:rPr>
          <w:rFonts w:ascii="Simplified Arabic" w:hAnsi="Simplified Arabic" w:cs="Simplified Arabic"/>
          <w:sz w:val="30"/>
          <w:szCs w:val="30"/>
        </w:rPr>
      </w:pPr>
      <w:r>
        <w:rPr>
          <w:rFonts w:ascii="Simplified Arabic" w:hAnsi="Simplified Arabic" w:cs="Simplified Arabic" w:hint="cs"/>
          <w:sz w:val="30"/>
          <w:szCs w:val="30"/>
          <w:rtl/>
        </w:rPr>
        <w:t>يجب</w:t>
      </w:r>
      <w:r w:rsidRPr="00F07182">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أ</w:t>
      </w:r>
      <w:r w:rsidRPr="00F07182">
        <w:rPr>
          <w:rFonts w:ascii="Simplified Arabic" w:hAnsi="Simplified Arabic" w:cs="Simplified Arabic" w:hint="cs"/>
          <w:sz w:val="30"/>
          <w:szCs w:val="30"/>
          <w:rtl/>
        </w:rPr>
        <w:t>لا</w:t>
      </w:r>
      <w:r>
        <w:rPr>
          <w:rFonts w:ascii="Simplified Arabic" w:hAnsi="Simplified Arabic" w:cs="Simplified Arabic" w:hint="cs"/>
          <w:sz w:val="30"/>
          <w:szCs w:val="30"/>
          <w:rtl/>
        </w:rPr>
        <w:t>ّ</w:t>
      </w:r>
      <w:r w:rsidRPr="00F07182">
        <w:rPr>
          <w:rFonts w:ascii="Simplified Arabic" w:hAnsi="Simplified Arabic" w:cs="Simplified Arabic" w:hint="cs"/>
          <w:sz w:val="30"/>
          <w:szCs w:val="30"/>
          <w:rtl/>
        </w:rPr>
        <w:t xml:space="preserve"> تُستغل التسهيلات الائتمانية المباشرة الممنوحة بالعملة الأجنبية </w:t>
      </w:r>
      <w:r>
        <w:rPr>
          <w:rFonts w:ascii="Simplified Arabic" w:hAnsi="Simplified Arabic" w:cs="Simplified Arabic" w:hint="cs"/>
          <w:sz w:val="30"/>
          <w:szCs w:val="30"/>
          <w:rtl/>
        </w:rPr>
        <w:t>في الحالات المذكورة أعلاه لتمويل</w:t>
      </w:r>
      <w:r w:rsidRPr="00F07182">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ال</w:t>
      </w:r>
      <w:r w:rsidRPr="00F07182">
        <w:rPr>
          <w:rFonts w:ascii="Simplified Arabic" w:hAnsi="Simplified Arabic" w:cs="Simplified Arabic" w:hint="cs"/>
          <w:sz w:val="30"/>
          <w:szCs w:val="30"/>
          <w:rtl/>
        </w:rPr>
        <w:t>مباني.</w:t>
      </w:r>
    </w:p>
    <w:p w:rsidR="000902EC" w:rsidRPr="00BD6A18" w:rsidRDefault="000902EC" w:rsidP="000902EC">
      <w:pPr>
        <w:pStyle w:val="ListParagraph"/>
        <w:widowControl w:val="0"/>
        <w:numPr>
          <w:ilvl w:val="0"/>
          <w:numId w:val="13"/>
        </w:numPr>
        <w:adjustRightInd w:val="0"/>
        <w:spacing w:line="276" w:lineRule="auto"/>
        <w:ind w:left="90" w:right="-180" w:hanging="90"/>
        <w:jc w:val="lowKashida"/>
        <w:textAlignment w:val="baseline"/>
        <w:rPr>
          <w:rFonts w:ascii="Simplified Arabic" w:hAnsi="Simplified Arabic" w:cs="Simplified Arabic"/>
          <w:sz w:val="30"/>
          <w:szCs w:val="30"/>
          <w:rtl/>
          <w:lang w:bidi="ar-JO"/>
        </w:rPr>
      </w:pPr>
      <w:r w:rsidRPr="00BD6A18">
        <w:rPr>
          <w:rFonts w:ascii="Simplified Arabic" w:hAnsi="Simplified Arabic" w:cs="Simplified Arabic" w:hint="cs"/>
          <w:sz w:val="30"/>
          <w:szCs w:val="30"/>
          <w:rtl/>
        </w:rPr>
        <w:t xml:space="preserve">يُشترط لدى منح تسهيلات ائتمانية مباشرة بالعملة الأجنبية وفقاً لما ورد أعلاه تحقيق ما يلي: </w:t>
      </w:r>
      <w:r w:rsidRPr="00BD6A18">
        <w:rPr>
          <w:rFonts w:ascii="Simplified Arabic" w:hAnsi="Simplified Arabic" w:cs="Simplified Arabic"/>
          <w:sz w:val="30"/>
          <w:szCs w:val="30"/>
          <w:rtl/>
        </w:rPr>
        <w:t>-</w:t>
      </w:r>
    </w:p>
    <w:p w:rsidR="000902EC" w:rsidRPr="00654B45" w:rsidRDefault="000902EC" w:rsidP="000902EC">
      <w:pPr>
        <w:numPr>
          <w:ilvl w:val="0"/>
          <w:numId w:val="8"/>
        </w:numPr>
        <w:spacing w:line="276" w:lineRule="auto"/>
        <w:ind w:left="900" w:right="-180" w:hanging="270"/>
        <w:jc w:val="lowKashida"/>
        <w:rPr>
          <w:rFonts w:ascii="Simplified Arabic" w:hAnsi="Simplified Arabic" w:cs="Simplified Arabic"/>
          <w:sz w:val="30"/>
          <w:szCs w:val="30"/>
          <w:lang w:eastAsia="en-US"/>
        </w:rPr>
      </w:pPr>
      <w:r w:rsidRPr="00654B45">
        <w:rPr>
          <w:rFonts w:ascii="Simplified Arabic" w:hAnsi="Simplified Arabic" w:cs="Simplified Arabic" w:hint="cs"/>
          <w:sz w:val="30"/>
          <w:szCs w:val="30"/>
          <w:rtl/>
          <w:lang w:eastAsia="en-US"/>
        </w:rPr>
        <w:t>أن يكون السداد بنفس العملة التي تم منح التسهيلات بها.</w:t>
      </w:r>
    </w:p>
    <w:p w:rsidR="000902EC" w:rsidRPr="00A8793A" w:rsidRDefault="000902EC" w:rsidP="000902EC">
      <w:pPr>
        <w:numPr>
          <w:ilvl w:val="0"/>
          <w:numId w:val="8"/>
        </w:numPr>
        <w:spacing w:line="276" w:lineRule="auto"/>
        <w:ind w:left="900" w:right="-180" w:hanging="270"/>
        <w:jc w:val="lowKashida"/>
        <w:rPr>
          <w:rFonts w:ascii="Simplified Arabic" w:hAnsi="Simplified Arabic" w:cs="Simplified Arabic"/>
          <w:sz w:val="30"/>
          <w:szCs w:val="30"/>
          <w:lang w:bidi="ar-JO"/>
        </w:rPr>
      </w:pPr>
      <w:r w:rsidRPr="006C6C6A">
        <w:rPr>
          <w:rFonts w:ascii="Simplified Arabic" w:hAnsi="Simplified Arabic" w:cs="Simplified Arabic" w:hint="cs"/>
          <w:sz w:val="30"/>
          <w:szCs w:val="30"/>
          <w:rtl/>
          <w:lang w:eastAsia="en-US"/>
        </w:rPr>
        <w:t>أن يتوفر لدى البنك ما يُثبت ان النشاطات أعلاه قادرة على توليد تدفقات نقدية بالعملة الأجنبية إلى داخل المملكة لا تقل عن قيمة أقساط وفوائد التسهيلات الائتمانية الممنوحة، وأن يكون مصدر هذه التدفقات من خارج المملكة، وعلى ان يتم اتخاذ الترتيبات اللازمة لتوريد هذه التدفقات الى حساب العميل لدى البنك المانح أو البنك الوكيل في قروض التجمع البنكي وتوثيق ذلك.</w:t>
      </w:r>
    </w:p>
    <w:p w:rsidR="000902EC" w:rsidRPr="001660AE" w:rsidRDefault="000902EC" w:rsidP="001660AE">
      <w:pPr>
        <w:pStyle w:val="ListParagraph"/>
        <w:tabs>
          <w:tab w:val="right" w:pos="-180"/>
          <w:tab w:val="right" w:pos="270"/>
        </w:tabs>
        <w:spacing w:line="420" w:lineRule="exact"/>
        <w:ind w:left="0" w:right="-180" w:hanging="450"/>
        <w:jc w:val="lowKashida"/>
        <w:rPr>
          <w:rFonts w:ascii="Simplified Arabic" w:hAnsi="Simplified Arabic" w:cs="Simplified Arabic"/>
          <w:b/>
          <w:bCs/>
          <w:sz w:val="30"/>
          <w:szCs w:val="30"/>
          <w:u w:val="single"/>
          <w:rtl/>
          <w:lang w:bidi="ar-JO"/>
        </w:rPr>
      </w:pPr>
      <w:r w:rsidRPr="001660AE">
        <w:rPr>
          <w:rFonts w:ascii="Simplified Arabic" w:hAnsi="Simplified Arabic" w:cs="Simplified Arabic" w:hint="cs"/>
          <w:b/>
          <w:bCs/>
          <w:sz w:val="30"/>
          <w:szCs w:val="30"/>
          <w:u w:val="single"/>
          <w:rtl/>
        </w:rPr>
        <w:t>ثالثاً: محددات منح التسهيلات الائتمانية لأشخاص لا يمارسون نشاطاً داخل المملكة و/أو لتمويل أنشطة خارج المملكة.</w:t>
      </w:r>
    </w:p>
    <w:p w:rsidR="000902EC" w:rsidRPr="00654B45" w:rsidRDefault="000902EC" w:rsidP="000902EC">
      <w:pPr>
        <w:pStyle w:val="ListParagraph"/>
        <w:widowControl w:val="0"/>
        <w:numPr>
          <w:ilvl w:val="0"/>
          <w:numId w:val="14"/>
        </w:numPr>
        <w:tabs>
          <w:tab w:val="right" w:pos="90"/>
        </w:tabs>
        <w:adjustRightInd w:val="0"/>
        <w:spacing w:line="420" w:lineRule="exact"/>
        <w:ind w:left="90" w:right="-180" w:hanging="270"/>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 xml:space="preserve">يُحظر على البنوك منح </w:t>
      </w:r>
      <w:r>
        <w:rPr>
          <w:rFonts w:ascii="Simplified Arabic" w:hAnsi="Simplified Arabic" w:cs="Simplified Arabic" w:hint="cs"/>
          <w:sz w:val="30"/>
          <w:szCs w:val="30"/>
          <w:rtl/>
          <w:lang w:bidi="ar-JO"/>
        </w:rPr>
        <w:t>أي تسهيلات ا</w:t>
      </w:r>
      <w:r w:rsidRPr="00654B45">
        <w:rPr>
          <w:rFonts w:ascii="Simplified Arabic" w:hAnsi="Simplified Arabic" w:cs="Simplified Arabic" w:hint="cs"/>
          <w:sz w:val="30"/>
          <w:szCs w:val="30"/>
          <w:rtl/>
          <w:lang w:bidi="ar-JO"/>
        </w:rPr>
        <w:t xml:space="preserve">ئتمانية </w:t>
      </w:r>
      <w:r>
        <w:rPr>
          <w:rFonts w:ascii="Simplified Arabic" w:hAnsi="Simplified Arabic" w:cs="Simplified Arabic" w:hint="cs"/>
          <w:sz w:val="30"/>
          <w:szCs w:val="30"/>
          <w:rtl/>
          <w:lang w:bidi="ar-JO"/>
        </w:rPr>
        <w:t xml:space="preserve">مباشرة أو غير مباشرة </w:t>
      </w:r>
      <w:r w:rsidRPr="00654B45">
        <w:rPr>
          <w:rFonts w:ascii="Simplified Arabic" w:hAnsi="Simplified Arabic" w:cs="Simplified Arabic" w:hint="cs"/>
          <w:sz w:val="30"/>
          <w:szCs w:val="30"/>
          <w:rtl/>
          <w:lang w:bidi="ar-JO"/>
        </w:rPr>
        <w:t xml:space="preserve">بالدينار الأردني أو بالعملة </w:t>
      </w:r>
      <w:r w:rsidRPr="00654B45">
        <w:rPr>
          <w:rFonts w:ascii="Simplified Arabic" w:hAnsi="Simplified Arabic" w:cs="Simplified Arabic" w:hint="cs"/>
          <w:sz w:val="30"/>
          <w:szCs w:val="30"/>
          <w:rtl/>
          <w:lang w:bidi="ar-JO"/>
        </w:rPr>
        <w:lastRenderedPageBreak/>
        <w:t>الأجنبية للأشخاص الذين لا يمارسون نشاطاً داخل المملكة</w:t>
      </w:r>
      <w:r>
        <w:rPr>
          <w:rFonts w:ascii="Simplified Arabic" w:hAnsi="Simplified Arabic" w:cs="Simplified Arabic" w:hint="cs"/>
          <w:sz w:val="30"/>
          <w:szCs w:val="30"/>
          <w:rtl/>
          <w:lang w:bidi="ar-JO"/>
        </w:rPr>
        <w:t xml:space="preserve"> و/أو لغايات تمويل أنشطة خارج المملكة</w:t>
      </w:r>
      <w:r w:rsidRPr="00654B45">
        <w:rPr>
          <w:rFonts w:ascii="Simplified Arabic" w:hAnsi="Simplified Arabic" w:cs="Simplified Arabic" w:hint="cs"/>
          <w:sz w:val="30"/>
          <w:szCs w:val="30"/>
          <w:rtl/>
          <w:lang w:bidi="ar-JO"/>
        </w:rPr>
        <w:t xml:space="preserve">، </w:t>
      </w:r>
      <w:r>
        <w:rPr>
          <w:rFonts w:ascii="Simplified Arabic" w:hAnsi="Simplified Arabic" w:cs="Simplified Arabic" w:hint="cs"/>
          <w:sz w:val="30"/>
          <w:szCs w:val="30"/>
          <w:rtl/>
          <w:lang w:bidi="ar-JO"/>
        </w:rPr>
        <w:t>بما في ذلك الشركات المُعفاة والشركات والهيئات الأجنبية غير العاملة.</w:t>
      </w:r>
    </w:p>
    <w:p w:rsidR="000902EC" w:rsidRPr="005034C5" w:rsidRDefault="000902EC" w:rsidP="000902EC">
      <w:pPr>
        <w:pStyle w:val="ListParagraph"/>
        <w:widowControl w:val="0"/>
        <w:numPr>
          <w:ilvl w:val="0"/>
          <w:numId w:val="14"/>
        </w:numPr>
        <w:tabs>
          <w:tab w:val="right" w:pos="720"/>
        </w:tabs>
        <w:adjustRightInd w:val="0"/>
        <w:spacing w:line="420" w:lineRule="exact"/>
        <w:ind w:left="90" w:right="-180"/>
        <w:jc w:val="lowKashida"/>
        <w:textAlignment w:val="baseline"/>
        <w:rPr>
          <w:rFonts w:ascii="Simplified Arabic" w:hAnsi="Simplified Arabic" w:cs="Simplified Arabic"/>
          <w:sz w:val="30"/>
          <w:szCs w:val="30"/>
          <w:lang w:bidi="ar-JO"/>
        </w:rPr>
      </w:pPr>
      <w:r w:rsidRPr="00AD6B1E">
        <w:rPr>
          <w:rFonts w:ascii="Simplified Arabic" w:hAnsi="Simplified Arabic" w:cs="Simplified Arabic" w:hint="cs"/>
          <w:sz w:val="30"/>
          <w:szCs w:val="30"/>
          <w:rtl/>
          <w:lang w:bidi="ar-JO"/>
        </w:rPr>
        <w:t>يُستثنى من الحظر أعلاه ما يل</w:t>
      </w:r>
      <w:r w:rsidRPr="00AD6B1E">
        <w:rPr>
          <w:rFonts w:ascii="Simplified Arabic" w:hAnsi="Simplified Arabic" w:cs="Simplified Arabic" w:hint="eastAsia"/>
          <w:sz w:val="30"/>
          <w:szCs w:val="30"/>
          <w:rtl/>
          <w:lang w:bidi="ar-JO"/>
        </w:rPr>
        <w:t>ي</w:t>
      </w:r>
      <w:r w:rsidRPr="00AD6B1E">
        <w:rPr>
          <w:rFonts w:ascii="Simplified Arabic" w:hAnsi="Simplified Arabic" w:cs="Simplified Arabic" w:hint="cs"/>
          <w:sz w:val="30"/>
          <w:szCs w:val="30"/>
          <w:rtl/>
          <w:lang w:bidi="ar-JO"/>
        </w:rPr>
        <w:t>:</w:t>
      </w:r>
    </w:p>
    <w:p w:rsidR="000902EC" w:rsidRDefault="000902EC" w:rsidP="000902EC">
      <w:pPr>
        <w:pStyle w:val="ListParagraph"/>
        <w:widowControl w:val="0"/>
        <w:numPr>
          <w:ilvl w:val="0"/>
          <w:numId w:val="5"/>
        </w:numPr>
        <w:adjustRightInd w:val="0"/>
        <w:spacing w:line="420" w:lineRule="exact"/>
        <w:ind w:left="630" w:right="-180" w:hanging="450"/>
        <w:jc w:val="lowKashida"/>
        <w:textAlignment w:val="baseline"/>
        <w:rPr>
          <w:rFonts w:ascii="Simplified Arabic" w:hAnsi="Simplified Arabic" w:cs="Simplified Arabic"/>
          <w:sz w:val="30"/>
          <w:szCs w:val="30"/>
          <w:lang w:bidi="ar-JO"/>
        </w:rPr>
      </w:pPr>
      <w:r>
        <w:rPr>
          <w:rFonts w:ascii="Simplified Arabic" w:hAnsi="Simplified Arabic" w:cs="Simplified Arabic" w:hint="cs"/>
          <w:sz w:val="30"/>
          <w:szCs w:val="30"/>
          <w:rtl/>
          <w:lang w:bidi="ar-JO"/>
        </w:rPr>
        <w:t>فتح اعتمادات وتمويلها لغرض توريد بضائع الى خارج المملكة دون المرور بأراضي المملكة وعلى أن يتم اتخاذ كافة الإجراءات اللازمة لتوريد هذه التدفقات الى حساب العميل لدى البنك المانح أو البنك الوكيل في قروض التجمع البنكي وشريطة اجراء التوثيق اللازم من قبل البنك وتوفير كافة الوثائق والمعززات التي تؤكد سيطرة البنك على التدفقات بالعملة الأجنبية الواردة من الخارج، وبطبيعة الحال يقع على عاتق البنك مسؤولية التحقق من وجود وتطبيق سياسة ملائمة لإدارة مخاطر الائتمان في هذا المجال.</w:t>
      </w:r>
    </w:p>
    <w:p w:rsidR="000902EC" w:rsidRDefault="000902EC" w:rsidP="000902EC">
      <w:pPr>
        <w:pStyle w:val="ListParagraph"/>
        <w:widowControl w:val="0"/>
        <w:numPr>
          <w:ilvl w:val="0"/>
          <w:numId w:val="5"/>
        </w:numPr>
        <w:adjustRightInd w:val="0"/>
        <w:spacing w:line="420" w:lineRule="exact"/>
        <w:ind w:left="630" w:right="-180" w:hanging="450"/>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التسهيلات الائتمانية غير المباشرة ما بين البنوك.</w:t>
      </w:r>
    </w:p>
    <w:p w:rsidR="000902EC" w:rsidRPr="00654B45" w:rsidRDefault="000902EC" w:rsidP="000902EC">
      <w:pPr>
        <w:pStyle w:val="ListParagraph"/>
        <w:widowControl w:val="0"/>
        <w:numPr>
          <w:ilvl w:val="0"/>
          <w:numId w:val="5"/>
        </w:numPr>
        <w:adjustRightInd w:val="0"/>
        <w:spacing w:line="420" w:lineRule="exact"/>
        <w:ind w:left="630" w:right="-180" w:hanging="450"/>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التسهيلات الائتمانية غير المباشرة المتضمنة تعهدات متعلقة بالأداء (</w:t>
      </w:r>
      <w:r w:rsidRPr="00654B45">
        <w:rPr>
          <w:rFonts w:ascii="Simplified Arabic" w:hAnsi="Simplified Arabic" w:cs="Simplified Arabic"/>
          <w:sz w:val="30"/>
          <w:szCs w:val="30"/>
          <w:lang w:bidi="ar-JO"/>
        </w:rPr>
        <w:t>Performance Related Contingencies)</w:t>
      </w:r>
      <w:r w:rsidRPr="00654B45">
        <w:rPr>
          <w:rFonts w:ascii="Simplified Arabic" w:hAnsi="Simplified Arabic" w:cs="Simplified Arabic" w:hint="cs"/>
          <w:sz w:val="30"/>
          <w:szCs w:val="30"/>
          <w:rtl/>
          <w:lang w:bidi="ar-JO"/>
        </w:rPr>
        <w:t xml:space="preserve"> وحسب ما وردت في تعليمات رأس المال التنظيمي وفقاً لمعيار بازل </w:t>
      </w:r>
      <w:r w:rsidRPr="00654B45">
        <w:rPr>
          <w:rFonts w:ascii="Simplified Arabic" w:hAnsi="Simplified Arabic" w:cs="Simplified Arabic"/>
          <w:sz w:val="30"/>
          <w:szCs w:val="30"/>
          <w:lang w:bidi="ar-JO"/>
        </w:rPr>
        <w:t xml:space="preserve">III  </w:t>
      </w:r>
      <w:r w:rsidRPr="00654B45">
        <w:rPr>
          <w:rFonts w:ascii="Simplified Arabic" w:hAnsi="Simplified Arabic" w:cs="Simplified Arabic" w:hint="cs"/>
          <w:sz w:val="30"/>
          <w:szCs w:val="30"/>
          <w:rtl/>
          <w:lang w:bidi="ar-JO"/>
        </w:rPr>
        <w:t xml:space="preserve"> رقم (67/2016).</w:t>
      </w:r>
    </w:p>
    <w:p w:rsidR="000902EC" w:rsidRDefault="000902EC" w:rsidP="000902EC">
      <w:pPr>
        <w:pStyle w:val="ListParagraph"/>
        <w:widowControl w:val="0"/>
        <w:numPr>
          <w:ilvl w:val="0"/>
          <w:numId w:val="5"/>
        </w:numPr>
        <w:adjustRightInd w:val="0"/>
        <w:spacing w:line="420" w:lineRule="exact"/>
        <w:ind w:left="630" w:right="-180" w:hanging="450"/>
        <w:jc w:val="lowKashida"/>
        <w:textAlignment w:val="baseline"/>
        <w:rPr>
          <w:rFonts w:ascii="Simplified Arabic" w:hAnsi="Simplified Arabic" w:cs="Simplified Arabic"/>
          <w:sz w:val="30"/>
          <w:szCs w:val="30"/>
        </w:rPr>
      </w:pPr>
      <w:r w:rsidRPr="000D494D">
        <w:rPr>
          <w:rFonts w:ascii="Simplified Arabic" w:hAnsi="Simplified Arabic" w:cs="Simplified Arabic" w:hint="cs"/>
          <w:sz w:val="30"/>
          <w:szCs w:val="30"/>
          <w:rtl/>
          <w:lang w:bidi="ar-JO"/>
        </w:rPr>
        <w:t xml:space="preserve">التسهيلات الائتمانية بالدينار الأردني أو بالعملة الأجنبية للشركات المسجلة في المناطق الحرة أو التنموية أو الخاصة المنشأة وفقا للتشريعات النافذة بالخصوص على </w:t>
      </w:r>
      <w:r w:rsidRPr="000D494D">
        <w:rPr>
          <w:rFonts w:ascii="Simplified Arabic" w:hAnsi="Simplified Arabic" w:cs="Simplified Arabic" w:hint="cs"/>
          <w:sz w:val="30"/>
          <w:szCs w:val="30"/>
          <w:rtl/>
        </w:rPr>
        <w:t>أن يتوفر لدى البنك ما يُثبت ان نشاط هذه الشركات قادر على توليد تدفقات نقدية بالعملة الأجنبية إلى داخل المملكة وبشكل يزيد عن قيمة أقساط وفوائد التسهيلات الائتمانية الممنوحة بالعملة الأجنبية وأن مصدر هذه التدفقات من خارج الممل</w:t>
      </w:r>
      <w:r>
        <w:rPr>
          <w:rFonts w:ascii="Simplified Arabic" w:hAnsi="Simplified Arabic" w:cs="Simplified Arabic" w:hint="cs"/>
          <w:sz w:val="30"/>
          <w:szCs w:val="30"/>
          <w:rtl/>
        </w:rPr>
        <w:t>كة، وعلى ان يتم اتخاذ كافة الإجراءات اللازمة لتوريد هذه التدفقات الى حساب العميل لدى البنك المانح أو البنك الوكيل في قروض التجمع البنكي وشريطة اجراء التوثيق اللازم من قبل البنك وتوفير كافة الوثائق والمعززات التي تؤكد سيطرته على التدفقات بالعملة الأجنبية المتأتية من تلك الأنشطة.</w:t>
      </w:r>
    </w:p>
    <w:p w:rsidR="000902EC" w:rsidRPr="000D494D" w:rsidRDefault="000902EC" w:rsidP="000902EC">
      <w:pPr>
        <w:pStyle w:val="ListParagraph"/>
        <w:widowControl w:val="0"/>
        <w:numPr>
          <w:ilvl w:val="0"/>
          <w:numId w:val="5"/>
        </w:numPr>
        <w:adjustRightInd w:val="0"/>
        <w:spacing w:line="420" w:lineRule="exact"/>
        <w:ind w:left="630" w:right="-180" w:hanging="450"/>
        <w:jc w:val="lowKashida"/>
        <w:textAlignment w:val="baseline"/>
        <w:rPr>
          <w:rFonts w:ascii="Simplified Arabic" w:hAnsi="Simplified Arabic" w:cs="Simplified Arabic"/>
          <w:sz w:val="30"/>
          <w:szCs w:val="30"/>
        </w:rPr>
      </w:pPr>
      <w:r w:rsidRPr="000D494D">
        <w:rPr>
          <w:rFonts w:ascii="Simplified Arabic" w:hAnsi="Simplified Arabic" w:cs="Simplified Arabic" w:hint="cs"/>
          <w:sz w:val="30"/>
          <w:szCs w:val="30"/>
          <w:rtl/>
        </w:rPr>
        <w:t>الكفالات الصادرة بناءً على طلب الشركات المعفاة كمتطلب قانوني لغايات تسجيلها وفقاً لأحكام المادة (7) من نظام الشركات المعفاة رقم (105) لسنة 2007.</w:t>
      </w:r>
    </w:p>
    <w:p w:rsidR="000902EC" w:rsidRPr="00A8793A" w:rsidRDefault="000902EC" w:rsidP="000902EC">
      <w:pPr>
        <w:pStyle w:val="ListParagraph"/>
        <w:widowControl w:val="0"/>
        <w:numPr>
          <w:ilvl w:val="0"/>
          <w:numId w:val="5"/>
        </w:numPr>
        <w:adjustRightInd w:val="0"/>
        <w:spacing w:line="420" w:lineRule="exact"/>
        <w:ind w:left="630" w:right="-180" w:hanging="450"/>
        <w:jc w:val="lowKashida"/>
        <w:textAlignment w:val="baseline"/>
        <w:rPr>
          <w:rFonts w:ascii="Simplified Arabic" w:hAnsi="Simplified Arabic" w:cs="Simplified Arabic"/>
          <w:sz w:val="30"/>
          <w:szCs w:val="30"/>
        </w:rPr>
      </w:pPr>
      <w:r>
        <w:rPr>
          <w:rFonts w:ascii="Simplified Arabic" w:hAnsi="Simplified Arabic" w:cs="Simplified Arabic" w:hint="cs"/>
          <w:sz w:val="30"/>
          <w:szCs w:val="30"/>
          <w:rtl/>
        </w:rPr>
        <w:t>المرابحات الدولية بالعملة الأجنبية لدى البنوك الإسلامية.</w:t>
      </w:r>
    </w:p>
    <w:p w:rsidR="000902EC" w:rsidRPr="007412FC" w:rsidRDefault="000902EC" w:rsidP="000902EC">
      <w:pPr>
        <w:pStyle w:val="ListParagraph"/>
        <w:widowControl w:val="0"/>
        <w:numPr>
          <w:ilvl w:val="0"/>
          <w:numId w:val="17"/>
        </w:numPr>
        <w:adjustRightInd w:val="0"/>
        <w:spacing w:line="420" w:lineRule="exact"/>
        <w:ind w:left="90" w:right="-180" w:hanging="180"/>
        <w:jc w:val="lowKashida"/>
        <w:textAlignment w:val="baseline"/>
        <w:rPr>
          <w:rFonts w:ascii="Simplified Arabic" w:hAnsi="Simplified Arabic" w:cs="Simplified Arabic"/>
          <w:sz w:val="30"/>
          <w:szCs w:val="30"/>
        </w:rPr>
      </w:pPr>
      <w:r w:rsidRPr="00DD6DFA">
        <w:rPr>
          <w:rFonts w:ascii="Simplified Arabic" w:hAnsi="Simplified Arabic" w:cs="Simplified Arabic" w:hint="cs"/>
          <w:sz w:val="30"/>
          <w:szCs w:val="30"/>
          <w:rtl/>
        </w:rPr>
        <w:t xml:space="preserve">يتوجب على البنك اتخاذ كافة الإجراءات اللازمة لتجنب أي مخاطر قانونية تترتب على البنك جرّاء التعامل مع أشخاص لا يمارسون نشاط داخل المملكة، ويلتزم البنك بمتطلبات تعليمات مكافحة غسل الأموال وتمويل الإرهاب النافذة المفعول </w:t>
      </w:r>
      <w:r>
        <w:rPr>
          <w:rFonts w:ascii="Simplified Arabic" w:hAnsi="Simplified Arabic" w:cs="Simplified Arabic" w:hint="cs"/>
          <w:sz w:val="30"/>
          <w:szCs w:val="30"/>
          <w:rtl/>
        </w:rPr>
        <w:t>بما في ذلك</w:t>
      </w:r>
      <w:r w:rsidRPr="00DD6DFA">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ما يتعلق </w:t>
      </w:r>
      <w:r>
        <w:rPr>
          <w:rFonts w:ascii="Simplified Arabic" w:hAnsi="Simplified Arabic" w:cs="Simplified Arabic" w:hint="cs"/>
          <w:sz w:val="30"/>
          <w:szCs w:val="30"/>
          <w:rtl/>
          <w:lang w:bidi="ar-JO"/>
        </w:rPr>
        <w:t>ب</w:t>
      </w:r>
      <w:r w:rsidRPr="00DD6DFA">
        <w:rPr>
          <w:rFonts w:ascii="Simplified Arabic" w:hAnsi="Simplified Arabic" w:cs="Simplified Arabic" w:hint="cs"/>
          <w:sz w:val="30"/>
          <w:szCs w:val="30"/>
          <w:rtl/>
        </w:rPr>
        <w:t>التعرّف على المستفيد الحقيقي من العمليات المصرفية الحاصلة على تلك الحسابات</w:t>
      </w:r>
      <w:r>
        <w:rPr>
          <w:rFonts w:ascii="Simplified Arabic" w:hAnsi="Simplified Arabic" w:cs="Simplified Arabic" w:hint="cs"/>
          <w:sz w:val="30"/>
          <w:szCs w:val="30"/>
          <w:rtl/>
        </w:rPr>
        <w:t xml:space="preserve"> وأن الحركات الحاصلة على تلك الحسابات لا تنطوي على ممارسة نشاط داخل المملكة.</w:t>
      </w:r>
    </w:p>
    <w:p w:rsidR="000902EC" w:rsidRDefault="000902EC" w:rsidP="00B916B4">
      <w:pPr>
        <w:pStyle w:val="Heading1"/>
        <w:rPr>
          <w:rtl/>
          <w:lang w:bidi="ar-JO"/>
        </w:rPr>
      </w:pPr>
      <w:r w:rsidRPr="00654B45">
        <w:rPr>
          <w:rFonts w:hint="cs"/>
          <w:rtl/>
        </w:rPr>
        <w:t>رابعاً: أحكام عامة</w:t>
      </w:r>
    </w:p>
    <w:p w:rsidR="000902EC" w:rsidRPr="00171B12" w:rsidRDefault="000902EC" w:rsidP="000902EC">
      <w:pPr>
        <w:pStyle w:val="ListParagraph"/>
        <w:widowControl w:val="0"/>
        <w:numPr>
          <w:ilvl w:val="0"/>
          <w:numId w:val="15"/>
        </w:numPr>
        <w:adjustRightInd w:val="0"/>
        <w:spacing w:line="420" w:lineRule="exact"/>
        <w:ind w:left="90" w:hanging="450"/>
        <w:jc w:val="lowKashida"/>
        <w:textAlignment w:val="baseline"/>
        <w:rPr>
          <w:rFonts w:ascii="Simplified Arabic" w:hAnsi="Simplified Arabic" w:cs="Simplified Arabic"/>
          <w:sz w:val="30"/>
          <w:szCs w:val="30"/>
          <w:rtl/>
          <w:lang w:bidi="ar-JO"/>
        </w:rPr>
      </w:pPr>
      <w:r w:rsidRPr="00654B45">
        <w:rPr>
          <w:rFonts w:ascii="Simplified Arabic" w:hAnsi="Simplified Arabic" w:cs="Simplified Arabic" w:hint="cs"/>
          <w:sz w:val="30"/>
          <w:szCs w:val="30"/>
          <w:rtl/>
          <w:lang w:bidi="ar-JO"/>
        </w:rPr>
        <w:t>يُحظر على البنوك الأردنية</w:t>
      </w:r>
      <w:r>
        <w:rPr>
          <w:rFonts w:ascii="Simplified Arabic" w:hAnsi="Simplified Arabic" w:cs="Simplified Arabic" w:hint="cs"/>
          <w:sz w:val="30"/>
          <w:szCs w:val="30"/>
          <w:rtl/>
          <w:lang w:bidi="ar-JO"/>
        </w:rPr>
        <w:t xml:space="preserve"> ترتيب </w:t>
      </w:r>
      <w:r w:rsidRPr="00654B45">
        <w:rPr>
          <w:rFonts w:ascii="Simplified Arabic" w:hAnsi="Simplified Arabic" w:cs="Simplified Arabic" w:hint="cs"/>
          <w:sz w:val="30"/>
          <w:szCs w:val="30"/>
          <w:rtl/>
          <w:lang w:bidi="ar-JO"/>
        </w:rPr>
        <w:t xml:space="preserve">منح أي تسهيلات ائتمانية </w:t>
      </w:r>
      <w:r>
        <w:rPr>
          <w:rFonts w:ascii="Simplified Arabic" w:hAnsi="Simplified Arabic" w:cs="Simplified Arabic" w:hint="cs"/>
          <w:sz w:val="30"/>
          <w:szCs w:val="30"/>
          <w:rtl/>
          <w:lang w:bidi="ar-JO"/>
        </w:rPr>
        <w:t>مباشرة أو غير مباشرة بالدينار الأردني أو ب</w:t>
      </w:r>
      <w:r w:rsidRPr="00654B45">
        <w:rPr>
          <w:rFonts w:ascii="Simplified Arabic" w:hAnsi="Simplified Arabic" w:cs="Simplified Arabic" w:hint="cs"/>
          <w:sz w:val="30"/>
          <w:szCs w:val="30"/>
          <w:rtl/>
          <w:lang w:bidi="ar-JO"/>
        </w:rPr>
        <w:t xml:space="preserve">العملة الاجنبية من خلال فروعها </w:t>
      </w:r>
      <w:r>
        <w:rPr>
          <w:rFonts w:ascii="Simplified Arabic" w:hAnsi="Simplified Arabic" w:cs="Simplified Arabic" w:hint="cs"/>
          <w:sz w:val="30"/>
          <w:szCs w:val="30"/>
          <w:rtl/>
          <w:lang w:bidi="ar-JO"/>
        </w:rPr>
        <w:t xml:space="preserve">وشركاتها التابعة </w:t>
      </w:r>
      <w:r w:rsidRPr="00654B45">
        <w:rPr>
          <w:rFonts w:ascii="Simplified Arabic" w:hAnsi="Simplified Arabic" w:cs="Simplified Arabic" w:hint="cs"/>
          <w:sz w:val="30"/>
          <w:szCs w:val="30"/>
          <w:rtl/>
          <w:lang w:bidi="ar-JO"/>
        </w:rPr>
        <w:t xml:space="preserve">العاملة خارج المملكة لأشخاص </w:t>
      </w:r>
      <w:r w:rsidRPr="00654B45">
        <w:rPr>
          <w:rFonts w:ascii="Simplified Arabic" w:hAnsi="Simplified Arabic" w:cs="Simplified Arabic" w:hint="cs"/>
          <w:sz w:val="30"/>
          <w:szCs w:val="30"/>
          <w:rtl/>
          <w:lang w:bidi="ar-JO"/>
        </w:rPr>
        <w:lastRenderedPageBreak/>
        <w:t>مقيمين داخل المملكة بقصد تمويل أنشطة أو خدمات داخل المملكة لغير الغايات المسموح بها وفقاً لهذه التعليمات</w:t>
      </w:r>
      <w:r>
        <w:rPr>
          <w:rFonts w:ascii="Simplified Arabic" w:hAnsi="Simplified Arabic" w:cs="Simplified Arabic" w:hint="cs"/>
          <w:sz w:val="30"/>
          <w:szCs w:val="30"/>
          <w:rtl/>
          <w:lang w:bidi="ar-JO"/>
        </w:rPr>
        <w:t>.</w:t>
      </w:r>
    </w:p>
    <w:p w:rsidR="000902EC" w:rsidRPr="00654B45" w:rsidRDefault="000902EC" w:rsidP="000902EC">
      <w:pPr>
        <w:pStyle w:val="ListParagraph"/>
        <w:widowControl w:val="0"/>
        <w:numPr>
          <w:ilvl w:val="0"/>
          <w:numId w:val="15"/>
        </w:numPr>
        <w:tabs>
          <w:tab w:val="right" w:pos="630"/>
        </w:tabs>
        <w:adjustRightInd w:val="0"/>
        <w:spacing w:line="400" w:lineRule="exact"/>
        <w:ind w:left="90" w:hanging="450"/>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 xml:space="preserve">يُحظر فتح اعتمادات </w:t>
      </w:r>
      <w:proofErr w:type="spellStart"/>
      <w:r w:rsidRPr="00654B45">
        <w:rPr>
          <w:rFonts w:ascii="Simplified Arabic" w:hAnsi="Simplified Arabic" w:cs="Simplified Arabic" w:hint="cs"/>
          <w:sz w:val="30"/>
          <w:szCs w:val="30"/>
          <w:rtl/>
          <w:lang w:bidi="ar-JO"/>
        </w:rPr>
        <w:t>مستندية</w:t>
      </w:r>
      <w:proofErr w:type="spellEnd"/>
      <w:r w:rsidRPr="00654B45">
        <w:rPr>
          <w:rFonts w:ascii="Simplified Arabic" w:hAnsi="Simplified Arabic" w:cs="Simplified Arabic" w:hint="cs"/>
          <w:sz w:val="30"/>
          <w:szCs w:val="30"/>
          <w:rtl/>
          <w:lang w:bidi="ar-JO"/>
        </w:rPr>
        <w:t xml:space="preserve"> أو إصدار كفالات مصرفية (خطابات ضمان) بالعملة الأجنبية بناءً على طلب شخص مقيم لصالح شخص مقيم آخر داخل المملكة، ولا يحول ذلك من اعتبار العملة الأجنبية عملة حسابية فقط لتحديد المبلغ الملتزم به بالدينار الأردني </w:t>
      </w:r>
      <w:r>
        <w:rPr>
          <w:rFonts w:ascii="Simplified Arabic" w:hAnsi="Simplified Arabic" w:cs="Simplified Arabic" w:hint="cs"/>
          <w:sz w:val="30"/>
          <w:szCs w:val="30"/>
          <w:rtl/>
          <w:lang w:bidi="ar-JO"/>
        </w:rPr>
        <w:t>في الاعتمادات والكفالات المحلية، ويُستثنى من ذلك الحالات التي تكون فيها المشاريع مموّلة من جهات خارجية أو دولية والتي تشترط ضمن شروط التمويل ان تكون الكفالات المصرفية (خطابات الضمان) و/أو الاعتمادات صادرة بالعملة الأجنبية.</w:t>
      </w:r>
    </w:p>
    <w:p w:rsidR="000902EC" w:rsidRPr="00654B45" w:rsidRDefault="000902EC" w:rsidP="000902EC">
      <w:pPr>
        <w:pStyle w:val="ListParagraph"/>
        <w:widowControl w:val="0"/>
        <w:numPr>
          <w:ilvl w:val="0"/>
          <w:numId w:val="15"/>
        </w:numPr>
        <w:tabs>
          <w:tab w:val="right" w:pos="630"/>
        </w:tabs>
        <w:adjustRightInd w:val="0"/>
        <w:spacing w:line="420" w:lineRule="exact"/>
        <w:ind w:left="90" w:hanging="450"/>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مراعاة الالتزام بالحدود القصوى المسموح بها للتسهيلات الائتمانية الممنوحة بالعملة الأجنبية وحدود الائتمان وفقاً للتعليمات النافذة بالخصوص.</w:t>
      </w:r>
    </w:p>
    <w:p w:rsidR="000902EC" w:rsidRPr="00F67DEA" w:rsidRDefault="000902EC" w:rsidP="000902EC">
      <w:pPr>
        <w:pStyle w:val="ListParagraph"/>
        <w:widowControl w:val="0"/>
        <w:numPr>
          <w:ilvl w:val="0"/>
          <w:numId w:val="15"/>
        </w:numPr>
        <w:adjustRightInd w:val="0"/>
        <w:spacing w:line="420" w:lineRule="exact"/>
        <w:ind w:left="90" w:hanging="450"/>
        <w:jc w:val="lowKashida"/>
        <w:textAlignment w:val="baseline"/>
        <w:rPr>
          <w:rFonts w:ascii="Simplified Arabic" w:hAnsi="Simplified Arabic" w:cs="Simplified Arabic"/>
          <w:sz w:val="30"/>
          <w:szCs w:val="30"/>
          <w:lang w:bidi="ar-JO"/>
        </w:rPr>
      </w:pPr>
      <w:r>
        <w:rPr>
          <w:rFonts w:ascii="Simplified Arabic" w:hAnsi="Simplified Arabic" w:cs="Simplified Arabic" w:hint="cs"/>
          <w:sz w:val="30"/>
          <w:szCs w:val="30"/>
          <w:rtl/>
          <w:lang w:bidi="ar-JO"/>
        </w:rPr>
        <w:t>على البنوك توفيق أوضاع التسهيلات الائتمانية المخالفة لهذه التعليمات بحد أقصى تاريخ استحقاق تلك التسهيلات.</w:t>
      </w:r>
    </w:p>
    <w:p w:rsidR="000902EC" w:rsidRPr="00654B45" w:rsidRDefault="000902EC" w:rsidP="000902EC">
      <w:pPr>
        <w:pStyle w:val="ListParagraph"/>
        <w:widowControl w:val="0"/>
        <w:numPr>
          <w:ilvl w:val="0"/>
          <w:numId w:val="15"/>
        </w:numPr>
        <w:tabs>
          <w:tab w:val="right" w:pos="630"/>
        </w:tabs>
        <w:adjustRightInd w:val="0"/>
        <w:spacing w:line="420" w:lineRule="exact"/>
        <w:ind w:left="90" w:hanging="450"/>
        <w:jc w:val="lowKashida"/>
        <w:textAlignment w:val="baseline"/>
        <w:rPr>
          <w:rFonts w:ascii="Simplified Arabic" w:hAnsi="Simplified Arabic" w:cs="Simplified Arabic"/>
          <w:sz w:val="30"/>
          <w:szCs w:val="30"/>
          <w:lang w:bidi="ar-JO"/>
        </w:rPr>
      </w:pPr>
      <w:r w:rsidRPr="00654B45">
        <w:rPr>
          <w:rFonts w:hint="cs"/>
          <w:sz w:val="30"/>
          <w:szCs w:val="30"/>
          <w:rtl/>
          <w:lang w:bidi="ar-JO"/>
        </w:rPr>
        <w:t xml:space="preserve">يتوجب على البنك </w:t>
      </w:r>
      <w:r>
        <w:rPr>
          <w:rFonts w:hint="cs"/>
          <w:sz w:val="30"/>
          <w:szCs w:val="30"/>
          <w:rtl/>
          <w:lang w:bidi="ar-JO"/>
        </w:rPr>
        <w:t>الاحتفاظ</w:t>
      </w:r>
      <w:r w:rsidRPr="00654B45">
        <w:rPr>
          <w:rFonts w:hint="cs"/>
          <w:sz w:val="30"/>
          <w:szCs w:val="30"/>
          <w:rtl/>
          <w:lang w:bidi="ar-JO"/>
        </w:rPr>
        <w:t xml:space="preserve"> بالبيانات </w:t>
      </w:r>
      <w:r>
        <w:rPr>
          <w:rFonts w:hint="cs"/>
          <w:sz w:val="30"/>
          <w:szCs w:val="30"/>
          <w:rtl/>
          <w:lang w:bidi="ar-JO"/>
        </w:rPr>
        <w:t xml:space="preserve">الشهرية </w:t>
      </w:r>
      <w:r w:rsidRPr="00654B45">
        <w:rPr>
          <w:rFonts w:hint="cs"/>
          <w:sz w:val="30"/>
          <w:szCs w:val="30"/>
          <w:rtl/>
          <w:lang w:bidi="ar-JO"/>
        </w:rPr>
        <w:t>المتعلقة بالتسهيلات الممنوحة بالعملة الأجنبية وفق النماذج المعدّة لذلك</w:t>
      </w:r>
      <w:r>
        <w:rPr>
          <w:rFonts w:hint="cs"/>
          <w:sz w:val="30"/>
          <w:szCs w:val="30"/>
          <w:rtl/>
          <w:lang w:bidi="ar-JO"/>
        </w:rPr>
        <w:t xml:space="preserve"> والمرفقة</w:t>
      </w:r>
      <w:r w:rsidRPr="00654B45">
        <w:rPr>
          <w:rFonts w:hint="cs"/>
          <w:sz w:val="30"/>
          <w:szCs w:val="30"/>
          <w:rtl/>
          <w:lang w:bidi="ar-JO"/>
        </w:rPr>
        <w:t xml:space="preserve"> </w:t>
      </w:r>
      <w:r>
        <w:rPr>
          <w:rFonts w:hint="cs"/>
          <w:sz w:val="30"/>
          <w:szCs w:val="30"/>
          <w:rtl/>
          <w:lang w:bidi="ar-JO"/>
        </w:rPr>
        <w:t xml:space="preserve">طي هذه التعليمات </w:t>
      </w:r>
      <w:r w:rsidRPr="00654B45">
        <w:rPr>
          <w:rFonts w:hint="cs"/>
          <w:sz w:val="30"/>
          <w:szCs w:val="30"/>
          <w:rtl/>
          <w:lang w:bidi="ar-JO"/>
        </w:rPr>
        <w:t xml:space="preserve">وعلى أن </w:t>
      </w:r>
      <w:r>
        <w:rPr>
          <w:rFonts w:hint="cs"/>
          <w:sz w:val="30"/>
          <w:szCs w:val="30"/>
          <w:rtl/>
          <w:lang w:bidi="ar-JO"/>
        </w:rPr>
        <w:t>يتم تزويدنا ب</w:t>
      </w:r>
      <w:r w:rsidRPr="00654B45">
        <w:rPr>
          <w:rFonts w:hint="cs"/>
          <w:sz w:val="30"/>
          <w:szCs w:val="30"/>
          <w:rtl/>
          <w:lang w:bidi="ar-JO"/>
        </w:rPr>
        <w:t xml:space="preserve">هذه البيانات </w:t>
      </w:r>
      <w:r>
        <w:rPr>
          <w:rFonts w:hint="cs"/>
          <w:sz w:val="30"/>
          <w:szCs w:val="30"/>
          <w:rtl/>
          <w:lang w:bidi="ar-JO"/>
        </w:rPr>
        <w:t>بشكل ربع سنوي ابتداءً من شهر 3/2021 وعلى أن تصلنا</w:t>
      </w:r>
      <w:r w:rsidRPr="00654B45">
        <w:rPr>
          <w:rFonts w:hint="cs"/>
          <w:sz w:val="30"/>
          <w:szCs w:val="30"/>
          <w:rtl/>
          <w:lang w:bidi="ar-JO"/>
        </w:rPr>
        <w:t xml:space="preserve"> في موعد أقصاه الخامس عشر من الشهر التالي الذي تعود له البيانات</w:t>
      </w:r>
      <w:r>
        <w:rPr>
          <w:rFonts w:ascii="Simplified Arabic" w:hAnsi="Simplified Arabic" w:cs="Simplified Arabic" w:hint="cs"/>
          <w:sz w:val="30"/>
          <w:szCs w:val="30"/>
          <w:rtl/>
          <w:lang w:bidi="ar-JO"/>
        </w:rPr>
        <w:t xml:space="preserve">، ويستمر البنك بتزويدنا بالمعلومات المطلوبة ضمن الكشوفات رقم (3/أ) و (3/ب) المرفقة طي هذه التعليمات </w:t>
      </w:r>
      <w:r w:rsidRPr="001420DA">
        <w:rPr>
          <w:rFonts w:ascii="Simplified Arabic" w:hAnsi="Simplified Arabic" w:cs="Simplified Arabic" w:hint="cs"/>
          <w:sz w:val="30"/>
          <w:szCs w:val="30"/>
          <w:u w:val="single"/>
          <w:rtl/>
          <w:lang w:bidi="ar-JO"/>
        </w:rPr>
        <w:t>فقط</w:t>
      </w:r>
      <w:r>
        <w:rPr>
          <w:rFonts w:ascii="Simplified Arabic" w:hAnsi="Simplified Arabic" w:cs="Simplified Arabic" w:hint="cs"/>
          <w:sz w:val="30"/>
          <w:szCs w:val="30"/>
          <w:rtl/>
          <w:lang w:bidi="ar-JO"/>
        </w:rPr>
        <w:t xml:space="preserve"> لحين توفيق أوضاع التسهيلات الائتمانية المخالفة لهذه التعليمات بتاريخ سريان هذه التعليمات.</w:t>
      </w:r>
    </w:p>
    <w:p w:rsidR="000902EC" w:rsidRPr="00654B45" w:rsidRDefault="000902EC" w:rsidP="000902EC">
      <w:pPr>
        <w:pStyle w:val="ListParagraph"/>
        <w:widowControl w:val="0"/>
        <w:numPr>
          <w:ilvl w:val="0"/>
          <w:numId w:val="15"/>
        </w:numPr>
        <w:tabs>
          <w:tab w:val="right" w:pos="630"/>
        </w:tabs>
        <w:adjustRightInd w:val="0"/>
        <w:spacing w:line="420" w:lineRule="exact"/>
        <w:ind w:left="90" w:hanging="450"/>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 xml:space="preserve">تُلغى التعليمات والتعاميم التالية ابتداءً من تاريخ سريان هذه التعليمات: </w:t>
      </w:r>
      <w:r w:rsidRPr="00654B45">
        <w:rPr>
          <w:rFonts w:ascii="Simplified Arabic" w:hAnsi="Simplified Arabic" w:cs="Simplified Arabic"/>
          <w:sz w:val="30"/>
          <w:szCs w:val="30"/>
          <w:rtl/>
          <w:lang w:bidi="ar-JO"/>
        </w:rPr>
        <w:t>-</w:t>
      </w:r>
    </w:p>
    <w:p w:rsidR="000902EC" w:rsidRPr="00654B45"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المذكرة رقم (166/87) تاريخ 9/9/1987.</w:t>
      </w:r>
    </w:p>
    <w:p w:rsidR="000902EC" w:rsidRPr="00654B45"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التعميم رقم (10/2/3/3/19465) تاريخ 10/12/2002.</w:t>
      </w:r>
    </w:p>
    <w:p w:rsidR="000902EC" w:rsidRPr="000D0036"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التعميم رقم (10/2/5098) تاريخ 21/5/2006.</w:t>
      </w:r>
    </w:p>
    <w:p w:rsidR="000902EC" w:rsidRPr="00654B45"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البند (رابعاً/1) من تعليمات إدارة موجودات/مطلوبات البنوك بالعملات الأجنبية رقم (32/2006) تاريخ 6/12/2006.</w:t>
      </w:r>
    </w:p>
    <w:p w:rsidR="000902EC" w:rsidRPr="00654B45"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التعميم رقم (10/3/12001) تاريخ 17/9/2009.</w:t>
      </w:r>
    </w:p>
    <w:p w:rsidR="000902EC"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lang w:bidi="ar-JO"/>
        </w:rPr>
      </w:pPr>
      <w:r w:rsidRPr="00654B45">
        <w:rPr>
          <w:rFonts w:ascii="Simplified Arabic" w:hAnsi="Simplified Arabic" w:cs="Simplified Arabic" w:hint="cs"/>
          <w:sz w:val="30"/>
          <w:szCs w:val="30"/>
          <w:rtl/>
          <w:lang w:bidi="ar-JO"/>
        </w:rPr>
        <w:t>تعليمات التسهيلات المباشرة بالعملات الأجنبية الممنوحة لقطاعي التصدير وإعادة التصدير رقم (53/2011) تاريخ 9/2/2011.</w:t>
      </w:r>
    </w:p>
    <w:p w:rsidR="000902EC" w:rsidRPr="000902EC"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rtl/>
          <w:lang w:bidi="ar-JO"/>
        </w:rPr>
        <w:sectPr w:rsidR="000902EC" w:rsidRPr="000902EC" w:rsidSect="000902EC">
          <w:headerReference w:type="even" r:id="rId9"/>
          <w:endnotePr>
            <w:numFmt w:val="lowerLetter"/>
          </w:endnotePr>
          <w:pgSz w:w="11907" w:h="16840" w:code="9"/>
          <w:pgMar w:top="2160" w:right="1531" w:bottom="1134" w:left="1531" w:header="720" w:footer="720" w:gutter="0"/>
          <w:paperSrc w:first="15" w:other="15"/>
          <w:cols w:space="720"/>
          <w:titlePg/>
          <w:bidi/>
          <w:rtlGutter/>
        </w:sectPr>
      </w:pPr>
      <w:r>
        <w:rPr>
          <w:rFonts w:ascii="Simplified Arabic" w:hAnsi="Simplified Arabic" w:cs="Simplified Arabic" w:hint="cs"/>
          <w:sz w:val="30"/>
          <w:szCs w:val="30"/>
          <w:rtl/>
          <w:lang w:bidi="ar-JO"/>
        </w:rPr>
        <w:t>التعميم رقم (10/1/857) تاريخ 16/1/2020.</w:t>
      </w:r>
    </w:p>
    <w:tbl>
      <w:tblPr>
        <w:bidiVisual/>
        <w:tblW w:w="15362" w:type="dxa"/>
        <w:tblInd w:w="-1234" w:type="dxa"/>
        <w:tblLook w:val="04A0" w:firstRow="1" w:lastRow="0" w:firstColumn="1" w:lastColumn="0" w:noHBand="0" w:noVBand="1"/>
      </w:tblPr>
      <w:tblGrid>
        <w:gridCol w:w="1151"/>
        <w:gridCol w:w="1349"/>
        <w:gridCol w:w="811"/>
        <w:gridCol w:w="766"/>
        <w:gridCol w:w="1140"/>
        <w:gridCol w:w="1511"/>
        <w:gridCol w:w="990"/>
        <w:gridCol w:w="993"/>
        <w:gridCol w:w="899"/>
        <w:gridCol w:w="1530"/>
        <w:gridCol w:w="1440"/>
        <w:gridCol w:w="2782"/>
      </w:tblGrid>
      <w:tr w:rsidR="00382980" w:rsidRPr="00D54B44" w:rsidTr="00847F69">
        <w:trPr>
          <w:trHeight w:val="431"/>
        </w:trPr>
        <w:tc>
          <w:tcPr>
            <w:tcW w:w="11140" w:type="dxa"/>
            <w:gridSpan w:val="10"/>
            <w:tcBorders>
              <w:top w:val="nil"/>
              <w:left w:val="nil"/>
              <w:bottom w:val="nil"/>
              <w:right w:val="nil"/>
            </w:tcBorders>
            <w:shd w:val="clear" w:color="auto" w:fill="auto"/>
            <w:noWrap/>
            <w:vAlign w:val="bottom"/>
            <w:hideMark/>
          </w:tcPr>
          <w:p w:rsidR="00382980" w:rsidRPr="00D54B44" w:rsidRDefault="00382980" w:rsidP="00D54B44">
            <w:pPr>
              <w:rPr>
                <w:rFonts w:ascii="Calibri" w:hAnsi="Calibri" w:cs="Calibri"/>
                <w:b/>
                <w:bCs/>
                <w:color w:val="000000"/>
                <w:sz w:val="28"/>
                <w:szCs w:val="28"/>
              </w:rPr>
            </w:pPr>
            <w:r w:rsidRPr="00D54B44">
              <w:rPr>
                <w:rFonts w:ascii="Calibri" w:hAnsi="Calibri" w:cs="Calibri"/>
                <w:b/>
                <w:bCs/>
                <w:color w:val="000000"/>
                <w:sz w:val="28"/>
                <w:szCs w:val="28"/>
                <w:rtl/>
              </w:rPr>
              <w:lastRenderedPageBreak/>
              <w:t>كشف رقم (1)</w:t>
            </w:r>
          </w:p>
        </w:tc>
        <w:tc>
          <w:tcPr>
            <w:tcW w:w="4222" w:type="dxa"/>
            <w:gridSpan w:val="2"/>
            <w:tcBorders>
              <w:top w:val="nil"/>
              <w:left w:val="nil"/>
              <w:bottom w:val="nil"/>
              <w:right w:val="nil"/>
            </w:tcBorders>
            <w:shd w:val="clear" w:color="auto" w:fill="auto"/>
            <w:noWrap/>
            <w:vAlign w:val="bottom"/>
            <w:hideMark/>
          </w:tcPr>
          <w:p w:rsidR="00382980" w:rsidRPr="00D54B44" w:rsidRDefault="00382980" w:rsidP="00D54B44">
            <w:pPr>
              <w:rPr>
                <w:rFonts w:ascii="Calibri" w:hAnsi="Calibri" w:cs="Calibri"/>
                <w:b/>
                <w:bCs/>
                <w:color w:val="000000"/>
                <w:sz w:val="28"/>
                <w:szCs w:val="28"/>
                <w:rtl/>
              </w:rPr>
            </w:pPr>
          </w:p>
        </w:tc>
      </w:tr>
      <w:tr w:rsidR="00382980" w:rsidRPr="00D54B44" w:rsidTr="00847F69">
        <w:trPr>
          <w:trHeight w:val="587"/>
        </w:trPr>
        <w:tc>
          <w:tcPr>
            <w:tcW w:w="0" w:type="auto"/>
            <w:gridSpan w:val="12"/>
            <w:tcBorders>
              <w:top w:val="nil"/>
              <w:left w:val="nil"/>
              <w:bottom w:val="nil"/>
              <w:right w:val="nil"/>
            </w:tcBorders>
            <w:shd w:val="clear" w:color="auto" w:fill="auto"/>
            <w:noWrap/>
            <w:vAlign w:val="bottom"/>
            <w:hideMark/>
          </w:tcPr>
          <w:p w:rsidR="00382980" w:rsidRPr="00D54B44" w:rsidRDefault="00382980" w:rsidP="00D54B44">
            <w:pPr>
              <w:rPr>
                <w:rFonts w:ascii="Simplified Arabic" w:hAnsi="Simplified Arabic" w:cs="Simplified Arabic"/>
                <w:b/>
                <w:bCs/>
                <w:color w:val="000000"/>
                <w:sz w:val="26"/>
                <w:szCs w:val="26"/>
              </w:rPr>
            </w:pPr>
            <w:r w:rsidRPr="00D54B44">
              <w:rPr>
                <w:rFonts w:ascii="Simplified Arabic" w:hAnsi="Simplified Arabic" w:cs="Simplified Arabic"/>
                <w:b/>
                <w:bCs/>
                <w:color w:val="000000"/>
                <w:sz w:val="26"/>
                <w:szCs w:val="26"/>
                <w:rtl/>
              </w:rPr>
              <w:t xml:space="preserve"> التسهيلات الائتمانية المباشرة الممنوحة بالعملة الأجنبية للغايات المسموح بها وفق البند (ثانياً/أ) من التعليمات</w:t>
            </w:r>
          </w:p>
        </w:tc>
      </w:tr>
      <w:tr w:rsidR="00382980" w:rsidRPr="00D54B44" w:rsidTr="00847F69">
        <w:trPr>
          <w:trHeight w:val="587"/>
        </w:trPr>
        <w:tc>
          <w:tcPr>
            <w:tcW w:w="1151" w:type="dxa"/>
            <w:tcBorders>
              <w:top w:val="nil"/>
              <w:left w:val="nil"/>
              <w:bottom w:val="nil"/>
              <w:right w:val="nil"/>
            </w:tcBorders>
            <w:shd w:val="clear" w:color="auto" w:fill="auto"/>
            <w:noWrap/>
            <w:vAlign w:val="bottom"/>
            <w:hideMark/>
          </w:tcPr>
          <w:p w:rsidR="00382980" w:rsidRPr="00D54B44" w:rsidRDefault="00382980" w:rsidP="00D54B44">
            <w:pPr>
              <w:rPr>
                <w:rFonts w:ascii="Simplified Arabic" w:hAnsi="Simplified Arabic" w:cs="Simplified Arabic"/>
                <w:b/>
                <w:bCs/>
                <w:color w:val="000000"/>
                <w:sz w:val="26"/>
                <w:szCs w:val="26"/>
                <w:rtl/>
              </w:rPr>
            </w:pPr>
          </w:p>
        </w:tc>
        <w:tc>
          <w:tcPr>
            <w:tcW w:w="1349"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811"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766"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1140"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1511"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990"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993"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899"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1530"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1440" w:type="dxa"/>
            <w:tcBorders>
              <w:top w:val="nil"/>
              <w:left w:val="nil"/>
              <w:bottom w:val="nil"/>
              <w:right w:val="nil"/>
            </w:tcBorders>
            <w:shd w:val="clear" w:color="auto" w:fill="auto"/>
            <w:noWrap/>
            <w:vAlign w:val="bottom"/>
            <w:hideMark/>
          </w:tcPr>
          <w:p w:rsidR="00382980" w:rsidRPr="00D54B44" w:rsidRDefault="00382980" w:rsidP="00D54B44">
            <w:pPr>
              <w:rPr>
                <w:rFonts w:cs="Times New Roman"/>
              </w:rPr>
            </w:pPr>
          </w:p>
        </w:tc>
        <w:tc>
          <w:tcPr>
            <w:tcW w:w="2782" w:type="dxa"/>
            <w:tcBorders>
              <w:top w:val="nil"/>
              <w:left w:val="nil"/>
              <w:bottom w:val="nil"/>
              <w:right w:val="nil"/>
            </w:tcBorders>
            <w:shd w:val="clear" w:color="auto" w:fill="auto"/>
            <w:noWrap/>
            <w:vAlign w:val="bottom"/>
            <w:hideMark/>
          </w:tcPr>
          <w:p w:rsidR="00382980" w:rsidRPr="00D54B44" w:rsidRDefault="00382980" w:rsidP="00D54B44">
            <w:pPr>
              <w:jc w:val="right"/>
              <w:rPr>
                <w:rFonts w:ascii="Simplified Arabic" w:hAnsi="Simplified Arabic" w:cs="Simplified Arabic"/>
                <w:b/>
                <w:bCs/>
                <w:color w:val="000000"/>
              </w:rPr>
            </w:pPr>
            <w:r w:rsidRPr="00D54B44">
              <w:rPr>
                <w:rFonts w:ascii="Simplified Arabic" w:hAnsi="Simplified Arabic" w:cs="Simplified Arabic"/>
                <w:b/>
                <w:bCs/>
                <w:color w:val="000000"/>
                <w:rtl/>
              </w:rPr>
              <w:t>المبالغ مقومه بالدينار الأردني</w:t>
            </w:r>
          </w:p>
        </w:tc>
      </w:tr>
      <w:tr w:rsidR="00382980" w:rsidRPr="00D54B44" w:rsidTr="00847F69">
        <w:trPr>
          <w:trHeight w:val="362"/>
        </w:trPr>
        <w:tc>
          <w:tcPr>
            <w:tcW w:w="1151" w:type="dxa"/>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اسم العميل</w:t>
            </w:r>
          </w:p>
        </w:tc>
        <w:tc>
          <w:tcPr>
            <w:tcW w:w="1349"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نوع التسهيلات</w:t>
            </w:r>
          </w:p>
        </w:tc>
        <w:tc>
          <w:tcPr>
            <w:tcW w:w="811"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 </w:t>
            </w:r>
          </w:p>
        </w:tc>
        <w:tc>
          <w:tcPr>
            <w:tcW w:w="5400" w:type="dxa"/>
            <w:gridSpan w:val="5"/>
            <w:tcBorders>
              <w:top w:val="single" w:sz="8" w:space="0" w:color="auto"/>
              <w:left w:val="single" w:sz="4" w:space="0" w:color="auto"/>
              <w:bottom w:val="single" w:sz="4" w:space="0" w:color="auto"/>
              <w:right w:val="single" w:sz="4" w:space="0" w:color="000000"/>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 xml:space="preserve"> التسهيلات المباشرة بالعملة الأجنبية</w:t>
            </w:r>
          </w:p>
        </w:tc>
        <w:tc>
          <w:tcPr>
            <w:tcW w:w="899"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طبيعة ودورية السداد</w:t>
            </w:r>
          </w:p>
        </w:tc>
        <w:tc>
          <w:tcPr>
            <w:tcW w:w="153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الغاية من التسهيلات</w:t>
            </w:r>
          </w:p>
        </w:tc>
        <w:tc>
          <w:tcPr>
            <w:tcW w:w="144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الضمانات مقابل التسهيلات</w:t>
            </w:r>
          </w:p>
        </w:tc>
        <w:tc>
          <w:tcPr>
            <w:tcW w:w="2782"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توضيح آلية سيطرة البنك على التدفقات النقدية بالعملة الأجنبية وذكر الوثائق المتوفرة لذلك</w:t>
            </w:r>
          </w:p>
        </w:tc>
      </w:tr>
      <w:tr w:rsidR="00382980" w:rsidRPr="00D54B44" w:rsidTr="00847F69">
        <w:trPr>
          <w:trHeight w:val="1105"/>
        </w:trPr>
        <w:tc>
          <w:tcPr>
            <w:tcW w:w="1151" w:type="dxa"/>
            <w:vMerge/>
            <w:tcBorders>
              <w:top w:val="single" w:sz="8" w:space="0" w:color="auto"/>
              <w:left w:val="single" w:sz="8" w:space="0" w:color="auto"/>
              <w:bottom w:val="single" w:sz="8"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c>
          <w:tcPr>
            <w:tcW w:w="811" w:type="dxa"/>
            <w:vMerge/>
            <w:tcBorders>
              <w:top w:val="single" w:sz="8" w:space="0" w:color="auto"/>
              <w:left w:val="single" w:sz="4" w:space="0" w:color="auto"/>
              <w:bottom w:val="single" w:sz="8"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c>
          <w:tcPr>
            <w:tcW w:w="766" w:type="dxa"/>
            <w:tcBorders>
              <w:top w:val="nil"/>
              <w:left w:val="single" w:sz="4" w:space="0" w:color="auto"/>
              <w:bottom w:val="single" w:sz="8" w:space="0" w:color="auto"/>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 xml:space="preserve">المبلغ </w:t>
            </w:r>
          </w:p>
        </w:tc>
        <w:tc>
          <w:tcPr>
            <w:tcW w:w="1140" w:type="dxa"/>
            <w:tcBorders>
              <w:top w:val="nil"/>
              <w:left w:val="single" w:sz="4" w:space="0" w:color="auto"/>
              <w:bottom w:val="single" w:sz="8" w:space="0" w:color="auto"/>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تاريخ المنح</w:t>
            </w:r>
          </w:p>
        </w:tc>
        <w:tc>
          <w:tcPr>
            <w:tcW w:w="1511" w:type="dxa"/>
            <w:tcBorders>
              <w:top w:val="nil"/>
              <w:left w:val="single" w:sz="4" w:space="0" w:color="auto"/>
              <w:bottom w:val="single" w:sz="8" w:space="0" w:color="auto"/>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تاريخ استحقاق التسهيلات</w:t>
            </w:r>
          </w:p>
        </w:tc>
        <w:tc>
          <w:tcPr>
            <w:tcW w:w="990" w:type="dxa"/>
            <w:tcBorders>
              <w:top w:val="nil"/>
              <w:left w:val="single" w:sz="4" w:space="0" w:color="auto"/>
              <w:bottom w:val="single" w:sz="8" w:space="0" w:color="auto"/>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 xml:space="preserve">عملة المنح </w:t>
            </w:r>
          </w:p>
        </w:tc>
        <w:tc>
          <w:tcPr>
            <w:tcW w:w="993" w:type="dxa"/>
            <w:tcBorders>
              <w:top w:val="nil"/>
              <w:left w:val="single" w:sz="4" w:space="0" w:color="auto"/>
              <w:bottom w:val="single" w:sz="8" w:space="0" w:color="auto"/>
              <w:right w:val="single" w:sz="4" w:space="0" w:color="auto"/>
            </w:tcBorders>
            <w:shd w:val="clear" w:color="000000" w:fill="C5D9F1"/>
            <w:vAlign w:val="center"/>
            <w:hideMark/>
          </w:tcPr>
          <w:p w:rsidR="00382980" w:rsidRPr="00D54B44" w:rsidRDefault="00382980" w:rsidP="00D54B44">
            <w:pPr>
              <w:jc w:val="center"/>
              <w:rPr>
                <w:rFonts w:ascii="Simplified Arabic" w:hAnsi="Simplified Arabic" w:cs="Simplified Arabic"/>
                <w:b/>
                <w:bCs/>
                <w:color w:val="000000"/>
                <w:sz w:val="24"/>
                <w:szCs w:val="24"/>
                <w:rtl/>
              </w:rPr>
            </w:pPr>
            <w:r w:rsidRPr="00D54B44">
              <w:rPr>
                <w:rFonts w:ascii="Simplified Arabic" w:hAnsi="Simplified Arabic" w:cs="Simplified Arabic"/>
                <w:b/>
                <w:bCs/>
                <w:color w:val="000000"/>
                <w:sz w:val="24"/>
                <w:szCs w:val="24"/>
                <w:rtl/>
              </w:rPr>
              <w:t xml:space="preserve">عملة السداد </w:t>
            </w:r>
          </w:p>
        </w:tc>
        <w:tc>
          <w:tcPr>
            <w:tcW w:w="899" w:type="dxa"/>
            <w:vMerge/>
            <w:tcBorders>
              <w:top w:val="single" w:sz="8" w:space="0" w:color="auto"/>
              <w:left w:val="single" w:sz="4" w:space="0" w:color="auto"/>
              <w:bottom w:val="single" w:sz="8"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c>
          <w:tcPr>
            <w:tcW w:w="1530" w:type="dxa"/>
            <w:vMerge/>
            <w:tcBorders>
              <w:top w:val="single" w:sz="8" w:space="0" w:color="auto"/>
              <w:left w:val="single" w:sz="4" w:space="0" w:color="auto"/>
              <w:bottom w:val="single" w:sz="8"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c>
          <w:tcPr>
            <w:tcW w:w="1440" w:type="dxa"/>
            <w:vMerge/>
            <w:tcBorders>
              <w:top w:val="single" w:sz="8" w:space="0" w:color="auto"/>
              <w:left w:val="single" w:sz="4" w:space="0" w:color="auto"/>
              <w:bottom w:val="single" w:sz="8"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c>
          <w:tcPr>
            <w:tcW w:w="2782" w:type="dxa"/>
            <w:vMerge/>
            <w:tcBorders>
              <w:top w:val="single" w:sz="8" w:space="0" w:color="auto"/>
              <w:left w:val="single" w:sz="4" w:space="0" w:color="auto"/>
              <w:bottom w:val="single" w:sz="8" w:space="0" w:color="000000"/>
              <w:right w:val="single" w:sz="8" w:space="0" w:color="auto"/>
            </w:tcBorders>
            <w:vAlign w:val="center"/>
            <w:hideMark/>
          </w:tcPr>
          <w:p w:rsidR="00382980" w:rsidRPr="00D54B44" w:rsidRDefault="00382980" w:rsidP="00D54B44">
            <w:pPr>
              <w:rPr>
                <w:rFonts w:ascii="Simplified Arabic" w:hAnsi="Simplified Arabic" w:cs="Simplified Arabic"/>
                <w:b/>
                <w:bCs/>
                <w:color w:val="000000"/>
                <w:sz w:val="24"/>
                <w:szCs w:val="24"/>
              </w:rPr>
            </w:pPr>
          </w:p>
        </w:tc>
      </w:tr>
      <w:tr w:rsidR="00382980" w:rsidRPr="00D54B44" w:rsidTr="00847F69">
        <w:trPr>
          <w:trHeight w:val="621"/>
        </w:trPr>
        <w:tc>
          <w:tcPr>
            <w:tcW w:w="115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tl/>
              </w:rPr>
            </w:pPr>
            <w:r w:rsidRPr="00D54B44">
              <w:rPr>
                <w:rFonts w:ascii="Calibri" w:hAnsi="Calibri" w:cs="Calibri"/>
                <w:color w:val="000000"/>
              </w:rPr>
              <w:t> </w:t>
            </w:r>
          </w:p>
        </w:tc>
        <w:tc>
          <w:tcPr>
            <w:tcW w:w="134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الممنوح</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9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3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4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2782"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r>
      <w:tr w:rsidR="00382980" w:rsidRPr="00D54B44" w:rsidTr="00847F69">
        <w:trPr>
          <w:trHeight w:val="621"/>
        </w:trPr>
        <w:tc>
          <w:tcPr>
            <w:tcW w:w="1151" w:type="dxa"/>
            <w:vMerge/>
            <w:tcBorders>
              <w:top w:val="nil"/>
              <w:left w:val="single" w:sz="8"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34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 xml:space="preserve">المستعمل </w:t>
            </w:r>
          </w:p>
        </w:tc>
        <w:tc>
          <w:tcPr>
            <w:tcW w:w="766" w:type="dxa"/>
            <w:tcBorders>
              <w:top w:val="nil"/>
              <w:left w:val="single" w:sz="4" w:space="0" w:color="auto"/>
              <w:bottom w:val="single" w:sz="8"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11"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3"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9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3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4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2782" w:type="dxa"/>
            <w:vMerge/>
            <w:tcBorders>
              <w:top w:val="nil"/>
              <w:left w:val="single" w:sz="4" w:space="0" w:color="auto"/>
              <w:bottom w:val="single" w:sz="8" w:space="0" w:color="000000"/>
              <w:right w:val="single" w:sz="8" w:space="0" w:color="auto"/>
            </w:tcBorders>
            <w:vAlign w:val="center"/>
            <w:hideMark/>
          </w:tcPr>
          <w:p w:rsidR="00382980" w:rsidRPr="00D54B44" w:rsidRDefault="00382980" w:rsidP="00D54B44">
            <w:pPr>
              <w:rPr>
                <w:rFonts w:ascii="Calibri" w:hAnsi="Calibri" w:cs="Calibri"/>
                <w:color w:val="000000"/>
              </w:rPr>
            </w:pPr>
          </w:p>
        </w:tc>
      </w:tr>
      <w:tr w:rsidR="00382980" w:rsidRPr="00D54B44" w:rsidTr="00847F69">
        <w:trPr>
          <w:trHeight w:val="621"/>
        </w:trPr>
        <w:tc>
          <w:tcPr>
            <w:tcW w:w="115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34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الممنوح</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9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3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4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2782"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r>
      <w:tr w:rsidR="00382980" w:rsidRPr="00D54B44" w:rsidTr="00847F69">
        <w:trPr>
          <w:trHeight w:val="621"/>
        </w:trPr>
        <w:tc>
          <w:tcPr>
            <w:tcW w:w="1151" w:type="dxa"/>
            <w:vMerge/>
            <w:tcBorders>
              <w:top w:val="nil"/>
              <w:left w:val="single" w:sz="8"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34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 xml:space="preserve">المستعمل </w:t>
            </w:r>
          </w:p>
        </w:tc>
        <w:tc>
          <w:tcPr>
            <w:tcW w:w="766" w:type="dxa"/>
            <w:tcBorders>
              <w:top w:val="nil"/>
              <w:left w:val="single" w:sz="4" w:space="0" w:color="auto"/>
              <w:bottom w:val="single" w:sz="8"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11"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3"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9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3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4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2782" w:type="dxa"/>
            <w:vMerge/>
            <w:tcBorders>
              <w:top w:val="nil"/>
              <w:left w:val="single" w:sz="4" w:space="0" w:color="auto"/>
              <w:bottom w:val="single" w:sz="8" w:space="0" w:color="000000"/>
              <w:right w:val="single" w:sz="8" w:space="0" w:color="auto"/>
            </w:tcBorders>
            <w:vAlign w:val="center"/>
            <w:hideMark/>
          </w:tcPr>
          <w:p w:rsidR="00382980" w:rsidRPr="00D54B44" w:rsidRDefault="00382980" w:rsidP="00D54B44">
            <w:pPr>
              <w:rPr>
                <w:rFonts w:ascii="Calibri" w:hAnsi="Calibri" w:cs="Calibri"/>
                <w:color w:val="000000"/>
              </w:rPr>
            </w:pPr>
          </w:p>
        </w:tc>
      </w:tr>
      <w:tr w:rsidR="00382980" w:rsidRPr="00D54B44" w:rsidTr="00847F69">
        <w:trPr>
          <w:trHeight w:val="621"/>
        </w:trPr>
        <w:tc>
          <w:tcPr>
            <w:tcW w:w="115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34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الممنوح</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9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3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4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2782"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r>
      <w:tr w:rsidR="00382980" w:rsidRPr="00D54B44" w:rsidTr="00847F69">
        <w:trPr>
          <w:trHeight w:val="621"/>
        </w:trPr>
        <w:tc>
          <w:tcPr>
            <w:tcW w:w="1151" w:type="dxa"/>
            <w:vMerge/>
            <w:tcBorders>
              <w:top w:val="nil"/>
              <w:left w:val="single" w:sz="8"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34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 xml:space="preserve">المستعمل </w:t>
            </w:r>
          </w:p>
        </w:tc>
        <w:tc>
          <w:tcPr>
            <w:tcW w:w="766" w:type="dxa"/>
            <w:tcBorders>
              <w:top w:val="nil"/>
              <w:left w:val="single" w:sz="4" w:space="0" w:color="auto"/>
              <w:bottom w:val="single" w:sz="8"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11"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3"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9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3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4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2782" w:type="dxa"/>
            <w:vMerge/>
            <w:tcBorders>
              <w:top w:val="nil"/>
              <w:left w:val="single" w:sz="4" w:space="0" w:color="auto"/>
              <w:bottom w:val="single" w:sz="8" w:space="0" w:color="000000"/>
              <w:right w:val="single" w:sz="8" w:space="0" w:color="auto"/>
            </w:tcBorders>
            <w:vAlign w:val="center"/>
            <w:hideMark/>
          </w:tcPr>
          <w:p w:rsidR="00382980" w:rsidRPr="00D54B44" w:rsidRDefault="00382980" w:rsidP="00D54B44">
            <w:pPr>
              <w:rPr>
                <w:rFonts w:ascii="Calibri" w:hAnsi="Calibri" w:cs="Calibri"/>
                <w:color w:val="000000"/>
              </w:rPr>
            </w:pPr>
          </w:p>
        </w:tc>
      </w:tr>
      <w:tr w:rsidR="00382980" w:rsidRPr="00D54B44" w:rsidTr="00847F69">
        <w:trPr>
          <w:trHeight w:val="621"/>
        </w:trPr>
        <w:tc>
          <w:tcPr>
            <w:tcW w:w="115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34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الممنوح</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9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3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4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2782"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r>
      <w:tr w:rsidR="00382980" w:rsidRPr="00D54B44" w:rsidTr="00847F69">
        <w:trPr>
          <w:trHeight w:val="621"/>
        </w:trPr>
        <w:tc>
          <w:tcPr>
            <w:tcW w:w="1151" w:type="dxa"/>
            <w:vMerge/>
            <w:tcBorders>
              <w:top w:val="nil"/>
              <w:left w:val="single" w:sz="8"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34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 xml:space="preserve">المستعمل </w:t>
            </w:r>
          </w:p>
        </w:tc>
        <w:tc>
          <w:tcPr>
            <w:tcW w:w="766" w:type="dxa"/>
            <w:tcBorders>
              <w:top w:val="nil"/>
              <w:left w:val="single" w:sz="4" w:space="0" w:color="auto"/>
              <w:bottom w:val="single" w:sz="8" w:space="0" w:color="auto"/>
              <w:right w:val="single" w:sz="4" w:space="0" w:color="auto"/>
            </w:tcBorders>
            <w:shd w:val="clear" w:color="auto" w:fill="auto"/>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11"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3"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899"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3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440" w:type="dxa"/>
            <w:vMerge/>
            <w:tcBorders>
              <w:top w:val="nil"/>
              <w:left w:val="single" w:sz="4" w:space="0" w:color="auto"/>
              <w:bottom w:val="single" w:sz="8"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2782" w:type="dxa"/>
            <w:vMerge/>
            <w:tcBorders>
              <w:top w:val="nil"/>
              <w:left w:val="single" w:sz="4" w:space="0" w:color="auto"/>
              <w:bottom w:val="single" w:sz="8" w:space="0" w:color="000000"/>
              <w:right w:val="single" w:sz="8" w:space="0" w:color="auto"/>
            </w:tcBorders>
            <w:vAlign w:val="center"/>
            <w:hideMark/>
          </w:tcPr>
          <w:p w:rsidR="00382980" w:rsidRPr="00D54B44" w:rsidRDefault="00382980" w:rsidP="00D54B44">
            <w:pPr>
              <w:rPr>
                <w:rFonts w:ascii="Calibri" w:hAnsi="Calibri" w:cs="Calibri"/>
                <w:color w:val="000000"/>
              </w:rPr>
            </w:pPr>
          </w:p>
        </w:tc>
      </w:tr>
      <w:tr w:rsidR="00382980" w:rsidRPr="00D54B44" w:rsidTr="00847F69">
        <w:trPr>
          <w:trHeight w:val="569"/>
        </w:trPr>
        <w:tc>
          <w:tcPr>
            <w:tcW w:w="1151" w:type="dxa"/>
            <w:vMerge w:val="restart"/>
            <w:tcBorders>
              <w:top w:val="nil"/>
              <w:left w:val="single" w:sz="4" w:space="0" w:color="auto"/>
              <w:bottom w:val="single" w:sz="4" w:space="0" w:color="auto"/>
              <w:right w:val="single" w:sz="4" w:space="0" w:color="auto"/>
            </w:tcBorders>
            <w:shd w:val="clear" w:color="000000" w:fill="BFBFBF"/>
            <w:vAlign w:val="center"/>
            <w:hideMark/>
          </w:tcPr>
          <w:p w:rsidR="00382980" w:rsidRPr="00D54B44" w:rsidRDefault="00382980" w:rsidP="00D54B44">
            <w:pPr>
              <w:jc w:val="center"/>
              <w:rPr>
                <w:rFonts w:ascii="Simplified Arabic" w:hAnsi="Simplified Arabic" w:cs="Simplified Arabic"/>
                <w:b/>
                <w:bCs/>
                <w:color w:val="000000"/>
              </w:rPr>
            </w:pPr>
            <w:r w:rsidRPr="00D54B44">
              <w:rPr>
                <w:rFonts w:ascii="Simplified Arabic" w:hAnsi="Simplified Arabic" w:cs="Simplified Arabic"/>
                <w:b/>
                <w:bCs/>
                <w:color w:val="000000"/>
                <w:rtl/>
              </w:rPr>
              <w:t>المجموع</w:t>
            </w:r>
          </w:p>
        </w:tc>
        <w:tc>
          <w:tcPr>
            <w:tcW w:w="1349"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82980" w:rsidRPr="00D54B44" w:rsidRDefault="00382980" w:rsidP="00D54B44">
            <w:pPr>
              <w:jc w:val="center"/>
              <w:rPr>
                <w:rFonts w:ascii="Simplified Arabic" w:hAnsi="Simplified Arabic" w:cs="Simplified Arabic"/>
                <w:b/>
                <w:bCs/>
                <w:color w:val="000000"/>
                <w:rtl/>
              </w:rPr>
            </w:pPr>
            <w:r w:rsidRPr="00D54B44">
              <w:rPr>
                <w:rFonts w:ascii="Simplified Arabic" w:hAnsi="Simplified Arabic" w:cs="Simplified Arabic"/>
                <w:b/>
                <w:bCs/>
                <w:color w:val="000000"/>
                <w:rtl/>
              </w:rPr>
              <w:t> </w:t>
            </w:r>
          </w:p>
        </w:tc>
        <w:tc>
          <w:tcPr>
            <w:tcW w:w="811" w:type="dxa"/>
            <w:tcBorders>
              <w:top w:val="nil"/>
              <w:left w:val="single" w:sz="4" w:space="0" w:color="auto"/>
              <w:bottom w:val="single" w:sz="4" w:space="0" w:color="auto"/>
              <w:right w:val="single" w:sz="4" w:space="0" w:color="auto"/>
            </w:tcBorders>
            <w:shd w:val="clear" w:color="000000" w:fill="BFBFBF"/>
            <w:hideMark/>
          </w:tcPr>
          <w:p w:rsidR="00382980" w:rsidRPr="00D54B44" w:rsidRDefault="00382980" w:rsidP="00D54B44">
            <w:pPr>
              <w:jc w:val="both"/>
              <w:rPr>
                <w:rFonts w:ascii="Simplified Arabic" w:hAnsi="Simplified Arabic" w:cs="Simplified Arabic"/>
                <w:b/>
                <w:bCs/>
                <w:color w:val="000000"/>
                <w:rtl/>
              </w:rPr>
            </w:pPr>
            <w:r w:rsidRPr="00D54B44">
              <w:rPr>
                <w:rFonts w:ascii="Simplified Arabic" w:hAnsi="Simplified Arabic" w:cs="Simplified Arabic"/>
                <w:b/>
                <w:bCs/>
                <w:color w:val="000000"/>
                <w:rtl/>
              </w:rPr>
              <w:t>الممنوح</w:t>
            </w:r>
          </w:p>
        </w:tc>
        <w:tc>
          <w:tcPr>
            <w:tcW w:w="766"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tcBorders>
              <w:top w:val="nil"/>
              <w:left w:val="single" w:sz="4" w:space="0" w:color="auto"/>
              <w:bottom w:val="nil"/>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11"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0"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993"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89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30"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44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2782"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r>
      <w:tr w:rsidR="00382980" w:rsidRPr="00D54B44" w:rsidTr="00847F69">
        <w:trPr>
          <w:trHeight w:val="569"/>
        </w:trPr>
        <w:tc>
          <w:tcPr>
            <w:tcW w:w="1151" w:type="dxa"/>
            <w:vMerge/>
            <w:tcBorders>
              <w:top w:val="nil"/>
              <w:left w:val="single" w:sz="4" w:space="0" w:color="auto"/>
              <w:bottom w:val="single" w:sz="4" w:space="0" w:color="auto"/>
              <w:right w:val="single" w:sz="4" w:space="0" w:color="auto"/>
            </w:tcBorders>
            <w:vAlign w:val="center"/>
            <w:hideMark/>
          </w:tcPr>
          <w:p w:rsidR="00382980" w:rsidRPr="00D54B44" w:rsidRDefault="00382980" w:rsidP="00D54B44">
            <w:pPr>
              <w:rPr>
                <w:rFonts w:ascii="Simplified Arabic" w:hAnsi="Simplified Arabic" w:cs="Simplified Arabic"/>
                <w:b/>
                <w:bCs/>
                <w:color w:val="000000"/>
              </w:rPr>
            </w:pPr>
          </w:p>
        </w:tc>
        <w:tc>
          <w:tcPr>
            <w:tcW w:w="1349" w:type="dxa"/>
            <w:vMerge/>
            <w:tcBorders>
              <w:top w:val="nil"/>
              <w:left w:val="single" w:sz="4" w:space="0" w:color="auto"/>
              <w:bottom w:val="single" w:sz="4" w:space="0" w:color="000000"/>
              <w:right w:val="single" w:sz="4" w:space="0" w:color="auto"/>
            </w:tcBorders>
            <w:vAlign w:val="center"/>
            <w:hideMark/>
          </w:tcPr>
          <w:p w:rsidR="00382980" w:rsidRPr="00D54B44" w:rsidRDefault="00382980" w:rsidP="00D54B44">
            <w:pPr>
              <w:rPr>
                <w:rFonts w:ascii="Simplified Arabic" w:hAnsi="Simplified Arabic" w:cs="Simplified Arabic"/>
                <w:b/>
                <w:bCs/>
                <w:color w:val="000000"/>
              </w:rPr>
            </w:pPr>
          </w:p>
        </w:tc>
        <w:tc>
          <w:tcPr>
            <w:tcW w:w="811" w:type="dxa"/>
            <w:tcBorders>
              <w:top w:val="nil"/>
              <w:left w:val="single" w:sz="4" w:space="0" w:color="auto"/>
              <w:bottom w:val="single" w:sz="4" w:space="0" w:color="auto"/>
              <w:right w:val="single" w:sz="4" w:space="0" w:color="auto"/>
            </w:tcBorders>
            <w:shd w:val="clear" w:color="000000" w:fill="BFBFBF"/>
            <w:hideMark/>
          </w:tcPr>
          <w:p w:rsidR="00382980" w:rsidRPr="00D54B44" w:rsidRDefault="00382980" w:rsidP="00D54B44">
            <w:pPr>
              <w:jc w:val="both"/>
              <w:rPr>
                <w:rFonts w:ascii="Simplified Arabic" w:hAnsi="Simplified Arabic" w:cs="Simplified Arabic"/>
                <w:b/>
                <w:bCs/>
                <w:color w:val="000000"/>
              </w:rPr>
            </w:pPr>
            <w:r w:rsidRPr="00D54B44">
              <w:rPr>
                <w:rFonts w:ascii="Simplified Arabic" w:hAnsi="Simplified Arabic" w:cs="Simplified Arabic"/>
                <w:b/>
                <w:bCs/>
                <w:color w:val="000000"/>
                <w:rtl/>
              </w:rPr>
              <w:t xml:space="preserve">المستعمل </w:t>
            </w:r>
          </w:p>
        </w:tc>
        <w:tc>
          <w:tcPr>
            <w:tcW w:w="766"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rPr>
                <w:rFonts w:ascii="Calibri" w:hAnsi="Calibri" w:cs="Calibri"/>
                <w:color w:val="000000"/>
                <w:rtl/>
              </w:rPr>
            </w:pPr>
            <w:r w:rsidRPr="00D54B44">
              <w:rPr>
                <w:rFonts w:ascii="Calibri" w:hAnsi="Calibri" w:cs="Calibri"/>
                <w:color w:val="000000"/>
              </w:rPr>
              <w:t> </w:t>
            </w:r>
          </w:p>
        </w:tc>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D54B44" w:rsidRDefault="00382980" w:rsidP="00D54B44">
            <w:pPr>
              <w:jc w:val="center"/>
              <w:rPr>
                <w:rFonts w:ascii="Calibri" w:hAnsi="Calibri" w:cs="Calibri"/>
                <w:color w:val="000000"/>
              </w:rPr>
            </w:pPr>
            <w:r w:rsidRPr="00D54B44">
              <w:rPr>
                <w:rFonts w:ascii="Calibri" w:hAnsi="Calibri" w:cs="Calibri"/>
                <w:color w:val="000000"/>
              </w:rPr>
              <w:t> </w:t>
            </w:r>
          </w:p>
        </w:tc>
        <w:tc>
          <w:tcPr>
            <w:tcW w:w="1511" w:type="dxa"/>
            <w:vMerge/>
            <w:tcBorders>
              <w:top w:val="nil"/>
              <w:left w:val="single" w:sz="4" w:space="0" w:color="auto"/>
              <w:bottom w:val="single" w:sz="4"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990" w:type="dxa"/>
            <w:vMerge/>
            <w:tcBorders>
              <w:top w:val="nil"/>
              <w:left w:val="single" w:sz="4" w:space="0" w:color="auto"/>
              <w:bottom w:val="single" w:sz="4" w:space="0" w:color="auto"/>
              <w:right w:val="single" w:sz="4" w:space="0" w:color="auto"/>
            </w:tcBorders>
            <w:vAlign w:val="center"/>
            <w:hideMark/>
          </w:tcPr>
          <w:p w:rsidR="00382980" w:rsidRPr="00D54B44" w:rsidRDefault="00382980" w:rsidP="00D54B44">
            <w:pPr>
              <w:rPr>
                <w:rFonts w:ascii="Calibri" w:hAnsi="Calibri" w:cs="Calibri"/>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382980" w:rsidRPr="00D54B44" w:rsidRDefault="00382980" w:rsidP="00D54B44">
            <w:pPr>
              <w:rPr>
                <w:rFonts w:ascii="Calibri" w:hAnsi="Calibri" w:cs="Calibri"/>
                <w:color w:val="000000"/>
              </w:rPr>
            </w:pPr>
          </w:p>
        </w:tc>
        <w:tc>
          <w:tcPr>
            <w:tcW w:w="899" w:type="dxa"/>
            <w:vMerge/>
            <w:tcBorders>
              <w:top w:val="nil"/>
              <w:left w:val="single" w:sz="4" w:space="0" w:color="auto"/>
              <w:bottom w:val="single" w:sz="4"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382980" w:rsidRPr="00D54B44" w:rsidRDefault="00382980" w:rsidP="00D54B44">
            <w:pPr>
              <w:rPr>
                <w:rFonts w:ascii="Calibri" w:hAnsi="Calibri" w:cs="Calibri"/>
                <w:color w:val="000000"/>
              </w:rPr>
            </w:pPr>
          </w:p>
        </w:tc>
        <w:tc>
          <w:tcPr>
            <w:tcW w:w="1440" w:type="dxa"/>
            <w:vMerge/>
            <w:tcBorders>
              <w:top w:val="nil"/>
              <w:left w:val="single" w:sz="4" w:space="0" w:color="auto"/>
              <w:bottom w:val="single" w:sz="4" w:space="0" w:color="000000"/>
              <w:right w:val="single" w:sz="4" w:space="0" w:color="auto"/>
            </w:tcBorders>
            <w:vAlign w:val="center"/>
            <w:hideMark/>
          </w:tcPr>
          <w:p w:rsidR="00382980" w:rsidRPr="00D54B44" w:rsidRDefault="00382980" w:rsidP="00D54B44">
            <w:pPr>
              <w:rPr>
                <w:rFonts w:ascii="Calibri" w:hAnsi="Calibri" w:cs="Calibri"/>
                <w:color w:val="000000"/>
              </w:rPr>
            </w:pPr>
          </w:p>
        </w:tc>
        <w:tc>
          <w:tcPr>
            <w:tcW w:w="2782" w:type="dxa"/>
            <w:vMerge/>
            <w:tcBorders>
              <w:top w:val="nil"/>
              <w:left w:val="single" w:sz="4" w:space="0" w:color="auto"/>
              <w:bottom w:val="single" w:sz="4" w:space="0" w:color="auto"/>
              <w:right w:val="single" w:sz="4" w:space="0" w:color="auto"/>
            </w:tcBorders>
            <w:vAlign w:val="center"/>
            <w:hideMark/>
          </w:tcPr>
          <w:p w:rsidR="00382980" w:rsidRPr="00D54B44" w:rsidRDefault="00382980" w:rsidP="00D54B44">
            <w:pPr>
              <w:rPr>
                <w:rFonts w:ascii="Calibri" w:hAnsi="Calibri" w:cs="Calibri"/>
                <w:color w:val="000000"/>
              </w:rPr>
            </w:pPr>
          </w:p>
        </w:tc>
      </w:tr>
    </w:tbl>
    <w:p w:rsidR="00382980" w:rsidRDefault="00382980" w:rsidP="00D54B44"/>
    <w:tbl>
      <w:tblPr>
        <w:bidiVisual/>
        <w:tblW w:w="15388" w:type="dxa"/>
        <w:tblInd w:w="-1255" w:type="dxa"/>
        <w:tblLook w:val="04A0" w:firstRow="1" w:lastRow="0" w:firstColumn="1" w:lastColumn="0" w:noHBand="0" w:noVBand="1"/>
      </w:tblPr>
      <w:tblGrid>
        <w:gridCol w:w="896"/>
        <w:gridCol w:w="1845"/>
        <w:gridCol w:w="768"/>
        <w:gridCol w:w="770"/>
        <w:gridCol w:w="1520"/>
        <w:gridCol w:w="831"/>
        <w:gridCol w:w="770"/>
        <w:gridCol w:w="932"/>
        <w:gridCol w:w="1388"/>
        <w:gridCol w:w="1113"/>
        <w:gridCol w:w="660"/>
        <w:gridCol w:w="610"/>
        <w:gridCol w:w="865"/>
        <w:gridCol w:w="2420"/>
      </w:tblGrid>
      <w:tr w:rsidR="00382980" w:rsidRPr="00847F69" w:rsidTr="00847F69">
        <w:trPr>
          <w:trHeight w:val="375"/>
        </w:trPr>
        <w:tc>
          <w:tcPr>
            <w:tcW w:w="9713" w:type="dxa"/>
            <w:gridSpan w:val="9"/>
            <w:tcBorders>
              <w:top w:val="nil"/>
              <w:left w:val="nil"/>
              <w:bottom w:val="nil"/>
              <w:right w:val="nil"/>
            </w:tcBorders>
            <w:shd w:val="clear" w:color="auto" w:fill="auto"/>
            <w:noWrap/>
            <w:vAlign w:val="bottom"/>
            <w:hideMark/>
          </w:tcPr>
          <w:p w:rsidR="00382980" w:rsidRPr="00847F69" w:rsidRDefault="00382980" w:rsidP="00847F69">
            <w:pPr>
              <w:rPr>
                <w:rFonts w:ascii="Calibri" w:hAnsi="Calibri" w:cs="Calibri"/>
                <w:b/>
                <w:bCs/>
                <w:color w:val="000000"/>
                <w:sz w:val="28"/>
                <w:szCs w:val="28"/>
              </w:rPr>
            </w:pPr>
            <w:r w:rsidRPr="00847F69">
              <w:rPr>
                <w:rFonts w:ascii="Calibri" w:hAnsi="Calibri" w:cs="Calibri"/>
                <w:b/>
                <w:bCs/>
                <w:color w:val="000000"/>
                <w:sz w:val="28"/>
                <w:szCs w:val="28"/>
                <w:rtl/>
              </w:rPr>
              <w:t>كشف رقم (2)</w:t>
            </w:r>
          </w:p>
        </w:tc>
        <w:tc>
          <w:tcPr>
            <w:tcW w:w="1113" w:type="dxa"/>
            <w:tcBorders>
              <w:top w:val="nil"/>
              <w:left w:val="nil"/>
              <w:bottom w:val="nil"/>
              <w:right w:val="nil"/>
            </w:tcBorders>
            <w:shd w:val="clear" w:color="auto" w:fill="auto"/>
            <w:noWrap/>
            <w:vAlign w:val="bottom"/>
            <w:hideMark/>
          </w:tcPr>
          <w:p w:rsidR="00382980" w:rsidRPr="00847F69" w:rsidRDefault="00382980" w:rsidP="00847F69">
            <w:pPr>
              <w:rPr>
                <w:rFonts w:ascii="Calibri" w:hAnsi="Calibri" w:cs="Calibri"/>
                <w:b/>
                <w:bCs/>
                <w:color w:val="000000"/>
                <w:sz w:val="28"/>
                <w:szCs w:val="28"/>
                <w:rtl/>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jc w:val="cente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jc w:val="center"/>
              <w:rPr>
                <w:rFonts w:cs="Times New Roman"/>
              </w:rPr>
            </w:pPr>
          </w:p>
        </w:tc>
        <w:tc>
          <w:tcPr>
            <w:tcW w:w="791" w:type="dxa"/>
            <w:tcBorders>
              <w:top w:val="nil"/>
              <w:left w:val="nil"/>
              <w:bottom w:val="nil"/>
              <w:right w:val="nil"/>
            </w:tcBorders>
            <w:shd w:val="clear" w:color="auto" w:fill="auto"/>
            <w:noWrap/>
            <w:vAlign w:val="bottom"/>
            <w:hideMark/>
          </w:tcPr>
          <w:p w:rsidR="00382980" w:rsidRPr="00847F69" w:rsidRDefault="00382980" w:rsidP="00847F69">
            <w:pPr>
              <w:jc w:val="center"/>
              <w:rPr>
                <w:rFonts w:cs="Times New Roman"/>
              </w:rPr>
            </w:pPr>
          </w:p>
        </w:tc>
        <w:tc>
          <w:tcPr>
            <w:tcW w:w="2420" w:type="dxa"/>
            <w:tcBorders>
              <w:top w:val="nil"/>
              <w:left w:val="nil"/>
              <w:bottom w:val="nil"/>
              <w:right w:val="nil"/>
            </w:tcBorders>
            <w:shd w:val="clear" w:color="auto" w:fill="auto"/>
            <w:noWrap/>
            <w:vAlign w:val="bottom"/>
            <w:hideMark/>
          </w:tcPr>
          <w:p w:rsidR="00382980" w:rsidRPr="00847F69" w:rsidRDefault="00382980" w:rsidP="00847F69">
            <w:pPr>
              <w:jc w:val="center"/>
              <w:rPr>
                <w:rFonts w:cs="Times New Roman"/>
              </w:rPr>
            </w:pPr>
          </w:p>
        </w:tc>
      </w:tr>
      <w:tr w:rsidR="00382980" w:rsidRPr="00847F69" w:rsidTr="00847F69">
        <w:trPr>
          <w:trHeight w:val="510"/>
        </w:trPr>
        <w:tc>
          <w:tcPr>
            <w:tcW w:w="0" w:type="auto"/>
            <w:gridSpan w:val="11"/>
            <w:tcBorders>
              <w:top w:val="nil"/>
              <w:left w:val="nil"/>
              <w:bottom w:val="nil"/>
              <w:right w:val="nil"/>
            </w:tcBorders>
            <w:shd w:val="clear" w:color="auto" w:fill="auto"/>
            <w:noWrap/>
            <w:vAlign w:val="bottom"/>
            <w:hideMark/>
          </w:tcPr>
          <w:p w:rsidR="00382980" w:rsidRPr="00847F69" w:rsidRDefault="00382980" w:rsidP="00847F69">
            <w:pPr>
              <w:rPr>
                <w:rFonts w:ascii="Simplified Arabic" w:hAnsi="Simplified Arabic" w:cs="Simplified Arabic"/>
                <w:b/>
                <w:bCs/>
                <w:color w:val="000000"/>
                <w:sz w:val="26"/>
                <w:szCs w:val="26"/>
              </w:rPr>
            </w:pPr>
            <w:r w:rsidRPr="00847F69">
              <w:rPr>
                <w:rFonts w:ascii="Simplified Arabic" w:hAnsi="Simplified Arabic" w:cs="Simplified Arabic"/>
                <w:b/>
                <w:bCs/>
                <w:color w:val="000000"/>
                <w:sz w:val="26"/>
                <w:szCs w:val="26"/>
                <w:rtl/>
              </w:rPr>
              <w:t>أ. الاعتمادات وتمويل الاعتمادات لغرض توريد بضائع الى خارج المملكة دون المرور بأراضي المملكة</w:t>
            </w: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ascii="Simplified Arabic" w:hAnsi="Simplified Arabic" w:cs="Simplified Arabic"/>
                <w:b/>
                <w:bCs/>
                <w:color w:val="000000"/>
                <w:sz w:val="26"/>
                <w:szCs w:val="26"/>
                <w:rtl/>
              </w:rPr>
            </w:pPr>
          </w:p>
        </w:tc>
        <w:tc>
          <w:tcPr>
            <w:tcW w:w="79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2420"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r>
      <w:tr w:rsidR="00382980" w:rsidRPr="00847F69" w:rsidTr="00847F69">
        <w:trPr>
          <w:trHeight w:val="510"/>
        </w:trPr>
        <w:tc>
          <w:tcPr>
            <w:tcW w:w="89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84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6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520"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83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38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113"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9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2420" w:type="dxa"/>
            <w:tcBorders>
              <w:top w:val="nil"/>
              <w:left w:val="nil"/>
              <w:bottom w:val="nil"/>
              <w:right w:val="nil"/>
            </w:tcBorders>
            <w:shd w:val="clear" w:color="auto" w:fill="auto"/>
            <w:noWrap/>
            <w:vAlign w:val="bottom"/>
            <w:hideMark/>
          </w:tcPr>
          <w:p w:rsidR="00382980" w:rsidRPr="00847F69" w:rsidRDefault="00382980" w:rsidP="00847F69">
            <w:pPr>
              <w:rPr>
                <w:rFonts w:ascii="Simplified Arabic" w:hAnsi="Simplified Arabic" w:cs="Simplified Arabic"/>
                <w:b/>
                <w:bCs/>
                <w:color w:val="000000"/>
              </w:rPr>
            </w:pPr>
            <w:r w:rsidRPr="00847F69">
              <w:rPr>
                <w:rFonts w:ascii="Simplified Arabic" w:hAnsi="Simplified Arabic" w:cs="Simplified Arabic"/>
                <w:b/>
                <w:bCs/>
                <w:color w:val="000000"/>
                <w:rtl/>
              </w:rPr>
              <w:t>المبالغ مقومه بالدينار الأردني</w:t>
            </w:r>
          </w:p>
        </w:tc>
      </w:tr>
      <w:tr w:rsidR="00382980" w:rsidRPr="00847F69" w:rsidTr="00847F69">
        <w:trPr>
          <w:trHeight w:val="315"/>
        </w:trPr>
        <w:tc>
          <w:tcPr>
            <w:tcW w:w="895" w:type="dxa"/>
            <w:vMerge w:val="restart"/>
            <w:tcBorders>
              <w:top w:val="single" w:sz="8" w:space="0" w:color="auto"/>
              <w:left w:val="single" w:sz="8" w:space="0" w:color="auto"/>
              <w:bottom w:val="single" w:sz="4" w:space="0" w:color="auto"/>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اسم العميل (الشركة)</w:t>
            </w:r>
          </w:p>
        </w:tc>
        <w:tc>
          <w:tcPr>
            <w:tcW w:w="1845" w:type="dxa"/>
            <w:vMerge w:val="restart"/>
            <w:tcBorders>
              <w:top w:val="single" w:sz="8" w:space="0" w:color="auto"/>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الشكل القانوني (نوع الشركة)  ورقم التسجيل والجهة المسؤولة عن اصدار شهادة التسجيل</w:t>
            </w:r>
          </w:p>
        </w:tc>
        <w:tc>
          <w:tcPr>
            <w:tcW w:w="4655" w:type="dxa"/>
            <w:gridSpan w:val="5"/>
            <w:tcBorders>
              <w:top w:val="single" w:sz="8" w:space="0" w:color="auto"/>
              <w:left w:val="single" w:sz="4" w:space="0" w:color="auto"/>
              <w:bottom w:val="single" w:sz="4" w:space="0" w:color="auto"/>
              <w:right w:val="nil"/>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التسهيلات غير المباشرة (الاعتمادات لغرض توريد بضائع خارج المملكة دون المرور بأراضي المملكة)</w:t>
            </w:r>
          </w:p>
        </w:tc>
        <w:tc>
          <w:tcPr>
            <w:tcW w:w="0" w:type="auto"/>
            <w:gridSpan w:val="5"/>
            <w:tcBorders>
              <w:top w:val="single" w:sz="8" w:space="0" w:color="auto"/>
              <w:left w:val="single" w:sz="4" w:space="0" w:color="auto"/>
              <w:bottom w:val="single" w:sz="4" w:space="0" w:color="auto"/>
              <w:right w:val="single" w:sz="4" w:space="0" w:color="000000"/>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التسهيلات المباشرة (تمويل الاعتمادات لغرض توريد بضائع خارج المملكة دون المرور بأراضي المملكة)</w:t>
            </w:r>
          </w:p>
        </w:tc>
        <w:tc>
          <w:tcPr>
            <w:tcW w:w="791"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الضمانات مقابل التسهيلات</w:t>
            </w:r>
          </w:p>
        </w:tc>
        <w:tc>
          <w:tcPr>
            <w:tcW w:w="2420"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توضيح آلية سيطرة البنك على التدفقات النقدية بالعملة الأجنبية وذكر الوثائق المتوفرة لذلك</w:t>
            </w:r>
          </w:p>
        </w:tc>
      </w:tr>
      <w:tr w:rsidR="00382980" w:rsidRPr="00847F69" w:rsidTr="00847F69">
        <w:trPr>
          <w:trHeight w:val="1680"/>
        </w:trPr>
        <w:tc>
          <w:tcPr>
            <w:tcW w:w="895" w:type="dxa"/>
            <w:vMerge/>
            <w:tcBorders>
              <w:top w:val="single" w:sz="8" w:space="0" w:color="auto"/>
              <w:left w:val="single" w:sz="8" w:space="0" w:color="auto"/>
              <w:bottom w:val="single" w:sz="4" w:space="0" w:color="auto"/>
              <w:right w:val="single" w:sz="4" w:space="0" w:color="auto"/>
            </w:tcBorders>
            <w:vAlign w:val="center"/>
            <w:hideMark/>
          </w:tcPr>
          <w:p w:rsidR="00382980" w:rsidRPr="00847F69" w:rsidRDefault="00382980" w:rsidP="00847F69">
            <w:pPr>
              <w:rPr>
                <w:rFonts w:ascii="Simplified Arabic" w:hAnsi="Simplified Arabic" w:cs="Simplified Arabic"/>
                <w:b/>
                <w:bCs/>
                <w:color w:val="000000"/>
                <w:sz w:val="24"/>
                <w:szCs w:val="24"/>
              </w:rPr>
            </w:pPr>
          </w:p>
        </w:tc>
        <w:tc>
          <w:tcPr>
            <w:tcW w:w="1845" w:type="dxa"/>
            <w:vMerge/>
            <w:tcBorders>
              <w:top w:val="single" w:sz="8" w:space="0" w:color="auto"/>
              <w:left w:val="single" w:sz="4" w:space="0" w:color="auto"/>
              <w:bottom w:val="nil"/>
              <w:right w:val="single" w:sz="4" w:space="0" w:color="auto"/>
            </w:tcBorders>
            <w:vAlign w:val="center"/>
            <w:hideMark/>
          </w:tcPr>
          <w:p w:rsidR="00382980" w:rsidRPr="00847F69" w:rsidRDefault="00382980" w:rsidP="00847F69">
            <w:pPr>
              <w:rPr>
                <w:rFonts w:ascii="Simplified Arabic" w:hAnsi="Simplified Arabic" w:cs="Simplified Arabic"/>
                <w:b/>
                <w:bCs/>
                <w:color w:val="000000"/>
                <w:sz w:val="24"/>
                <w:szCs w:val="24"/>
              </w:rPr>
            </w:pPr>
          </w:p>
        </w:tc>
        <w:tc>
          <w:tcPr>
            <w:tcW w:w="768" w:type="dxa"/>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قيمة الاعتماد</w:t>
            </w:r>
          </w:p>
        </w:tc>
        <w:tc>
          <w:tcPr>
            <w:tcW w:w="0" w:type="auto"/>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نوع الاعتماد</w:t>
            </w:r>
          </w:p>
        </w:tc>
        <w:tc>
          <w:tcPr>
            <w:tcW w:w="1520" w:type="dxa"/>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الغاية من فتح الاعتماد (يذكر بالتفصيل)</w:t>
            </w:r>
          </w:p>
        </w:tc>
        <w:tc>
          <w:tcPr>
            <w:tcW w:w="831" w:type="dxa"/>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تاريخ استحقاق الاعتماد</w:t>
            </w:r>
          </w:p>
        </w:tc>
        <w:tc>
          <w:tcPr>
            <w:tcW w:w="0" w:type="auto"/>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 xml:space="preserve">عملة منح الاعتماد </w:t>
            </w:r>
          </w:p>
        </w:tc>
        <w:tc>
          <w:tcPr>
            <w:tcW w:w="0" w:type="auto"/>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رصيد التسهيلات المباشرة (الاعتماد المموّل)</w:t>
            </w:r>
          </w:p>
        </w:tc>
        <w:tc>
          <w:tcPr>
            <w:tcW w:w="1388" w:type="dxa"/>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طبيعة التسهيلات المباشرة (قرض متناقص، دوار، ...الخ)</w:t>
            </w:r>
          </w:p>
        </w:tc>
        <w:tc>
          <w:tcPr>
            <w:tcW w:w="1113" w:type="dxa"/>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طبيعة السداد/دورية السداد</w:t>
            </w:r>
          </w:p>
        </w:tc>
        <w:tc>
          <w:tcPr>
            <w:tcW w:w="0" w:type="auto"/>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 xml:space="preserve">عملة التمويل </w:t>
            </w:r>
          </w:p>
        </w:tc>
        <w:tc>
          <w:tcPr>
            <w:tcW w:w="0" w:type="auto"/>
            <w:tcBorders>
              <w:top w:val="nil"/>
              <w:left w:val="single" w:sz="4" w:space="0" w:color="auto"/>
              <w:bottom w:val="nil"/>
              <w:right w:val="single" w:sz="4" w:space="0" w:color="auto"/>
            </w:tcBorders>
            <w:shd w:val="clear" w:color="000000" w:fill="C5D9F1"/>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 xml:space="preserve">عملة السداد </w:t>
            </w: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382980" w:rsidRPr="00847F69" w:rsidRDefault="00382980" w:rsidP="00847F69">
            <w:pPr>
              <w:rPr>
                <w:rFonts w:ascii="Simplified Arabic" w:hAnsi="Simplified Arabic" w:cs="Simplified Arabic"/>
                <w:b/>
                <w:bCs/>
                <w:color w:val="000000"/>
                <w:sz w:val="24"/>
                <w:szCs w:val="24"/>
              </w:rPr>
            </w:pPr>
          </w:p>
        </w:tc>
        <w:tc>
          <w:tcPr>
            <w:tcW w:w="2420" w:type="dxa"/>
            <w:vMerge/>
            <w:tcBorders>
              <w:top w:val="single" w:sz="8" w:space="0" w:color="auto"/>
              <w:left w:val="single" w:sz="4" w:space="0" w:color="auto"/>
              <w:bottom w:val="single" w:sz="8" w:space="0" w:color="000000"/>
              <w:right w:val="single" w:sz="8" w:space="0" w:color="auto"/>
            </w:tcBorders>
            <w:vAlign w:val="center"/>
            <w:hideMark/>
          </w:tcPr>
          <w:p w:rsidR="00382980" w:rsidRPr="00847F69" w:rsidRDefault="00382980" w:rsidP="00847F69">
            <w:pPr>
              <w:rPr>
                <w:rFonts w:ascii="Simplified Arabic" w:hAnsi="Simplified Arabic" w:cs="Simplified Arabic"/>
                <w:b/>
                <w:bCs/>
                <w:color w:val="000000"/>
                <w:sz w:val="24"/>
                <w:szCs w:val="24"/>
              </w:rPr>
            </w:pPr>
          </w:p>
        </w:tc>
      </w:tr>
      <w:tr w:rsidR="00382980" w:rsidRPr="00847F69" w:rsidTr="00847F69">
        <w:trPr>
          <w:trHeight w:val="54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tl/>
              </w:rPr>
            </w:pPr>
            <w:r w:rsidRPr="00847F69">
              <w:rPr>
                <w:rFonts w:ascii="Calibri" w:hAnsi="Calibri" w:cs="Calibri"/>
                <w:color w:val="000000"/>
              </w:rPr>
              <w:t> </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9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242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r>
      <w:tr w:rsidR="00382980" w:rsidRPr="00847F69" w:rsidTr="00847F69">
        <w:trPr>
          <w:trHeight w:val="54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91" w:type="dxa"/>
            <w:vMerge/>
            <w:tcBorders>
              <w:top w:val="nil"/>
              <w:left w:val="single" w:sz="4" w:space="0" w:color="auto"/>
              <w:bottom w:val="single" w:sz="8" w:space="0" w:color="000000"/>
              <w:right w:val="single" w:sz="4" w:space="0" w:color="auto"/>
            </w:tcBorders>
            <w:vAlign w:val="center"/>
            <w:hideMark/>
          </w:tcPr>
          <w:p w:rsidR="00382980" w:rsidRPr="00847F69" w:rsidRDefault="00382980" w:rsidP="00847F69">
            <w:pPr>
              <w:rPr>
                <w:rFonts w:ascii="Calibri" w:hAnsi="Calibri" w:cs="Calibri"/>
                <w:color w:val="000000"/>
              </w:rPr>
            </w:pPr>
          </w:p>
        </w:tc>
        <w:tc>
          <w:tcPr>
            <w:tcW w:w="2420" w:type="dxa"/>
            <w:vMerge/>
            <w:tcBorders>
              <w:top w:val="nil"/>
              <w:left w:val="single" w:sz="4" w:space="0" w:color="auto"/>
              <w:bottom w:val="single" w:sz="8" w:space="0" w:color="000000"/>
              <w:right w:val="single" w:sz="8" w:space="0" w:color="auto"/>
            </w:tcBorders>
            <w:vAlign w:val="center"/>
            <w:hideMark/>
          </w:tcPr>
          <w:p w:rsidR="00382980" w:rsidRPr="00847F69" w:rsidRDefault="00382980" w:rsidP="00847F69">
            <w:pPr>
              <w:rPr>
                <w:rFonts w:ascii="Calibri" w:hAnsi="Calibri" w:cs="Calibri"/>
                <w:color w:val="000000"/>
              </w:rPr>
            </w:pPr>
          </w:p>
        </w:tc>
      </w:tr>
      <w:tr w:rsidR="00382980" w:rsidRPr="00847F69" w:rsidTr="00847F69">
        <w:trPr>
          <w:trHeight w:val="54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9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242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r>
      <w:tr w:rsidR="00382980" w:rsidRPr="00847F69" w:rsidTr="00847F69">
        <w:trPr>
          <w:trHeight w:val="54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91" w:type="dxa"/>
            <w:vMerge/>
            <w:tcBorders>
              <w:top w:val="nil"/>
              <w:left w:val="single" w:sz="4" w:space="0" w:color="auto"/>
              <w:bottom w:val="single" w:sz="8" w:space="0" w:color="000000"/>
              <w:right w:val="single" w:sz="4" w:space="0" w:color="auto"/>
            </w:tcBorders>
            <w:vAlign w:val="center"/>
            <w:hideMark/>
          </w:tcPr>
          <w:p w:rsidR="00382980" w:rsidRPr="00847F69" w:rsidRDefault="00382980" w:rsidP="00847F69">
            <w:pPr>
              <w:rPr>
                <w:rFonts w:ascii="Calibri" w:hAnsi="Calibri" w:cs="Calibri"/>
                <w:color w:val="000000"/>
              </w:rPr>
            </w:pPr>
          </w:p>
        </w:tc>
        <w:tc>
          <w:tcPr>
            <w:tcW w:w="2420" w:type="dxa"/>
            <w:vMerge/>
            <w:tcBorders>
              <w:top w:val="nil"/>
              <w:left w:val="single" w:sz="4" w:space="0" w:color="auto"/>
              <w:bottom w:val="single" w:sz="8" w:space="0" w:color="000000"/>
              <w:right w:val="single" w:sz="8" w:space="0" w:color="auto"/>
            </w:tcBorders>
            <w:vAlign w:val="center"/>
            <w:hideMark/>
          </w:tcPr>
          <w:p w:rsidR="00382980" w:rsidRPr="00847F69" w:rsidRDefault="00382980" w:rsidP="00847F69">
            <w:pPr>
              <w:rPr>
                <w:rFonts w:ascii="Calibri" w:hAnsi="Calibri" w:cs="Calibri"/>
                <w:color w:val="000000"/>
              </w:rPr>
            </w:pPr>
          </w:p>
        </w:tc>
      </w:tr>
      <w:tr w:rsidR="00382980" w:rsidRPr="00847F69" w:rsidTr="00847F69">
        <w:trPr>
          <w:trHeight w:val="54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9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242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r>
      <w:tr w:rsidR="00382980" w:rsidRPr="00847F69" w:rsidTr="00847F69">
        <w:trPr>
          <w:trHeight w:val="495"/>
        </w:trPr>
        <w:tc>
          <w:tcPr>
            <w:tcW w:w="895" w:type="dxa"/>
            <w:tcBorders>
              <w:top w:val="nil"/>
              <w:left w:val="single" w:sz="4" w:space="0" w:color="auto"/>
              <w:bottom w:val="single" w:sz="4" w:space="0" w:color="auto"/>
              <w:right w:val="single" w:sz="4" w:space="0" w:color="auto"/>
            </w:tcBorders>
            <w:shd w:val="clear" w:color="000000" w:fill="BFBFBF"/>
            <w:vAlign w:val="center"/>
            <w:hideMark/>
          </w:tcPr>
          <w:p w:rsidR="00382980" w:rsidRPr="00847F69" w:rsidRDefault="00382980" w:rsidP="00847F69">
            <w:pPr>
              <w:jc w:val="center"/>
              <w:rPr>
                <w:rFonts w:ascii="Simplified Arabic" w:hAnsi="Simplified Arabic" w:cs="Simplified Arabic"/>
                <w:b/>
                <w:bCs/>
                <w:color w:val="000000"/>
              </w:rPr>
            </w:pPr>
            <w:r w:rsidRPr="00847F69">
              <w:rPr>
                <w:rFonts w:ascii="Simplified Arabic" w:hAnsi="Simplified Arabic" w:cs="Simplified Arabic"/>
                <w:b/>
                <w:bCs/>
                <w:color w:val="000000"/>
                <w:rtl/>
              </w:rPr>
              <w:t>المجموع</w:t>
            </w:r>
          </w:p>
        </w:tc>
        <w:tc>
          <w:tcPr>
            <w:tcW w:w="1845" w:type="dxa"/>
            <w:tcBorders>
              <w:top w:val="nil"/>
              <w:left w:val="single" w:sz="4" w:space="0" w:color="auto"/>
              <w:bottom w:val="single" w:sz="4" w:space="0" w:color="auto"/>
              <w:right w:val="single" w:sz="4" w:space="0" w:color="auto"/>
            </w:tcBorders>
            <w:shd w:val="clear" w:color="000000" w:fill="BFBFBF"/>
            <w:vAlign w:val="center"/>
            <w:hideMark/>
          </w:tcPr>
          <w:p w:rsidR="00382980" w:rsidRPr="00847F69" w:rsidRDefault="00382980" w:rsidP="00847F69">
            <w:pPr>
              <w:jc w:val="center"/>
              <w:rPr>
                <w:rFonts w:ascii="Simplified Arabic" w:hAnsi="Simplified Arabic" w:cs="Simplified Arabic"/>
                <w:b/>
                <w:bCs/>
                <w:color w:val="000000"/>
                <w:rtl/>
              </w:rPr>
            </w:pPr>
            <w:r w:rsidRPr="00847F69">
              <w:rPr>
                <w:rFonts w:ascii="Simplified Arabic" w:hAnsi="Simplified Arabic" w:cs="Simplified Arabic"/>
                <w:b/>
                <w:bCs/>
                <w:color w:val="000000"/>
                <w:rtl/>
              </w:rPr>
              <w:t> </w:t>
            </w:r>
          </w:p>
        </w:tc>
        <w:tc>
          <w:tcPr>
            <w:tcW w:w="768"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rPr>
                <w:rFonts w:ascii="Calibri" w:hAnsi="Calibri" w:cs="Calibri"/>
                <w:color w:val="000000"/>
                <w:rtl/>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520"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831"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rPr>
                <w:rFonts w:ascii="Calibri" w:hAnsi="Calibri" w:cs="Calibri"/>
                <w:color w:val="000000"/>
              </w:rPr>
            </w:pPr>
            <w:r w:rsidRPr="00847F69">
              <w:rPr>
                <w:rFonts w:ascii="Calibri" w:hAnsi="Calibri" w:cs="Calibri"/>
                <w:color w:val="000000"/>
              </w:rPr>
              <w:t> </w:t>
            </w:r>
          </w:p>
        </w:tc>
        <w:tc>
          <w:tcPr>
            <w:tcW w:w="1388"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1113"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791" w:type="dxa"/>
            <w:vMerge/>
            <w:tcBorders>
              <w:top w:val="nil"/>
              <w:left w:val="single" w:sz="4" w:space="0" w:color="auto"/>
              <w:bottom w:val="single" w:sz="8" w:space="0" w:color="000000"/>
              <w:right w:val="single" w:sz="4" w:space="0" w:color="auto"/>
            </w:tcBorders>
            <w:vAlign w:val="center"/>
            <w:hideMark/>
          </w:tcPr>
          <w:p w:rsidR="00382980" w:rsidRPr="00847F69" w:rsidRDefault="00382980" w:rsidP="00847F69">
            <w:pPr>
              <w:rPr>
                <w:rFonts w:ascii="Calibri" w:hAnsi="Calibri" w:cs="Calibri"/>
                <w:color w:val="000000"/>
              </w:rPr>
            </w:pPr>
          </w:p>
        </w:tc>
        <w:tc>
          <w:tcPr>
            <w:tcW w:w="2420" w:type="dxa"/>
            <w:vMerge/>
            <w:tcBorders>
              <w:top w:val="nil"/>
              <w:left w:val="single" w:sz="4" w:space="0" w:color="auto"/>
              <w:bottom w:val="single" w:sz="8" w:space="0" w:color="000000"/>
              <w:right w:val="single" w:sz="8" w:space="0" w:color="auto"/>
            </w:tcBorders>
            <w:vAlign w:val="center"/>
            <w:hideMark/>
          </w:tcPr>
          <w:p w:rsidR="00382980" w:rsidRPr="00847F69" w:rsidRDefault="00382980" w:rsidP="00847F69">
            <w:pPr>
              <w:rPr>
                <w:rFonts w:ascii="Calibri" w:hAnsi="Calibri" w:cs="Calibri"/>
                <w:color w:val="000000"/>
              </w:rPr>
            </w:pPr>
          </w:p>
        </w:tc>
      </w:tr>
      <w:tr w:rsidR="00382980" w:rsidRPr="00847F69" w:rsidTr="00847F69">
        <w:trPr>
          <w:trHeight w:val="300"/>
        </w:trPr>
        <w:tc>
          <w:tcPr>
            <w:tcW w:w="895" w:type="dxa"/>
            <w:tcBorders>
              <w:top w:val="nil"/>
              <w:left w:val="nil"/>
              <w:bottom w:val="nil"/>
              <w:right w:val="nil"/>
            </w:tcBorders>
            <w:shd w:val="clear" w:color="auto" w:fill="auto"/>
            <w:noWrap/>
            <w:vAlign w:val="bottom"/>
            <w:hideMark/>
          </w:tcPr>
          <w:p w:rsidR="00382980" w:rsidRPr="00847F69" w:rsidRDefault="00382980" w:rsidP="00847F69">
            <w:pPr>
              <w:jc w:val="center"/>
              <w:rPr>
                <w:rFonts w:ascii="Calibri" w:hAnsi="Calibri" w:cs="Calibri"/>
                <w:color w:val="000000"/>
              </w:rPr>
            </w:pPr>
          </w:p>
        </w:tc>
        <w:tc>
          <w:tcPr>
            <w:tcW w:w="184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6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520"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83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38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113"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9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242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r>
      <w:tr w:rsidR="00382980" w:rsidRPr="00847F69" w:rsidTr="00847F69">
        <w:trPr>
          <w:trHeight w:val="315"/>
        </w:trPr>
        <w:tc>
          <w:tcPr>
            <w:tcW w:w="895" w:type="dxa"/>
            <w:tcBorders>
              <w:top w:val="nil"/>
              <w:left w:val="nil"/>
              <w:bottom w:val="nil"/>
              <w:right w:val="nil"/>
            </w:tcBorders>
            <w:shd w:val="clear" w:color="auto" w:fill="auto"/>
            <w:noWrap/>
            <w:vAlign w:val="bottom"/>
            <w:hideMark/>
          </w:tcPr>
          <w:p w:rsidR="00382980" w:rsidRPr="00847F69" w:rsidRDefault="00382980" w:rsidP="00847F69">
            <w:pPr>
              <w:jc w:val="center"/>
              <w:rPr>
                <w:rFonts w:ascii="Calibri" w:hAnsi="Calibri" w:cs="Calibri"/>
                <w:color w:val="000000"/>
              </w:rPr>
            </w:pPr>
          </w:p>
        </w:tc>
        <w:tc>
          <w:tcPr>
            <w:tcW w:w="184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6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520"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83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38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113"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91" w:type="dxa"/>
            <w:vMerge/>
            <w:tcBorders>
              <w:top w:val="nil"/>
              <w:left w:val="single" w:sz="4" w:space="0" w:color="auto"/>
              <w:bottom w:val="single" w:sz="8" w:space="0" w:color="000000"/>
              <w:right w:val="single" w:sz="4" w:space="0" w:color="auto"/>
            </w:tcBorders>
            <w:vAlign w:val="center"/>
            <w:hideMark/>
          </w:tcPr>
          <w:p w:rsidR="00382980" w:rsidRPr="00847F69" w:rsidRDefault="00382980" w:rsidP="00847F69">
            <w:pPr>
              <w:rPr>
                <w:rFonts w:ascii="Calibri" w:hAnsi="Calibri" w:cs="Calibri"/>
                <w:color w:val="000000"/>
              </w:rPr>
            </w:pPr>
          </w:p>
        </w:tc>
        <w:tc>
          <w:tcPr>
            <w:tcW w:w="2420" w:type="dxa"/>
            <w:vMerge/>
            <w:tcBorders>
              <w:top w:val="nil"/>
              <w:left w:val="single" w:sz="4" w:space="0" w:color="auto"/>
              <w:bottom w:val="single" w:sz="8" w:space="0" w:color="000000"/>
              <w:right w:val="single" w:sz="8" w:space="0" w:color="auto"/>
            </w:tcBorders>
            <w:vAlign w:val="center"/>
            <w:hideMark/>
          </w:tcPr>
          <w:p w:rsidR="00382980" w:rsidRPr="00847F69" w:rsidRDefault="00382980" w:rsidP="00847F69">
            <w:pPr>
              <w:rPr>
                <w:rFonts w:ascii="Calibri" w:hAnsi="Calibri" w:cs="Calibri"/>
                <w:color w:val="000000"/>
              </w:rPr>
            </w:pPr>
          </w:p>
        </w:tc>
      </w:tr>
      <w:tr w:rsidR="00382980" w:rsidRPr="00847F69" w:rsidTr="00847F69">
        <w:trPr>
          <w:trHeight w:val="300"/>
        </w:trPr>
        <w:tc>
          <w:tcPr>
            <w:tcW w:w="89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84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6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520"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83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38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113"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91"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c>
          <w:tcPr>
            <w:tcW w:w="2420"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847F69" w:rsidRDefault="00382980" w:rsidP="00847F69">
            <w:pPr>
              <w:jc w:val="center"/>
              <w:rPr>
                <w:rFonts w:ascii="Calibri" w:hAnsi="Calibri" w:cs="Calibri"/>
                <w:color w:val="000000"/>
              </w:rPr>
            </w:pPr>
            <w:r w:rsidRPr="00847F69">
              <w:rPr>
                <w:rFonts w:ascii="Calibri" w:hAnsi="Calibri" w:cs="Calibri"/>
                <w:color w:val="000000"/>
              </w:rPr>
              <w:t> </w:t>
            </w:r>
          </w:p>
        </w:tc>
      </w:tr>
      <w:tr w:rsidR="00382980" w:rsidRPr="00847F69" w:rsidTr="00847F69">
        <w:trPr>
          <w:trHeight w:val="300"/>
        </w:trPr>
        <w:tc>
          <w:tcPr>
            <w:tcW w:w="895" w:type="dxa"/>
            <w:tcBorders>
              <w:top w:val="nil"/>
              <w:left w:val="nil"/>
              <w:bottom w:val="nil"/>
              <w:right w:val="nil"/>
            </w:tcBorders>
            <w:shd w:val="clear" w:color="auto" w:fill="auto"/>
            <w:noWrap/>
            <w:vAlign w:val="bottom"/>
            <w:hideMark/>
          </w:tcPr>
          <w:p w:rsidR="00382980" w:rsidRPr="00847F69" w:rsidRDefault="00382980" w:rsidP="00847F69">
            <w:pPr>
              <w:jc w:val="center"/>
              <w:rPr>
                <w:rFonts w:ascii="Calibri" w:hAnsi="Calibri" w:cs="Calibri"/>
                <w:color w:val="000000"/>
              </w:rPr>
            </w:pPr>
          </w:p>
        </w:tc>
        <w:tc>
          <w:tcPr>
            <w:tcW w:w="1845"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6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520"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831"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388"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1113" w:type="dxa"/>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0" w:type="auto"/>
            <w:tcBorders>
              <w:top w:val="nil"/>
              <w:left w:val="nil"/>
              <w:bottom w:val="nil"/>
              <w:right w:val="nil"/>
            </w:tcBorders>
            <w:shd w:val="clear" w:color="auto" w:fill="auto"/>
            <w:noWrap/>
            <w:vAlign w:val="bottom"/>
            <w:hideMark/>
          </w:tcPr>
          <w:p w:rsidR="00382980" w:rsidRPr="00847F69" w:rsidRDefault="00382980" w:rsidP="00847F69">
            <w:pPr>
              <w:rPr>
                <w:rFonts w:cs="Times New Roman"/>
              </w:rPr>
            </w:pPr>
          </w:p>
        </w:tc>
        <w:tc>
          <w:tcPr>
            <w:tcW w:w="791" w:type="dxa"/>
            <w:vMerge/>
            <w:tcBorders>
              <w:top w:val="nil"/>
              <w:left w:val="single" w:sz="4" w:space="0" w:color="auto"/>
              <w:bottom w:val="single" w:sz="4" w:space="0" w:color="000000"/>
              <w:right w:val="single" w:sz="4" w:space="0" w:color="auto"/>
            </w:tcBorders>
            <w:vAlign w:val="center"/>
            <w:hideMark/>
          </w:tcPr>
          <w:p w:rsidR="00382980" w:rsidRPr="00847F69" w:rsidRDefault="00382980" w:rsidP="00847F69">
            <w:pPr>
              <w:rPr>
                <w:rFonts w:ascii="Calibri" w:hAnsi="Calibri" w:cs="Calibri"/>
                <w:color w:val="000000"/>
              </w:rPr>
            </w:pPr>
          </w:p>
        </w:tc>
        <w:tc>
          <w:tcPr>
            <w:tcW w:w="2420" w:type="dxa"/>
            <w:vMerge/>
            <w:tcBorders>
              <w:top w:val="nil"/>
              <w:left w:val="single" w:sz="4" w:space="0" w:color="auto"/>
              <w:bottom w:val="single" w:sz="4" w:space="0" w:color="auto"/>
              <w:right w:val="single" w:sz="4" w:space="0" w:color="auto"/>
            </w:tcBorders>
            <w:vAlign w:val="center"/>
            <w:hideMark/>
          </w:tcPr>
          <w:p w:rsidR="00382980" w:rsidRPr="00847F69" w:rsidRDefault="00382980" w:rsidP="00847F69">
            <w:pPr>
              <w:rPr>
                <w:rFonts w:ascii="Calibri" w:hAnsi="Calibri" w:cs="Calibri"/>
                <w:color w:val="000000"/>
              </w:rPr>
            </w:pPr>
          </w:p>
        </w:tc>
      </w:tr>
    </w:tbl>
    <w:p w:rsidR="00382980" w:rsidRDefault="00382980" w:rsidP="00847F69">
      <w:pPr>
        <w:rPr>
          <w:rtl/>
          <w:lang w:bidi="ar-JO"/>
        </w:rPr>
      </w:pPr>
    </w:p>
    <w:p w:rsidR="00382980" w:rsidRDefault="00382980" w:rsidP="009E3152">
      <w:pPr>
        <w:rPr>
          <w:rtl/>
          <w:lang w:bidi="ar-JO"/>
        </w:rPr>
      </w:pPr>
    </w:p>
    <w:p w:rsidR="00382980" w:rsidRDefault="00382980" w:rsidP="009E3152">
      <w:pPr>
        <w:rPr>
          <w:rtl/>
          <w:lang w:bidi="ar-JO"/>
        </w:rPr>
      </w:pPr>
    </w:p>
    <w:p w:rsidR="00382980" w:rsidRDefault="00382980" w:rsidP="009E3152">
      <w:pPr>
        <w:rPr>
          <w:rtl/>
          <w:lang w:bidi="ar-JO"/>
        </w:rPr>
      </w:pPr>
    </w:p>
    <w:tbl>
      <w:tblPr>
        <w:bidiVisual/>
        <w:tblW w:w="10520" w:type="dxa"/>
        <w:tblLook w:val="04A0" w:firstRow="1" w:lastRow="0" w:firstColumn="1" w:lastColumn="0" w:noHBand="0" w:noVBand="1"/>
      </w:tblPr>
      <w:tblGrid>
        <w:gridCol w:w="960"/>
        <w:gridCol w:w="2080"/>
        <w:gridCol w:w="5160"/>
        <w:gridCol w:w="2320"/>
      </w:tblGrid>
      <w:tr w:rsidR="00382980" w:rsidRPr="009E3152" w:rsidTr="009E3152">
        <w:trPr>
          <w:trHeight w:val="375"/>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cs="Times New Roman"/>
                <w:sz w:val="24"/>
                <w:szCs w:val="24"/>
              </w:rPr>
            </w:pPr>
          </w:p>
        </w:tc>
        <w:tc>
          <w:tcPr>
            <w:tcW w:w="2080" w:type="dxa"/>
            <w:tcBorders>
              <w:top w:val="nil"/>
              <w:left w:val="nil"/>
              <w:bottom w:val="nil"/>
              <w:right w:val="nil"/>
            </w:tcBorders>
            <w:shd w:val="clear" w:color="auto" w:fill="auto"/>
            <w:noWrap/>
            <w:vAlign w:val="bottom"/>
            <w:hideMark/>
          </w:tcPr>
          <w:p w:rsidR="00382980" w:rsidRPr="009E3152" w:rsidRDefault="00382980" w:rsidP="009E3152">
            <w:pPr>
              <w:jc w:val="center"/>
              <w:rPr>
                <w:rFonts w:ascii="Calibri" w:hAnsi="Calibri" w:cs="Calibri"/>
                <w:b/>
                <w:bCs/>
                <w:color w:val="000000"/>
                <w:sz w:val="28"/>
                <w:szCs w:val="28"/>
              </w:rPr>
            </w:pPr>
            <w:r w:rsidRPr="009E3152">
              <w:rPr>
                <w:rFonts w:ascii="Calibri" w:hAnsi="Calibri" w:cs="Calibri"/>
                <w:b/>
                <w:bCs/>
                <w:color w:val="000000"/>
                <w:sz w:val="28"/>
                <w:szCs w:val="28"/>
                <w:rtl/>
              </w:rPr>
              <w:t>كشف رقم (2)</w:t>
            </w:r>
          </w:p>
        </w:tc>
        <w:tc>
          <w:tcPr>
            <w:tcW w:w="5160" w:type="dxa"/>
            <w:tcBorders>
              <w:top w:val="nil"/>
              <w:left w:val="nil"/>
              <w:bottom w:val="nil"/>
              <w:right w:val="nil"/>
            </w:tcBorders>
            <w:shd w:val="clear" w:color="auto" w:fill="auto"/>
            <w:noWrap/>
            <w:vAlign w:val="bottom"/>
            <w:hideMark/>
          </w:tcPr>
          <w:p w:rsidR="00382980" w:rsidRPr="009E3152" w:rsidRDefault="00382980" w:rsidP="009E3152">
            <w:pPr>
              <w:jc w:val="center"/>
              <w:rPr>
                <w:rFonts w:ascii="Calibri" w:hAnsi="Calibri" w:cs="Calibri"/>
                <w:b/>
                <w:bCs/>
                <w:color w:val="000000"/>
                <w:sz w:val="28"/>
                <w:szCs w:val="28"/>
                <w:rtl/>
              </w:rPr>
            </w:pPr>
          </w:p>
        </w:tc>
        <w:tc>
          <w:tcPr>
            <w:tcW w:w="2320" w:type="dxa"/>
            <w:tcBorders>
              <w:top w:val="nil"/>
              <w:left w:val="nil"/>
              <w:bottom w:val="nil"/>
              <w:right w:val="nil"/>
            </w:tcBorders>
            <w:shd w:val="clear" w:color="auto" w:fill="auto"/>
            <w:noWrap/>
            <w:vAlign w:val="bottom"/>
            <w:hideMark/>
          </w:tcPr>
          <w:p w:rsidR="00382980" w:rsidRPr="009E3152" w:rsidRDefault="00382980" w:rsidP="009E3152">
            <w:pPr>
              <w:jc w:val="center"/>
              <w:rPr>
                <w:rFonts w:cs="Times New Roman"/>
              </w:rPr>
            </w:pPr>
          </w:p>
        </w:tc>
      </w:tr>
      <w:tr w:rsidR="00382980" w:rsidRPr="009E3152" w:rsidTr="009E3152">
        <w:trPr>
          <w:trHeight w:val="510"/>
        </w:trPr>
        <w:tc>
          <w:tcPr>
            <w:tcW w:w="960" w:type="dxa"/>
            <w:tcBorders>
              <w:top w:val="nil"/>
              <w:left w:val="nil"/>
              <w:bottom w:val="nil"/>
              <w:right w:val="nil"/>
            </w:tcBorders>
            <w:shd w:val="clear" w:color="auto" w:fill="auto"/>
            <w:noWrap/>
            <w:vAlign w:val="bottom"/>
            <w:hideMark/>
          </w:tcPr>
          <w:p w:rsidR="00382980" w:rsidRPr="009E3152" w:rsidRDefault="00382980" w:rsidP="009E3152">
            <w:pPr>
              <w:jc w:val="right"/>
              <w:rPr>
                <w:rFonts w:ascii="Calibri" w:hAnsi="Calibri" w:cs="Calibri"/>
                <w:b/>
                <w:bCs/>
                <w:color w:val="000000"/>
              </w:rPr>
            </w:pPr>
            <w:r w:rsidRPr="009E3152">
              <w:rPr>
                <w:rFonts w:ascii="Calibri" w:hAnsi="Calibri" w:cs="Calibri"/>
                <w:b/>
                <w:bCs/>
                <w:color w:val="000000"/>
                <w:rtl/>
              </w:rPr>
              <w:t xml:space="preserve">ب. </w:t>
            </w:r>
          </w:p>
        </w:tc>
        <w:tc>
          <w:tcPr>
            <w:tcW w:w="7240" w:type="dxa"/>
            <w:gridSpan w:val="2"/>
            <w:tcBorders>
              <w:top w:val="nil"/>
              <w:left w:val="nil"/>
              <w:bottom w:val="nil"/>
              <w:right w:val="nil"/>
            </w:tcBorders>
            <w:shd w:val="clear" w:color="auto" w:fill="auto"/>
            <w:noWrap/>
            <w:vAlign w:val="bottom"/>
            <w:hideMark/>
          </w:tcPr>
          <w:p w:rsidR="00382980" w:rsidRPr="009E3152" w:rsidRDefault="00382980" w:rsidP="009E3152">
            <w:pPr>
              <w:rPr>
                <w:rFonts w:ascii="Simplified Arabic" w:hAnsi="Simplified Arabic" w:cs="Simplified Arabic"/>
                <w:b/>
                <w:bCs/>
                <w:color w:val="000000"/>
                <w:sz w:val="26"/>
                <w:szCs w:val="26"/>
                <w:rtl/>
              </w:rPr>
            </w:pPr>
            <w:r w:rsidRPr="009E3152">
              <w:rPr>
                <w:rFonts w:ascii="Simplified Arabic" w:hAnsi="Simplified Arabic" w:cs="Simplified Arabic"/>
                <w:b/>
                <w:bCs/>
                <w:color w:val="000000"/>
                <w:sz w:val="26"/>
                <w:szCs w:val="26"/>
                <w:rtl/>
              </w:rPr>
              <w:t xml:space="preserve"> التسهيلات الائتمانية المستثناة وفق البند (ثالثاً/ب/2-6) وتدرج كمبالغ اجمالية</w:t>
            </w:r>
          </w:p>
        </w:tc>
        <w:tc>
          <w:tcPr>
            <w:tcW w:w="2320" w:type="dxa"/>
            <w:tcBorders>
              <w:top w:val="nil"/>
              <w:left w:val="nil"/>
              <w:bottom w:val="nil"/>
              <w:right w:val="nil"/>
            </w:tcBorders>
            <w:shd w:val="clear" w:color="auto" w:fill="auto"/>
            <w:noWrap/>
            <w:vAlign w:val="bottom"/>
            <w:hideMark/>
          </w:tcPr>
          <w:p w:rsidR="00382980" w:rsidRPr="009E3152" w:rsidRDefault="00382980" w:rsidP="009E3152">
            <w:pPr>
              <w:rPr>
                <w:rFonts w:ascii="Simplified Arabic" w:hAnsi="Simplified Arabic" w:cs="Simplified Arabic"/>
                <w:b/>
                <w:bCs/>
                <w:color w:val="000000"/>
                <w:sz w:val="26"/>
                <w:szCs w:val="26"/>
                <w:rtl/>
              </w:rPr>
            </w:pPr>
          </w:p>
        </w:tc>
      </w:tr>
      <w:tr w:rsidR="00382980" w:rsidRPr="009E3152" w:rsidTr="009E3152">
        <w:trPr>
          <w:trHeight w:val="510"/>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cs="Times New Roman"/>
              </w:rPr>
            </w:pPr>
          </w:p>
        </w:tc>
        <w:tc>
          <w:tcPr>
            <w:tcW w:w="2080" w:type="dxa"/>
            <w:tcBorders>
              <w:top w:val="nil"/>
              <w:left w:val="nil"/>
              <w:bottom w:val="nil"/>
              <w:right w:val="nil"/>
            </w:tcBorders>
            <w:shd w:val="clear" w:color="auto" w:fill="auto"/>
            <w:noWrap/>
            <w:vAlign w:val="bottom"/>
            <w:hideMark/>
          </w:tcPr>
          <w:p w:rsidR="00382980" w:rsidRPr="009E3152" w:rsidRDefault="00382980" w:rsidP="009E3152">
            <w:pPr>
              <w:rPr>
                <w:rFonts w:cs="Times New Roman"/>
              </w:rPr>
            </w:pPr>
          </w:p>
        </w:tc>
        <w:tc>
          <w:tcPr>
            <w:tcW w:w="5160" w:type="dxa"/>
            <w:tcBorders>
              <w:top w:val="nil"/>
              <w:left w:val="nil"/>
              <w:bottom w:val="nil"/>
              <w:right w:val="nil"/>
            </w:tcBorders>
            <w:shd w:val="clear" w:color="auto" w:fill="auto"/>
            <w:noWrap/>
            <w:vAlign w:val="bottom"/>
            <w:hideMark/>
          </w:tcPr>
          <w:p w:rsidR="00382980" w:rsidRPr="009E3152" w:rsidRDefault="00382980" w:rsidP="009E3152">
            <w:pPr>
              <w:rPr>
                <w:rFonts w:cs="Times New Roman"/>
              </w:rPr>
            </w:pPr>
          </w:p>
        </w:tc>
        <w:tc>
          <w:tcPr>
            <w:tcW w:w="2320" w:type="dxa"/>
            <w:tcBorders>
              <w:top w:val="nil"/>
              <w:left w:val="nil"/>
              <w:bottom w:val="nil"/>
              <w:right w:val="nil"/>
            </w:tcBorders>
            <w:shd w:val="clear" w:color="auto" w:fill="auto"/>
            <w:noWrap/>
            <w:vAlign w:val="bottom"/>
            <w:hideMark/>
          </w:tcPr>
          <w:p w:rsidR="00382980" w:rsidRPr="009E3152" w:rsidRDefault="00382980" w:rsidP="009E3152">
            <w:pPr>
              <w:jc w:val="right"/>
              <w:rPr>
                <w:rFonts w:ascii="Simplified Arabic" w:hAnsi="Simplified Arabic" w:cs="Simplified Arabic"/>
                <w:b/>
                <w:bCs/>
                <w:color w:val="000000"/>
              </w:rPr>
            </w:pPr>
            <w:r w:rsidRPr="009E3152">
              <w:rPr>
                <w:rFonts w:ascii="Simplified Arabic" w:hAnsi="Simplified Arabic" w:cs="Simplified Arabic"/>
                <w:b/>
                <w:bCs/>
                <w:color w:val="000000"/>
                <w:rtl/>
              </w:rPr>
              <w:t>المبالغ مقومه بالدينار الأردني</w:t>
            </w:r>
          </w:p>
        </w:tc>
      </w:tr>
      <w:tr w:rsidR="00382980" w:rsidRPr="009E3152" w:rsidTr="009E3152">
        <w:trPr>
          <w:trHeight w:val="315"/>
        </w:trPr>
        <w:tc>
          <w:tcPr>
            <w:tcW w:w="960" w:type="dxa"/>
            <w:tcBorders>
              <w:top w:val="nil"/>
              <w:left w:val="nil"/>
              <w:bottom w:val="nil"/>
              <w:right w:val="nil"/>
            </w:tcBorders>
            <w:shd w:val="clear" w:color="auto" w:fill="auto"/>
            <w:noWrap/>
            <w:vAlign w:val="bottom"/>
            <w:hideMark/>
          </w:tcPr>
          <w:p w:rsidR="00382980" w:rsidRPr="009E3152" w:rsidRDefault="00382980" w:rsidP="009E3152">
            <w:pPr>
              <w:jc w:val="right"/>
              <w:rPr>
                <w:rFonts w:ascii="Simplified Arabic" w:hAnsi="Simplified Arabic" w:cs="Simplified Arabic"/>
                <w:b/>
                <w:bCs/>
                <w:color w:val="000000"/>
                <w:rtl/>
              </w:rPr>
            </w:pPr>
          </w:p>
        </w:tc>
        <w:tc>
          <w:tcPr>
            <w:tcW w:w="2080" w:type="dxa"/>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382980" w:rsidRPr="009E3152" w:rsidRDefault="00382980" w:rsidP="009E3152">
            <w:pPr>
              <w:jc w:val="center"/>
              <w:rPr>
                <w:rFonts w:ascii="Simplified Arabic" w:hAnsi="Simplified Arabic" w:cs="Simplified Arabic"/>
                <w:b/>
                <w:bCs/>
                <w:color w:val="000000"/>
                <w:sz w:val="24"/>
                <w:szCs w:val="24"/>
              </w:rPr>
            </w:pPr>
            <w:r w:rsidRPr="009E3152">
              <w:rPr>
                <w:rFonts w:ascii="Simplified Arabic" w:hAnsi="Simplified Arabic" w:cs="Simplified Arabic"/>
                <w:b/>
                <w:bCs/>
                <w:color w:val="000000"/>
                <w:sz w:val="24"/>
                <w:szCs w:val="24"/>
                <w:rtl/>
              </w:rPr>
              <w:t>رقم البند</w:t>
            </w:r>
          </w:p>
        </w:tc>
        <w:tc>
          <w:tcPr>
            <w:tcW w:w="516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9E3152" w:rsidRDefault="00382980" w:rsidP="009E3152">
            <w:pPr>
              <w:jc w:val="center"/>
              <w:rPr>
                <w:rFonts w:ascii="Simplified Arabic" w:hAnsi="Simplified Arabic" w:cs="Simplified Arabic"/>
                <w:b/>
                <w:bCs/>
                <w:color w:val="000000"/>
                <w:sz w:val="24"/>
                <w:szCs w:val="24"/>
                <w:rtl/>
              </w:rPr>
            </w:pPr>
            <w:r w:rsidRPr="009E3152">
              <w:rPr>
                <w:rFonts w:ascii="Simplified Arabic" w:hAnsi="Simplified Arabic" w:cs="Simplified Arabic"/>
                <w:b/>
                <w:bCs/>
                <w:color w:val="000000"/>
                <w:sz w:val="24"/>
                <w:szCs w:val="24"/>
                <w:rtl/>
              </w:rPr>
              <w:t>عنوان البند</w:t>
            </w:r>
          </w:p>
        </w:tc>
        <w:tc>
          <w:tcPr>
            <w:tcW w:w="2320" w:type="dxa"/>
            <w:tcBorders>
              <w:top w:val="single" w:sz="8" w:space="0" w:color="auto"/>
              <w:left w:val="single" w:sz="4" w:space="0" w:color="auto"/>
              <w:bottom w:val="single" w:sz="4" w:space="0" w:color="auto"/>
              <w:right w:val="single" w:sz="8" w:space="0" w:color="auto"/>
            </w:tcBorders>
            <w:shd w:val="clear" w:color="000000" w:fill="C5D9F1"/>
            <w:vAlign w:val="center"/>
            <w:hideMark/>
          </w:tcPr>
          <w:p w:rsidR="00382980" w:rsidRPr="009E3152" w:rsidRDefault="00382980" w:rsidP="009E3152">
            <w:pPr>
              <w:rPr>
                <w:rFonts w:ascii="Simplified Arabic" w:hAnsi="Simplified Arabic" w:cs="Simplified Arabic"/>
                <w:b/>
                <w:bCs/>
                <w:color w:val="000000"/>
                <w:sz w:val="24"/>
                <w:szCs w:val="24"/>
                <w:rtl/>
              </w:rPr>
            </w:pPr>
            <w:r w:rsidRPr="009E3152">
              <w:rPr>
                <w:rFonts w:ascii="Simplified Arabic" w:hAnsi="Simplified Arabic" w:cs="Simplified Arabic"/>
                <w:b/>
                <w:bCs/>
                <w:color w:val="000000"/>
                <w:sz w:val="24"/>
                <w:szCs w:val="24"/>
                <w:rtl/>
              </w:rPr>
              <w:t> </w:t>
            </w:r>
          </w:p>
        </w:tc>
      </w:tr>
      <w:tr w:rsidR="00382980" w:rsidRPr="009E3152" w:rsidTr="009E3152">
        <w:trPr>
          <w:trHeight w:val="510"/>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Simplified Arabic" w:hAnsi="Simplified Arabic" w:cs="Simplified Arabic"/>
                <w:b/>
                <w:bCs/>
                <w:color w:val="000000"/>
                <w:sz w:val="24"/>
                <w:szCs w:val="24"/>
                <w:rtl/>
              </w:rPr>
            </w:pPr>
          </w:p>
        </w:tc>
        <w:tc>
          <w:tcPr>
            <w:tcW w:w="2080" w:type="dxa"/>
            <w:vMerge/>
            <w:tcBorders>
              <w:top w:val="single" w:sz="8" w:space="0" w:color="auto"/>
              <w:left w:val="single" w:sz="8" w:space="0" w:color="auto"/>
              <w:bottom w:val="single" w:sz="8" w:space="0" w:color="000000"/>
              <w:right w:val="single" w:sz="4" w:space="0" w:color="auto"/>
            </w:tcBorders>
            <w:vAlign w:val="center"/>
            <w:hideMark/>
          </w:tcPr>
          <w:p w:rsidR="00382980" w:rsidRPr="009E3152" w:rsidRDefault="00382980" w:rsidP="009E3152">
            <w:pPr>
              <w:rPr>
                <w:rFonts w:ascii="Simplified Arabic" w:hAnsi="Simplified Arabic" w:cs="Simplified Arabic"/>
                <w:b/>
                <w:bCs/>
                <w:color w:val="000000"/>
                <w:sz w:val="24"/>
                <w:szCs w:val="24"/>
              </w:rPr>
            </w:pPr>
          </w:p>
        </w:tc>
        <w:tc>
          <w:tcPr>
            <w:tcW w:w="5160" w:type="dxa"/>
            <w:vMerge/>
            <w:tcBorders>
              <w:top w:val="single" w:sz="8" w:space="0" w:color="auto"/>
              <w:left w:val="single" w:sz="4" w:space="0" w:color="auto"/>
              <w:bottom w:val="single" w:sz="8" w:space="0" w:color="000000"/>
              <w:right w:val="single" w:sz="4" w:space="0" w:color="auto"/>
            </w:tcBorders>
            <w:vAlign w:val="center"/>
            <w:hideMark/>
          </w:tcPr>
          <w:p w:rsidR="00382980" w:rsidRPr="009E3152" w:rsidRDefault="00382980" w:rsidP="009E3152">
            <w:pPr>
              <w:rPr>
                <w:rFonts w:ascii="Simplified Arabic" w:hAnsi="Simplified Arabic" w:cs="Simplified Arabic"/>
                <w:b/>
                <w:bCs/>
                <w:color w:val="000000"/>
                <w:sz w:val="24"/>
                <w:szCs w:val="24"/>
              </w:rPr>
            </w:pPr>
          </w:p>
        </w:tc>
        <w:tc>
          <w:tcPr>
            <w:tcW w:w="2320" w:type="dxa"/>
            <w:tcBorders>
              <w:top w:val="nil"/>
              <w:left w:val="single" w:sz="4" w:space="0" w:color="auto"/>
              <w:bottom w:val="single" w:sz="8" w:space="0" w:color="auto"/>
              <w:right w:val="single" w:sz="8" w:space="0" w:color="auto"/>
            </w:tcBorders>
            <w:shd w:val="clear" w:color="000000" w:fill="C5D9F1"/>
            <w:vAlign w:val="center"/>
            <w:hideMark/>
          </w:tcPr>
          <w:p w:rsidR="00382980" w:rsidRPr="009E3152" w:rsidRDefault="00382980" w:rsidP="009E3152">
            <w:pPr>
              <w:jc w:val="center"/>
              <w:rPr>
                <w:rFonts w:ascii="Simplified Arabic" w:hAnsi="Simplified Arabic" w:cs="Simplified Arabic"/>
                <w:b/>
                <w:bCs/>
                <w:color w:val="000000"/>
                <w:sz w:val="24"/>
                <w:szCs w:val="24"/>
              </w:rPr>
            </w:pPr>
            <w:r w:rsidRPr="009E3152">
              <w:rPr>
                <w:rFonts w:ascii="Simplified Arabic" w:hAnsi="Simplified Arabic" w:cs="Simplified Arabic"/>
                <w:b/>
                <w:bCs/>
                <w:color w:val="000000"/>
                <w:sz w:val="24"/>
                <w:szCs w:val="24"/>
                <w:rtl/>
              </w:rPr>
              <w:t>قيمة التسهيلات</w:t>
            </w:r>
          </w:p>
        </w:tc>
      </w:tr>
      <w:tr w:rsidR="00382980" w:rsidRPr="009E3152" w:rsidTr="009E3152">
        <w:trPr>
          <w:trHeight w:val="750"/>
        </w:trPr>
        <w:tc>
          <w:tcPr>
            <w:tcW w:w="960" w:type="dxa"/>
            <w:tcBorders>
              <w:top w:val="nil"/>
              <w:left w:val="nil"/>
              <w:bottom w:val="nil"/>
              <w:right w:val="nil"/>
            </w:tcBorders>
            <w:shd w:val="clear" w:color="auto" w:fill="auto"/>
            <w:noWrap/>
            <w:vAlign w:val="bottom"/>
            <w:hideMark/>
          </w:tcPr>
          <w:p w:rsidR="00382980" w:rsidRPr="009E3152" w:rsidRDefault="00382980" w:rsidP="009E3152">
            <w:pPr>
              <w:jc w:val="center"/>
              <w:rPr>
                <w:rFonts w:ascii="Simplified Arabic" w:hAnsi="Simplified Arabic" w:cs="Simplified Arabic"/>
                <w:b/>
                <w:bCs/>
                <w:color w:val="000000"/>
                <w:sz w:val="24"/>
                <w:szCs w:val="24"/>
                <w:rtl/>
              </w:rPr>
            </w:pPr>
          </w:p>
        </w:tc>
        <w:tc>
          <w:tcPr>
            <w:tcW w:w="2080" w:type="dxa"/>
            <w:tcBorders>
              <w:top w:val="nil"/>
              <w:left w:val="single" w:sz="8"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Pr>
            </w:pPr>
            <w:r w:rsidRPr="009E3152">
              <w:rPr>
                <w:rFonts w:ascii="Calibri" w:hAnsi="Calibri" w:cs="Calibri"/>
                <w:b/>
                <w:bCs/>
                <w:color w:val="000000"/>
                <w:rtl/>
              </w:rPr>
              <w:t>البند (ثالثاً/ب/2)</w:t>
            </w:r>
          </w:p>
        </w:tc>
        <w:tc>
          <w:tcPr>
            <w:tcW w:w="5160" w:type="dxa"/>
            <w:tcBorders>
              <w:top w:val="nil"/>
              <w:left w:val="single" w:sz="4"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tl/>
              </w:rPr>
            </w:pPr>
            <w:r w:rsidRPr="009E3152">
              <w:rPr>
                <w:rFonts w:ascii="Calibri" w:hAnsi="Calibri" w:cs="Calibri"/>
                <w:b/>
                <w:bCs/>
                <w:color w:val="000000"/>
                <w:rtl/>
              </w:rPr>
              <w:t>التسهيلات الائتمانية غير المباشرة ما بين البنوك</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rsidR="00382980" w:rsidRPr="009E3152" w:rsidRDefault="00382980" w:rsidP="009E3152">
            <w:pPr>
              <w:rPr>
                <w:rFonts w:ascii="Calibri" w:hAnsi="Calibri" w:cs="Calibri"/>
                <w:color w:val="000000"/>
                <w:rtl/>
              </w:rPr>
            </w:pPr>
            <w:r w:rsidRPr="009E3152">
              <w:rPr>
                <w:rFonts w:ascii="Calibri" w:hAnsi="Calibri" w:cs="Calibri"/>
                <w:color w:val="000000"/>
              </w:rPr>
              <w:t> </w:t>
            </w:r>
          </w:p>
        </w:tc>
      </w:tr>
      <w:tr w:rsidR="00382980" w:rsidRPr="009E3152" w:rsidTr="009E3152">
        <w:trPr>
          <w:trHeight w:val="1230"/>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Calibri" w:hAnsi="Calibri" w:cs="Calibri"/>
                <w:color w:val="000000"/>
              </w:rPr>
            </w:pPr>
          </w:p>
        </w:tc>
        <w:tc>
          <w:tcPr>
            <w:tcW w:w="2080" w:type="dxa"/>
            <w:tcBorders>
              <w:top w:val="single" w:sz="8" w:space="0" w:color="auto"/>
              <w:left w:val="single" w:sz="8"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Pr>
            </w:pPr>
            <w:r w:rsidRPr="009E3152">
              <w:rPr>
                <w:rFonts w:ascii="Calibri" w:hAnsi="Calibri" w:cs="Calibri"/>
                <w:b/>
                <w:bCs/>
                <w:color w:val="000000"/>
                <w:rtl/>
              </w:rPr>
              <w:t>البند (ثالثاً/ب/3)</w:t>
            </w:r>
          </w:p>
        </w:tc>
        <w:tc>
          <w:tcPr>
            <w:tcW w:w="5160" w:type="dxa"/>
            <w:tcBorders>
              <w:top w:val="single" w:sz="8" w:space="0" w:color="auto"/>
              <w:left w:val="single" w:sz="4"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tl/>
              </w:rPr>
            </w:pPr>
            <w:r w:rsidRPr="009E3152">
              <w:rPr>
                <w:rFonts w:ascii="Calibri" w:hAnsi="Calibri" w:cs="Calibri"/>
                <w:b/>
                <w:bCs/>
                <w:color w:val="000000"/>
                <w:rtl/>
              </w:rPr>
              <w:t>التسهيلات الائتمانية غير المباشرة المتضمنة تعهدات متعلقة بالأداء (</w:t>
            </w:r>
            <w:r w:rsidRPr="009E3152">
              <w:rPr>
                <w:rFonts w:ascii="Calibri" w:hAnsi="Calibri" w:cs="Calibri"/>
                <w:b/>
                <w:bCs/>
                <w:color w:val="000000"/>
              </w:rPr>
              <w:t>Performance Related Contingencies</w:t>
            </w:r>
            <w:r w:rsidRPr="009E3152">
              <w:rPr>
                <w:rFonts w:ascii="Calibri" w:hAnsi="Calibri" w:cs="Calibri"/>
                <w:b/>
                <w:bCs/>
                <w:color w:val="000000"/>
                <w:rtl/>
              </w:rPr>
              <w:t xml:space="preserve">) وحسب ما وردت في تعليمات رأس المال التنظيمي وفقاً لمعيار بازل </w:t>
            </w:r>
            <w:r w:rsidRPr="009E3152">
              <w:rPr>
                <w:rFonts w:ascii="Calibri" w:hAnsi="Calibri" w:cs="Calibri"/>
                <w:b/>
                <w:bCs/>
                <w:color w:val="000000"/>
              </w:rPr>
              <w:t>III</w:t>
            </w:r>
            <w:r w:rsidRPr="009E3152">
              <w:rPr>
                <w:rFonts w:ascii="Calibri" w:hAnsi="Calibri" w:cs="Calibri"/>
                <w:b/>
                <w:bCs/>
                <w:color w:val="000000"/>
                <w:rtl/>
              </w:rPr>
              <w:t xml:space="preserve"> رقم (2016/67)</w:t>
            </w:r>
          </w:p>
        </w:tc>
        <w:tc>
          <w:tcPr>
            <w:tcW w:w="23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82980" w:rsidRPr="009E3152" w:rsidRDefault="00382980" w:rsidP="009E3152">
            <w:pPr>
              <w:rPr>
                <w:rFonts w:ascii="Calibri" w:hAnsi="Calibri" w:cs="Calibri"/>
                <w:color w:val="000000"/>
                <w:rtl/>
              </w:rPr>
            </w:pPr>
            <w:r w:rsidRPr="009E3152">
              <w:rPr>
                <w:rFonts w:ascii="Calibri" w:hAnsi="Calibri" w:cs="Calibri"/>
                <w:color w:val="000000"/>
              </w:rPr>
              <w:t> </w:t>
            </w:r>
          </w:p>
        </w:tc>
      </w:tr>
      <w:tr w:rsidR="00382980" w:rsidRPr="009E3152" w:rsidTr="009E3152">
        <w:trPr>
          <w:trHeight w:val="1065"/>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Calibri" w:hAnsi="Calibri" w:cs="Calibri"/>
                <w:color w:val="000000"/>
              </w:rPr>
            </w:pPr>
          </w:p>
        </w:tc>
        <w:tc>
          <w:tcPr>
            <w:tcW w:w="2080" w:type="dxa"/>
            <w:tcBorders>
              <w:top w:val="single" w:sz="8" w:space="0" w:color="auto"/>
              <w:left w:val="single" w:sz="8"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Pr>
            </w:pPr>
            <w:r w:rsidRPr="009E3152">
              <w:rPr>
                <w:rFonts w:ascii="Calibri" w:hAnsi="Calibri" w:cs="Calibri"/>
                <w:b/>
                <w:bCs/>
                <w:color w:val="000000"/>
                <w:rtl/>
              </w:rPr>
              <w:t>البند (ثالثاً/ب/4)</w:t>
            </w:r>
          </w:p>
        </w:tc>
        <w:tc>
          <w:tcPr>
            <w:tcW w:w="5160" w:type="dxa"/>
            <w:tcBorders>
              <w:top w:val="single" w:sz="8" w:space="0" w:color="auto"/>
              <w:left w:val="single" w:sz="4"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tl/>
              </w:rPr>
            </w:pPr>
            <w:r w:rsidRPr="009E3152">
              <w:rPr>
                <w:rFonts w:ascii="Calibri" w:hAnsi="Calibri" w:cs="Calibri"/>
                <w:b/>
                <w:bCs/>
                <w:color w:val="000000"/>
                <w:rtl/>
              </w:rPr>
              <w:t>التسهيلات الائتمانية بالدينار الأردني أو بالعملة الأجنبية للشركات المسجلة في المناطق الحرة أو التنموية أو الخاصة المنشأة وفقاً للتشريعات النافذة بالخصوص.</w:t>
            </w:r>
          </w:p>
        </w:tc>
        <w:tc>
          <w:tcPr>
            <w:tcW w:w="23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82980" w:rsidRPr="009E3152" w:rsidRDefault="00382980" w:rsidP="009E3152">
            <w:pPr>
              <w:rPr>
                <w:rFonts w:ascii="Calibri" w:hAnsi="Calibri" w:cs="Calibri"/>
                <w:color w:val="000000"/>
                <w:rtl/>
              </w:rPr>
            </w:pPr>
            <w:r w:rsidRPr="009E3152">
              <w:rPr>
                <w:rFonts w:ascii="Calibri" w:hAnsi="Calibri" w:cs="Calibri"/>
                <w:color w:val="000000"/>
              </w:rPr>
              <w:t> </w:t>
            </w:r>
          </w:p>
        </w:tc>
      </w:tr>
      <w:tr w:rsidR="00382980" w:rsidRPr="009E3152" w:rsidTr="009E3152">
        <w:trPr>
          <w:trHeight w:val="990"/>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Calibri" w:hAnsi="Calibri" w:cs="Calibri"/>
                <w:color w:val="000000"/>
              </w:rPr>
            </w:pPr>
          </w:p>
        </w:tc>
        <w:tc>
          <w:tcPr>
            <w:tcW w:w="2080" w:type="dxa"/>
            <w:tcBorders>
              <w:top w:val="single" w:sz="8" w:space="0" w:color="auto"/>
              <w:left w:val="single" w:sz="8"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Pr>
            </w:pPr>
            <w:r w:rsidRPr="009E3152">
              <w:rPr>
                <w:rFonts w:ascii="Calibri" w:hAnsi="Calibri" w:cs="Calibri"/>
                <w:b/>
                <w:bCs/>
                <w:color w:val="000000"/>
                <w:rtl/>
              </w:rPr>
              <w:t>البند (ثالثاً/ب/5)</w:t>
            </w:r>
          </w:p>
        </w:tc>
        <w:tc>
          <w:tcPr>
            <w:tcW w:w="5160" w:type="dxa"/>
            <w:tcBorders>
              <w:top w:val="single" w:sz="8" w:space="0" w:color="auto"/>
              <w:left w:val="single" w:sz="4"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tl/>
              </w:rPr>
            </w:pPr>
            <w:r w:rsidRPr="009E3152">
              <w:rPr>
                <w:rFonts w:ascii="Calibri" w:hAnsi="Calibri" w:cs="Calibri"/>
                <w:b/>
                <w:bCs/>
                <w:color w:val="000000"/>
                <w:rtl/>
              </w:rPr>
              <w:t>الكفالات الصادرة بناءً على طلب الشركات المعفاة كمتطلب قانوني لغايات تسجيلها وفقاً لأحكام المادة (7) من نظام الشركة المعفاة رقم (105) لسنة 2007</w:t>
            </w:r>
          </w:p>
        </w:tc>
        <w:tc>
          <w:tcPr>
            <w:tcW w:w="23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82980" w:rsidRPr="009E3152" w:rsidRDefault="00382980" w:rsidP="009E3152">
            <w:pPr>
              <w:rPr>
                <w:rFonts w:ascii="Calibri" w:hAnsi="Calibri" w:cs="Calibri"/>
                <w:color w:val="000000"/>
                <w:rtl/>
              </w:rPr>
            </w:pPr>
            <w:r w:rsidRPr="009E3152">
              <w:rPr>
                <w:rFonts w:ascii="Calibri" w:hAnsi="Calibri" w:cs="Calibri"/>
                <w:color w:val="000000"/>
              </w:rPr>
              <w:t> </w:t>
            </w:r>
          </w:p>
        </w:tc>
      </w:tr>
      <w:tr w:rsidR="00382980" w:rsidRPr="009E3152" w:rsidTr="009E3152">
        <w:trPr>
          <w:trHeight w:val="540"/>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Calibri" w:hAnsi="Calibri" w:cs="Calibri"/>
                <w:color w:val="000000"/>
              </w:rPr>
            </w:pPr>
          </w:p>
        </w:tc>
        <w:tc>
          <w:tcPr>
            <w:tcW w:w="2080" w:type="dxa"/>
            <w:tcBorders>
              <w:top w:val="single" w:sz="8" w:space="0" w:color="auto"/>
              <w:left w:val="single" w:sz="8"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Pr>
            </w:pPr>
            <w:r w:rsidRPr="009E3152">
              <w:rPr>
                <w:rFonts w:ascii="Calibri" w:hAnsi="Calibri" w:cs="Calibri"/>
                <w:b/>
                <w:bCs/>
                <w:color w:val="000000"/>
                <w:rtl/>
              </w:rPr>
              <w:t>البند (ثالثاً/ب/6)</w:t>
            </w:r>
          </w:p>
        </w:tc>
        <w:tc>
          <w:tcPr>
            <w:tcW w:w="5160" w:type="dxa"/>
            <w:tcBorders>
              <w:top w:val="single" w:sz="8" w:space="0" w:color="auto"/>
              <w:left w:val="single" w:sz="4" w:space="0" w:color="auto"/>
              <w:bottom w:val="nil"/>
              <w:right w:val="single" w:sz="4" w:space="0" w:color="auto"/>
            </w:tcBorders>
            <w:shd w:val="clear" w:color="auto" w:fill="auto"/>
            <w:vAlign w:val="center"/>
            <w:hideMark/>
          </w:tcPr>
          <w:p w:rsidR="00382980" w:rsidRPr="009E3152" w:rsidRDefault="00382980" w:rsidP="009E3152">
            <w:pPr>
              <w:jc w:val="center"/>
              <w:rPr>
                <w:rFonts w:ascii="Calibri" w:hAnsi="Calibri" w:cs="Calibri"/>
                <w:b/>
                <w:bCs/>
                <w:color w:val="000000"/>
                <w:rtl/>
              </w:rPr>
            </w:pPr>
            <w:r w:rsidRPr="009E3152">
              <w:rPr>
                <w:rFonts w:ascii="Calibri" w:hAnsi="Calibri" w:cs="Calibri"/>
                <w:b/>
                <w:bCs/>
                <w:color w:val="000000"/>
                <w:rtl/>
              </w:rPr>
              <w:t>المرابحات الدولية بالعملة الأجنبية</w:t>
            </w:r>
          </w:p>
        </w:tc>
        <w:tc>
          <w:tcPr>
            <w:tcW w:w="23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82980" w:rsidRPr="009E3152" w:rsidRDefault="00382980" w:rsidP="009E3152">
            <w:pPr>
              <w:rPr>
                <w:rFonts w:ascii="Calibri" w:hAnsi="Calibri" w:cs="Calibri"/>
                <w:color w:val="000000"/>
                <w:rtl/>
              </w:rPr>
            </w:pPr>
            <w:r w:rsidRPr="009E3152">
              <w:rPr>
                <w:rFonts w:ascii="Calibri" w:hAnsi="Calibri" w:cs="Calibri"/>
                <w:color w:val="000000"/>
              </w:rPr>
              <w:t> </w:t>
            </w:r>
          </w:p>
        </w:tc>
      </w:tr>
      <w:tr w:rsidR="00382980" w:rsidRPr="009E3152" w:rsidTr="009E3152">
        <w:trPr>
          <w:trHeight w:val="495"/>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Calibri" w:hAnsi="Calibri" w:cs="Calibri"/>
                <w:color w:val="000000"/>
              </w:rPr>
            </w:pPr>
          </w:p>
        </w:tc>
        <w:tc>
          <w:tcPr>
            <w:tcW w:w="2080"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382980" w:rsidRPr="009E3152" w:rsidRDefault="00382980" w:rsidP="009E3152">
            <w:pPr>
              <w:jc w:val="center"/>
              <w:rPr>
                <w:rFonts w:ascii="Simplified Arabic" w:hAnsi="Simplified Arabic" w:cs="Simplified Arabic"/>
                <w:b/>
                <w:bCs/>
                <w:color w:val="000000"/>
              </w:rPr>
            </w:pPr>
            <w:r w:rsidRPr="009E3152">
              <w:rPr>
                <w:rFonts w:ascii="Simplified Arabic" w:hAnsi="Simplified Arabic" w:cs="Simplified Arabic"/>
                <w:b/>
                <w:bCs/>
                <w:color w:val="000000"/>
                <w:rtl/>
              </w:rPr>
              <w:t>المجموع</w:t>
            </w:r>
          </w:p>
        </w:tc>
        <w:tc>
          <w:tcPr>
            <w:tcW w:w="516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382980" w:rsidRPr="009E3152" w:rsidRDefault="00382980" w:rsidP="009E3152">
            <w:pPr>
              <w:jc w:val="center"/>
              <w:rPr>
                <w:rFonts w:ascii="Simplified Arabic" w:hAnsi="Simplified Arabic" w:cs="Simplified Arabic"/>
                <w:b/>
                <w:bCs/>
                <w:color w:val="000000"/>
                <w:rtl/>
              </w:rPr>
            </w:pPr>
            <w:r w:rsidRPr="009E3152">
              <w:rPr>
                <w:rFonts w:ascii="Simplified Arabic" w:hAnsi="Simplified Arabic" w:cs="Simplified Arabic"/>
                <w:b/>
                <w:bCs/>
                <w:color w:val="000000"/>
                <w:rtl/>
              </w:rPr>
              <w:t> </w:t>
            </w:r>
          </w:p>
        </w:tc>
        <w:tc>
          <w:tcPr>
            <w:tcW w:w="2320" w:type="dxa"/>
            <w:tcBorders>
              <w:top w:val="nil"/>
              <w:left w:val="single" w:sz="4" w:space="0" w:color="auto"/>
              <w:bottom w:val="single" w:sz="4" w:space="0" w:color="auto"/>
              <w:right w:val="single" w:sz="8" w:space="0" w:color="auto"/>
            </w:tcBorders>
            <w:shd w:val="clear" w:color="000000" w:fill="BFBFBF"/>
            <w:noWrap/>
            <w:vAlign w:val="bottom"/>
            <w:hideMark/>
          </w:tcPr>
          <w:p w:rsidR="00382980" w:rsidRPr="009E3152" w:rsidRDefault="00382980" w:rsidP="009E3152">
            <w:pPr>
              <w:rPr>
                <w:rFonts w:ascii="Calibri" w:hAnsi="Calibri" w:cs="Calibri"/>
                <w:color w:val="000000"/>
                <w:rtl/>
              </w:rPr>
            </w:pPr>
            <w:r w:rsidRPr="009E3152">
              <w:rPr>
                <w:rFonts w:ascii="Calibri" w:hAnsi="Calibri" w:cs="Calibri"/>
                <w:color w:val="000000"/>
              </w:rPr>
              <w:t> </w:t>
            </w:r>
          </w:p>
        </w:tc>
      </w:tr>
      <w:tr w:rsidR="00382980" w:rsidRPr="009E3152" w:rsidTr="009E3152">
        <w:trPr>
          <w:trHeight w:val="495"/>
        </w:trPr>
        <w:tc>
          <w:tcPr>
            <w:tcW w:w="960" w:type="dxa"/>
            <w:tcBorders>
              <w:top w:val="nil"/>
              <w:left w:val="nil"/>
              <w:bottom w:val="nil"/>
              <w:right w:val="nil"/>
            </w:tcBorders>
            <w:shd w:val="clear" w:color="auto" w:fill="auto"/>
            <w:noWrap/>
            <w:vAlign w:val="bottom"/>
            <w:hideMark/>
          </w:tcPr>
          <w:p w:rsidR="00382980" w:rsidRPr="009E3152" w:rsidRDefault="00382980" w:rsidP="009E3152">
            <w:pPr>
              <w:rPr>
                <w:rFonts w:ascii="Calibri" w:hAnsi="Calibri" w:cs="Calibri"/>
                <w:color w:val="000000"/>
              </w:rPr>
            </w:pPr>
          </w:p>
        </w:tc>
        <w:tc>
          <w:tcPr>
            <w:tcW w:w="2080" w:type="dxa"/>
            <w:vMerge/>
            <w:tcBorders>
              <w:top w:val="single" w:sz="8" w:space="0" w:color="auto"/>
              <w:left w:val="single" w:sz="8" w:space="0" w:color="auto"/>
              <w:bottom w:val="single" w:sz="8" w:space="0" w:color="000000"/>
              <w:right w:val="single" w:sz="4" w:space="0" w:color="auto"/>
            </w:tcBorders>
            <w:vAlign w:val="center"/>
            <w:hideMark/>
          </w:tcPr>
          <w:p w:rsidR="00382980" w:rsidRPr="009E3152" w:rsidRDefault="00382980" w:rsidP="009E3152">
            <w:pPr>
              <w:rPr>
                <w:rFonts w:ascii="Simplified Arabic" w:hAnsi="Simplified Arabic" w:cs="Simplified Arabic"/>
                <w:b/>
                <w:bCs/>
                <w:color w:val="000000"/>
              </w:rPr>
            </w:pPr>
          </w:p>
        </w:tc>
        <w:tc>
          <w:tcPr>
            <w:tcW w:w="5160" w:type="dxa"/>
            <w:vMerge/>
            <w:tcBorders>
              <w:top w:val="single" w:sz="8" w:space="0" w:color="auto"/>
              <w:left w:val="single" w:sz="4" w:space="0" w:color="auto"/>
              <w:bottom w:val="single" w:sz="8" w:space="0" w:color="000000"/>
              <w:right w:val="single" w:sz="4" w:space="0" w:color="auto"/>
            </w:tcBorders>
            <w:vAlign w:val="center"/>
            <w:hideMark/>
          </w:tcPr>
          <w:p w:rsidR="00382980" w:rsidRPr="009E3152" w:rsidRDefault="00382980" w:rsidP="009E3152">
            <w:pPr>
              <w:rPr>
                <w:rFonts w:ascii="Simplified Arabic" w:hAnsi="Simplified Arabic" w:cs="Simplified Arabic"/>
                <w:b/>
                <w:bCs/>
                <w:color w:val="000000"/>
              </w:rPr>
            </w:pPr>
          </w:p>
        </w:tc>
        <w:tc>
          <w:tcPr>
            <w:tcW w:w="2320" w:type="dxa"/>
            <w:tcBorders>
              <w:top w:val="nil"/>
              <w:left w:val="single" w:sz="4" w:space="0" w:color="auto"/>
              <w:bottom w:val="single" w:sz="8" w:space="0" w:color="auto"/>
              <w:right w:val="single" w:sz="8" w:space="0" w:color="auto"/>
            </w:tcBorders>
            <w:shd w:val="clear" w:color="000000" w:fill="BFBFBF"/>
            <w:noWrap/>
            <w:vAlign w:val="bottom"/>
            <w:hideMark/>
          </w:tcPr>
          <w:p w:rsidR="00382980" w:rsidRPr="009E3152" w:rsidRDefault="00382980" w:rsidP="009E3152">
            <w:pPr>
              <w:rPr>
                <w:rFonts w:ascii="Calibri" w:hAnsi="Calibri" w:cs="Calibri"/>
                <w:color w:val="000000"/>
              </w:rPr>
            </w:pPr>
            <w:r w:rsidRPr="009E3152">
              <w:rPr>
                <w:rFonts w:ascii="Calibri" w:hAnsi="Calibri" w:cs="Calibri"/>
                <w:color w:val="000000"/>
              </w:rPr>
              <w:t> </w:t>
            </w:r>
          </w:p>
        </w:tc>
      </w:tr>
    </w:tbl>
    <w:p w:rsidR="00382980" w:rsidRDefault="00382980" w:rsidP="009E3152">
      <w:pPr>
        <w:rPr>
          <w:rtl/>
          <w:lang w:bidi="ar-JO"/>
        </w:rPr>
      </w:pPr>
    </w:p>
    <w:p w:rsidR="00382980" w:rsidRDefault="00382980" w:rsidP="009E3152">
      <w:pPr>
        <w:rPr>
          <w:rtl/>
          <w:lang w:bidi="ar-JO"/>
        </w:rPr>
      </w:pPr>
    </w:p>
    <w:p w:rsidR="00382980" w:rsidRDefault="00382980" w:rsidP="000A5028">
      <w:pPr>
        <w:spacing w:before="600"/>
        <w:rPr>
          <w:rtl/>
          <w:lang w:bidi="ar-JO"/>
        </w:rPr>
      </w:pPr>
    </w:p>
    <w:tbl>
      <w:tblPr>
        <w:bidiVisual/>
        <w:tblW w:w="15450" w:type="dxa"/>
        <w:tblInd w:w="612" w:type="dxa"/>
        <w:tblLook w:val="04A0" w:firstRow="1" w:lastRow="0" w:firstColumn="1" w:lastColumn="0" w:noHBand="0" w:noVBand="1"/>
      </w:tblPr>
      <w:tblGrid>
        <w:gridCol w:w="1688"/>
        <w:gridCol w:w="1571"/>
        <w:gridCol w:w="995"/>
        <w:gridCol w:w="811"/>
        <w:gridCol w:w="848"/>
        <w:gridCol w:w="1079"/>
        <w:gridCol w:w="1170"/>
        <w:gridCol w:w="718"/>
        <w:gridCol w:w="769"/>
        <w:gridCol w:w="1040"/>
        <w:gridCol w:w="1095"/>
        <w:gridCol w:w="3666"/>
      </w:tblGrid>
      <w:tr w:rsidR="00382980" w:rsidRPr="00CD3089" w:rsidTr="00382980">
        <w:trPr>
          <w:trHeight w:val="375"/>
        </w:trPr>
        <w:tc>
          <w:tcPr>
            <w:tcW w:w="0" w:type="auto"/>
            <w:gridSpan w:val="9"/>
            <w:tcBorders>
              <w:top w:val="nil"/>
              <w:left w:val="nil"/>
              <w:bottom w:val="nil"/>
              <w:right w:val="nil"/>
            </w:tcBorders>
            <w:shd w:val="clear" w:color="auto" w:fill="auto"/>
            <w:noWrap/>
            <w:vAlign w:val="bottom"/>
            <w:hideMark/>
          </w:tcPr>
          <w:p w:rsidR="00382980" w:rsidRPr="00CD3089" w:rsidRDefault="00382980" w:rsidP="00382980">
            <w:pPr>
              <w:spacing w:before="240"/>
              <w:rPr>
                <w:rFonts w:ascii="Calibri" w:hAnsi="Calibri" w:cs="Calibri"/>
                <w:b/>
                <w:bCs/>
                <w:color w:val="000000"/>
                <w:sz w:val="28"/>
                <w:szCs w:val="28"/>
              </w:rPr>
            </w:pPr>
            <w:r w:rsidRPr="00CD3089">
              <w:rPr>
                <w:rFonts w:ascii="Calibri" w:hAnsi="Calibri" w:cs="Calibri"/>
                <w:b/>
                <w:bCs/>
                <w:color w:val="000000"/>
                <w:sz w:val="28"/>
                <w:szCs w:val="28"/>
                <w:rtl/>
              </w:rPr>
              <w:lastRenderedPageBreak/>
              <w:t>كشف رقم (3)</w:t>
            </w:r>
          </w:p>
        </w:tc>
        <w:tc>
          <w:tcPr>
            <w:tcW w:w="1040" w:type="dxa"/>
            <w:tcBorders>
              <w:top w:val="nil"/>
              <w:left w:val="nil"/>
              <w:bottom w:val="nil"/>
              <w:right w:val="nil"/>
            </w:tcBorders>
            <w:shd w:val="clear" w:color="auto" w:fill="auto"/>
            <w:noWrap/>
            <w:vAlign w:val="bottom"/>
            <w:hideMark/>
          </w:tcPr>
          <w:p w:rsidR="00382980" w:rsidRPr="00CD3089" w:rsidRDefault="00382980" w:rsidP="00CD3089">
            <w:pPr>
              <w:rPr>
                <w:rFonts w:ascii="Calibri" w:hAnsi="Calibri" w:cs="Calibri"/>
                <w:b/>
                <w:bCs/>
                <w:color w:val="000000"/>
                <w:sz w:val="28"/>
                <w:szCs w:val="28"/>
                <w:rtl/>
              </w:rPr>
            </w:pPr>
          </w:p>
        </w:tc>
        <w:tc>
          <w:tcPr>
            <w:tcW w:w="1095" w:type="dxa"/>
            <w:tcBorders>
              <w:top w:val="nil"/>
              <w:left w:val="nil"/>
              <w:bottom w:val="nil"/>
              <w:right w:val="nil"/>
            </w:tcBorders>
            <w:shd w:val="clear" w:color="auto" w:fill="auto"/>
            <w:noWrap/>
            <w:vAlign w:val="bottom"/>
            <w:hideMark/>
          </w:tcPr>
          <w:p w:rsidR="00382980" w:rsidRPr="00CD3089" w:rsidRDefault="00382980" w:rsidP="00CD3089">
            <w:pPr>
              <w:jc w:val="center"/>
              <w:rPr>
                <w:rFonts w:cs="Times New Roman"/>
              </w:rPr>
            </w:pPr>
          </w:p>
        </w:tc>
        <w:tc>
          <w:tcPr>
            <w:tcW w:w="3666" w:type="dxa"/>
            <w:tcBorders>
              <w:top w:val="nil"/>
              <w:left w:val="nil"/>
              <w:bottom w:val="nil"/>
              <w:right w:val="nil"/>
            </w:tcBorders>
            <w:shd w:val="clear" w:color="auto" w:fill="auto"/>
            <w:noWrap/>
            <w:vAlign w:val="bottom"/>
            <w:hideMark/>
          </w:tcPr>
          <w:p w:rsidR="00382980" w:rsidRPr="00CD3089" w:rsidRDefault="00382980" w:rsidP="00CD3089">
            <w:pPr>
              <w:jc w:val="center"/>
              <w:rPr>
                <w:rFonts w:cs="Times New Roman"/>
              </w:rPr>
            </w:pPr>
          </w:p>
        </w:tc>
      </w:tr>
      <w:tr w:rsidR="00382980" w:rsidRPr="00CD3089" w:rsidTr="00382980">
        <w:trPr>
          <w:trHeight w:val="510"/>
        </w:trPr>
        <w:tc>
          <w:tcPr>
            <w:tcW w:w="15450" w:type="dxa"/>
            <w:gridSpan w:val="12"/>
            <w:tcBorders>
              <w:top w:val="nil"/>
              <w:left w:val="nil"/>
              <w:bottom w:val="nil"/>
              <w:right w:val="nil"/>
            </w:tcBorders>
            <w:shd w:val="clear" w:color="auto" w:fill="auto"/>
            <w:noWrap/>
            <w:vAlign w:val="bottom"/>
            <w:hideMark/>
          </w:tcPr>
          <w:p w:rsidR="00382980" w:rsidRPr="00CD3089" w:rsidRDefault="00382980" w:rsidP="00CD3089">
            <w:pPr>
              <w:rPr>
                <w:rFonts w:ascii="Simplified Arabic" w:hAnsi="Simplified Arabic" w:cs="Simplified Arabic"/>
                <w:b/>
                <w:bCs/>
                <w:color w:val="000000"/>
                <w:sz w:val="26"/>
                <w:szCs w:val="26"/>
              </w:rPr>
            </w:pPr>
            <w:r w:rsidRPr="00CD3089">
              <w:rPr>
                <w:rFonts w:ascii="Simplified Arabic" w:hAnsi="Simplified Arabic" w:cs="Simplified Arabic"/>
                <w:b/>
                <w:bCs/>
                <w:color w:val="000000"/>
                <w:sz w:val="26"/>
                <w:szCs w:val="26"/>
                <w:rtl/>
              </w:rPr>
              <w:t xml:space="preserve"> أ. التسهيلات الائتمانية الممنوحة من فروع البنوك الأردنية والشركات البنكية التابعة العاملة خارج المملكة المخالفة للتعليمات والتي تخضع لإجراءات تصويب من قبل البنك لتصبح متوافقة مع التعليمات</w:t>
            </w:r>
          </w:p>
        </w:tc>
      </w:tr>
      <w:tr w:rsidR="00382980" w:rsidRPr="00CD3089" w:rsidTr="00382980">
        <w:trPr>
          <w:trHeight w:val="510"/>
        </w:trPr>
        <w:tc>
          <w:tcPr>
            <w:tcW w:w="1688" w:type="dxa"/>
            <w:tcBorders>
              <w:top w:val="nil"/>
              <w:left w:val="nil"/>
              <w:bottom w:val="nil"/>
              <w:right w:val="nil"/>
            </w:tcBorders>
            <w:shd w:val="clear" w:color="auto" w:fill="auto"/>
            <w:noWrap/>
            <w:vAlign w:val="bottom"/>
            <w:hideMark/>
          </w:tcPr>
          <w:p w:rsidR="00382980" w:rsidRPr="00CD3089" w:rsidRDefault="00382980" w:rsidP="00CD3089">
            <w:pPr>
              <w:rPr>
                <w:rFonts w:ascii="Simplified Arabic" w:hAnsi="Simplified Arabic" w:cs="Simplified Arabic"/>
                <w:b/>
                <w:bCs/>
                <w:color w:val="000000"/>
                <w:sz w:val="26"/>
                <w:szCs w:val="26"/>
                <w:rtl/>
              </w:rPr>
            </w:pPr>
          </w:p>
        </w:tc>
        <w:tc>
          <w:tcPr>
            <w:tcW w:w="1571"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995"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811"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848"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1079"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1170"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718"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769"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1040"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1095" w:type="dxa"/>
            <w:tcBorders>
              <w:top w:val="nil"/>
              <w:left w:val="nil"/>
              <w:bottom w:val="nil"/>
              <w:right w:val="nil"/>
            </w:tcBorders>
            <w:shd w:val="clear" w:color="auto" w:fill="auto"/>
            <w:noWrap/>
            <w:vAlign w:val="bottom"/>
            <w:hideMark/>
          </w:tcPr>
          <w:p w:rsidR="00382980" w:rsidRPr="00CD3089" w:rsidRDefault="00382980" w:rsidP="00CD3089">
            <w:pPr>
              <w:rPr>
                <w:rFonts w:cs="Times New Roman"/>
              </w:rPr>
            </w:pPr>
          </w:p>
        </w:tc>
        <w:tc>
          <w:tcPr>
            <w:tcW w:w="3666" w:type="dxa"/>
            <w:tcBorders>
              <w:top w:val="nil"/>
              <w:left w:val="nil"/>
              <w:bottom w:val="nil"/>
              <w:right w:val="nil"/>
            </w:tcBorders>
            <w:shd w:val="clear" w:color="auto" w:fill="auto"/>
            <w:noWrap/>
            <w:vAlign w:val="bottom"/>
            <w:hideMark/>
          </w:tcPr>
          <w:p w:rsidR="00382980" w:rsidRPr="00CD3089" w:rsidRDefault="00382980" w:rsidP="00CD3089">
            <w:pPr>
              <w:jc w:val="right"/>
              <w:rPr>
                <w:rFonts w:ascii="Simplified Arabic" w:hAnsi="Simplified Arabic" w:cs="Simplified Arabic"/>
                <w:b/>
                <w:bCs/>
                <w:color w:val="000000"/>
              </w:rPr>
            </w:pPr>
            <w:r w:rsidRPr="00CD3089">
              <w:rPr>
                <w:rFonts w:ascii="Simplified Arabic" w:hAnsi="Simplified Arabic" w:cs="Simplified Arabic"/>
                <w:b/>
                <w:bCs/>
                <w:color w:val="000000"/>
                <w:rtl/>
              </w:rPr>
              <w:t>المبالغ مقومه بالدينار الأردني</w:t>
            </w:r>
          </w:p>
        </w:tc>
      </w:tr>
      <w:tr w:rsidR="00382980" w:rsidRPr="00CD3089" w:rsidTr="00382980">
        <w:trPr>
          <w:trHeight w:val="315"/>
        </w:trPr>
        <w:tc>
          <w:tcPr>
            <w:tcW w:w="1688" w:type="dxa"/>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تفاصيل المخالفة (يُذكر بند التعليمات الذي تمت مخالفته)</w:t>
            </w:r>
          </w:p>
        </w:tc>
        <w:tc>
          <w:tcPr>
            <w:tcW w:w="1571" w:type="dxa"/>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اسم العميل / رمز العميل (في حال تعذر ذلك مراعاة لأحكام السرية المصرفية)</w:t>
            </w:r>
          </w:p>
        </w:tc>
        <w:tc>
          <w:tcPr>
            <w:tcW w:w="995"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نوع التسهيلات</w:t>
            </w:r>
          </w:p>
        </w:tc>
        <w:tc>
          <w:tcPr>
            <w:tcW w:w="811"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 </w:t>
            </w:r>
          </w:p>
        </w:tc>
        <w:tc>
          <w:tcPr>
            <w:tcW w:w="4584" w:type="dxa"/>
            <w:gridSpan w:val="5"/>
            <w:tcBorders>
              <w:top w:val="single" w:sz="8" w:space="0" w:color="auto"/>
              <w:left w:val="single" w:sz="4" w:space="0" w:color="auto"/>
              <w:bottom w:val="single" w:sz="4" w:space="0" w:color="auto"/>
              <w:right w:val="single" w:sz="4" w:space="0" w:color="000000"/>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 xml:space="preserve"> التسهيلات المباشرة </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طبيعة ودورية السداد</w:t>
            </w:r>
          </w:p>
        </w:tc>
        <w:tc>
          <w:tcPr>
            <w:tcW w:w="1095"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الغاية من التسهيلات</w:t>
            </w:r>
          </w:p>
        </w:tc>
        <w:tc>
          <w:tcPr>
            <w:tcW w:w="3666"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طبيعة نشاط العميل (يذكر بشكل مفصّل)</w:t>
            </w:r>
          </w:p>
        </w:tc>
      </w:tr>
      <w:tr w:rsidR="00382980" w:rsidRPr="00CD3089" w:rsidTr="00382980">
        <w:trPr>
          <w:trHeight w:val="1200"/>
        </w:trPr>
        <w:tc>
          <w:tcPr>
            <w:tcW w:w="1688" w:type="dxa"/>
            <w:vMerge/>
            <w:tcBorders>
              <w:top w:val="single" w:sz="8" w:space="0" w:color="auto"/>
              <w:left w:val="single" w:sz="8" w:space="0" w:color="auto"/>
              <w:bottom w:val="single" w:sz="8"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c>
          <w:tcPr>
            <w:tcW w:w="1571" w:type="dxa"/>
            <w:vMerge/>
            <w:tcBorders>
              <w:top w:val="single" w:sz="8" w:space="0" w:color="auto"/>
              <w:left w:val="single" w:sz="8" w:space="0" w:color="auto"/>
              <w:bottom w:val="single" w:sz="8"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c>
          <w:tcPr>
            <w:tcW w:w="811" w:type="dxa"/>
            <w:vMerge/>
            <w:tcBorders>
              <w:top w:val="single" w:sz="8" w:space="0" w:color="auto"/>
              <w:left w:val="single" w:sz="4" w:space="0" w:color="auto"/>
              <w:bottom w:val="single" w:sz="8"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c>
          <w:tcPr>
            <w:tcW w:w="848" w:type="dxa"/>
            <w:tcBorders>
              <w:top w:val="nil"/>
              <w:left w:val="single" w:sz="4" w:space="0" w:color="auto"/>
              <w:bottom w:val="single" w:sz="8" w:space="0" w:color="auto"/>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 xml:space="preserve">المبلغ </w:t>
            </w:r>
          </w:p>
        </w:tc>
        <w:tc>
          <w:tcPr>
            <w:tcW w:w="1079" w:type="dxa"/>
            <w:tcBorders>
              <w:top w:val="nil"/>
              <w:left w:val="single" w:sz="4" w:space="0" w:color="auto"/>
              <w:bottom w:val="single" w:sz="8" w:space="0" w:color="auto"/>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تاريخ المنح</w:t>
            </w:r>
          </w:p>
        </w:tc>
        <w:tc>
          <w:tcPr>
            <w:tcW w:w="1170" w:type="dxa"/>
            <w:tcBorders>
              <w:top w:val="nil"/>
              <w:left w:val="single" w:sz="4" w:space="0" w:color="auto"/>
              <w:bottom w:val="single" w:sz="8" w:space="0" w:color="auto"/>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تاريخ استحقاق التسهيلات</w:t>
            </w:r>
          </w:p>
        </w:tc>
        <w:tc>
          <w:tcPr>
            <w:tcW w:w="718" w:type="dxa"/>
            <w:tcBorders>
              <w:top w:val="nil"/>
              <w:left w:val="single" w:sz="4" w:space="0" w:color="auto"/>
              <w:bottom w:val="single" w:sz="8" w:space="0" w:color="auto"/>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 xml:space="preserve">عملة المنح </w:t>
            </w:r>
          </w:p>
        </w:tc>
        <w:tc>
          <w:tcPr>
            <w:tcW w:w="769" w:type="dxa"/>
            <w:tcBorders>
              <w:top w:val="nil"/>
              <w:left w:val="single" w:sz="4" w:space="0" w:color="auto"/>
              <w:bottom w:val="single" w:sz="8" w:space="0" w:color="auto"/>
              <w:right w:val="single" w:sz="4" w:space="0" w:color="auto"/>
            </w:tcBorders>
            <w:shd w:val="clear" w:color="000000" w:fill="C5D9F1"/>
            <w:vAlign w:val="center"/>
            <w:hideMark/>
          </w:tcPr>
          <w:p w:rsidR="00382980" w:rsidRPr="00CD3089" w:rsidRDefault="00382980" w:rsidP="00CD3089">
            <w:pPr>
              <w:jc w:val="center"/>
              <w:rPr>
                <w:rFonts w:ascii="Simplified Arabic" w:hAnsi="Simplified Arabic" w:cs="Simplified Arabic"/>
                <w:b/>
                <w:bCs/>
                <w:color w:val="000000"/>
                <w:sz w:val="24"/>
                <w:szCs w:val="24"/>
                <w:rtl/>
              </w:rPr>
            </w:pPr>
            <w:r w:rsidRPr="00CD3089">
              <w:rPr>
                <w:rFonts w:ascii="Simplified Arabic" w:hAnsi="Simplified Arabic" w:cs="Simplified Arabic"/>
                <w:b/>
                <w:bCs/>
                <w:color w:val="000000"/>
                <w:sz w:val="24"/>
                <w:szCs w:val="24"/>
                <w:rtl/>
              </w:rPr>
              <w:t xml:space="preserve">عملة السداد </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c>
          <w:tcPr>
            <w:tcW w:w="1095" w:type="dxa"/>
            <w:vMerge/>
            <w:tcBorders>
              <w:top w:val="single" w:sz="8" w:space="0" w:color="auto"/>
              <w:left w:val="single" w:sz="4" w:space="0" w:color="auto"/>
              <w:bottom w:val="single" w:sz="8"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c>
          <w:tcPr>
            <w:tcW w:w="3666" w:type="dxa"/>
            <w:vMerge/>
            <w:tcBorders>
              <w:top w:val="single" w:sz="8" w:space="0" w:color="auto"/>
              <w:left w:val="single" w:sz="4" w:space="0" w:color="auto"/>
              <w:bottom w:val="single" w:sz="8" w:space="0" w:color="000000"/>
              <w:right w:val="single" w:sz="8" w:space="0" w:color="auto"/>
            </w:tcBorders>
            <w:vAlign w:val="center"/>
            <w:hideMark/>
          </w:tcPr>
          <w:p w:rsidR="00382980" w:rsidRPr="00CD3089" w:rsidRDefault="00382980" w:rsidP="00CD3089">
            <w:pPr>
              <w:rPr>
                <w:rFonts w:ascii="Simplified Arabic" w:hAnsi="Simplified Arabic" w:cs="Simplified Arabic"/>
                <w:b/>
                <w:bCs/>
                <w:color w:val="000000"/>
                <w:sz w:val="24"/>
                <w:szCs w:val="24"/>
              </w:rPr>
            </w:pPr>
          </w:p>
        </w:tc>
      </w:tr>
      <w:tr w:rsidR="00382980" w:rsidRPr="00CD3089" w:rsidTr="00382980">
        <w:trPr>
          <w:trHeight w:val="540"/>
        </w:trPr>
        <w:tc>
          <w:tcPr>
            <w:tcW w:w="1688"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tl/>
              </w:rPr>
            </w:pPr>
            <w:r w:rsidRPr="00CD3089">
              <w:rPr>
                <w:rFonts w:ascii="Calibri" w:hAnsi="Calibri" w:cs="Calibri"/>
                <w:color w:val="000000"/>
              </w:rPr>
              <w:t> </w:t>
            </w:r>
          </w:p>
        </w:tc>
        <w:tc>
          <w:tcPr>
            <w:tcW w:w="157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9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الممنوح</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18"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6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3666"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r>
      <w:tr w:rsidR="00382980" w:rsidRPr="00CD3089" w:rsidTr="00382980">
        <w:trPr>
          <w:trHeight w:val="540"/>
        </w:trPr>
        <w:tc>
          <w:tcPr>
            <w:tcW w:w="1688"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571"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 xml:space="preserve">المستعمل </w:t>
            </w:r>
          </w:p>
        </w:tc>
        <w:tc>
          <w:tcPr>
            <w:tcW w:w="848" w:type="dxa"/>
            <w:tcBorders>
              <w:top w:val="nil"/>
              <w:left w:val="single" w:sz="4" w:space="0" w:color="auto"/>
              <w:bottom w:val="single" w:sz="8"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17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18"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6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4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3666" w:type="dxa"/>
            <w:vMerge/>
            <w:tcBorders>
              <w:top w:val="nil"/>
              <w:left w:val="single" w:sz="4" w:space="0" w:color="auto"/>
              <w:bottom w:val="single" w:sz="8" w:space="0" w:color="000000"/>
              <w:right w:val="single" w:sz="8" w:space="0" w:color="auto"/>
            </w:tcBorders>
            <w:vAlign w:val="center"/>
            <w:hideMark/>
          </w:tcPr>
          <w:p w:rsidR="00382980" w:rsidRPr="00CD3089" w:rsidRDefault="00382980" w:rsidP="00CD3089">
            <w:pPr>
              <w:rPr>
                <w:rFonts w:ascii="Calibri" w:hAnsi="Calibri" w:cs="Calibri"/>
                <w:color w:val="000000"/>
              </w:rPr>
            </w:pPr>
          </w:p>
        </w:tc>
      </w:tr>
      <w:tr w:rsidR="00382980" w:rsidRPr="00CD3089" w:rsidTr="00382980">
        <w:trPr>
          <w:trHeight w:val="540"/>
        </w:trPr>
        <w:tc>
          <w:tcPr>
            <w:tcW w:w="1688"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57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9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الممنوح</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18"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6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3666"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r>
      <w:tr w:rsidR="00382980" w:rsidRPr="00CD3089" w:rsidTr="00382980">
        <w:trPr>
          <w:trHeight w:val="540"/>
        </w:trPr>
        <w:tc>
          <w:tcPr>
            <w:tcW w:w="1688"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571"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 xml:space="preserve">المستعمل </w:t>
            </w:r>
          </w:p>
        </w:tc>
        <w:tc>
          <w:tcPr>
            <w:tcW w:w="848" w:type="dxa"/>
            <w:tcBorders>
              <w:top w:val="nil"/>
              <w:left w:val="single" w:sz="4" w:space="0" w:color="auto"/>
              <w:bottom w:val="single" w:sz="8"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17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18"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6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4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3666" w:type="dxa"/>
            <w:vMerge/>
            <w:tcBorders>
              <w:top w:val="nil"/>
              <w:left w:val="single" w:sz="4" w:space="0" w:color="auto"/>
              <w:bottom w:val="single" w:sz="8" w:space="0" w:color="000000"/>
              <w:right w:val="single" w:sz="8" w:space="0" w:color="auto"/>
            </w:tcBorders>
            <w:vAlign w:val="center"/>
            <w:hideMark/>
          </w:tcPr>
          <w:p w:rsidR="00382980" w:rsidRPr="00CD3089" w:rsidRDefault="00382980" w:rsidP="00CD3089">
            <w:pPr>
              <w:rPr>
                <w:rFonts w:ascii="Calibri" w:hAnsi="Calibri" w:cs="Calibri"/>
                <w:color w:val="000000"/>
              </w:rPr>
            </w:pPr>
          </w:p>
        </w:tc>
      </w:tr>
      <w:tr w:rsidR="00382980" w:rsidRPr="00CD3089" w:rsidTr="00382980">
        <w:trPr>
          <w:trHeight w:val="540"/>
        </w:trPr>
        <w:tc>
          <w:tcPr>
            <w:tcW w:w="1688"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57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9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الممنوح</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18"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6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3666"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r>
      <w:tr w:rsidR="00382980" w:rsidRPr="00CD3089" w:rsidTr="00382980">
        <w:trPr>
          <w:trHeight w:val="540"/>
        </w:trPr>
        <w:tc>
          <w:tcPr>
            <w:tcW w:w="1688"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571"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 xml:space="preserve">المستعمل </w:t>
            </w:r>
          </w:p>
        </w:tc>
        <w:tc>
          <w:tcPr>
            <w:tcW w:w="848" w:type="dxa"/>
            <w:tcBorders>
              <w:top w:val="nil"/>
              <w:left w:val="single" w:sz="4" w:space="0" w:color="auto"/>
              <w:bottom w:val="single" w:sz="8"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17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18"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6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4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3666" w:type="dxa"/>
            <w:vMerge/>
            <w:tcBorders>
              <w:top w:val="nil"/>
              <w:left w:val="single" w:sz="4" w:space="0" w:color="auto"/>
              <w:bottom w:val="single" w:sz="8" w:space="0" w:color="000000"/>
              <w:right w:val="single" w:sz="8" w:space="0" w:color="auto"/>
            </w:tcBorders>
            <w:vAlign w:val="center"/>
            <w:hideMark/>
          </w:tcPr>
          <w:p w:rsidR="00382980" w:rsidRPr="00CD3089" w:rsidRDefault="00382980" w:rsidP="00CD3089">
            <w:pPr>
              <w:rPr>
                <w:rFonts w:ascii="Calibri" w:hAnsi="Calibri" w:cs="Calibri"/>
                <w:color w:val="000000"/>
              </w:rPr>
            </w:pPr>
          </w:p>
        </w:tc>
      </w:tr>
      <w:tr w:rsidR="00382980" w:rsidRPr="00CD3089" w:rsidTr="00382980">
        <w:trPr>
          <w:trHeight w:val="540"/>
        </w:trPr>
        <w:tc>
          <w:tcPr>
            <w:tcW w:w="1688"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571"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9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811" w:type="dxa"/>
            <w:tcBorders>
              <w:top w:val="nil"/>
              <w:left w:val="single" w:sz="4" w:space="0" w:color="auto"/>
              <w:bottom w:val="single" w:sz="4"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الممنوح</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18"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6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9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3666"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r>
      <w:tr w:rsidR="00382980" w:rsidRPr="00CD3089" w:rsidTr="00382980">
        <w:trPr>
          <w:trHeight w:val="540"/>
        </w:trPr>
        <w:tc>
          <w:tcPr>
            <w:tcW w:w="1688"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571" w:type="dxa"/>
            <w:vMerge/>
            <w:tcBorders>
              <w:top w:val="nil"/>
              <w:left w:val="single" w:sz="8"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811" w:type="dxa"/>
            <w:tcBorders>
              <w:top w:val="nil"/>
              <w:left w:val="single" w:sz="4" w:space="0" w:color="auto"/>
              <w:bottom w:val="single" w:sz="8" w:space="0" w:color="auto"/>
              <w:right w:val="single" w:sz="4" w:space="0" w:color="auto"/>
            </w:tcBorders>
            <w:shd w:val="clear" w:color="auto" w:fill="auto"/>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 xml:space="preserve">المستعمل </w:t>
            </w:r>
          </w:p>
        </w:tc>
        <w:tc>
          <w:tcPr>
            <w:tcW w:w="848" w:type="dxa"/>
            <w:tcBorders>
              <w:top w:val="nil"/>
              <w:left w:val="single" w:sz="4" w:space="0" w:color="auto"/>
              <w:bottom w:val="nil"/>
              <w:right w:val="single" w:sz="4" w:space="0" w:color="auto"/>
            </w:tcBorders>
            <w:shd w:val="clear" w:color="auto" w:fill="auto"/>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17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18"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69"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40"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95" w:type="dxa"/>
            <w:vMerge/>
            <w:tcBorders>
              <w:top w:val="nil"/>
              <w:left w:val="single" w:sz="4" w:space="0" w:color="auto"/>
              <w:bottom w:val="single" w:sz="8"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3666" w:type="dxa"/>
            <w:vMerge/>
            <w:tcBorders>
              <w:top w:val="nil"/>
              <w:left w:val="single" w:sz="4" w:space="0" w:color="auto"/>
              <w:bottom w:val="single" w:sz="8" w:space="0" w:color="000000"/>
              <w:right w:val="single" w:sz="8" w:space="0" w:color="auto"/>
            </w:tcBorders>
            <w:vAlign w:val="center"/>
            <w:hideMark/>
          </w:tcPr>
          <w:p w:rsidR="00382980" w:rsidRPr="00CD3089" w:rsidRDefault="00382980" w:rsidP="00CD3089">
            <w:pPr>
              <w:rPr>
                <w:rFonts w:ascii="Calibri" w:hAnsi="Calibri" w:cs="Calibri"/>
                <w:color w:val="000000"/>
              </w:rPr>
            </w:pPr>
          </w:p>
        </w:tc>
      </w:tr>
      <w:tr w:rsidR="00382980" w:rsidRPr="00CD3089" w:rsidTr="00382980">
        <w:trPr>
          <w:trHeight w:val="495"/>
        </w:trPr>
        <w:tc>
          <w:tcPr>
            <w:tcW w:w="1688" w:type="dxa"/>
            <w:vMerge w:val="restart"/>
            <w:tcBorders>
              <w:top w:val="nil"/>
              <w:left w:val="single" w:sz="4" w:space="0" w:color="auto"/>
              <w:bottom w:val="single" w:sz="4" w:space="0" w:color="auto"/>
              <w:right w:val="single" w:sz="4" w:space="0" w:color="auto"/>
            </w:tcBorders>
            <w:shd w:val="clear" w:color="000000" w:fill="BFBFBF"/>
            <w:vAlign w:val="center"/>
            <w:hideMark/>
          </w:tcPr>
          <w:p w:rsidR="00382980" w:rsidRPr="00CD3089" w:rsidRDefault="00382980" w:rsidP="00CD3089">
            <w:pPr>
              <w:jc w:val="center"/>
              <w:rPr>
                <w:rFonts w:ascii="Simplified Arabic" w:hAnsi="Simplified Arabic" w:cs="Simplified Arabic"/>
                <w:b/>
                <w:bCs/>
                <w:color w:val="000000"/>
              </w:rPr>
            </w:pPr>
            <w:r w:rsidRPr="00CD3089">
              <w:rPr>
                <w:rFonts w:ascii="Simplified Arabic" w:hAnsi="Simplified Arabic" w:cs="Simplified Arabic"/>
                <w:b/>
                <w:bCs/>
                <w:color w:val="000000"/>
                <w:rtl/>
              </w:rPr>
              <w:t>المجموع</w:t>
            </w:r>
          </w:p>
        </w:tc>
        <w:tc>
          <w:tcPr>
            <w:tcW w:w="1571" w:type="dxa"/>
            <w:vMerge w:val="restart"/>
            <w:tcBorders>
              <w:top w:val="nil"/>
              <w:left w:val="single" w:sz="4" w:space="0" w:color="auto"/>
              <w:bottom w:val="single" w:sz="4" w:space="0" w:color="auto"/>
              <w:right w:val="single" w:sz="4" w:space="0" w:color="auto"/>
            </w:tcBorders>
            <w:shd w:val="clear" w:color="000000" w:fill="BFBFBF"/>
            <w:vAlign w:val="center"/>
            <w:hideMark/>
          </w:tcPr>
          <w:p w:rsidR="00382980" w:rsidRPr="00CD3089" w:rsidRDefault="00382980" w:rsidP="00CD3089">
            <w:pPr>
              <w:jc w:val="center"/>
              <w:rPr>
                <w:rFonts w:ascii="Simplified Arabic" w:hAnsi="Simplified Arabic" w:cs="Simplified Arabic"/>
                <w:b/>
                <w:bCs/>
                <w:color w:val="000000"/>
                <w:rtl/>
              </w:rPr>
            </w:pPr>
            <w:r w:rsidRPr="00CD3089">
              <w:rPr>
                <w:rFonts w:ascii="Simplified Arabic" w:hAnsi="Simplified Arabic" w:cs="Simplified Arabic"/>
                <w:b/>
                <w:bCs/>
                <w:color w:val="000000"/>
                <w:rtl/>
              </w:rPr>
              <w:t>المجموع</w:t>
            </w:r>
          </w:p>
        </w:tc>
        <w:tc>
          <w:tcPr>
            <w:tcW w:w="99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82980" w:rsidRPr="00CD3089" w:rsidRDefault="00382980" w:rsidP="00CD3089">
            <w:pPr>
              <w:jc w:val="center"/>
              <w:rPr>
                <w:rFonts w:ascii="Simplified Arabic" w:hAnsi="Simplified Arabic" w:cs="Simplified Arabic"/>
                <w:b/>
                <w:bCs/>
                <w:color w:val="000000"/>
                <w:rtl/>
              </w:rPr>
            </w:pPr>
            <w:r w:rsidRPr="00CD3089">
              <w:rPr>
                <w:rFonts w:ascii="Simplified Arabic" w:hAnsi="Simplified Arabic" w:cs="Simplified Arabic"/>
                <w:b/>
                <w:bCs/>
                <w:color w:val="000000"/>
                <w:rtl/>
              </w:rPr>
              <w:t> </w:t>
            </w:r>
          </w:p>
        </w:tc>
        <w:tc>
          <w:tcPr>
            <w:tcW w:w="811" w:type="dxa"/>
            <w:tcBorders>
              <w:top w:val="nil"/>
              <w:left w:val="single" w:sz="4" w:space="0" w:color="auto"/>
              <w:bottom w:val="single" w:sz="4" w:space="0" w:color="auto"/>
              <w:right w:val="single" w:sz="4" w:space="0" w:color="auto"/>
            </w:tcBorders>
            <w:shd w:val="clear" w:color="000000" w:fill="BFBFBF"/>
            <w:hideMark/>
          </w:tcPr>
          <w:p w:rsidR="00382980" w:rsidRPr="00CD3089" w:rsidRDefault="00382980" w:rsidP="00CD3089">
            <w:pPr>
              <w:jc w:val="both"/>
              <w:rPr>
                <w:rFonts w:ascii="Simplified Arabic" w:hAnsi="Simplified Arabic" w:cs="Simplified Arabic"/>
                <w:b/>
                <w:bCs/>
                <w:color w:val="000000"/>
                <w:rtl/>
              </w:rPr>
            </w:pPr>
            <w:r w:rsidRPr="00CD3089">
              <w:rPr>
                <w:rFonts w:ascii="Simplified Arabic" w:hAnsi="Simplified Arabic" w:cs="Simplified Arabic"/>
                <w:b/>
                <w:bCs/>
                <w:color w:val="000000"/>
                <w:rtl/>
              </w:rPr>
              <w:t>الممنوح</w:t>
            </w:r>
          </w:p>
        </w:tc>
        <w:tc>
          <w:tcPr>
            <w:tcW w:w="8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tcBorders>
              <w:top w:val="nil"/>
              <w:left w:val="single" w:sz="4" w:space="0" w:color="auto"/>
              <w:bottom w:val="nil"/>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17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18"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769"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4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095"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3666"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r>
      <w:tr w:rsidR="00382980" w:rsidRPr="00CD3089" w:rsidTr="00382980">
        <w:trPr>
          <w:trHeight w:val="495"/>
        </w:trPr>
        <w:tc>
          <w:tcPr>
            <w:tcW w:w="1688" w:type="dxa"/>
            <w:vMerge/>
            <w:tcBorders>
              <w:top w:val="nil"/>
              <w:left w:val="single" w:sz="4" w:space="0" w:color="auto"/>
              <w:bottom w:val="single" w:sz="4" w:space="0" w:color="auto"/>
              <w:right w:val="single" w:sz="4" w:space="0" w:color="auto"/>
            </w:tcBorders>
            <w:vAlign w:val="center"/>
            <w:hideMark/>
          </w:tcPr>
          <w:p w:rsidR="00382980" w:rsidRPr="00CD3089" w:rsidRDefault="00382980" w:rsidP="00CD3089">
            <w:pPr>
              <w:rPr>
                <w:rFonts w:ascii="Simplified Arabic" w:hAnsi="Simplified Arabic" w:cs="Simplified Arabic"/>
                <w:b/>
                <w:bCs/>
                <w:color w:val="000000"/>
              </w:rPr>
            </w:pPr>
          </w:p>
        </w:tc>
        <w:tc>
          <w:tcPr>
            <w:tcW w:w="1571" w:type="dxa"/>
            <w:vMerge/>
            <w:tcBorders>
              <w:top w:val="nil"/>
              <w:left w:val="single" w:sz="4" w:space="0" w:color="auto"/>
              <w:bottom w:val="single" w:sz="4" w:space="0" w:color="auto"/>
              <w:right w:val="single" w:sz="4" w:space="0" w:color="auto"/>
            </w:tcBorders>
            <w:vAlign w:val="center"/>
            <w:hideMark/>
          </w:tcPr>
          <w:p w:rsidR="00382980" w:rsidRPr="00CD3089" w:rsidRDefault="00382980" w:rsidP="00CD3089">
            <w:pPr>
              <w:rPr>
                <w:rFonts w:ascii="Simplified Arabic" w:hAnsi="Simplified Arabic" w:cs="Simplified Arabic"/>
                <w:b/>
                <w:bCs/>
                <w:color w:val="000000"/>
              </w:rPr>
            </w:pPr>
          </w:p>
        </w:tc>
        <w:tc>
          <w:tcPr>
            <w:tcW w:w="995" w:type="dxa"/>
            <w:vMerge/>
            <w:tcBorders>
              <w:top w:val="nil"/>
              <w:left w:val="single" w:sz="4" w:space="0" w:color="auto"/>
              <w:bottom w:val="single" w:sz="4" w:space="0" w:color="000000"/>
              <w:right w:val="single" w:sz="4" w:space="0" w:color="auto"/>
            </w:tcBorders>
            <w:vAlign w:val="center"/>
            <w:hideMark/>
          </w:tcPr>
          <w:p w:rsidR="00382980" w:rsidRPr="00CD3089" w:rsidRDefault="00382980" w:rsidP="00CD3089">
            <w:pPr>
              <w:rPr>
                <w:rFonts w:ascii="Simplified Arabic" w:hAnsi="Simplified Arabic" w:cs="Simplified Arabic"/>
                <w:b/>
                <w:bCs/>
                <w:color w:val="000000"/>
              </w:rPr>
            </w:pPr>
          </w:p>
        </w:tc>
        <w:tc>
          <w:tcPr>
            <w:tcW w:w="811" w:type="dxa"/>
            <w:tcBorders>
              <w:top w:val="nil"/>
              <w:left w:val="single" w:sz="4" w:space="0" w:color="auto"/>
              <w:bottom w:val="single" w:sz="4" w:space="0" w:color="auto"/>
              <w:right w:val="single" w:sz="4" w:space="0" w:color="auto"/>
            </w:tcBorders>
            <w:shd w:val="clear" w:color="000000" w:fill="BFBFBF"/>
            <w:hideMark/>
          </w:tcPr>
          <w:p w:rsidR="00382980" w:rsidRPr="00CD3089" w:rsidRDefault="00382980" w:rsidP="00CD3089">
            <w:pPr>
              <w:jc w:val="both"/>
              <w:rPr>
                <w:rFonts w:ascii="Simplified Arabic" w:hAnsi="Simplified Arabic" w:cs="Simplified Arabic"/>
                <w:b/>
                <w:bCs/>
                <w:color w:val="000000"/>
              </w:rPr>
            </w:pPr>
            <w:r w:rsidRPr="00CD3089">
              <w:rPr>
                <w:rFonts w:ascii="Simplified Arabic" w:hAnsi="Simplified Arabic" w:cs="Simplified Arabic"/>
                <w:b/>
                <w:bCs/>
                <w:color w:val="000000"/>
                <w:rtl/>
              </w:rPr>
              <w:t xml:space="preserve">المستعمل </w:t>
            </w:r>
          </w:p>
        </w:tc>
        <w:tc>
          <w:tcPr>
            <w:tcW w:w="848"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rPr>
                <w:rFonts w:ascii="Calibri" w:hAnsi="Calibri" w:cs="Calibri"/>
                <w:color w:val="000000"/>
                <w:rtl/>
              </w:rPr>
            </w:pPr>
            <w:r w:rsidRPr="00CD3089">
              <w:rPr>
                <w:rFonts w:ascii="Calibri" w:hAnsi="Calibri" w:cs="Calibri"/>
                <w:color w:val="000000"/>
              </w:rPr>
              <w:t> </w:t>
            </w:r>
          </w:p>
        </w:tc>
        <w:tc>
          <w:tcPr>
            <w:tcW w:w="1079" w:type="dxa"/>
            <w:tcBorders>
              <w:top w:val="nil"/>
              <w:left w:val="single" w:sz="4" w:space="0" w:color="auto"/>
              <w:bottom w:val="single" w:sz="4" w:space="0" w:color="auto"/>
              <w:right w:val="single" w:sz="4" w:space="0" w:color="auto"/>
            </w:tcBorders>
            <w:shd w:val="clear" w:color="000000" w:fill="BFBFBF"/>
            <w:noWrap/>
            <w:vAlign w:val="bottom"/>
            <w:hideMark/>
          </w:tcPr>
          <w:p w:rsidR="00382980" w:rsidRPr="00CD3089" w:rsidRDefault="00382980" w:rsidP="00CD3089">
            <w:pPr>
              <w:jc w:val="center"/>
              <w:rPr>
                <w:rFonts w:ascii="Calibri" w:hAnsi="Calibri" w:cs="Calibri"/>
                <w:color w:val="000000"/>
              </w:rPr>
            </w:pPr>
            <w:r w:rsidRPr="00CD3089">
              <w:rPr>
                <w:rFonts w:ascii="Calibri" w:hAnsi="Calibri" w:cs="Calibri"/>
                <w:color w:val="000000"/>
              </w:rPr>
              <w:t> </w:t>
            </w:r>
          </w:p>
        </w:tc>
        <w:tc>
          <w:tcPr>
            <w:tcW w:w="1170" w:type="dxa"/>
            <w:vMerge/>
            <w:tcBorders>
              <w:top w:val="nil"/>
              <w:left w:val="single" w:sz="4" w:space="0" w:color="auto"/>
              <w:bottom w:val="single" w:sz="4"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382980" w:rsidRPr="00CD3089" w:rsidRDefault="00382980" w:rsidP="00CD3089">
            <w:pPr>
              <w:rPr>
                <w:rFonts w:ascii="Calibri" w:hAnsi="Calibri" w:cs="Calibri"/>
                <w:color w:val="000000"/>
              </w:rPr>
            </w:pPr>
          </w:p>
        </w:tc>
        <w:tc>
          <w:tcPr>
            <w:tcW w:w="769" w:type="dxa"/>
            <w:vMerge/>
            <w:tcBorders>
              <w:top w:val="nil"/>
              <w:left w:val="single" w:sz="4" w:space="0" w:color="auto"/>
              <w:bottom w:val="single" w:sz="4" w:space="0" w:color="auto"/>
              <w:right w:val="single" w:sz="4" w:space="0" w:color="auto"/>
            </w:tcBorders>
            <w:vAlign w:val="center"/>
            <w:hideMark/>
          </w:tcPr>
          <w:p w:rsidR="00382980" w:rsidRPr="00CD3089" w:rsidRDefault="00382980" w:rsidP="00CD3089">
            <w:pPr>
              <w:rPr>
                <w:rFonts w:ascii="Calibri" w:hAnsi="Calibri" w:cs="Calibri"/>
                <w:color w:val="000000"/>
              </w:rPr>
            </w:pPr>
          </w:p>
        </w:tc>
        <w:tc>
          <w:tcPr>
            <w:tcW w:w="1040" w:type="dxa"/>
            <w:vMerge/>
            <w:tcBorders>
              <w:top w:val="nil"/>
              <w:left w:val="single" w:sz="4" w:space="0" w:color="auto"/>
              <w:bottom w:val="single" w:sz="4" w:space="0" w:color="000000"/>
              <w:right w:val="single" w:sz="4" w:space="0" w:color="auto"/>
            </w:tcBorders>
            <w:vAlign w:val="center"/>
            <w:hideMark/>
          </w:tcPr>
          <w:p w:rsidR="00382980" w:rsidRPr="00CD3089" w:rsidRDefault="00382980" w:rsidP="00CD3089">
            <w:pPr>
              <w:rPr>
                <w:rFonts w:ascii="Calibri" w:hAnsi="Calibri" w:cs="Calibri"/>
                <w:color w:val="000000"/>
              </w:rPr>
            </w:pPr>
          </w:p>
        </w:tc>
        <w:tc>
          <w:tcPr>
            <w:tcW w:w="1095" w:type="dxa"/>
            <w:vMerge/>
            <w:tcBorders>
              <w:top w:val="nil"/>
              <w:left w:val="single" w:sz="4" w:space="0" w:color="auto"/>
              <w:bottom w:val="single" w:sz="4" w:space="0" w:color="auto"/>
              <w:right w:val="single" w:sz="4" w:space="0" w:color="auto"/>
            </w:tcBorders>
            <w:vAlign w:val="center"/>
            <w:hideMark/>
          </w:tcPr>
          <w:p w:rsidR="00382980" w:rsidRPr="00CD3089" w:rsidRDefault="00382980" w:rsidP="00CD3089">
            <w:pPr>
              <w:rPr>
                <w:rFonts w:ascii="Calibri" w:hAnsi="Calibri" w:cs="Calibri"/>
                <w:color w:val="000000"/>
              </w:rPr>
            </w:pPr>
          </w:p>
        </w:tc>
        <w:tc>
          <w:tcPr>
            <w:tcW w:w="3666" w:type="dxa"/>
            <w:vMerge/>
            <w:tcBorders>
              <w:top w:val="nil"/>
              <w:left w:val="single" w:sz="4" w:space="0" w:color="auto"/>
              <w:bottom w:val="single" w:sz="4" w:space="0" w:color="auto"/>
              <w:right w:val="single" w:sz="4" w:space="0" w:color="auto"/>
            </w:tcBorders>
            <w:vAlign w:val="center"/>
            <w:hideMark/>
          </w:tcPr>
          <w:p w:rsidR="00382980" w:rsidRPr="00CD3089" w:rsidRDefault="00382980" w:rsidP="00CD3089">
            <w:pPr>
              <w:rPr>
                <w:rFonts w:ascii="Calibri" w:hAnsi="Calibri" w:cs="Calibri"/>
                <w:color w:val="000000"/>
              </w:rPr>
            </w:pPr>
          </w:p>
        </w:tc>
      </w:tr>
    </w:tbl>
    <w:p w:rsidR="00382980" w:rsidRDefault="00382980" w:rsidP="009E3152">
      <w:pPr>
        <w:rPr>
          <w:rtl/>
          <w:lang w:bidi="ar-JO"/>
        </w:rPr>
      </w:pPr>
    </w:p>
    <w:p w:rsidR="00382980" w:rsidRDefault="00382980" w:rsidP="009E3152">
      <w:pPr>
        <w:rPr>
          <w:rtl/>
          <w:lang w:bidi="ar-JO"/>
        </w:rPr>
      </w:pPr>
    </w:p>
    <w:tbl>
      <w:tblPr>
        <w:bidiVisual/>
        <w:tblW w:w="14948" w:type="dxa"/>
        <w:tblInd w:w="-1255" w:type="dxa"/>
        <w:tblLook w:val="04A0" w:firstRow="1" w:lastRow="0" w:firstColumn="1" w:lastColumn="0" w:noHBand="0" w:noVBand="1"/>
      </w:tblPr>
      <w:tblGrid>
        <w:gridCol w:w="1668"/>
        <w:gridCol w:w="999"/>
        <w:gridCol w:w="1295"/>
        <w:gridCol w:w="811"/>
        <w:gridCol w:w="658"/>
        <w:gridCol w:w="860"/>
        <w:gridCol w:w="1326"/>
        <w:gridCol w:w="833"/>
        <w:gridCol w:w="896"/>
        <w:gridCol w:w="976"/>
        <w:gridCol w:w="1229"/>
        <w:gridCol w:w="3397"/>
      </w:tblGrid>
      <w:tr w:rsidR="00382980" w:rsidRPr="00ED1727" w:rsidTr="00ED1727">
        <w:trPr>
          <w:trHeight w:val="375"/>
        </w:trPr>
        <w:tc>
          <w:tcPr>
            <w:tcW w:w="14948" w:type="dxa"/>
            <w:gridSpan w:val="12"/>
            <w:tcBorders>
              <w:top w:val="nil"/>
              <w:left w:val="nil"/>
              <w:bottom w:val="nil"/>
              <w:right w:val="nil"/>
            </w:tcBorders>
            <w:shd w:val="clear" w:color="auto" w:fill="auto"/>
            <w:noWrap/>
            <w:vAlign w:val="bottom"/>
            <w:hideMark/>
          </w:tcPr>
          <w:p w:rsidR="00382980" w:rsidRPr="00ED1727" w:rsidRDefault="00382980" w:rsidP="00ED1727">
            <w:pPr>
              <w:rPr>
                <w:rFonts w:ascii="Calibri" w:hAnsi="Calibri" w:cs="Calibri"/>
                <w:b/>
                <w:bCs/>
                <w:color w:val="000000"/>
                <w:sz w:val="28"/>
                <w:szCs w:val="28"/>
              </w:rPr>
            </w:pPr>
            <w:r w:rsidRPr="00ED1727">
              <w:rPr>
                <w:rFonts w:ascii="Calibri" w:hAnsi="Calibri" w:cs="Calibri"/>
                <w:b/>
                <w:bCs/>
                <w:color w:val="000000"/>
                <w:sz w:val="28"/>
                <w:szCs w:val="28"/>
                <w:rtl/>
              </w:rPr>
              <w:t>كشف رقم (3)</w:t>
            </w:r>
          </w:p>
        </w:tc>
      </w:tr>
      <w:tr w:rsidR="00382980" w:rsidRPr="00ED1727" w:rsidTr="00ED1727">
        <w:trPr>
          <w:trHeight w:val="510"/>
        </w:trPr>
        <w:tc>
          <w:tcPr>
            <w:tcW w:w="14948" w:type="dxa"/>
            <w:gridSpan w:val="12"/>
            <w:tcBorders>
              <w:top w:val="nil"/>
              <w:left w:val="nil"/>
              <w:bottom w:val="nil"/>
              <w:right w:val="nil"/>
            </w:tcBorders>
            <w:shd w:val="clear" w:color="auto" w:fill="auto"/>
            <w:noWrap/>
            <w:vAlign w:val="bottom"/>
            <w:hideMark/>
          </w:tcPr>
          <w:p w:rsidR="00382980" w:rsidRPr="00ED1727" w:rsidRDefault="00382980" w:rsidP="00ED1727">
            <w:pPr>
              <w:rPr>
                <w:rFonts w:ascii="Simplified Arabic" w:hAnsi="Simplified Arabic" w:cs="Simplified Arabic"/>
                <w:b/>
                <w:bCs/>
                <w:color w:val="000000"/>
                <w:sz w:val="26"/>
                <w:szCs w:val="26"/>
                <w:rtl/>
              </w:rPr>
            </w:pPr>
            <w:r w:rsidRPr="00ED1727">
              <w:rPr>
                <w:rFonts w:ascii="Simplified Arabic" w:hAnsi="Simplified Arabic" w:cs="Simplified Arabic"/>
                <w:b/>
                <w:bCs/>
                <w:color w:val="000000"/>
                <w:sz w:val="26"/>
                <w:szCs w:val="26"/>
                <w:rtl/>
              </w:rPr>
              <w:t xml:space="preserve"> ب. التسهيلات الائتمانية الممنوحة من فروع البنوك العاملة في المملكة والمخالفة للتعليمات والتي تخضع لإجراءات تصويب من قبل البنك لتصبح متوافقة مع التعليمات</w:t>
            </w:r>
          </w:p>
        </w:tc>
      </w:tr>
      <w:tr w:rsidR="00382980" w:rsidRPr="00ED1727" w:rsidTr="00ED1727">
        <w:trPr>
          <w:trHeight w:val="510"/>
        </w:trPr>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ascii="Simplified Arabic" w:hAnsi="Simplified Arabic" w:cs="Simplified Arabic"/>
                <w:b/>
                <w:bCs/>
                <w:color w:val="000000"/>
                <w:sz w:val="26"/>
                <w:szCs w:val="26"/>
                <w:rtl/>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0" w:type="auto"/>
            <w:tcBorders>
              <w:top w:val="nil"/>
              <w:left w:val="nil"/>
              <w:bottom w:val="nil"/>
              <w:right w:val="nil"/>
            </w:tcBorders>
            <w:shd w:val="clear" w:color="auto" w:fill="auto"/>
            <w:noWrap/>
            <w:vAlign w:val="bottom"/>
            <w:hideMark/>
          </w:tcPr>
          <w:p w:rsidR="00382980" w:rsidRPr="00ED1727" w:rsidRDefault="00382980" w:rsidP="00ED1727">
            <w:pPr>
              <w:rPr>
                <w:rFonts w:cs="Times New Roman"/>
              </w:rPr>
            </w:pPr>
          </w:p>
        </w:tc>
        <w:tc>
          <w:tcPr>
            <w:tcW w:w="3397" w:type="dxa"/>
            <w:tcBorders>
              <w:top w:val="nil"/>
              <w:left w:val="nil"/>
              <w:bottom w:val="nil"/>
              <w:right w:val="nil"/>
            </w:tcBorders>
            <w:shd w:val="clear" w:color="auto" w:fill="auto"/>
            <w:noWrap/>
            <w:vAlign w:val="bottom"/>
            <w:hideMark/>
          </w:tcPr>
          <w:p w:rsidR="00382980" w:rsidRPr="00ED1727" w:rsidRDefault="00382980" w:rsidP="00ED1727">
            <w:pPr>
              <w:jc w:val="right"/>
              <w:rPr>
                <w:rFonts w:ascii="Simplified Arabic" w:hAnsi="Simplified Arabic" w:cs="Simplified Arabic"/>
                <w:b/>
                <w:bCs/>
                <w:color w:val="000000"/>
              </w:rPr>
            </w:pPr>
            <w:r w:rsidRPr="00ED1727">
              <w:rPr>
                <w:rFonts w:ascii="Simplified Arabic" w:hAnsi="Simplified Arabic" w:cs="Simplified Arabic"/>
                <w:b/>
                <w:bCs/>
                <w:color w:val="000000"/>
                <w:rtl/>
              </w:rPr>
              <w:t>المبالغ مقومه بالدينار الأردني</w:t>
            </w:r>
          </w:p>
        </w:tc>
      </w:tr>
      <w:tr w:rsidR="00382980" w:rsidRPr="00ED1727" w:rsidTr="00ED1727">
        <w:trPr>
          <w:trHeight w:val="315"/>
        </w:trPr>
        <w:tc>
          <w:tcPr>
            <w:tcW w:w="0" w:type="auto"/>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تفاصيل المخالفة (يُذكر بند التعليمات الذي تمت مخالفته)</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اسم العميل</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نوع التسهيلات</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 </w:t>
            </w:r>
          </w:p>
        </w:tc>
        <w:tc>
          <w:tcPr>
            <w:tcW w:w="0" w:type="auto"/>
            <w:gridSpan w:val="5"/>
            <w:tcBorders>
              <w:top w:val="single" w:sz="8" w:space="0" w:color="auto"/>
              <w:left w:val="single" w:sz="4" w:space="0" w:color="auto"/>
              <w:bottom w:val="single" w:sz="4" w:space="0" w:color="auto"/>
              <w:right w:val="single" w:sz="4" w:space="0" w:color="000000"/>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 xml:space="preserve"> التسهيلات المباشرة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طبيعة ودورية السداد</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الغاية من التسهيلات</w:t>
            </w:r>
          </w:p>
        </w:tc>
        <w:tc>
          <w:tcPr>
            <w:tcW w:w="3397"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طبيعة نشاط العميل (يذكر بشكل مفصّل)</w:t>
            </w:r>
          </w:p>
        </w:tc>
      </w:tr>
      <w:tr w:rsidR="00382980" w:rsidRPr="00ED1727" w:rsidTr="00ED1727">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c>
          <w:tcPr>
            <w:tcW w:w="0" w:type="auto"/>
            <w:tcBorders>
              <w:top w:val="nil"/>
              <w:left w:val="single" w:sz="4" w:space="0" w:color="auto"/>
              <w:bottom w:val="single" w:sz="8" w:space="0" w:color="auto"/>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 xml:space="preserve">المبلغ </w:t>
            </w:r>
          </w:p>
        </w:tc>
        <w:tc>
          <w:tcPr>
            <w:tcW w:w="0" w:type="auto"/>
            <w:tcBorders>
              <w:top w:val="nil"/>
              <w:left w:val="single" w:sz="4" w:space="0" w:color="auto"/>
              <w:bottom w:val="single" w:sz="8" w:space="0" w:color="auto"/>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تاريخ المنح</w:t>
            </w:r>
          </w:p>
        </w:tc>
        <w:tc>
          <w:tcPr>
            <w:tcW w:w="0" w:type="auto"/>
            <w:tcBorders>
              <w:top w:val="nil"/>
              <w:left w:val="single" w:sz="4" w:space="0" w:color="auto"/>
              <w:bottom w:val="single" w:sz="8" w:space="0" w:color="auto"/>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تاريخ استحقاق التسهيلات</w:t>
            </w:r>
          </w:p>
        </w:tc>
        <w:tc>
          <w:tcPr>
            <w:tcW w:w="0" w:type="auto"/>
            <w:tcBorders>
              <w:top w:val="nil"/>
              <w:left w:val="single" w:sz="4" w:space="0" w:color="auto"/>
              <w:bottom w:val="single" w:sz="8" w:space="0" w:color="auto"/>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 xml:space="preserve">عملة المنح </w:t>
            </w:r>
          </w:p>
        </w:tc>
        <w:tc>
          <w:tcPr>
            <w:tcW w:w="0" w:type="auto"/>
            <w:tcBorders>
              <w:top w:val="nil"/>
              <w:left w:val="single" w:sz="4" w:space="0" w:color="auto"/>
              <w:bottom w:val="single" w:sz="8" w:space="0" w:color="auto"/>
              <w:right w:val="single" w:sz="4" w:space="0" w:color="auto"/>
            </w:tcBorders>
            <w:shd w:val="clear" w:color="000000" w:fill="C5D9F1"/>
            <w:vAlign w:val="center"/>
            <w:hideMark/>
          </w:tcPr>
          <w:p w:rsidR="00382980" w:rsidRPr="00ED1727" w:rsidRDefault="00382980" w:rsidP="00ED1727">
            <w:pPr>
              <w:jc w:val="center"/>
              <w:rPr>
                <w:rFonts w:ascii="Simplified Arabic" w:hAnsi="Simplified Arabic" w:cs="Simplified Arabic"/>
                <w:b/>
                <w:bCs/>
                <w:color w:val="000000"/>
                <w:sz w:val="24"/>
                <w:szCs w:val="24"/>
                <w:rtl/>
              </w:rPr>
            </w:pPr>
            <w:r w:rsidRPr="00ED1727">
              <w:rPr>
                <w:rFonts w:ascii="Simplified Arabic" w:hAnsi="Simplified Arabic" w:cs="Simplified Arabic"/>
                <w:b/>
                <w:bCs/>
                <w:color w:val="000000"/>
                <w:sz w:val="24"/>
                <w:szCs w:val="24"/>
                <w:rtl/>
              </w:rPr>
              <w:t xml:space="preserve">عملة السداد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c>
          <w:tcPr>
            <w:tcW w:w="3397" w:type="dxa"/>
            <w:vMerge/>
            <w:tcBorders>
              <w:top w:val="single" w:sz="8" w:space="0" w:color="auto"/>
              <w:left w:val="single" w:sz="4" w:space="0" w:color="auto"/>
              <w:bottom w:val="single" w:sz="8" w:space="0" w:color="000000"/>
              <w:right w:val="single" w:sz="8" w:space="0" w:color="auto"/>
            </w:tcBorders>
            <w:vAlign w:val="center"/>
            <w:hideMark/>
          </w:tcPr>
          <w:p w:rsidR="00382980" w:rsidRPr="00ED1727" w:rsidRDefault="00382980" w:rsidP="00ED1727">
            <w:pPr>
              <w:rPr>
                <w:rFonts w:ascii="Simplified Arabic" w:hAnsi="Simplified Arabic" w:cs="Simplified Arabic"/>
                <w:b/>
                <w:bCs/>
                <w:color w:val="000000"/>
                <w:sz w:val="24"/>
                <w:szCs w:val="24"/>
              </w:rPr>
            </w:pPr>
          </w:p>
        </w:tc>
      </w:tr>
      <w:tr w:rsidR="00382980" w:rsidRPr="00ED1727" w:rsidTr="00ED1727">
        <w:trPr>
          <w:trHeight w:val="540"/>
        </w:trPr>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tl/>
              </w:rPr>
            </w:pPr>
            <w:r w:rsidRPr="00ED1727">
              <w:rPr>
                <w:rFonts w:ascii="Calibri" w:hAnsi="Calibri" w:cs="Calibri"/>
                <w:color w:val="000000"/>
              </w:rPr>
              <w:t>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الممنوح</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3397"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r>
      <w:tr w:rsidR="00382980" w:rsidRPr="00ED1727" w:rsidTr="00ED1727">
        <w:trPr>
          <w:trHeight w:val="540"/>
        </w:trPr>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tcBorders>
              <w:top w:val="nil"/>
              <w:left w:val="single" w:sz="4" w:space="0" w:color="auto"/>
              <w:bottom w:val="single" w:sz="8"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 xml:space="preserve">المستعمل </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3397" w:type="dxa"/>
            <w:vMerge/>
            <w:tcBorders>
              <w:top w:val="nil"/>
              <w:left w:val="single" w:sz="4" w:space="0" w:color="auto"/>
              <w:bottom w:val="single" w:sz="8" w:space="0" w:color="000000"/>
              <w:right w:val="single" w:sz="8" w:space="0" w:color="auto"/>
            </w:tcBorders>
            <w:vAlign w:val="center"/>
            <w:hideMark/>
          </w:tcPr>
          <w:p w:rsidR="00382980" w:rsidRPr="00ED1727" w:rsidRDefault="00382980" w:rsidP="00ED1727">
            <w:pPr>
              <w:rPr>
                <w:rFonts w:ascii="Calibri" w:hAnsi="Calibri" w:cs="Calibri"/>
                <w:color w:val="000000"/>
              </w:rPr>
            </w:pPr>
          </w:p>
        </w:tc>
      </w:tr>
      <w:tr w:rsidR="00382980" w:rsidRPr="00ED1727" w:rsidTr="00ED1727">
        <w:trPr>
          <w:trHeight w:val="540"/>
        </w:trPr>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الممنوح</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3397"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r>
      <w:tr w:rsidR="00382980" w:rsidRPr="00ED1727" w:rsidTr="00ED1727">
        <w:trPr>
          <w:trHeight w:val="540"/>
        </w:trPr>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tcBorders>
              <w:top w:val="nil"/>
              <w:left w:val="single" w:sz="4" w:space="0" w:color="auto"/>
              <w:bottom w:val="single" w:sz="8"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 xml:space="preserve">المستعمل </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3397" w:type="dxa"/>
            <w:vMerge/>
            <w:tcBorders>
              <w:top w:val="nil"/>
              <w:left w:val="single" w:sz="4" w:space="0" w:color="auto"/>
              <w:bottom w:val="single" w:sz="8" w:space="0" w:color="000000"/>
              <w:right w:val="single" w:sz="8" w:space="0" w:color="auto"/>
            </w:tcBorders>
            <w:vAlign w:val="center"/>
            <w:hideMark/>
          </w:tcPr>
          <w:p w:rsidR="00382980" w:rsidRPr="00ED1727" w:rsidRDefault="00382980" w:rsidP="00ED1727">
            <w:pPr>
              <w:rPr>
                <w:rFonts w:ascii="Calibri" w:hAnsi="Calibri" w:cs="Calibri"/>
                <w:color w:val="000000"/>
              </w:rPr>
            </w:pPr>
          </w:p>
        </w:tc>
      </w:tr>
      <w:tr w:rsidR="00382980" w:rsidRPr="00ED1727" w:rsidTr="00ED1727">
        <w:trPr>
          <w:trHeight w:val="540"/>
        </w:trPr>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الممنوح</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3397"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r>
      <w:tr w:rsidR="00382980" w:rsidRPr="00ED1727" w:rsidTr="00ED1727">
        <w:trPr>
          <w:trHeight w:val="540"/>
        </w:trPr>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tcBorders>
              <w:top w:val="nil"/>
              <w:left w:val="single" w:sz="4" w:space="0" w:color="auto"/>
              <w:bottom w:val="single" w:sz="8"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 xml:space="preserve">المستعمل </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3397" w:type="dxa"/>
            <w:vMerge/>
            <w:tcBorders>
              <w:top w:val="nil"/>
              <w:left w:val="single" w:sz="4" w:space="0" w:color="auto"/>
              <w:bottom w:val="single" w:sz="8" w:space="0" w:color="000000"/>
              <w:right w:val="single" w:sz="8" w:space="0" w:color="auto"/>
            </w:tcBorders>
            <w:vAlign w:val="center"/>
            <w:hideMark/>
          </w:tcPr>
          <w:p w:rsidR="00382980" w:rsidRPr="00ED1727" w:rsidRDefault="00382980" w:rsidP="00ED1727">
            <w:pPr>
              <w:rPr>
                <w:rFonts w:ascii="Calibri" w:hAnsi="Calibri" w:cs="Calibri"/>
                <w:color w:val="000000"/>
              </w:rPr>
            </w:pPr>
          </w:p>
        </w:tc>
      </w:tr>
      <w:tr w:rsidR="00382980" w:rsidRPr="00ED1727" w:rsidTr="00ED1727">
        <w:trPr>
          <w:trHeight w:val="540"/>
        </w:trPr>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الممنوح</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3397"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r>
      <w:tr w:rsidR="00382980" w:rsidRPr="00ED1727" w:rsidTr="00ED1727">
        <w:trPr>
          <w:trHeight w:val="540"/>
        </w:trPr>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8"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tcBorders>
              <w:top w:val="nil"/>
              <w:left w:val="single" w:sz="4" w:space="0" w:color="auto"/>
              <w:bottom w:val="single" w:sz="8" w:space="0" w:color="auto"/>
              <w:right w:val="single" w:sz="4" w:space="0" w:color="auto"/>
            </w:tcBorders>
            <w:shd w:val="clear" w:color="auto" w:fill="auto"/>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 xml:space="preserve">المستعمل </w:t>
            </w:r>
          </w:p>
        </w:tc>
        <w:tc>
          <w:tcPr>
            <w:tcW w:w="0" w:type="auto"/>
            <w:tcBorders>
              <w:top w:val="nil"/>
              <w:left w:val="single" w:sz="4" w:space="0" w:color="auto"/>
              <w:bottom w:val="nil"/>
              <w:right w:val="single" w:sz="4" w:space="0" w:color="auto"/>
            </w:tcBorders>
            <w:shd w:val="clear" w:color="auto" w:fill="auto"/>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3397" w:type="dxa"/>
            <w:vMerge/>
            <w:tcBorders>
              <w:top w:val="nil"/>
              <w:left w:val="single" w:sz="4" w:space="0" w:color="auto"/>
              <w:bottom w:val="single" w:sz="8" w:space="0" w:color="000000"/>
              <w:right w:val="single" w:sz="8" w:space="0" w:color="auto"/>
            </w:tcBorders>
            <w:vAlign w:val="center"/>
            <w:hideMark/>
          </w:tcPr>
          <w:p w:rsidR="00382980" w:rsidRPr="00ED1727" w:rsidRDefault="00382980" w:rsidP="00ED1727">
            <w:pPr>
              <w:rPr>
                <w:rFonts w:ascii="Calibri" w:hAnsi="Calibri" w:cs="Calibri"/>
                <w:color w:val="000000"/>
              </w:rPr>
            </w:pPr>
          </w:p>
        </w:tc>
      </w:tr>
      <w:tr w:rsidR="00382980" w:rsidRPr="00ED1727" w:rsidTr="00ED1727">
        <w:trPr>
          <w:trHeight w:val="495"/>
        </w:trPr>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382980" w:rsidRPr="00ED1727" w:rsidRDefault="00382980" w:rsidP="00ED1727">
            <w:pPr>
              <w:jc w:val="center"/>
              <w:rPr>
                <w:rFonts w:ascii="Simplified Arabic" w:hAnsi="Simplified Arabic" w:cs="Simplified Arabic"/>
                <w:b/>
                <w:bCs/>
                <w:color w:val="000000"/>
              </w:rPr>
            </w:pPr>
            <w:r w:rsidRPr="00ED1727">
              <w:rPr>
                <w:rFonts w:ascii="Simplified Arabic" w:hAnsi="Simplified Arabic" w:cs="Simplified Arabic"/>
                <w:b/>
                <w:bCs/>
                <w:color w:val="000000"/>
                <w:rtl/>
              </w:rPr>
              <w:t>المجموع</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382980" w:rsidRPr="00ED1727" w:rsidRDefault="00382980" w:rsidP="00ED1727">
            <w:pPr>
              <w:jc w:val="center"/>
              <w:rPr>
                <w:rFonts w:ascii="Simplified Arabic" w:hAnsi="Simplified Arabic" w:cs="Simplified Arabic"/>
                <w:b/>
                <w:bCs/>
                <w:color w:val="000000"/>
                <w:rtl/>
              </w:rPr>
            </w:pPr>
            <w:r w:rsidRPr="00ED1727">
              <w:rPr>
                <w:rFonts w:ascii="Simplified Arabic" w:hAnsi="Simplified Arabic" w:cs="Simplified Arabic"/>
                <w:b/>
                <w:bCs/>
                <w:color w:val="000000"/>
                <w:rtl/>
              </w:rPr>
              <w:t>المجموع</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rsidR="00382980" w:rsidRPr="00ED1727" w:rsidRDefault="00382980" w:rsidP="00ED1727">
            <w:pPr>
              <w:jc w:val="center"/>
              <w:rPr>
                <w:rFonts w:ascii="Simplified Arabic" w:hAnsi="Simplified Arabic" w:cs="Simplified Arabic"/>
                <w:b/>
                <w:bCs/>
                <w:color w:val="000000"/>
                <w:rtl/>
              </w:rPr>
            </w:pPr>
            <w:r w:rsidRPr="00ED1727">
              <w:rPr>
                <w:rFonts w:ascii="Simplified Arabic" w:hAnsi="Simplified Arabic" w:cs="Simplified Arabic"/>
                <w:b/>
                <w:bCs/>
                <w:color w:val="000000"/>
                <w:rtl/>
              </w:rPr>
              <w:t> </w:t>
            </w:r>
          </w:p>
        </w:tc>
        <w:tc>
          <w:tcPr>
            <w:tcW w:w="0" w:type="auto"/>
            <w:tcBorders>
              <w:top w:val="nil"/>
              <w:left w:val="single" w:sz="4" w:space="0" w:color="auto"/>
              <w:bottom w:val="single" w:sz="4" w:space="0" w:color="auto"/>
              <w:right w:val="single" w:sz="4" w:space="0" w:color="auto"/>
            </w:tcBorders>
            <w:shd w:val="clear" w:color="000000" w:fill="BFBFBF"/>
            <w:hideMark/>
          </w:tcPr>
          <w:p w:rsidR="00382980" w:rsidRPr="00ED1727" w:rsidRDefault="00382980" w:rsidP="00ED1727">
            <w:pPr>
              <w:jc w:val="both"/>
              <w:rPr>
                <w:rFonts w:ascii="Simplified Arabic" w:hAnsi="Simplified Arabic" w:cs="Simplified Arabic"/>
                <w:b/>
                <w:bCs/>
                <w:color w:val="000000"/>
                <w:rtl/>
              </w:rPr>
            </w:pPr>
            <w:r w:rsidRPr="00ED1727">
              <w:rPr>
                <w:rFonts w:ascii="Simplified Arabic" w:hAnsi="Simplified Arabic" w:cs="Simplified Arabic"/>
                <w:b/>
                <w:bCs/>
                <w:color w:val="000000"/>
                <w:rtl/>
              </w:rPr>
              <w:t>الممنوح</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tcBorders>
              <w:top w:val="nil"/>
              <w:left w:val="single" w:sz="4" w:space="0" w:color="auto"/>
              <w:bottom w:val="nil"/>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4" w:space="0" w:color="000000"/>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3397" w:type="dxa"/>
            <w:vMerge w:val="restart"/>
            <w:tcBorders>
              <w:top w:val="nil"/>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r>
      <w:tr w:rsidR="00382980" w:rsidRPr="00ED1727" w:rsidTr="00ED1727">
        <w:trPr>
          <w:trHeight w:val="495"/>
        </w:trPr>
        <w:tc>
          <w:tcPr>
            <w:tcW w:w="0" w:type="auto"/>
            <w:vMerge/>
            <w:tcBorders>
              <w:top w:val="nil"/>
              <w:left w:val="single" w:sz="4" w:space="0" w:color="auto"/>
              <w:bottom w:val="single" w:sz="4" w:space="0" w:color="auto"/>
              <w:right w:val="single" w:sz="4" w:space="0" w:color="auto"/>
            </w:tcBorders>
            <w:vAlign w:val="center"/>
            <w:hideMark/>
          </w:tcPr>
          <w:p w:rsidR="00382980" w:rsidRPr="00ED1727" w:rsidRDefault="00382980" w:rsidP="00ED1727">
            <w:pPr>
              <w:rPr>
                <w:rFonts w:ascii="Simplified Arabic" w:hAnsi="Simplified Arabic" w:cs="Simplified Arabic"/>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2980" w:rsidRPr="00ED1727" w:rsidRDefault="00382980" w:rsidP="00ED1727">
            <w:pPr>
              <w:rPr>
                <w:rFonts w:ascii="Simplified Arabic" w:hAnsi="Simplified Arabic" w:cs="Simplified Arabic"/>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82980" w:rsidRPr="00ED1727" w:rsidRDefault="00382980" w:rsidP="00ED1727">
            <w:pPr>
              <w:rPr>
                <w:rFonts w:ascii="Simplified Arabic" w:hAnsi="Simplified Arabic" w:cs="Simplified Arabic"/>
                <w:b/>
                <w:bCs/>
                <w:color w:val="000000"/>
              </w:rPr>
            </w:pPr>
          </w:p>
        </w:tc>
        <w:tc>
          <w:tcPr>
            <w:tcW w:w="0" w:type="auto"/>
            <w:tcBorders>
              <w:top w:val="nil"/>
              <w:left w:val="single" w:sz="4" w:space="0" w:color="auto"/>
              <w:bottom w:val="single" w:sz="4" w:space="0" w:color="auto"/>
              <w:right w:val="single" w:sz="4" w:space="0" w:color="auto"/>
            </w:tcBorders>
            <w:shd w:val="clear" w:color="000000" w:fill="BFBFBF"/>
            <w:hideMark/>
          </w:tcPr>
          <w:p w:rsidR="00382980" w:rsidRPr="00ED1727" w:rsidRDefault="00382980" w:rsidP="00ED1727">
            <w:pPr>
              <w:jc w:val="both"/>
              <w:rPr>
                <w:rFonts w:ascii="Simplified Arabic" w:hAnsi="Simplified Arabic" w:cs="Simplified Arabic"/>
                <w:b/>
                <w:bCs/>
                <w:color w:val="000000"/>
              </w:rPr>
            </w:pPr>
            <w:r w:rsidRPr="00ED1727">
              <w:rPr>
                <w:rFonts w:ascii="Simplified Arabic" w:hAnsi="Simplified Arabic" w:cs="Simplified Arabic"/>
                <w:b/>
                <w:bCs/>
                <w:color w:val="000000"/>
                <w:rtl/>
              </w:rPr>
              <w:t xml:space="preserve">المستعمل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rPr>
                <w:rFonts w:ascii="Calibri" w:hAnsi="Calibri" w:cs="Calibri"/>
                <w:color w:val="000000"/>
                <w:rtl/>
              </w:rPr>
            </w:pPr>
            <w:r w:rsidRPr="00ED172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000000" w:fill="BFBFBF"/>
            <w:noWrap/>
            <w:vAlign w:val="bottom"/>
            <w:hideMark/>
          </w:tcPr>
          <w:p w:rsidR="00382980" w:rsidRPr="00ED1727" w:rsidRDefault="00382980" w:rsidP="00ED1727">
            <w:pPr>
              <w:jc w:val="center"/>
              <w:rPr>
                <w:rFonts w:ascii="Calibri" w:hAnsi="Calibri" w:cs="Calibri"/>
                <w:color w:val="000000"/>
              </w:rPr>
            </w:pPr>
            <w:r w:rsidRPr="00ED1727">
              <w:rPr>
                <w:rFonts w:ascii="Calibri" w:hAnsi="Calibri" w:cs="Calibri"/>
                <w:color w:val="000000"/>
              </w:rPr>
              <w:t> </w:t>
            </w:r>
          </w:p>
        </w:tc>
        <w:tc>
          <w:tcPr>
            <w:tcW w:w="0" w:type="auto"/>
            <w:vMerge/>
            <w:tcBorders>
              <w:top w:val="nil"/>
              <w:left w:val="single" w:sz="4" w:space="0" w:color="auto"/>
              <w:bottom w:val="single" w:sz="4"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82980" w:rsidRPr="00ED1727" w:rsidRDefault="00382980" w:rsidP="00ED1727">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2980" w:rsidRPr="00ED1727" w:rsidRDefault="00382980" w:rsidP="00ED1727">
            <w:pPr>
              <w:rPr>
                <w:rFonts w:ascii="Calibri" w:hAnsi="Calibri" w:cs="Calibri"/>
                <w:color w:val="000000"/>
              </w:rPr>
            </w:pPr>
          </w:p>
        </w:tc>
        <w:tc>
          <w:tcPr>
            <w:tcW w:w="3397" w:type="dxa"/>
            <w:vMerge/>
            <w:tcBorders>
              <w:top w:val="nil"/>
              <w:left w:val="single" w:sz="4" w:space="0" w:color="auto"/>
              <w:bottom w:val="single" w:sz="4" w:space="0" w:color="auto"/>
              <w:right w:val="single" w:sz="4" w:space="0" w:color="auto"/>
            </w:tcBorders>
            <w:vAlign w:val="center"/>
            <w:hideMark/>
          </w:tcPr>
          <w:p w:rsidR="00382980" w:rsidRPr="00ED1727" w:rsidRDefault="00382980" w:rsidP="00ED1727">
            <w:pPr>
              <w:rPr>
                <w:rFonts w:ascii="Calibri" w:hAnsi="Calibri" w:cs="Calibri"/>
                <w:color w:val="000000"/>
              </w:rPr>
            </w:pPr>
          </w:p>
        </w:tc>
      </w:tr>
    </w:tbl>
    <w:p w:rsidR="00382980" w:rsidRPr="00D54B44" w:rsidRDefault="00382980" w:rsidP="00ED1727">
      <w:pPr>
        <w:rPr>
          <w:rtl/>
          <w:lang w:bidi="ar-JO"/>
        </w:rPr>
      </w:pPr>
    </w:p>
    <w:p w:rsidR="00DC0650" w:rsidRDefault="00DC0650" w:rsidP="00552D40">
      <w:pPr>
        <w:pStyle w:val="Heading2"/>
        <w:ind w:left="0" w:right="0" w:firstLine="0"/>
        <w:rPr>
          <w:rFonts w:cs="Simplified Arabic"/>
          <w:b w:val="0"/>
          <w:bCs w:val="0"/>
          <w:sz w:val="16"/>
          <w:szCs w:val="16"/>
          <w:lang w:bidi="ar-JO"/>
        </w:rPr>
      </w:pPr>
    </w:p>
    <w:p w:rsidR="00382980" w:rsidRDefault="00382980" w:rsidP="00382980">
      <w:pPr>
        <w:rPr>
          <w:lang w:bidi="ar-JO"/>
        </w:rPr>
      </w:pPr>
      <w:bookmarkStart w:id="0" w:name="_GoBack"/>
      <w:bookmarkEnd w:id="0"/>
    </w:p>
    <w:sectPr w:rsidR="00382980" w:rsidSect="00382980">
      <w:endnotePr>
        <w:numFmt w:val="lowerLetter"/>
      </w:endnotePr>
      <w:pgSz w:w="16840" w:h="11907" w:orient="landscape" w:code="9"/>
      <w:pgMar w:top="900" w:right="2160" w:bottom="1350" w:left="1138"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ED" w:rsidRDefault="00E444ED">
      <w:r>
        <w:separator/>
      </w:r>
    </w:p>
  </w:endnote>
  <w:endnote w:type="continuationSeparator" w:id="0">
    <w:p w:rsidR="00E444ED" w:rsidRDefault="00E4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0002000" w:usb1="03D40006" w:usb2="0262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ED" w:rsidRDefault="00E444ED">
      <w:r>
        <w:separator/>
      </w:r>
    </w:p>
  </w:footnote>
  <w:footnote w:type="continuationSeparator" w:id="0">
    <w:p w:rsidR="00E444ED" w:rsidRDefault="00E4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B3" w:rsidRDefault="00193BB3">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93BB3" w:rsidRDefault="00193BB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207"/>
    <w:multiLevelType w:val="hybridMultilevel"/>
    <w:tmpl w:val="8048DB00"/>
    <w:lvl w:ilvl="0" w:tplc="0409000F">
      <w:start w:val="1"/>
      <w:numFmt w:val="decimal"/>
      <w:lvlText w:val="%1."/>
      <w:lvlJc w:val="left"/>
      <w:pPr>
        <w:ind w:left="1853" w:hanging="360"/>
      </w:pPr>
      <w:rPr>
        <w:rFont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 w15:restartNumberingAfterBreak="0">
    <w:nsid w:val="100B2CB2"/>
    <w:multiLevelType w:val="hybridMultilevel"/>
    <w:tmpl w:val="5D04B598"/>
    <w:lvl w:ilvl="0" w:tplc="827EC0C0">
      <w:start w:val="1"/>
      <w:numFmt w:val="arabicAbjad"/>
      <w:lvlText w:val="%1."/>
      <w:lvlJc w:val="righ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8F23D7"/>
    <w:multiLevelType w:val="hybridMultilevel"/>
    <w:tmpl w:val="7C36947E"/>
    <w:lvl w:ilvl="0" w:tplc="C63ED7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C5E4D"/>
    <w:multiLevelType w:val="hybridMultilevel"/>
    <w:tmpl w:val="D3C8494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24B32F4F"/>
    <w:multiLevelType w:val="hybridMultilevel"/>
    <w:tmpl w:val="47AE6DA0"/>
    <w:lvl w:ilvl="0" w:tplc="222C3F32">
      <w:start w:val="120"/>
      <w:numFmt w:val="bullet"/>
      <w:lvlText w:val="-"/>
      <w:lvlJc w:val="left"/>
      <w:pPr>
        <w:ind w:left="720" w:hanging="360"/>
      </w:pPr>
      <w:rPr>
        <w:rFonts w:ascii="Times New Roman" w:eastAsia="Times New Roman" w:hAnsi="Times New Roman"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639D"/>
    <w:multiLevelType w:val="hybridMultilevel"/>
    <w:tmpl w:val="1362E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F1450"/>
    <w:multiLevelType w:val="hybridMultilevel"/>
    <w:tmpl w:val="098448C0"/>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2A9609D6"/>
    <w:multiLevelType w:val="hybridMultilevel"/>
    <w:tmpl w:val="C8C4BEAA"/>
    <w:lvl w:ilvl="0" w:tplc="2B8CF71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37A87"/>
    <w:multiLevelType w:val="hybridMultilevel"/>
    <w:tmpl w:val="97866A4E"/>
    <w:lvl w:ilvl="0" w:tplc="92B22C9E">
      <w:start w:val="1"/>
      <w:numFmt w:val="decimal"/>
      <w:lvlText w:val="%1."/>
      <w:lvlJc w:val="left"/>
      <w:pPr>
        <w:ind w:left="5670" w:hanging="360"/>
      </w:pPr>
      <w:rPr>
        <w:rFonts w:ascii="Simplified Arabic" w:eastAsia="Times New Roman"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5450F"/>
    <w:multiLevelType w:val="hybridMultilevel"/>
    <w:tmpl w:val="22FA1B18"/>
    <w:lvl w:ilvl="0" w:tplc="BB1A5E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270D2"/>
    <w:multiLevelType w:val="hybridMultilevel"/>
    <w:tmpl w:val="3482C994"/>
    <w:lvl w:ilvl="0" w:tplc="5D62E9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17964"/>
    <w:multiLevelType w:val="hybridMultilevel"/>
    <w:tmpl w:val="AB4C29CC"/>
    <w:lvl w:ilvl="0" w:tplc="D684157C">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257ED"/>
    <w:multiLevelType w:val="hybridMultilevel"/>
    <w:tmpl w:val="CCF435A0"/>
    <w:lvl w:ilvl="0" w:tplc="B4B2836E">
      <w:start w:val="3"/>
      <w:numFmt w:val="arabicAbjad"/>
      <w:lvlText w:val="%1."/>
      <w:lvlJc w:val="righ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945CB"/>
    <w:multiLevelType w:val="hybridMultilevel"/>
    <w:tmpl w:val="A2A40D06"/>
    <w:lvl w:ilvl="0" w:tplc="0409000F">
      <w:start w:val="1"/>
      <w:numFmt w:val="decimal"/>
      <w:lvlText w:val="%1."/>
      <w:lvlJc w:val="left"/>
      <w:pPr>
        <w:ind w:left="1590" w:hanging="360"/>
      </w:pPr>
      <w:rPr>
        <w:rFont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4" w15:restartNumberingAfterBreak="0">
    <w:nsid w:val="62617A92"/>
    <w:multiLevelType w:val="hybridMultilevel"/>
    <w:tmpl w:val="9E06DA8A"/>
    <w:lvl w:ilvl="0" w:tplc="F9C8FA9A">
      <w:start w:val="1"/>
      <w:numFmt w:val="bullet"/>
      <w:lvlText w:val="-"/>
      <w:lvlJc w:val="left"/>
      <w:pPr>
        <w:ind w:left="1590" w:hanging="360"/>
      </w:pPr>
      <w:rPr>
        <w:rFonts w:ascii="Simplified Arabic" w:eastAsia="Times New Roman" w:hAnsi="Simplified Arabic" w:cs="Simplified Arabic"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5" w15:restartNumberingAfterBreak="0">
    <w:nsid w:val="6ADE1495"/>
    <w:multiLevelType w:val="hybridMultilevel"/>
    <w:tmpl w:val="DA4AEF58"/>
    <w:lvl w:ilvl="0" w:tplc="B2247EBC">
      <w:start w:val="120"/>
      <w:numFmt w:val="bullet"/>
      <w:lvlText w:val="-"/>
      <w:lvlJc w:val="left"/>
      <w:pPr>
        <w:ind w:left="720" w:hanging="360"/>
      </w:pPr>
      <w:rPr>
        <w:rFonts w:ascii="Times New Roman" w:eastAsia="Times New Roman" w:hAnsi="Times New Roman" w:cs="Simplified Arabic" w:hint="default"/>
        <w:b/>
        <w:bCs w:val="0"/>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90D94"/>
    <w:multiLevelType w:val="hybridMultilevel"/>
    <w:tmpl w:val="76726D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5"/>
  </w:num>
  <w:num w:numId="4">
    <w:abstractNumId w:val="7"/>
  </w:num>
  <w:num w:numId="5">
    <w:abstractNumId w:val="16"/>
  </w:num>
  <w:num w:numId="6">
    <w:abstractNumId w:val="3"/>
  </w:num>
  <w:num w:numId="7">
    <w:abstractNumId w:val="14"/>
  </w:num>
  <w:num w:numId="8">
    <w:abstractNumId w:val="0"/>
  </w:num>
  <w:num w:numId="9">
    <w:abstractNumId w:val="9"/>
  </w:num>
  <w:num w:numId="10">
    <w:abstractNumId w:val="13"/>
  </w:num>
  <w:num w:numId="11">
    <w:abstractNumId w:val="6"/>
  </w:num>
  <w:num w:numId="12">
    <w:abstractNumId w:val="8"/>
  </w:num>
  <w:num w:numId="13">
    <w:abstractNumId w:val="1"/>
  </w:num>
  <w:num w:numId="14">
    <w:abstractNumId w:val="10"/>
  </w:num>
  <w:num w:numId="15">
    <w:abstractNumId w:val="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4C"/>
    <w:rsid w:val="00000A33"/>
    <w:rsid w:val="000068E1"/>
    <w:rsid w:val="00012854"/>
    <w:rsid w:val="000179ED"/>
    <w:rsid w:val="000208FF"/>
    <w:rsid w:val="0006363B"/>
    <w:rsid w:val="00073C79"/>
    <w:rsid w:val="00084787"/>
    <w:rsid w:val="000902EC"/>
    <w:rsid w:val="000954F9"/>
    <w:rsid w:val="000A5028"/>
    <w:rsid w:val="000B6477"/>
    <w:rsid w:val="00103259"/>
    <w:rsid w:val="00136C6E"/>
    <w:rsid w:val="0017634D"/>
    <w:rsid w:val="00193BB3"/>
    <w:rsid w:val="001B62FA"/>
    <w:rsid w:val="001B7C1E"/>
    <w:rsid w:val="001E5DE6"/>
    <w:rsid w:val="001F4ABE"/>
    <w:rsid w:val="00204F79"/>
    <w:rsid w:val="00207BCB"/>
    <w:rsid w:val="00211ED0"/>
    <w:rsid w:val="00220A74"/>
    <w:rsid w:val="00255669"/>
    <w:rsid w:val="00292582"/>
    <w:rsid w:val="002C5F5C"/>
    <w:rsid w:val="002D2588"/>
    <w:rsid w:val="002E541B"/>
    <w:rsid w:val="002E7870"/>
    <w:rsid w:val="002F167F"/>
    <w:rsid w:val="0030786A"/>
    <w:rsid w:val="0033101A"/>
    <w:rsid w:val="00334029"/>
    <w:rsid w:val="00341382"/>
    <w:rsid w:val="00344E17"/>
    <w:rsid w:val="00355607"/>
    <w:rsid w:val="00360CC8"/>
    <w:rsid w:val="0037657B"/>
    <w:rsid w:val="00382980"/>
    <w:rsid w:val="00396D77"/>
    <w:rsid w:val="003D3409"/>
    <w:rsid w:val="003D6427"/>
    <w:rsid w:val="003F5F12"/>
    <w:rsid w:val="00413477"/>
    <w:rsid w:val="00425789"/>
    <w:rsid w:val="00426CFC"/>
    <w:rsid w:val="00433B18"/>
    <w:rsid w:val="004347D2"/>
    <w:rsid w:val="004420D9"/>
    <w:rsid w:val="00446424"/>
    <w:rsid w:val="00474136"/>
    <w:rsid w:val="00475F88"/>
    <w:rsid w:val="004A2058"/>
    <w:rsid w:val="004A5E52"/>
    <w:rsid w:val="004A69D6"/>
    <w:rsid w:val="004A6CD2"/>
    <w:rsid w:val="004C55A9"/>
    <w:rsid w:val="00504CDF"/>
    <w:rsid w:val="00521BCE"/>
    <w:rsid w:val="0054323C"/>
    <w:rsid w:val="00552D40"/>
    <w:rsid w:val="00552FF4"/>
    <w:rsid w:val="00563ABF"/>
    <w:rsid w:val="00572844"/>
    <w:rsid w:val="00577BA2"/>
    <w:rsid w:val="005A443F"/>
    <w:rsid w:val="005A5D30"/>
    <w:rsid w:val="005B5419"/>
    <w:rsid w:val="005B57BD"/>
    <w:rsid w:val="005D2DBB"/>
    <w:rsid w:val="005D6A97"/>
    <w:rsid w:val="005E7669"/>
    <w:rsid w:val="005F568C"/>
    <w:rsid w:val="00601878"/>
    <w:rsid w:val="006058C9"/>
    <w:rsid w:val="00610770"/>
    <w:rsid w:val="006427CE"/>
    <w:rsid w:val="00643F4C"/>
    <w:rsid w:val="0065610C"/>
    <w:rsid w:val="006A3187"/>
    <w:rsid w:val="006C207C"/>
    <w:rsid w:val="006D0E9B"/>
    <w:rsid w:val="006D5FCB"/>
    <w:rsid w:val="006E09C9"/>
    <w:rsid w:val="006F2021"/>
    <w:rsid w:val="006F36D5"/>
    <w:rsid w:val="006F3FF8"/>
    <w:rsid w:val="006F5102"/>
    <w:rsid w:val="007166A8"/>
    <w:rsid w:val="00743F83"/>
    <w:rsid w:val="00744DF2"/>
    <w:rsid w:val="00751264"/>
    <w:rsid w:val="007526CC"/>
    <w:rsid w:val="00777CE5"/>
    <w:rsid w:val="00783234"/>
    <w:rsid w:val="00783773"/>
    <w:rsid w:val="00784E7F"/>
    <w:rsid w:val="007858BF"/>
    <w:rsid w:val="00800CE8"/>
    <w:rsid w:val="00827871"/>
    <w:rsid w:val="00827967"/>
    <w:rsid w:val="0085509F"/>
    <w:rsid w:val="0088785E"/>
    <w:rsid w:val="008C69EA"/>
    <w:rsid w:val="008D54DF"/>
    <w:rsid w:val="008D7DD2"/>
    <w:rsid w:val="008F23D6"/>
    <w:rsid w:val="008F3D21"/>
    <w:rsid w:val="00915899"/>
    <w:rsid w:val="00930810"/>
    <w:rsid w:val="00944538"/>
    <w:rsid w:val="00950C3A"/>
    <w:rsid w:val="00955B1D"/>
    <w:rsid w:val="00986708"/>
    <w:rsid w:val="009919D6"/>
    <w:rsid w:val="009A3DD3"/>
    <w:rsid w:val="009B2D72"/>
    <w:rsid w:val="009B4F5E"/>
    <w:rsid w:val="009C7ED3"/>
    <w:rsid w:val="009D784F"/>
    <w:rsid w:val="009E544C"/>
    <w:rsid w:val="009E5AC8"/>
    <w:rsid w:val="009E5C15"/>
    <w:rsid w:val="009F03BA"/>
    <w:rsid w:val="00A01EE4"/>
    <w:rsid w:val="00A10EAE"/>
    <w:rsid w:val="00A133DB"/>
    <w:rsid w:val="00A35137"/>
    <w:rsid w:val="00A401A3"/>
    <w:rsid w:val="00A711F7"/>
    <w:rsid w:val="00A73184"/>
    <w:rsid w:val="00A90712"/>
    <w:rsid w:val="00A939C1"/>
    <w:rsid w:val="00AD5B6A"/>
    <w:rsid w:val="00AD7564"/>
    <w:rsid w:val="00AE3CFD"/>
    <w:rsid w:val="00B0001F"/>
    <w:rsid w:val="00B00834"/>
    <w:rsid w:val="00B06758"/>
    <w:rsid w:val="00B77188"/>
    <w:rsid w:val="00B84805"/>
    <w:rsid w:val="00B97108"/>
    <w:rsid w:val="00C204EA"/>
    <w:rsid w:val="00C226B8"/>
    <w:rsid w:val="00C3237F"/>
    <w:rsid w:val="00C80CF1"/>
    <w:rsid w:val="00CA62C6"/>
    <w:rsid w:val="00CD2A6B"/>
    <w:rsid w:val="00CE6D55"/>
    <w:rsid w:val="00CF334A"/>
    <w:rsid w:val="00CF382F"/>
    <w:rsid w:val="00D072A7"/>
    <w:rsid w:val="00D10714"/>
    <w:rsid w:val="00D604A0"/>
    <w:rsid w:val="00D846FB"/>
    <w:rsid w:val="00DA46F9"/>
    <w:rsid w:val="00DA69A1"/>
    <w:rsid w:val="00DB154F"/>
    <w:rsid w:val="00DC0650"/>
    <w:rsid w:val="00DC28F5"/>
    <w:rsid w:val="00DC462B"/>
    <w:rsid w:val="00DC5BFA"/>
    <w:rsid w:val="00DD4E0C"/>
    <w:rsid w:val="00E0319A"/>
    <w:rsid w:val="00E444ED"/>
    <w:rsid w:val="00E46589"/>
    <w:rsid w:val="00E57ACD"/>
    <w:rsid w:val="00E62943"/>
    <w:rsid w:val="00E67558"/>
    <w:rsid w:val="00EA0E39"/>
    <w:rsid w:val="00EC44F4"/>
    <w:rsid w:val="00ED6B20"/>
    <w:rsid w:val="00EF5069"/>
    <w:rsid w:val="00EF5F29"/>
    <w:rsid w:val="00F04EE9"/>
    <w:rsid w:val="00F143F9"/>
    <w:rsid w:val="00F358D1"/>
    <w:rsid w:val="00F373A3"/>
    <w:rsid w:val="00F822E0"/>
    <w:rsid w:val="00F95880"/>
    <w:rsid w:val="00FA0150"/>
    <w:rsid w:val="00FA6938"/>
    <w:rsid w:val="00FF4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2C74"/>
  <w15:docId w15:val="{A9638CB9-9805-4317-A7F0-C9F350D1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CB"/>
    <w:pPr>
      <w:bidi/>
      <w:spacing w:after="0" w:line="240" w:lineRule="auto"/>
    </w:pPr>
    <w:rPr>
      <w:rFonts w:ascii="Times New Roman" w:eastAsia="Times New Roman" w:hAnsi="Times New Roman" w:cs="Traditional Arabic"/>
      <w:sz w:val="20"/>
      <w:szCs w:val="20"/>
      <w:lang w:eastAsia="ar-SA"/>
    </w:rPr>
  </w:style>
  <w:style w:type="paragraph" w:styleId="Heading1">
    <w:name w:val="heading 1"/>
    <w:basedOn w:val="Normal"/>
    <w:next w:val="Normal"/>
    <w:link w:val="Heading1Char"/>
    <w:uiPriority w:val="9"/>
    <w:qFormat/>
    <w:rsid w:val="000902EC"/>
    <w:pPr>
      <w:keepNext/>
      <w:spacing w:line="420" w:lineRule="exact"/>
      <w:jc w:val="lowKashida"/>
      <w:outlineLvl w:val="0"/>
    </w:pPr>
    <w:rPr>
      <w:rFonts w:ascii="Simplified Arabic" w:hAnsi="Simplified Arabic" w:cs="Simplified Arabic"/>
      <w:b/>
      <w:bCs/>
      <w:sz w:val="30"/>
      <w:szCs w:val="30"/>
      <w:u w:val="single"/>
      <w:lang w:eastAsia="en-US"/>
    </w:rPr>
  </w:style>
  <w:style w:type="paragraph" w:styleId="Heading2">
    <w:name w:val="heading 2"/>
    <w:basedOn w:val="Normal"/>
    <w:next w:val="Normal"/>
    <w:link w:val="Heading2Char"/>
    <w:qFormat/>
    <w:rsid w:val="006D5FCB"/>
    <w:pPr>
      <w:keepNext/>
      <w:ind w:left="-6" w:right="-6" w:firstLine="2274"/>
      <w:outlineLvl w:val="1"/>
    </w:pPr>
    <w:rPr>
      <w:rFonts w:cs="Arabic Transparent"/>
      <w:b/>
      <w:bCs/>
      <w:szCs w:val="28"/>
    </w:rPr>
  </w:style>
  <w:style w:type="paragraph" w:styleId="Heading4">
    <w:name w:val="heading 4"/>
    <w:basedOn w:val="Normal"/>
    <w:next w:val="Normal"/>
    <w:link w:val="Heading4Char"/>
    <w:qFormat/>
    <w:rsid w:val="006D5FCB"/>
    <w:pPr>
      <w:keepNext/>
      <w:ind w:left="516" w:hanging="516"/>
      <w:jc w:val="center"/>
      <w:outlineLvl w:val="3"/>
    </w:pPr>
    <w:rPr>
      <w:rFonts w:cs="Monotype Koufi"/>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FCB"/>
    <w:rPr>
      <w:rFonts w:ascii="Times New Roman" w:eastAsia="Times New Roman" w:hAnsi="Times New Roman" w:cs="Arabic Transparent"/>
      <w:b/>
      <w:bCs/>
      <w:sz w:val="20"/>
      <w:szCs w:val="28"/>
      <w:lang w:eastAsia="ar-SA"/>
    </w:rPr>
  </w:style>
  <w:style w:type="character" w:customStyle="1" w:styleId="Heading4Char">
    <w:name w:val="Heading 4 Char"/>
    <w:basedOn w:val="DefaultParagraphFont"/>
    <w:link w:val="Heading4"/>
    <w:rsid w:val="006D5FCB"/>
    <w:rPr>
      <w:rFonts w:ascii="Times New Roman" w:eastAsia="Times New Roman" w:hAnsi="Times New Roman" w:cs="Monotype Koufi"/>
      <w:b/>
      <w:bCs/>
      <w:sz w:val="24"/>
      <w:szCs w:val="30"/>
      <w:lang w:eastAsia="ar-SA"/>
    </w:rPr>
  </w:style>
  <w:style w:type="paragraph" w:styleId="Header">
    <w:name w:val="header"/>
    <w:basedOn w:val="Normal"/>
    <w:link w:val="HeaderChar"/>
    <w:rsid w:val="006D5FCB"/>
    <w:pPr>
      <w:tabs>
        <w:tab w:val="center" w:pos="4153"/>
        <w:tab w:val="right" w:pos="8306"/>
      </w:tabs>
    </w:pPr>
  </w:style>
  <w:style w:type="character" w:customStyle="1" w:styleId="HeaderChar">
    <w:name w:val="Header Char"/>
    <w:basedOn w:val="DefaultParagraphFont"/>
    <w:link w:val="Header"/>
    <w:rsid w:val="006D5FCB"/>
    <w:rPr>
      <w:rFonts w:ascii="Times New Roman" w:eastAsia="Times New Roman" w:hAnsi="Times New Roman" w:cs="Traditional Arabic"/>
      <w:sz w:val="20"/>
      <w:szCs w:val="20"/>
      <w:lang w:eastAsia="ar-SA"/>
    </w:rPr>
  </w:style>
  <w:style w:type="paragraph" w:styleId="Footer">
    <w:name w:val="footer"/>
    <w:basedOn w:val="Normal"/>
    <w:link w:val="FooterChar"/>
    <w:rsid w:val="006D5FCB"/>
    <w:pPr>
      <w:tabs>
        <w:tab w:val="center" w:pos="4153"/>
        <w:tab w:val="right" w:pos="8306"/>
      </w:tabs>
    </w:pPr>
  </w:style>
  <w:style w:type="character" w:customStyle="1" w:styleId="FooterChar">
    <w:name w:val="Footer Char"/>
    <w:basedOn w:val="DefaultParagraphFont"/>
    <w:link w:val="Footer"/>
    <w:rsid w:val="006D5FCB"/>
    <w:rPr>
      <w:rFonts w:ascii="Times New Roman" w:eastAsia="Times New Roman" w:hAnsi="Times New Roman" w:cs="Traditional Arabic"/>
      <w:sz w:val="20"/>
      <w:szCs w:val="20"/>
      <w:lang w:eastAsia="ar-SA"/>
    </w:rPr>
  </w:style>
  <w:style w:type="paragraph" w:styleId="BlockText">
    <w:name w:val="Block Text"/>
    <w:basedOn w:val="Normal"/>
    <w:rsid w:val="006D5FCB"/>
    <w:pPr>
      <w:ind w:left="2126" w:right="2126" w:firstLine="142"/>
    </w:pPr>
    <w:rPr>
      <w:rFonts w:cs="Arabic Transparent"/>
      <w:b/>
      <w:bCs/>
      <w:szCs w:val="28"/>
    </w:rPr>
  </w:style>
  <w:style w:type="character" w:styleId="PageNumber">
    <w:name w:val="page number"/>
    <w:basedOn w:val="DefaultParagraphFont"/>
    <w:rsid w:val="006D5FCB"/>
  </w:style>
  <w:style w:type="paragraph" w:styleId="ListParagraph">
    <w:name w:val="List Paragraph"/>
    <w:basedOn w:val="Normal"/>
    <w:uiPriority w:val="34"/>
    <w:qFormat/>
    <w:rsid w:val="00A711F7"/>
    <w:pPr>
      <w:ind w:left="720"/>
      <w:contextualSpacing/>
    </w:pPr>
  </w:style>
  <w:style w:type="paragraph" w:styleId="BalloonText">
    <w:name w:val="Balloon Text"/>
    <w:basedOn w:val="Normal"/>
    <w:link w:val="BalloonTextChar"/>
    <w:uiPriority w:val="99"/>
    <w:semiHidden/>
    <w:unhideWhenUsed/>
    <w:rsid w:val="0013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6E"/>
    <w:rPr>
      <w:rFonts w:ascii="Segoe UI" w:eastAsia="Times New Roman" w:hAnsi="Segoe UI" w:cs="Segoe UI"/>
      <w:sz w:val="18"/>
      <w:szCs w:val="18"/>
      <w:lang w:eastAsia="ar-SA"/>
    </w:rPr>
  </w:style>
  <w:style w:type="paragraph" w:styleId="BodyText">
    <w:name w:val="Body Text"/>
    <w:basedOn w:val="Normal"/>
    <w:link w:val="BodyTextChar"/>
    <w:uiPriority w:val="99"/>
    <w:unhideWhenUsed/>
    <w:rsid w:val="00744DF2"/>
    <w:pPr>
      <w:spacing w:after="200" w:line="276" w:lineRule="auto"/>
      <w:jc w:val="center"/>
    </w:pPr>
    <w:rPr>
      <w:rFonts w:ascii="Calibri" w:eastAsia="Calibri" w:hAnsi="Calibri" w:cs="Arial"/>
      <w:b/>
      <w:bCs/>
      <w:sz w:val="54"/>
      <w:szCs w:val="54"/>
      <w:lang w:eastAsia="en-US" w:bidi="ar-JO"/>
    </w:rPr>
  </w:style>
  <w:style w:type="character" w:customStyle="1" w:styleId="BodyTextChar">
    <w:name w:val="Body Text Char"/>
    <w:basedOn w:val="DefaultParagraphFont"/>
    <w:link w:val="BodyText"/>
    <w:uiPriority w:val="99"/>
    <w:rsid w:val="00744DF2"/>
    <w:rPr>
      <w:rFonts w:ascii="Calibri" w:eastAsia="Calibri" w:hAnsi="Calibri" w:cs="Arial"/>
      <w:b/>
      <w:bCs/>
      <w:sz w:val="54"/>
      <w:szCs w:val="54"/>
      <w:lang w:bidi="ar-JO"/>
    </w:rPr>
  </w:style>
  <w:style w:type="paragraph" w:styleId="BodyTextIndent">
    <w:name w:val="Body Text Indent"/>
    <w:basedOn w:val="Normal"/>
    <w:link w:val="BodyTextIndentChar"/>
    <w:uiPriority w:val="99"/>
    <w:unhideWhenUsed/>
    <w:rsid w:val="00B97108"/>
    <w:pPr>
      <w:spacing w:before="240" w:line="360" w:lineRule="exact"/>
      <w:ind w:firstLine="481"/>
      <w:jc w:val="lowKashida"/>
    </w:pPr>
    <w:rPr>
      <w:rFonts w:ascii="Simplified Arabic" w:hAnsi="Simplified Arabic" w:cs="Simplified Arabic"/>
      <w:sz w:val="30"/>
      <w:szCs w:val="30"/>
      <w:lang w:bidi="ar-JO"/>
    </w:rPr>
  </w:style>
  <w:style w:type="character" w:customStyle="1" w:styleId="BodyTextIndentChar">
    <w:name w:val="Body Text Indent Char"/>
    <w:basedOn w:val="DefaultParagraphFont"/>
    <w:link w:val="BodyTextIndent"/>
    <w:uiPriority w:val="99"/>
    <w:rsid w:val="00B97108"/>
    <w:rPr>
      <w:rFonts w:ascii="Simplified Arabic" w:eastAsia="Times New Roman" w:hAnsi="Simplified Arabic" w:cs="Simplified Arabic"/>
      <w:sz w:val="30"/>
      <w:szCs w:val="30"/>
      <w:lang w:eastAsia="ar-SA" w:bidi="ar-JO"/>
    </w:rPr>
  </w:style>
  <w:style w:type="character" w:customStyle="1" w:styleId="Heading1Char">
    <w:name w:val="Heading 1 Char"/>
    <w:basedOn w:val="DefaultParagraphFont"/>
    <w:link w:val="Heading1"/>
    <w:uiPriority w:val="9"/>
    <w:rsid w:val="000902EC"/>
    <w:rPr>
      <w:rFonts w:ascii="Simplified Arabic" w:eastAsia="Times New Roman" w:hAnsi="Simplified Arabic" w:cs="Simplified Arabic"/>
      <w:b/>
      <w:bCs/>
      <w:sz w:val="30"/>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26C6-707F-473C-B1D5-C3A9B619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10</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ohood.zreaq</dc:creator>
  <cp:lastModifiedBy>Haya A. Alfathalat</cp:lastModifiedBy>
  <cp:revision>45</cp:revision>
  <cp:lastPrinted>2021-02-03T08:55:00Z</cp:lastPrinted>
  <dcterms:created xsi:type="dcterms:W3CDTF">2017-12-11T11:03:00Z</dcterms:created>
  <dcterms:modified xsi:type="dcterms:W3CDTF">2021-03-18T11:23:00Z</dcterms:modified>
</cp:coreProperties>
</file>